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ind w:firstLine="720"/>
        <w:rPr>
          <w:rFonts w:ascii="仿宋_GB2312" w:hAnsi="仿宋_GB2312" w:eastAsia="仿宋_GB2312" w:cs="仿宋_GB2312"/>
          <w:sz w:val="36"/>
          <w:szCs w:val="36"/>
        </w:rPr>
      </w:pPr>
    </w:p>
    <w:p>
      <w:pPr>
        <w:ind w:firstLine="720"/>
        <w:rPr>
          <w:rFonts w:ascii="仿宋_GB2312" w:hAnsi="仿宋_GB2312" w:eastAsia="仿宋_GB2312" w:cs="仿宋_GB2312"/>
          <w:sz w:val="36"/>
          <w:szCs w:val="36"/>
        </w:rPr>
      </w:pPr>
    </w:p>
    <w:p>
      <w:pPr>
        <w:ind w:firstLine="720"/>
        <w:rPr>
          <w:rFonts w:ascii="仿宋_GB2312" w:hAnsi="仿宋_GB2312" w:eastAsia="仿宋_GB2312" w:cs="仿宋_GB2312"/>
          <w:sz w:val="36"/>
          <w:szCs w:val="36"/>
        </w:rPr>
      </w:pPr>
    </w:p>
    <w:p>
      <w:pPr>
        <w:ind w:firstLine="720"/>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ind w:firstLine="880"/>
        <w:jc w:val="center"/>
        <w:outlineLvl w:val="0"/>
        <w:rPr>
          <w:rFonts w:ascii="华文仿宋" w:hAnsi="华文仿宋" w:eastAsia="华文仿宋" w:cs="华文仿宋"/>
          <w:kern w:val="44"/>
          <w:sz w:val="44"/>
          <w:szCs w:val="44"/>
        </w:rPr>
      </w:pPr>
    </w:p>
    <w:p>
      <w:pPr>
        <w:ind w:firstLine="1040"/>
        <w:jc w:val="center"/>
        <w:rPr>
          <w:rFonts w:eastAsia="仿宋"/>
          <w:sz w:val="52"/>
          <w:szCs w:val="52"/>
        </w:rPr>
      </w:pPr>
    </w:p>
    <w:p>
      <w:pPr>
        <w:ind w:firstLine="880"/>
        <w:rPr>
          <w:rFonts w:eastAsia="仿宋"/>
          <w:sz w:val="44"/>
          <w:szCs w:val="44"/>
        </w:rPr>
      </w:pPr>
    </w:p>
    <w:p>
      <w:pPr>
        <w:ind w:firstLine="880"/>
        <w:rPr>
          <w:rFonts w:eastAsia="仿宋"/>
          <w:sz w:val="44"/>
          <w:szCs w:val="44"/>
        </w:rPr>
      </w:pPr>
    </w:p>
    <w:p>
      <w:pPr>
        <w:ind w:firstLine="880"/>
        <w:rPr>
          <w:rFonts w:eastAsia="仿宋"/>
          <w:sz w:val="44"/>
          <w:szCs w:val="44"/>
        </w:rPr>
      </w:pPr>
    </w:p>
    <w:p>
      <w:pPr>
        <w:adjustRightInd w:val="0"/>
        <w:snapToGrid w:val="0"/>
        <w:spacing w:line="288" w:lineRule="auto"/>
        <w:rPr>
          <w:rFonts w:ascii="仿宋_GB2312" w:eastAsia="仿宋_GB2312"/>
          <w:sz w:val="36"/>
          <w:szCs w:val="36"/>
        </w:rPr>
      </w:pPr>
    </w:p>
    <w:p>
      <w:pPr>
        <w:adjustRightInd w:val="0"/>
        <w:snapToGrid w:val="0"/>
        <w:spacing w:line="288" w:lineRule="auto"/>
        <w:jc w:val="center"/>
        <w:rPr>
          <w:rFonts w:ascii="仿宋_GB2312" w:eastAsia="仿宋_GB2312"/>
          <w:sz w:val="36"/>
          <w:szCs w:val="36"/>
          <w:u w:val="single"/>
        </w:rPr>
      </w:pPr>
      <w:r>
        <w:rPr>
          <w:rFonts w:hint="eastAsia" w:ascii="仿宋_GB2312" w:eastAsia="仿宋_GB2312"/>
          <w:sz w:val="36"/>
          <w:szCs w:val="36"/>
          <w:lang w:val="en-US" w:eastAsia="zh-CN"/>
        </w:rPr>
        <w:t xml:space="preserve">   </w:t>
      </w:r>
      <w:r>
        <w:rPr>
          <w:rFonts w:hint="eastAsia" w:ascii="仿宋_GB2312" w:eastAsia="仿宋_GB2312"/>
          <w:sz w:val="36"/>
          <w:szCs w:val="36"/>
        </w:rPr>
        <w:t>项目名称：</w:t>
      </w:r>
      <w:r>
        <w:rPr>
          <w:rFonts w:hint="eastAsia" w:ascii="仿宋_GB2312" w:eastAsia="仿宋_GB2312"/>
          <w:sz w:val="36"/>
          <w:szCs w:val="36"/>
          <w:u w:val="single"/>
        </w:rPr>
        <w:t>年产120万车付NVH隔音隔热产品项目</w:t>
      </w:r>
    </w:p>
    <w:p>
      <w:pPr>
        <w:adjustRightInd w:val="0"/>
        <w:snapToGrid w:val="0"/>
        <w:spacing w:line="288" w:lineRule="auto"/>
        <w:jc w:val="center"/>
        <w:rPr>
          <w:rFonts w:ascii="仿宋_GB2312" w:eastAsia="仿宋_GB2312"/>
          <w:sz w:val="36"/>
          <w:szCs w:val="36"/>
          <w:u w:val="single"/>
        </w:rPr>
      </w:pPr>
      <w:r>
        <w:rPr>
          <w:rFonts w:hint="eastAsia" w:ascii="仿宋_GB2312" w:eastAsia="仿宋_GB2312"/>
          <w:sz w:val="36"/>
          <w:szCs w:val="36"/>
        </w:rPr>
        <w:t xml:space="preserve">    建设单位（盖章）：</w:t>
      </w:r>
      <w:r>
        <w:rPr>
          <w:rFonts w:hint="eastAsia" w:ascii="仿宋_GB2312" w:eastAsia="仿宋_GB2312"/>
          <w:sz w:val="36"/>
          <w:szCs w:val="36"/>
          <w:u w:val="single"/>
        </w:rPr>
        <w:t>西安比亚迪汽车零部件有限公司</w:t>
      </w:r>
    </w:p>
    <w:p>
      <w:pPr>
        <w:adjustRightInd w:val="0"/>
        <w:snapToGrid w:val="0"/>
        <w:spacing w:line="288" w:lineRule="auto"/>
        <w:ind w:firstLine="720" w:firstLineChars="200"/>
        <w:rPr>
          <w:rFonts w:hint="default" w:ascii="仿宋_GB2312" w:eastAsia="仿宋_GB2312"/>
          <w:sz w:val="36"/>
          <w:szCs w:val="36"/>
          <w:u w:val="single"/>
          <w:lang w:val="en-US" w:eastAsia="zh-CN"/>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eastAsia="仿宋_GB2312"/>
          <w:sz w:val="36"/>
          <w:szCs w:val="36"/>
          <w:u w:val="single"/>
        </w:rPr>
        <w:t>二〇二</w:t>
      </w:r>
      <w:r>
        <w:rPr>
          <w:rFonts w:hint="eastAsia" w:eastAsia="仿宋_GB2312"/>
          <w:sz w:val="36"/>
          <w:szCs w:val="36"/>
          <w:u w:val="single"/>
        </w:rPr>
        <w:t>四</w:t>
      </w:r>
      <w:r>
        <w:rPr>
          <w:rFonts w:eastAsia="仿宋_GB2312"/>
          <w:sz w:val="36"/>
          <w:szCs w:val="36"/>
          <w:u w:val="single"/>
        </w:rPr>
        <w:t>年</w:t>
      </w:r>
      <w:r>
        <w:rPr>
          <w:rFonts w:hint="eastAsia" w:eastAsia="仿宋_GB2312"/>
          <w:sz w:val="36"/>
          <w:szCs w:val="36"/>
          <w:u w:val="single"/>
        </w:rPr>
        <w:t>六</w:t>
      </w:r>
      <w:r>
        <w:rPr>
          <w:rFonts w:eastAsia="仿宋_GB2312"/>
          <w:sz w:val="36"/>
          <w:szCs w:val="36"/>
          <w:u w:val="single"/>
        </w:rPr>
        <w:t>月</w:t>
      </w:r>
      <w:r>
        <w:rPr>
          <w:rFonts w:hint="eastAsia" w:eastAsia="仿宋_GB2312"/>
          <w:sz w:val="36"/>
          <w:szCs w:val="36"/>
          <w:u w:val="single"/>
          <w:lang w:val="en-US" w:eastAsia="zh-CN"/>
        </w:rPr>
        <w:t xml:space="preserve">             </w:t>
      </w:r>
    </w:p>
    <w:p>
      <w:pPr>
        <w:adjustRightInd w:val="0"/>
        <w:snapToGrid w:val="0"/>
        <w:spacing w:line="288" w:lineRule="auto"/>
        <w:ind w:firstLine="720"/>
        <w:jc w:val="center"/>
        <w:rPr>
          <w:rFonts w:ascii="仿宋_GB2312" w:eastAsia="仿宋_GB2312"/>
          <w:sz w:val="36"/>
          <w:szCs w:val="36"/>
          <w:u w:val="single"/>
        </w:rPr>
      </w:pPr>
      <w:bookmarkStart w:id="0" w:name="_Hlk57884087"/>
    </w:p>
    <w:p>
      <w:pPr>
        <w:adjustRightInd w:val="0"/>
        <w:snapToGrid w:val="0"/>
        <w:spacing w:line="288" w:lineRule="auto"/>
        <w:jc w:val="center"/>
        <w:rPr>
          <w:rFonts w:ascii="仿宋_GB2312" w:eastAsia="仿宋_GB2312"/>
          <w:sz w:val="36"/>
          <w:szCs w:val="36"/>
        </w:rPr>
      </w:pPr>
    </w:p>
    <w:p>
      <w:pPr>
        <w:adjustRightInd w:val="0"/>
        <w:snapToGrid w:val="0"/>
        <w:spacing w:line="288" w:lineRule="auto"/>
        <w:ind w:firstLine="720"/>
        <w:jc w:val="center"/>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720"/>
        <w:jc w:val="center"/>
        <w:rPr>
          <w:rFonts w:ascii="仿宋_GB2312" w:eastAsia="仿宋_GB2312"/>
          <w:sz w:val="36"/>
          <w:szCs w:val="36"/>
        </w:rPr>
      </w:pPr>
    </w:p>
    <w:p>
      <w:pPr>
        <w:adjustRightInd w:val="0"/>
        <w:snapToGrid w:val="0"/>
        <w:spacing w:line="288" w:lineRule="auto"/>
        <w:ind w:firstLine="720"/>
        <w:jc w:val="center"/>
        <w:rPr>
          <w:rFonts w:ascii="仿宋_GB2312" w:eastAsia="仿宋_GB2312"/>
          <w:sz w:val="36"/>
          <w:szCs w:val="36"/>
        </w:rPr>
      </w:pPr>
    </w:p>
    <w:p>
      <w:pPr>
        <w:adjustRightInd w:val="0"/>
        <w:snapToGrid w:val="0"/>
        <w:spacing w:line="288" w:lineRule="auto"/>
        <w:ind w:firstLine="720"/>
        <w:jc w:val="center"/>
        <w:rPr>
          <w:rFonts w:ascii="仿宋_GB2312" w:eastAsia="仿宋_GB2312"/>
          <w:sz w:val="36"/>
          <w:szCs w:val="36"/>
        </w:rPr>
      </w:pPr>
    </w:p>
    <w:p>
      <w:pPr>
        <w:adjustRightInd w:val="0"/>
        <w:snapToGrid w:val="0"/>
        <w:spacing w:line="288" w:lineRule="auto"/>
        <w:ind w:firstLine="720"/>
        <w:jc w:val="center"/>
        <w:rPr>
          <w:rFonts w:ascii="仿宋_GB2312" w:eastAsia="仿宋_GB2312"/>
          <w:sz w:val="36"/>
          <w:szCs w:val="36"/>
        </w:rPr>
      </w:pPr>
    </w:p>
    <w:p>
      <w:pPr>
        <w:adjustRightInd w:val="0"/>
        <w:snapToGrid w:val="0"/>
        <w:spacing w:line="288" w:lineRule="auto"/>
        <w:ind w:firstLine="720"/>
        <w:jc w:val="both"/>
        <w:rPr>
          <w:rFonts w:ascii="仿宋_GB2312" w:eastAsia="仿宋_GB2312"/>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13"/>
        <w:ind w:firstLine="600"/>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建设项目名称</w:t>
            </w:r>
          </w:p>
        </w:tc>
        <w:tc>
          <w:tcPr>
            <w:tcW w:w="6488" w:type="dxa"/>
            <w:gridSpan w:val="3"/>
            <w:vAlign w:val="center"/>
          </w:tcPr>
          <w:p>
            <w:pPr>
              <w:adjustRightInd w:val="0"/>
              <w:snapToGrid w:val="0"/>
              <w:jc w:val="center"/>
              <w:rPr>
                <w:rFonts w:ascii="宋体" w:hAnsi="宋体" w:cs="宋体"/>
                <w:color w:val="auto"/>
                <w:sz w:val="24"/>
                <w:shd w:val="clear" w:color="auto" w:fill="auto"/>
              </w:rPr>
            </w:pPr>
            <w:r>
              <w:rPr>
                <w:rFonts w:ascii="宋体" w:hAnsi="宋体" w:cs="宋体"/>
                <w:color w:val="auto"/>
                <w:sz w:val="24"/>
                <w:shd w:val="clear" w:color="auto" w:fill="auto"/>
              </w:rPr>
              <w:t>年产120万车付NVH隔音隔热产品项目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项目代码</w:t>
            </w:r>
          </w:p>
        </w:tc>
        <w:tc>
          <w:tcPr>
            <w:tcW w:w="6488" w:type="dxa"/>
            <w:gridSpan w:val="3"/>
            <w:vAlign w:val="center"/>
          </w:tcPr>
          <w:p>
            <w:pPr>
              <w:adjustRightInd w:val="0"/>
              <w:snapToGrid w:val="0"/>
              <w:jc w:val="center"/>
              <w:rPr>
                <w:rFonts w:ascii="宋体" w:hAnsi="宋体" w:cs="宋体"/>
                <w:color w:val="auto"/>
                <w:sz w:val="24"/>
                <w:shd w:val="clear" w:color="auto" w:fill="auto"/>
              </w:rPr>
            </w:pPr>
            <w:r>
              <w:rPr>
                <w:rFonts w:ascii="宋体" w:hAnsi="宋体" w:cs="宋体"/>
                <w:color w:val="auto"/>
                <w:sz w:val="24"/>
                <w:shd w:val="clear" w:color="auto" w:fill="auto"/>
              </w:rPr>
              <w:t>2401-610161-04-03-873867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建设单位联系人</w:t>
            </w:r>
          </w:p>
        </w:tc>
        <w:tc>
          <w:tcPr>
            <w:tcW w:w="1637"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安江魁</w:t>
            </w:r>
          </w:p>
        </w:tc>
        <w:tc>
          <w:tcPr>
            <w:tcW w:w="2212"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联系方式</w:t>
            </w:r>
          </w:p>
        </w:tc>
        <w:tc>
          <w:tcPr>
            <w:tcW w:w="2639"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188</w:t>
            </w:r>
            <w:r>
              <w:rPr>
                <w:rFonts w:hint="eastAsia" w:ascii="宋体" w:hAnsi="宋体" w:cs="宋体"/>
                <w:color w:val="auto"/>
                <w:sz w:val="24"/>
                <w:shd w:val="clear" w:color="auto" w:fill="auto"/>
                <w:lang w:val="en-US" w:eastAsia="zh-CN"/>
              </w:rPr>
              <w:t>****</w:t>
            </w:r>
            <w:bookmarkStart w:id="5" w:name="_GoBack"/>
            <w:bookmarkEnd w:id="5"/>
            <w:r>
              <w:rPr>
                <w:rFonts w:hint="eastAsia" w:ascii="宋体" w:hAnsi="宋体" w:cs="宋体"/>
                <w:color w:val="auto"/>
                <w:sz w:val="24"/>
                <w:shd w:val="clear" w:color="auto" w:fill="auto"/>
              </w:rPr>
              <w:t>0339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建设地点</w:t>
            </w:r>
          </w:p>
        </w:tc>
        <w:tc>
          <w:tcPr>
            <w:tcW w:w="6488" w:type="dxa"/>
            <w:gridSpan w:val="3"/>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u w:val="single"/>
                <w:shd w:val="clear" w:color="auto" w:fill="auto"/>
              </w:rPr>
              <w:t xml:space="preserve"> 陕西 </w:t>
            </w:r>
            <w:r>
              <w:rPr>
                <w:rFonts w:hint="eastAsia" w:ascii="宋体" w:hAnsi="宋体" w:cs="宋体"/>
                <w:color w:val="auto"/>
                <w:sz w:val="24"/>
                <w:shd w:val="clear" w:color="auto" w:fill="auto"/>
              </w:rPr>
              <w:t>省（自治区）</w:t>
            </w:r>
            <w:r>
              <w:rPr>
                <w:rFonts w:ascii="宋体" w:hAnsi="宋体" w:cs="宋体"/>
                <w:color w:val="auto"/>
                <w:sz w:val="24"/>
                <w:u w:val="single"/>
                <w:shd w:val="clear" w:color="auto" w:fill="auto"/>
              </w:rPr>
              <w:t xml:space="preserve"> </w:t>
            </w:r>
            <w:r>
              <w:rPr>
                <w:rFonts w:hint="eastAsia" w:ascii="宋体" w:hAnsi="宋体" w:cs="宋体"/>
                <w:color w:val="auto"/>
                <w:sz w:val="24"/>
                <w:u w:val="single"/>
                <w:shd w:val="clear" w:color="auto" w:fill="auto"/>
              </w:rPr>
              <w:t>西安</w:t>
            </w:r>
            <w:r>
              <w:rPr>
                <w:rFonts w:ascii="宋体" w:hAnsi="宋体" w:cs="宋体"/>
                <w:color w:val="auto"/>
                <w:sz w:val="24"/>
                <w:u w:val="single"/>
                <w:shd w:val="clear" w:color="auto" w:fill="auto"/>
              </w:rPr>
              <w:t xml:space="preserve"> </w:t>
            </w:r>
            <w:r>
              <w:rPr>
                <w:rFonts w:hint="eastAsia" w:ascii="宋体" w:hAnsi="宋体" w:cs="宋体"/>
                <w:color w:val="auto"/>
                <w:sz w:val="24"/>
                <w:shd w:val="clear" w:color="auto" w:fill="auto"/>
              </w:rPr>
              <w:t>市</w:t>
            </w:r>
            <w:r>
              <w:rPr>
                <w:rFonts w:ascii="宋体" w:hAnsi="宋体" w:cs="宋体"/>
                <w:color w:val="auto"/>
                <w:sz w:val="24"/>
                <w:u w:val="single"/>
                <w:shd w:val="clear" w:color="auto" w:fill="auto"/>
              </w:rPr>
              <w:t xml:space="preserve"> </w:t>
            </w:r>
            <w:r>
              <w:rPr>
                <w:rFonts w:hint="eastAsia" w:ascii="宋体" w:hAnsi="宋体" w:cs="宋体"/>
                <w:color w:val="auto"/>
                <w:sz w:val="24"/>
                <w:u w:val="single"/>
                <w:shd w:val="clear" w:color="auto" w:fill="auto"/>
              </w:rPr>
              <w:t>周至</w:t>
            </w:r>
            <w:r>
              <w:rPr>
                <w:rFonts w:ascii="宋体" w:hAnsi="宋体" w:cs="宋体"/>
                <w:color w:val="auto"/>
                <w:sz w:val="24"/>
                <w:u w:val="single"/>
                <w:shd w:val="clear" w:color="auto" w:fill="auto"/>
              </w:rPr>
              <w:t xml:space="preserve"> </w:t>
            </w:r>
            <w:r>
              <w:rPr>
                <w:rFonts w:hint="eastAsia" w:ascii="宋体" w:hAnsi="宋体" w:cs="宋体"/>
                <w:color w:val="auto"/>
                <w:sz w:val="24"/>
                <w:shd w:val="clear" w:color="auto" w:fill="auto"/>
              </w:rPr>
              <w:t>县（区）</w:t>
            </w:r>
            <w:r>
              <w:rPr>
                <w:color w:val="auto"/>
                <w:sz w:val="24"/>
                <w:shd w:val="clear" w:color="auto" w:fill="auto"/>
              </w:rPr>
              <w:t>集贤工业园尚九路以西，10</w:t>
            </w:r>
            <w:r>
              <w:rPr>
                <w:rFonts w:hint="eastAsia"/>
                <w:color w:val="auto"/>
                <w:sz w:val="24"/>
                <w:shd w:val="clear" w:color="auto" w:fill="auto"/>
              </w:rPr>
              <w:t>8省道以北（不在秦岭保护区范围内）11</w:t>
            </w:r>
            <w:r>
              <w:rPr>
                <w:color w:val="auto"/>
                <w:sz w:val="24"/>
                <w:shd w:val="clear" w:color="auto" w:fill="auto"/>
              </w:rPr>
              <w:t>号厂房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地理坐标</w:t>
            </w:r>
          </w:p>
        </w:tc>
        <w:tc>
          <w:tcPr>
            <w:tcW w:w="6488" w:type="dxa"/>
            <w:gridSpan w:val="3"/>
            <w:vAlign w:val="center"/>
          </w:tcPr>
          <w:p>
            <w:pPr>
              <w:jc w:val="center"/>
              <w:rPr>
                <w:rFonts w:ascii="宋体" w:hAnsi="宋体" w:cs="宋体"/>
                <w:color w:val="auto"/>
                <w:sz w:val="24"/>
                <w:shd w:val="clear" w:color="auto" w:fill="auto"/>
              </w:rPr>
            </w:pPr>
            <w:r>
              <w:rPr>
                <w:rFonts w:hint="eastAsia" w:ascii="宋体" w:hAnsi="宋体" w:cs="宋体"/>
                <w:color w:val="auto"/>
                <w:sz w:val="24"/>
                <w:shd w:val="clear" w:color="auto" w:fill="auto"/>
              </w:rPr>
              <w:t>东经108°24′3.09"，北纬34°04′41.40"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国民经济</w:t>
            </w:r>
          </w:p>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行业类别</w:t>
            </w:r>
          </w:p>
        </w:tc>
        <w:tc>
          <w:tcPr>
            <w:tcW w:w="1637" w:type="dxa"/>
            <w:vAlign w:val="center"/>
          </w:tcPr>
          <w:p>
            <w:pPr>
              <w:adjustRightInd w:val="0"/>
              <w:snapToGrid w:val="0"/>
              <w:jc w:val="center"/>
              <w:rPr>
                <w:rFonts w:ascii="宋体" w:hAnsi="宋体" w:cs="宋体"/>
                <w:color w:val="auto"/>
                <w:sz w:val="24"/>
                <w:shd w:val="clear" w:color="auto" w:fill="auto"/>
              </w:rPr>
            </w:pPr>
            <w:r>
              <w:rPr>
                <w:rFonts w:ascii="宋体" w:hAnsi="宋体" w:cs="宋体"/>
                <w:color w:val="auto"/>
                <w:sz w:val="24"/>
                <w:shd w:val="clear" w:color="auto" w:fill="auto"/>
              </w:rPr>
              <w:t>C367</w:t>
            </w:r>
            <w:r>
              <w:rPr>
                <w:rFonts w:hint="eastAsia" w:ascii="宋体" w:hAnsi="宋体" w:cs="宋体"/>
                <w:color w:val="auto"/>
                <w:sz w:val="24"/>
                <w:shd w:val="clear" w:color="auto" w:fill="auto"/>
              </w:rPr>
              <w:t>0</w:t>
            </w:r>
            <w:r>
              <w:rPr>
                <w:rFonts w:ascii="宋体" w:hAnsi="宋体" w:cs="宋体"/>
                <w:color w:val="auto"/>
                <w:sz w:val="24"/>
                <w:shd w:val="clear" w:color="auto" w:fill="auto"/>
              </w:rPr>
              <w:t xml:space="preserve"> 汽车零部件及配件制造</w:t>
            </w:r>
          </w:p>
        </w:tc>
        <w:tc>
          <w:tcPr>
            <w:tcW w:w="2212" w:type="dxa"/>
            <w:vAlign w:val="center"/>
          </w:tcPr>
          <w:p>
            <w:pPr>
              <w:adjustRightInd w:val="0"/>
              <w:snapToGrid w:val="0"/>
              <w:jc w:val="center"/>
              <w:rPr>
                <w:rFonts w:ascii="宋体" w:hAnsi="宋体" w:cs="宋体"/>
                <w:color w:val="auto"/>
                <w:sz w:val="24"/>
                <w:shd w:val="clear" w:color="auto" w:fill="auto"/>
              </w:rPr>
            </w:pPr>
            <w:bookmarkStart w:id="1" w:name="_Hlk49843745"/>
            <w:r>
              <w:rPr>
                <w:rFonts w:hint="eastAsia" w:ascii="宋体" w:hAnsi="宋体" w:cs="宋体"/>
                <w:color w:val="auto"/>
                <w:sz w:val="24"/>
                <w:shd w:val="clear" w:color="auto" w:fill="auto"/>
              </w:rPr>
              <w:t>建设项目</w:t>
            </w:r>
          </w:p>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行业类别</w:t>
            </w:r>
            <w:bookmarkEnd w:id="1"/>
          </w:p>
        </w:tc>
        <w:tc>
          <w:tcPr>
            <w:tcW w:w="2639" w:type="dxa"/>
            <w:vAlign w:val="center"/>
          </w:tcPr>
          <w:p>
            <w:pPr>
              <w:adjustRightInd w:val="0"/>
              <w:snapToGrid w:val="0"/>
              <w:rPr>
                <w:rFonts w:ascii="宋体" w:hAnsi="宋体" w:cs="宋体"/>
                <w:color w:val="auto"/>
                <w:sz w:val="24"/>
                <w:shd w:val="clear" w:color="auto" w:fill="auto"/>
              </w:rPr>
            </w:pPr>
            <w:r>
              <w:rPr>
                <w:rFonts w:ascii="宋体" w:hAnsi="宋体" w:cs="宋体"/>
                <w:color w:val="auto"/>
                <w:sz w:val="24"/>
                <w:shd w:val="clear" w:color="auto" w:fill="auto"/>
              </w:rPr>
              <w:t>“三十三、汽车制造业 36”中的“71 汽车零部件及配件制造 367”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建设性质</w:t>
            </w:r>
          </w:p>
        </w:tc>
        <w:tc>
          <w:tcPr>
            <w:tcW w:w="1637" w:type="dxa"/>
            <w:vAlign w:val="center"/>
          </w:tcPr>
          <w:p>
            <w:pPr>
              <w:jc w:val="left"/>
              <w:rPr>
                <w:rFonts w:ascii="宋体" w:hAnsi="宋体" w:cs="宋体"/>
                <w:color w:val="auto"/>
                <w:sz w:val="24"/>
                <w:shd w:val="clear" w:color="auto" w:fill="auto"/>
              </w:rPr>
            </w:pPr>
            <w:r>
              <w:rPr>
                <w:rFonts w:ascii="Segoe UI Symbol" w:hAnsi="Segoe UI Symbol" w:cs="Segoe UI Symbol"/>
                <w:color w:val="auto"/>
                <w:sz w:val="24"/>
                <w:shd w:val="clear" w:color="auto" w:fill="auto"/>
              </w:rPr>
              <w:t>☑</w:t>
            </w:r>
            <w:r>
              <w:rPr>
                <w:rFonts w:hint="eastAsia" w:ascii="宋体" w:hAnsi="宋体" w:cs="宋体"/>
                <w:color w:val="auto"/>
                <w:sz w:val="24"/>
                <w:shd w:val="clear" w:color="auto" w:fill="auto"/>
              </w:rPr>
              <w:t>新建（迁建）</w:t>
            </w:r>
          </w:p>
          <w:p>
            <w:pPr>
              <w:jc w:val="left"/>
              <w:rPr>
                <w:rFonts w:ascii="宋体" w:hAnsi="宋体" w:cs="宋体"/>
                <w:color w:val="auto"/>
                <w:sz w:val="24"/>
                <w:shd w:val="clear" w:color="auto" w:fill="auto"/>
              </w:rPr>
            </w:pPr>
            <w:r>
              <w:rPr>
                <w:rFonts w:hint="eastAsia" w:ascii="宋体" w:hAnsi="宋体" w:cs="宋体"/>
                <w:color w:val="auto"/>
                <w:sz w:val="24"/>
                <w:shd w:val="clear" w:color="auto" w:fill="auto"/>
              </w:rPr>
              <w:t>□改建</w:t>
            </w:r>
          </w:p>
          <w:p>
            <w:pPr>
              <w:jc w:val="left"/>
              <w:rPr>
                <w:rFonts w:ascii="宋体" w:hAnsi="宋体" w:cs="宋体"/>
                <w:color w:val="auto"/>
                <w:sz w:val="24"/>
                <w:shd w:val="clear" w:color="auto" w:fill="auto"/>
              </w:rPr>
            </w:pPr>
            <w:r>
              <w:rPr>
                <w:rFonts w:hint="eastAsia" w:ascii="宋体" w:hAnsi="宋体" w:cs="宋体"/>
                <w:color w:val="auto"/>
                <w:sz w:val="24"/>
                <w:shd w:val="clear" w:color="auto" w:fill="auto"/>
              </w:rPr>
              <w:t>□扩建</w:t>
            </w:r>
          </w:p>
          <w:p>
            <w:pPr>
              <w:jc w:val="left"/>
              <w:rPr>
                <w:rFonts w:ascii="宋体" w:hAnsi="宋体" w:cs="宋体"/>
                <w:color w:val="auto"/>
                <w:sz w:val="24"/>
                <w:shd w:val="clear" w:color="auto" w:fill="auto"/>
              </w:rPr>
            </w:pPr>
            <w:r>
              <w:rPr>
                <w:rFonts w:hint="eastAsia" w:ascii="宋体" w:hAnsi="宋体" w:cs="宋体"/>
                <w:color w:val="auto"/>
                <w:sz w:val="24"/>
                <w:shd w:val="clear" w:color="auto" w:fill="auto"/>
              </w:rPr>
              <w:t>□技术改造</w:t>
            </w:r>
          </w:p>
        </w:tc>
        <w:tc>
          <w:tcPr>
            <w:tcW w:w="2212"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建设项目</w:t>
            </w:r>
          </w:p>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申报情形</w:t>
            </w:r>
          </w:p>
        </w:tc>
        <w:tc>
          <w:tcPr>
            <w:tcW w:w="2639" w:type="dxa"/>
            <w:vAlign w:val="center"/>
          </w:tcPr>
          <w:p>
            <w:pPr>
              <w:jc w:val="left"/>
              <w:rPr>
                <w:rFonts w:ascii="宋体" w:hAnsi="宋体" w:cs="宋体"/>
                <w:color w:val="auto"/>
                <w:sz w:val="24"/>
                <w:shd w:val="clear" w:color="auto" w:fill="auto"/>
              </w:rPr>
            </w:pPr>
            <w:r>
              <w:rPr>
                <w:rFonts w:hint="eastAsia" w:ascii="宋体" w:hAnsi="宋体" w:cs="宋体"/>
                <w:color w:val="auto"/>
                <w:sz w:val="24"/>
                <w:shd w:val="clear" w:color="auto" w:fill="auto"/>
              </w:rPr>
              <w:sym w:font="Wingdings 2" w:char="0052"/>
            </w:r>
            <w:r>
              <w:rPr>
                <w:rFonts w:hint="eastAsia" w:ascii="宋体" w:hAnsi="宋体" w:cs="宋体"/>
                <w:color w:val="auto"/>
                <w:sz w:val="24"/>
                <w:shd w:val="clear" w:color="auto" w:fill="auto"/>
              </w:rPr>
              <w:t>首次申报项目</w:t>
            </w:r>
            <w:r>
              <w:rPr>
                <w:rFonts w:ascii="宋体" w:hAnsi="宋体" w:cs="宋体"/>
                <w:color w:val="auto"/>
                <w:sz w:val="24"/>
                <w:shd w:val="clear" w:color="auto" w:fill="auto"/>
              </w:rPr>
              <w:t xml:space="preserve">             </w:t>
            </w:r>
          </w:p>
          <w:p>
            <w:pPr>
              <w:jc w:val="left"/>
              <w:rPr>
                <w:rFonts w:ascii="宋体" w:hAnsi="宋体" w:cs="宋体"/>
                <w:color w:val="auto"/>
                <w:sz w:val="24"/>
                <w:shd w:val="clear" w:color="auto" w:fill="auto"/>
              </w:rPr>
            </w:pPr>
            <w:r>
              <w:rPr>
                <w:rFonts w:hint="eastAsia" w:ascii="宋体" w:hAnsi="宋体" w:cs="宋体"/>
                <w:color w:val="auto"/>
                <w:sz w:val="24"/>
                <w:shd w:val="clear" w:color="auto" w:fill="auto"/>
              </w:rPr>
              <w:t>□不予批准后再次申报项目</w:t>
            </w:r>
          </w:p>
          <w:p>
            <w:pPr>
              <w:jc w:val="left"/>
              <w:rPr>
                <w:rFonts w:ascii="宋体" w:hAnsi="宋体" w:cs="宋体"/>
                <w:color w:val="auto"/>
                <w:sz w:val="24"/>
                <w:shd w:val="clear" w:color="auto" w:fill="auto"/>
              </w:rPr>
            </w:pPr>
            <w:r>
              <w:rPr>
                <w:rFonts w:hint="eastAsia" w:ascii="宋体" w:hAnsi="宋体" w:cs="宋体"/>
                <w:color w:val="auto"/>
                <w:sz w:val="24"/>
                <w:shd w:val="clear" w:color="auto" w:fill="auto"/>
              </w:rPr>
              <w:sym w:font="Wingdings 2" w:char="00A3"/>
            </w:r>
            <w:r>
              <w:rPr>
                <w:rFonts w:hint="eastAsia" w:ascii="宋体" w:hAnsi="宋体" w:cs="宋体"/>
                <w:color w:val="auto"/>
                <w:sz w:val="24"/>
                <w:shd w:val="clear" w:color="auto" w:fill="auto"/>
              </w:rPr>
              <w:t>超五年重新审核项目</w:t>
            </w:r>
            <w:r>
              <w:rPr>
                <w:rFonts w:ascii="宋体" w:hAnsi="宋体" w:cs="宋体"/>
                <w:color w:val="auto"/>
                <w:sz w:val="24"/>
                <w:shd w:val="clear" w:color="auto" w:fill="auto"/>
              </w:rPr>
              <w:t xml:space="preserve">     </w:t>
            </w:r>
          </w:p>
          <w:p>
            <w:pPr>
              <w:jc w:val="left"/>
              <w:rPr>
                <w:rFonts w:ascii="宋体" w:hAnsi="宋体" w:cs="宋体"/>
                <w:color w:val="auto"/>
                <w:sz w:val="24"/>
                <w:shd w:val="clear" w:color="auto" w:fill="auto"/>
              </w:rPr>
            </w:pPr>
            <w:r>
              <w:rPr>
                <w:rFonts w:hint="eastAsia" w:ascii="宋体" w:hAnsi="宋体" w:cs="宋体"/>
                <w:color w:val="auto"/>
                <w:sz w:val="24"/>
                <w:shd w:val="clear" w:color="auto" w:fill="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项目审批（核准</w:t>
            </w:r>
            <w:r>
              <w:rPr>
                <w:rFonts w:ascii="宋体" w:hAnsi="宋体" w:cs="宋体"/>
                <w:color w:val="auto"/>
                <w:sz w:val="24"/>
                <w:shd w:val="clear" w:color="auto" w:fill="auto"/>
              </w:rPr>
              <w:t>/</w:t>
            </w:r>
          </w:p>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备案）部门（选填）</w:t>
            </w:r>
          </w:p>
        </w:tc>
        <w:tc>
          <w:tcPr>
            <w:tcW w:w="1637"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西安高新区行政审批服务局</w:t>
            </w:r>
          </w:p>
        </w:tc>
        <w:tc>
          <w:tcPr>
            <w:tcW w:w="2212"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项目审批（核准</w:t>
            </w:r>
            <w:r>
              <w:rPr>
                <w:rFonts w:ascii="宋体" w:hAnsi="宋体" w:cs="宋体"/>
                <w:color w:val="auto"/>
                <w:sz w:val="24"/>
                <w:shd w:val="clear" w:color="auto" w:fill="auto"/>
              </w:rPr>
              <w:t>/</w:t>
            </w:r>
          </w:p>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备案）文号（选填）</w:t>
            </w:r>
          </w:p>
        </w:tc>
        <w:tc>
          <w:tcPr>
            <w:tcW w:w="2639"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总投资（万元）</w:t>
            </w:r>
          </w:p>
        </w:tc>
        <w:tc>
          <w:tcPr>
            <w:tcW w:w="1637"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1000</w:t>
            </w:r>
          </w:p>
        </w:tc>
        <w:tc>
          <w:tcPr>
            <w:tcW w:w="221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环保投资（万元）</w:t>
            </w:r>
          </w:p>
        </w:tc>
        <w:tc>
          <w:tcPr>
            <w:tcW w:w="2639"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环保投资占比（</w:t>
            </w:r>
            <w:r>
              <w:rPr>
                <w:rFonts w:ascii="宋体" w:hAnsi="宋体" w:cs="宋体"/>
                <w:color w:val="auto"/>
                <w:sz w:val="24"/>
                <w:shd w:val="clear" w:color="auto" w:fill="auto"/>
              </w:rPr>
              <w:t>%</w:t>
            </w:r>
            <w:r>
              <w:rPr>
                <w:rFonts w:hint="eastAsia" w:ascii="宋体" w:hAnsi="宋体" w:cs="宋体"/>
                <w:color w:val="auto"/>
                <w:sz w:val="24"/>
                <w:shd w:val="clear" w:color="auto" w:fill="auto"/>
              </w:rPr>
              <w:t>）</w:t>
            </w:r>
          </w:p>
        </w:tc>
        <w:tc>
          <w:tcPr>
            <w:tcW w:w="1637"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2.5</w:t>
            </w:r>
          </w:p>
        </w:tc>
        <w:tc>
          <w:tcPr>
            <w:tcW w:w="221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施工工期</w:t>
            </w:r>
          </w:p>
        </w:tc>
        <w:tc>
          <w:tcPr>
            <w:tcW w:w="2639"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一个月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是否开工建设</w:t>
            </w:r>
          </w:p>
        </w:tc>
        <w:tc>
          <w:tcPr>
            <w:tcW w:w="1637" w:type="dxa"/>
            <w:vAlign w:val="center"/>
          </w:tcPr>
          <w:p>
            <w:pPr>
              <w:adjustRightInd w:val="0"/>
              <w:snapToGrid w:val="0"/>
              <w:rPr>
                <w:rFonts w:ascii="宋体" w:hAnsi="宋体" w:cs="宋体"/>
                <w:color w:val="auto"/>
                <w:sz w:val="24"/>
                <w:shd w:val="clear" w:color="auto" w:fill="auto"/>
              </w:rPr>
            </w:pPr>
            <w:r>
              <w:rPr>
                <w:rFonts w:hint="eastAsia" w:ascii="宋体" w:hAnsi="宋体" w:cs="宋体"/>
                <w:color w:val="auto"/>
                <w:sz w:val="24"/>
                <w:shd w:val="clear" w:color="auto" w:fill="auto"/>
              </w:rPr>
              <w:sym w:font="Wingdings 2" w:char="0052"/>
            </w:r>
            <w:r>
              <w:rPr>
                <w:rFonts w:hint="eastAsia" w:ascii="宋体" w:hAnsi="宋体" w:cs="宋体"/>
                <w:color w:val="auto"/>
                <w:sz w:val="24"/>
                <w:shd w:val="clear" w:color="auto" w:fill="auto"/>
              </w:rPr>
              <w:t>否</w:t>
            </w:r>
          </w:p>
          <w:p>
            <w:pPr>
              <w:adjustRightInd w:val="0"/>
              <w:snapToGrid w:val="0"/>
              <w:rPr>
                <w:rFonts w:ascii="宋体" w:hAnsi="宋体" w:cs="宋体"/>
                <w:color w:val="auto"/>
                <w:sz w:val="24"/>
                <w:shd w:val="clear" w:color="auto" w:fill="auto"/>
              </w:rPr>
            </w:pPr>
            <w:r>
              <w:rPr>
                <w:rFonts w:hint="eastAsia" w:ascii="宋体" w:hAnsi="宋体" w:cs="宋体"/>
                <w:color w:val="auto"/>
                <w:sz w:val="24"/>
                <w:shd w:val="clear" w:color="auto" w:fill="auto"/>
              </w:rPr>
              <w:sym w:font="Wingdings 2" w:char="00A3"/>
            </w:r>
            <w:r>
              <w:rPr>
                <w:rFonts w:hint="eastAsia" w:ascii="宋体" w:hAnsi="宋体" w:cs="宋体"/>
                <w:color w:val="auto"/>
                <w:sz w:val="24"/>
                <w:shd w:val="clear" w:color="auto" w:fill="auto"/>
              </w:rPr>
              <w:t>是：</w:t>
            </w:r>
            <w:r>
              <w:rPr>
                <w:rFonts w:hint="eastAsia" w:ascii="宋体" w:hAnsi="宋体" w:cs="宋体"/>
                <w:color w:val="auto"/>
                <w:sz w:val="24"/>
                <w:u w:val="single"/>
                <w:shd w:val="clear" w:color="auto" w:fill="auto"/>
              </w:rPr>
              <w:t xml:space="preserve">             </w:t>
            </w:r>
          </w:p>
        </w:tc>
        <w:tc>
          <w:tcPr>
            <w:tcW w:w="2212" w:type="dxa"/>
            <w:tcMar>
              <w:top w:w="16" w:type="dxa"/>
              <w:left w:w="16" w:type="dxa"/>
              <w:right w:w="16" w:type="dxa"/>
            </w:tcMar>
            <w:vAlign w:val="center"/>
          </w:tcPr>
          <w:p>
            <w:pPr>
              <w:adjustRightInd w:val="0"/>
              <w:snapToGrid w:val="0"/>
              <w:jc w:val="center"/>
              <w:rPr>
                <w:rFonts w:ascii="宋体" w:hAnsi="宋体" w:cs="宋体"/>
                <w:color w:val="auto"/>
                <w:spacing w:val="-6"/>
                <w:sz w:val="24"/>
                <w:shd w:val="clear" w:color="auto" w:fill="auto"/>
              </w:rPr>
            </w:pPr>
            <w:r>
              <w:rPr>
                <w:rFonts w:hint="eastAsia" w:ascii="宋体" w:hAnsi="宋体" w:cs="宋体"/>
                <w:color w:val="auto"/>
                <w:spacing w:val="-6"/>
                <w:sz w:val="24"/>
                <w:shd w:val="clear" w:color="auto" w:fill="auto"/>
              </w:rPr>
              <w:t>用地（用海）</w:t>
            </w:r>
          </w:p>
          <w:p>
            <w:pPr>
              <w:adjustRightInd w:val="0"/>
              <w:snapToGrid w:val="0"/>
              <w:jc w:val="center"/>
              <w:rPr>
                <w:rFonts w:ascii="宋体" w:hAnsi="宋体" w:cs="宋体"/>
                <w:color w:val="auto"/>
                <w:sz w:val="24"/>
                <w:shd w:val="clear" w:color="auto" w:fill="auto"/>
              </w:rPr>
            </w:pPr>
            <w:r>
              <w:rPr>
                <w:rFonts w:hint="eastAsia" w:ascii="宋体" w:hAnsi="宋体" w:cs="宋体"/>
                <w:color w:val="auto"/>
                <w:spacing w:val="-6"/>
                <w:sz w:val="24"/>
                <w:shd w:val="clear" w:color="auto" w:fill="auto"/>
              </w:rPr>
              <w:t>面积（</w:t>
            </w:r>
            <w:r>
              <w:rPr>
                <w:rFonts w:ascii="宋体" w:hAnsi="宋体" w:cs="宋体"/>
                <w:color w:val="auto"/>
                <w:spacing w:val="-6"/>
                <w:sz w:val="24"/>
                <w:shd w:val="clear" w:color="auto" w:fill="auto"/>
              </w:rPr>
              <w:t>m</w:t>
            </w:r>
            <w:r>
              <w:rPr>
                <w:rFonts w:ascii="宋体" w:hAnsi="宋体" w:cs="宋体"/>
                <w:color w:val="auto"/>
                <w:spacing w:val="-6"/>
                <w:sz w:val="24"/>
                <w:shd w:val="clear" w:color="auto" w:fill="auto"/>
                <w:vertAlign w:val="superscript"/>
              </w:rPr>
              <w:t>2</w:t>
            </w:r>
            <w:r>
              <w:rPr>
                <w:rFonts w:hint="eastAsia" w:ascii="宋体" w:hAnsi="宋体" w:cs="宋体"/>
                <w:color w:val="auto"/>
                <w:spacing w:val="-6"/>
                <w:sz w:val="24"/>
                <w:shd w:val="clear" w:color="auto" w:fill="auto"/>
              </w:rPr>
              <w:t>）</w:t>
            </w:r>
          </w:p>
        </w:tc>
        <w:tc>
          <w:tcPr>
            <w:tcW w:w="2639"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17407.16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专项评价设置情况</w:t>
            </w:r>
          </w:p>
        </w:tc>
        <w:tc>
          <w:tcPr>
            <w:tcW w:w="6488" w:type="dxa"/>
            <w:gridSpan w:val="3"/>
            <w:vAlign w:val="center"/>
          </w:tcPr>
          <w:p>
            <w:pPr>
              <w:autoSpaceDE w:val="0"/>
              <w:autoSpaceDN w:val="0"/>
              <w:adjustRightInd w:val="0"/>
              <w:snapToGrid w:val="0"/>
              <w:jc w:val="center"/>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rFonts w:ascii="宋体" w:hAnsi="宋体" w:cs="宋体"/>
                <w:color w:val="auto"/>
                <w:kern w:val="0"/>
                <w:sz w:val="24"/>
                <w:shd w:val="clear" w:color="auto" w:fill="auto"/>
              </w:rPr>
            </w:pPr>
            <w:r>
              <w:rPr>
                <w:rFonts w:hint="eastAsia" w:ascii="宋体" w:hAnsi="宋体" w:cs="宋体"/>
                <w:color w:val="auto"/>
                <w:sz w:val="24"/>
                <w:shd w:val="clear" w:color="auto" w:fill="auto"/>
              </w:rPr>
              <w:t>规划情况</w:t>
            </w:r>
          </w:p>
        </w:tc>
        <w:tc>
          <w:tcPr>
            <w:tcW w:w="6488" w:type="dxa"/>
            <w:gridSpan w:val="3"/>
            <w:vAlign w:val="center"/>
          </w:tcPr>
          <w:p>
            <w:pPr>
              <w:autoSpaceDE w:val="0"/>
              <w:autoSpaceDN w:val="0"/>
              <w:adjustRightInd w:val="0"/>
              <w:snapToGrid w:val="0"/>
              <w:rPr>
                <w:color w:val="auto"/>
                <w:sz w:val="24"/>
                <w:shd w:val="clear" w:color="auto" w:fill="auto"/>
              </w:rPr>
            </w:pPr>
            <w:r>
              <w:rPr>
                <w:rFonts w:hint="eastAsia"/>
                <w:color w:val="auto"/>
                <w:sz w:val="24"/>
                <w:shd w:val="clear" w:color="auto" w:fill="auto"/>
              </w:rPr>
              <w:t>规划名称：《周至县集贤产业园区总体规划（2009-2025年）》；</w:t>
            </w:r>
          </w:p>
          <w:p>
            <w:pPr>
              <w:autoSpaceDE w:val="0"/>
              <w:autoSpaceDN w:val="0"/>
              <w:adjustRightInd w:val="0"/>
              <w:snapToGrid w:val="0"/>
              <w:rPr>
                <w:color w:val="auto"/>
                <w:sz w:val="24"/>
                <w:shd w:val="clear" w:color="auto" w:fill="auto"/>
              </w:rPr>
            </w:pPr>
            <w:r>
              <w:rPr>
                <w:rFonts w:hint="eastAsia"/>
                <w:color w:val="auto"/>
                <w:sz w:val="24"/>
                <w:shd w:val="clear" w:color="auto" w:fill="auto"/>
              </w:rPr>
              <w:t>审批机关：周至县人民政府；</w:t>
            </w:r>
          </w:p>
          <w:p>
            <w:pPr>
              <w:autoSpaceDE w:val="0"/>
              <w:autoSpaceDN w:val="0"/>
              <w:adjustRightInd w:val="0"/>
              <w:snapToGrid w:val="0"/>
              <w:rPr>
                <w:rFonts w:ascii="宋体" w:hAnsi="宋体" w:cs="宋体"/>
                <w:color w:val="auto"/>
                <w:kern w:val="0"/>
                <w:sz w:val="24"/>
                <w:shd w:val="clear" w:color="auto" w:fill="auto"/>
              </w:rPr>
            </w:pPr>
            <w:r>
              <w:rPr>
                <w:rFonts w:hint="eastAsia"/>
                <w:color w:val="auto"/>
                <w:sz w:val="24"/>
                <w:shd w:val="clear" w:color="auto" w:fill="auto"/>
              </w:rPr>
              <w:t>审批文件名称及文号：《周至县人民政府关于集贤产业园总体规划的批复》（周政发〔2009〕19号）；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djustRightInd w:val="0"/>
              <w:snapToGrid w:val="0"/>
              <w:jc w:val="center"/>
              <w:rPr>
                <w:rFonts w:ascii="宋体" w:hAnsi="宋体" w:cs="宋体"/>
                <w:color w:val="auto"/>
                <w:sz w:val="24"/>
                <w:shd w:val="clear" w:color="auto" w:fill="auto"/>
              </w:rPr>
            </w:pPr>
            <w:r>
              <w:rPr>
                <w:rFonts w:hint="eastAsia" w:ascii="宋体" w:hAnsi="宋体" w:cs="宋体"/>
                <w:color w:val="auto"/>
                <w:sz w:val="24"/>
                <w:shd w:val="clear" w:color="auto" w:fill="auto"/>
              </w:rPr>
              <w:t>规划环境影响</w:t>
            </w:r>
          </w:p>
          <w:p>
            <w:pPr>
              <w:adjustRightInd w:val="0"/>
              <w:snapToGrid w:val="0"/>
              <w:jc w:val="center"/>
              <w:rPr>
                <w:rFonts w:ascii="宋体" w:hAnsi="宋体" w:cs="宋体"/>
                <w:color w:val="auto"/>
                <w:kern w:val="0"/>
                <w:szCs w:val="21"/>
                <w:shd w:val="clear" w:color="auto" w:fill="auto"/>
              </w:rPr>
            </w:pPr>
            <w:r>
              <w:rPr>
                <w:rFonts w:hint="eastAsia" w:ascii="宋体" w:hAnsi="宋体" w:cs="宋体"/>
                <w:color w:val="auto"/>
                <w:sz w:val="24"/>
                <w:shd w:val="clear" w:color="auto" w:fill="auto"/>
              </w:rPr>
              <w:t>评价情况</w:t>
            </w:r>
          </w:p>
        </w:tc>
        <w:tc>
          <w:tcPr>
            <w:tcW w:w="6488" w:type="dxa"/>
            <w:gridSpan w:val="3"/>
            <w:vAlign w:val="center"/>
          </w:tcPr>
          <w:p>
            <w:pPr>
              <w:autoSpaceDE w:val="0"/>
              <w:autoSpaceDN w:val="0"/>
              <w:adjustRightInd w:val="0"/>
              <w:snapToGrid w:val="0"/>
              <w:rPr>
                <w:rFonts w:hint="eastAsia"/>
                <w:color w:val="auto"/>
                <w:sz w:val="24"/>
                <w:shd w:val="clear" w:color="auto" w:fill="auto"/>
              </w:rPr>
            </w:pPr>
            <w:r>
              <w:rPr>
                <w:rFonts w:hint="eastAsia"/>
                <w:color w:val="auto"/>
                <w:sz w:val="24"/>
                <w:shd w:val="clear" w:color="auto" w:fill="auto"/>
              </w:rPr>
              <w:t>规划环境影响评价文件名称：《周至县集贤产业园区总体规划环境影响报告书》；</w:t>
            </w:r>
          </w:p>
          <w:p>
            <w:pPr>
              <w:autoSpaceDE w:val="0"/>
              <w:autoSpaceDN w:val="0"/>
              <w:adjustRightInd w:val="0"/>
              <w:snapToGrid w:val="0"/>
              <w:rPr>
                <w:rFonts w:hint="eastAsia"/>
                <w:color w:val="auto"/>
                <w:sz w:val="24"/>
                <w:shd w:val="clear" w:color="auto" w:fill="auto"/>
              </w:rPr>
            </w:pPr>
            <w:r>
              <w:rPr>
                <w:rFonts w:hint="eastAsia"/>
                <w:color w:val="auto"/>
                <w:sz w:val="24"/>
                <w:shd w:val="clear" w:color="auto" w:fill="auto"/>
              </w:rPr>
              <w:t>召集审查机关：西安市周至县环境保护局；</w:t>
            </w:r>
          </w:p>
          <w:p>
            <w:pPr>
              <w:autoSpaceDE w:val="0"/>
              <w:autoSpaceDN w:val="0"/>
              <w:adjustRightInd w:val="0"/>
              <w:snapToGrid w:val="0"/>
              <w:rPr>
                <w:rFonts w:hint="eastAsia" w:eastAsia="宋体"/>
                <w:color w:val="auto"/>
                <w:sz w:val="24"/>
                <w:shd w:val="clear" w:color="auto" w:fill="auto"/>
                <w:lang w:val="en-US" w:eastAsia="zh-CN"/>
              </w:rPr>
            </w:pPr>
            <w:r>
              <w:rPr>
                <w:rFonts w:hint="eastAsia"/>
                <w:color w:val="auto"/>
                <w:sz w:val="24"/>
                <w:shd w:val="clear" w:color="auto" w:fill="auto"/>
              </w:rPr>
              <w:t>审查文件名称及文号：《关于周至县集贤产业园区总体规划环境影响报告书的审查意见》（周环批复﹝2012﹞62号）；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82" w:type="dxa"/>
            <w:vAlign w:val="center"/>
          </w:tcPr>
          <w:p>
            <w:pPr>
              <w:autoSpaceDE w:val="0"/>
              <w:autoSpaceDN w:val="0"/>
              <w:adjustRightInd w:val="0"/>
              <w:snapToGrid w:val="0"/>
              <w:jc w:val="center"/>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规划及规划环境</w:t>
            </w:r>
          </w:p>
          <w:p>
            <w:pPr>
              <w:autoSpaceDE w:val="0"/>
              <w:autoSpaceDN w:val="0"/>
              <w:adjustRightInd w:val="0"/>
              <w:snapToGrid w:val="0"/>
              <w:jc w:val="center"/>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影响评价符合性分析</w:t>
            </w:r>
          </w:p>
        </w:tc>
        <w:tc>
          <w:tcPr>
            <w:tcW w:w="6488" w:type="dxa"/>
            <w:gridSpan w:val="3"/>
            <w:vAlign w:val="center"/>
          </w:tcPr>
          <w:p>
            <w:pPr>
              <w:autoSpaceDE w:val="0"/>
              <w:autoSpaceDN w:val="0"/>
              <w:adjustRightInd w:val="0"/>
              <w:snapToGrid w:val="0"/>
              <w:spacing w:line="360" w:lineRule="auto"/>
              <w:ind w:firstLine="480" w:firstLineChars="200"/>
              <w:rPr>
                <w:color w:val="auto"/>
                <w:kern w:val="0"/>
                <w:sz w:val="24"/>
                <w:shd w:val="clear" w:color="auto" w:fill="auto"/>
              </w:rPr>
            </w:pPr>
            <w:r>
              <w:rPr>
                <w:rFonts w:hint="eastAsia"/>
                <w:color w:val="auto"/>
                <w:kern w:val="0"/>
                <w:sz w:val="24"/>
                <w:shd w:val="clear" w:color="auto" w:fill="auto"/>
              </w:rPr>
              <w:t>集贤产业园是陕西省人民政府2009年6月批准的省级重点县域工业园区，总占地面积21.37km</w:t>
            </w:r>
            <w:r>
              <w:rPr>
                <w:rFonts w:hint="eastAsia"/>
                <w:color w:val="auto"/>
                <w:kern w:val="0"/>
                <w:sz w:val="24"/>
                <w:shd w:val="clear" w:color="auto" w:fill="auto"/>
                <w:vertAlign w:val="superscript"/>
              </w:rPr>
              <w:t>2</w:t>
            </w:r>
            <w:r>
              <w:rPr>
                <w:rFonts w:hint="eastAsia"/>
                <w:color w:val="auto"/>
                <w:kern w:val="0"/>
                <w:sz w:val="24"/>
                <w:shd w:val="clear" w:color="auto" w:fill="auto"/>
              </w:rPr>
              <w:t>，规划期限为2009～2025年。</w:t>
            </w:r>
            <w:r>
              <w:rPr>
                <w:rFonts w:hint="eastAsia"/>
                <w:kern w:val="0"/>
                <w:sz w:val="24"/>
              </w:rPr>
              <w:t>集贤产业园于2012年取得了西安市周至县环境保护局《关于周至县集贤产业园区规划环境影响报告书的审查意见》（周环批复〔2012〕62号）。</w:t>
            </w:r>
            <w:r>
              <w:rPr>
                <w:rFonts w:hint="eastAsia"/>
                <w:color w:val="auto"/>
                <w:kern w:val="0"/>
                <w:sz w:val="24"/>
                <w:shd w:val="clear" w:color="auto" w:fill="auto"/>
              </w:rPr>
              <w:t>园区位于周至县集贤镇政府西南，距离周至县城24km，距西安高新区38km。规划范围北起北环路，南到省道S107环山公路，西起财神大道，东到尚九路，东西宽6102m，南北长3492m，规划区控制面积为21.37km</w:t>
            </w:r>
            <w:r>
              <w:rPr>
                <w:rFonts w:hint="eastAsia"/>
                <w:color w:val="auto"/>
                <w:kern w:val="0"/>
                <w:sz w:val="24"/>
                <w:shd w:val="clear" w:color="auto" w:fill="auto"/>
                <w:vertAlign w:val="superscript"/>
              </w:rPr>
              <w:t>2</w:t>
            </w:r>
            <w:r>
              <w:rPr>
                <w:rFonts w:hint="eastAsia"/>
                <w:color w:val="auto"/>
                <w:kern w:val="0"/>
                <w:sz w:val="24"/>
                <w:shd w:val="clear" w:color="auto" w:fill="auto"/>
              </w:rPr>
              <w:t>，其中建设用地面积20km</w:t>
            </w:r>
            <w:r>
              <w:rPr>
                <w:rFonts w:hint="eastAsia"/>
                <w:color w:val="auto"/>
                <w:kern w:val="0"/>
                <w:sz w:val="24"/>
                <w:shd w:val="clear" w:color="auto" w:fill="auto"/>
                <w:vertAlign w:val="superscript"/>
              </w:rPr>
              <w:t>2</w:t>
            </w:r>
            <w:r>
              <w:rPr>
                <w:rFonts w:hint="eastAsia"/>
                <w:color w:val="auto"/>
                <w:kern w:val="0"/>
                <w:sz w:val="24"/>
                <w:shd w:val="clear" w:color="auto" w:fill="auto"/>
              </w:rPr>
              <w:t>。本项目地理位置图见附图1，占地类型为工业用地。本项目与周至县集贤产业园区规划及规划环评的相符性分析见下表。</w:t>
            </w:r>
          </w:p>
          <w:p>
            <w:pPr>
              <w:tabs>
                <w:tab w:val="left" w:leader="middleDot" w:pos="8399"/>
              </w:tabs>
              <w:jc w:val="center"/>
              <w:rPr>
                <w:rFonts w:hint="eastAsia" w:cs="宋体"/>
                <w:b/>
                <w:color w:val="auto"/>
                <w:szCs w:val="21"/>
                <w:shd w:val="clear" w:color="auto" w:fill="auto"/>
                <w:lang w:bidi="ar"/>
              </w:rPr>
            </w:pPr>
            <w:r>
              <w:rPr>
                <w:b/>
                <w:color w:val="auto"/>
                <w:szCs w:val="21"/>
                <w:shd w:val="clear" w:color="auto" w:fill="auto"/>
              </w:rPr>
              <w:t xml:space="preserve">表1-1  </w:t>
            </w:r>
            <w:r>
              <w:rPr>
                <w:rFonts w:hint="eastAsia" w:cs="宋体"/>
                <w:b/>
                <w:color w:val="auto"/>
                <w:szCs w:val="21"/>
                <w:shd w:val="clear" w:color="auto" w:fill="auto"/>
                <w:lang w:bidi="ar"/>
              </w:rPr>
              <w:t>本项目与周至县集贤产业园区总体规划（</w:t>
            </w:r>
            <w:r>
              <w:rPr>
                <w:b/>
                <w:color w:val="auto"/>
                <w:szCs w:val="21"/>
                <w:shd w:val="clear" w:color="auto" w:fill="auto"/>
                <w:lang w:bidi="ar"/>
              </w:rPr>
              <w:t>2009</w:t>
            </w:r>
            <w:r>
              <w:rPr>
                <w:rFonts w:hint="eastAsia" w:cs="宋体"/>
                <w:b/>
                <w:color w:val="auto"/>
                <w:szCs w:val="21"/>
                <w:shd w:val="clear" w:color="auto" w:fill="auto"/>
                <w:lang w:bidi="ar"/>
              </w:rPr>
              <w:t>～</w:t>
            </w:r>
            <w:r>
              <w:rPr>
                <w:b/>
                <w:color w:val="auto"/>
                <w:szCs w:val="21"/>
                <w:shd w:val="clear" w:color="auto" w:fill="auto"/>
                <w:lang w:bidi="ar"/>
              </w:rPr>
              <w:t>2025</w:t>
            </w:r>
            <w:r>
              <w:rPr>
                <w:rFonts w:hint="eastAsia" w:cs="宋体"/>
                <w:b/>
                <w:color w:val="auto"/>
                <w:szCs w:val="21"/>
                <w:shd w:val="clear" w:color="auto" w:fill="auto"/>
                <w:lang w:bidi="ar"/>
              </w:rPr>
              <w:t>年）及规划环评审查意符合性分析一览表</w:t>
            </w:r>
          </w:p>
          <w:tbl>
            <w:tblPr>
              <w:tblStyle w:val="1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87"/>
              <w:gridCol w:w="2466"/>
              <w:gridCol w:w="7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autoSpaceDE w:val="0"/>
                    <w:autoSpaceDN w:val="0"/>
                    <w:adjustRightInd w:val="0"/>
                    <w:snapToGrid w:val="0"/>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规划及规划环评内容</w:t>
                  </w:r>
                </w:p>
              </w:tc>
              <w:tc>
                <w:tcPr>
                  <w:tcW w:w="1966" w:type="pct"/>
                  <w:vAlign w:val="center"/>
                </w:tcPr>
                <w:p>
                  <w:pPr>
                    <w:autoSpaceDE w:val="0"/>
                    <w:autoSpaceDN w:val="0"/>
                    <w:adjustRightInd w:val="0"/>
                    <w:snapToGrid w:val="0"/>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本项目建设情况</w:t>
                  </w:r>
                </w:p>
              </w:tc>
              <w:tc>
                <w:tcPr>
                  <w:tcW w:w="572" w:type="pct"/>
                  <w:vAlign w:val="center"/>
                </w:tcPr>
                <w:p>
                  <w:pPr>
                    <w:autoSpaceDE w:val="0"/>
                    <w:autoSpaceDN w:val="0"/>
                    <w:adjustRightInd w:val="0"/>
                    <w:snapToGrid w:val="0"/>
                    <w:jc w:val="center"/>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符合情况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autoSpaceDE w:val="0"/>
                    <w:autoSpaceDN w:val="0"/>
                    <w:adjustRightInd w:val="0"/>
                    <w:snapToGrid w:val="0"/>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规划功能定位：</w:t>
                  </w:r>
                </w:p>
                <w:p>
                  <w:pPr>
                    <w:autoSpaceDE w:val="0"/>
                    <w:autoSpaceDN w:val="0"/>
                    <w:adjustRightInd w:val="0"/>
                    <w:snapToGrid w:val="0"/>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以工业为主，居住和公共设施为辅的城市综合区。“一个发展战略导向”：充分利用地域资源优势，打造以第二产业为主多种产业协调发展的产业集聚区，形成新的地域发展增长中心。“三大产业板块”：高新技术产业、现代制造业、现代服务业。“五大特色产业”：利用地域的生态资源、文化资源和农业资源，努力打造“高新技术产业，农产品加工业，先进加工制造业、旅游度假和文化创意产业”五大特色产业。</w:t>
                  </w:r>
                </w:p>
              </w:tc>
              <w:tc>
                <w:tcPr>
                  <w:tcW w:w="1966" w:type="pct"/>
                  <w:vAlign w:val="center"/>
                </w:tcPr>
                <w:p>
                  <w:pPr>
                    <w:widowControl/>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lang w:bidi="ar"/>
                    </w:rPr>
                    <w:t>本项目为汽车零部件制造，属于规划三大产业板块中的现代制造业范畴，属于五大特色产业中的先进加工制造业范畴。</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autoSpaceDE w:val="0"/>
                    <w:autoSpaceDN w:val="0"/>
                    <w:adjustRightInd w:val="0"/>
                    <w:snapToGrid w:val="0"/>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土地利用规划：</w:t>
                  </w:r>
                </w:p>
                <w:p>
                  <w:pPr>
                    <w:autoSpaceDE w:val="0"/>
                    <w:autoSpaceDN w:val="0"/>
                    <w:adjustRightInd w:val="0"/>
                    <w:snapToGrid w:val="0"/>
                    <w:rPr>
                      <w:rFonts w:ascii="宋体" w:hAnsi="宋体" w:cs="宋体"/>
                      <w:b/>
                      <w:bCs/>
                      <w:color w:val="auto"/>
                      <w:kern w:val="0"/>
                      <w:szCs w:val="21"/>
                      <w:shd w:val="clear" w:color="auto" w:fill="auto"/>
                    </w:rPr>
                  </w:pPr>
                  <w:r>
                    <w:rPr>
                      <w:rFonts w:hint="eastAsia" w:cs="宋体"/>
                      <w:color w:val="auto"/>
                      <w:szCs w:val="21"/>
                      <w:shd w:val="clear" w:color="auto" w:fill="auto"/>
                      <w:lang w:bidi="ar"/>
                    </w:rPr>
                    <w:t>由</w:t>
                  </w:r>
                  <w:r>
                    <w:rPr>
                      <w:rFonts w:hint="eastAsia" w:ascii="宋体" w:hAnsi="宋体" w:cs="宋体"/>
                      <w:color w:val="auto"/>
                      <w:kern w:val="0"/>
                      <w:szCs w:val="21"/>
                      <w:shd w:val="clear" w:color="auto" w:fill="auto"/>
                    </w:rPr>
                    <w:t>工业用地、物流仓储用地、居住用地、公共服务设施用地等4大类用地组成。</w:t>
                  </w:r>
                </w:p>
              </w:tc>
              <w:tc>
                <w:tcPr>
                  <w:tcW w:w="1966" w:type="pct"/>
                  <w:vAlign w:val="center"/>
                </w:tcPr>
                <w:p>
                  <w:pPr>
                    <w:widowControl/>
                    <w:rPr>
                      <w:rFonts w:ascii="宋体" w:hAnsi="宋体" w:cs="宋体"/>
                      <w:color w:val="auto"/>
                      <w:kern w:val="0"/>
                      <w:szCs w:val="21"/>
                      <w:shd w:val="clear" w:color="auto" w:fill="auto"/>
                      <w:lang w:bidi="ar"/>
                    </w:rPr>
                  </w:pPr>
                  <w:r>
                    <w:rPr>
                      <w:rFonts w:hint="eastAsia" w:cs="宋体"/>
                      <w:color w:val="auto"/>
                      <w:szCs w:val="21"/>
                      <w:shd w:val="clear" w:color="auto" w:fill="auto"/>
                      <w:lang w:bidi="ar"/>
                    </w:rPr>
                    <w:t>本项目占地类型为规划的工业用地。</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autoSpaceDE w:val="0"/>
                    <w:autoSpaceDN w:val="0"/>
                    <w:adjustRightInd w:val="0"/>
                    <w:snapToGrid w:val="0"/>
                    <w:rPr>
                      <w:color w:val="auto"/>
                      <w:szCs w:val="21"/>
                      <w:shd w:val="clear" w:color="auto" w:fill="auto"/>
                    </w:rPr>
                  </w:pPr>
                  <w:r>
                    <w:rPr>
                      <w:rFonts w:hint="eastAsia" w:cs="宋体"/>
                      <w:b/>
                      <w:color w:val="auto"/>
                      <w:szCs w:val="21"/>
                      <w:shd w:val="clear" w:color="auto" w:fill="auto"/>
                      <w:lang w:bidi="ar"/>
                    </w:rPr>
                    <w:t>产业定位：</w:t>
                  </w:r>
                </w:p>
                <w:p>
                  <w:pPr>
                    <w:autoSpaceDE w:val="0"/>
                    <w:autoSpaceDN w:val="0"/>
                    <w:adjustRightInd w:val="0"/>
                    <w:snapToGrid w:val="0"/>
                    <w:rPr>
                      <w:rFonts w:cs="宋体"/>
                      <w:color w:val="auto"/>
                      <w:szCs w:val="21"/>
                      <w:shd w:val="clear" w:color="auto" w:fill="auto"/>
                      <w:lang w:bidi="ar"/>
                    </w:rPr>
                  </w:pPr>
                  <w:r>
                    <w:rPr>
                      <w:rFonts w:hint="eastAsia" w:cs="宋体"/>
                      <w:color w:val="auto"/>
                      <w:szCs w:val="21"/>
                      <w:shd w:val="clear" w:color="auto" w:fill="auto"/>
                      <w:lang w:bidi="ar"/>
                    </w:rPr>
                    <w:t>产业园区规划主导产业工业类型为食品及粮油加工业、纺织工业、电子信息产业、包装印刷业、医药、机械、新型材料等。区内的工业应按照高效益、高技术、低污染、低耗能、占地少的原则发展。金属制品业在满足相关环保要求的条件下允许适当发展。</w:t>
                  </w:r>
                </w:p>
              </w:tc>
              <w:tc>
                <w:tcPr>
                  <w:tcW w:w="1966" w:type="pct"/>
                  <w:vAlign w:val="center"/>
                </w:tcPr>
                <w:p>
                  <w:pPr>
                    <w:widowControl/>
                    <w:rPr>
                      <w:rFonts w:cs="宋体"/>
                      <w:color w:val="auto"/>
                      <w:szCs w:val="21"/>
                      <w:shd w:val="clear" w:color="auto" w:fill="auto"/>
                      <w:lang w:bidi="ar"/>
                    </w:rPr>
                  </w:pPr>
                  <w:r>
                    <w:rPr>
                      <w:rFonts w:hint="eastAsia" w:cs="宋体"/>
                      <w:color w:val="auto"/>
                      <w:szCs w:val="21"/>
                      <w:shd w:val="clear" w:color="auto" w:fill="auto"/>
                      <w:lang w:bidi="ar"/>
                    </w:rPr>
                    <w:t>本项目为汽车零部件制造，</w:t>
                  </w:r>
                  <w:r>
                    <w:rPr>
                      <w:rFonts w:hint="eastAsia" w:ascii="宋体" w:hAnsi="宋体" w:cs="宋体"/>
                      <w:color w:val="auto"/>
                      <w:kern w:val="0"/>
                      <w:szCs w:val="21"/>
                      <w:shd w:val="clear" w:color="auto" w:fill="auto"/>
                      <w:lang w:bidi="ar"/>
                    </w:rPr>
                    <w:t xml:space="preserve">不涉及高污染、高耗能的生产工序，满足国家及地方相关环保要求，符合园区的产业定位。 </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widowControl/>
                    <w:rPr>
                      <w:rFonts w:ascii="宋体" w:hAnsi="宋体" w:cs="宋体"/>
                      <w:b/>
                      <w:bCs/>
                      <w:color w:val="auto"/>
                      <w:kern w:val="0"/>
                      <w:szCs w:val="21"/>
                      <w:shd w:val="clear" w:color="auto" w:fill="auto"/>
                      <w:lang w:bidi="ar"/>
                    </w:rPr>
                  </w:pPr>
                  <w:r>
                    <w:rPr>
                      <w:rFonts w:hint="eastAsia" w:ascii="宋体" w:hAnsi="宋体" w:cs="宋体"/>
                      <w:b/>
                      <w:bCs/>
                      <w:color w:val="auto"/>
                      <w:kern w:val="0"/>
                      <w:szCs w:val="21"/>
                      <w:shd w:val="clear" w:color="auto" w:fill="auto"/>
                      <w:lang w:bidi="ar"/>
                    </w:rPr>
                    <w:t>声环境控制措施：</w:t>
                  </w:r>
                </w:p>
                <w:p>
                  <w:pPr>
                    <w:widowControl/>
                    <w:rPr>
                      <w:rFonts w:ascii="宋体" w:hAnsi="宋体" w:cs="宋体"/>
                      <w:b/>
                      <w:bCs/>
                      <w:color w:val="auto"/>
                      <w:kern w:val="0"/>
                      <w:szCs w:val="21"/>
                      <w:shd w:val="clear" w:color="auto" w:fill="auto"/>
                      <w:lang w:bidi="ar"/>
                    </w:rPr>
                  </w:pPr>
                  <w:r>
                    <w:rPr>
                      <w:rFonts w:hint="eastAsia" w:cs="宋体"/>
                      <w:color w:val="auto"/>
                      <w:szCs w:val="21"/>
                      <w:shd w:val="clear" w:color="auto" w:fill="auto"/>
                      <w:lang w:bidi="ar"/>
                    </w:rPr>
                    <w:t>规划环评要求入园项目必须确保厂界噪声达标，对各种工业噪声源分别采用隔声、吸声和消声等措施，必要时应增加设置隔声罩、隔声屏障等措施，降低噪声源强，减少对周围环境的影响</w:t>
                  </w:r>
                </w:p>
              </w:tc>
              <w:tc>
                <w:tcPr>
                  <w:tcW w:w="1966" w:type="pct"/>
                  <w:vAlign w:val="center"/>
                </w:tcPr>
                <w:p>
                  <w:pPr>
                    <w:widowControl/>
                    <w:rPr>
                      <w:rFonts w:ascii="宋体" w:hAnsi="宋体" w:cs="宋体"/>
                      <w:color w:val="auto"/>
                      <w:kern w:val="0"/>
                      <w:szCs w:val="21"/>
                      <w:shd w:val="clear" w:color="auto" w:fill="auto"/>
                    </w:rPr>
                  </w:pPr>
                  <w:r>
                    <w:rPr>
                      <w:rFonts w:hint="eastAsia" w:cs="宋体"/>
                      <w:color w:val="auto"/>
                      <w:szCs w:val="21"/>
                      <w:shd w:val="clear" w:color="auto" w:fill="auto"/>
                      <w:lang w:bidi="ar"/>
                    </w:rPr>
                    <w:t>本项目拟采用低噪声设备，采取减振、隔声等降噪措施，确保厂界噪声达标，减少对周围环境的影响。</w:t>
                  </w:r>
                  <w:r>
                    <w:rPr>
                      <w:rFonts w:hint="eastAsia" w:ascii="宋体" w:hAnsi="宋体" w:cs="宋体"/>
                      <w:color w:val="auto"/>
                      <w:kern w:val="0"/>
                      <w:szCs w:val="21"/>
                      <w:shd w:val="clear" w:color="auto" w:fill="auto"/>
                      <w:lang w:bidi="ar"/>
                    </w:rPr>
                    <w:t xml:space="preserve"> </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2461" w:type="pct"/>
                  <w:vAlign w:val="center"/>
                </w:tcPr>
                <w:p>
                  <w:pPr>
                    <w:widowControl/>
                    <w:rPr>
                      <w:rFonts w:ascii="宋体" w:hAnsi="宋体" w:cs="宋体"/>
                      <w:b/>
                      <w:bCs/>
                      <w:color w:val="auto"/>
                      <w:kern w:val="0"/>
                      <w:szCs w:val="21"/>
                      <w:shd w:val="clear" w:color="auto" w:fill="auto"/>
                      <w:lang w:bidi="ar"/>
                    </w:rPr>
                  </w:pPr>
                  <w:r>
                    <w:rPr>
                      <w:rFonts w:hint="eastAsia" w:ascii="宋体" w:hAnsi="宋体" w:cs="宋体"/>
                      <w:b/>
                      <w:bCs/>
                      <w:color w:val="auto"/>
                      <w:kern w:val="0"/>
                      <w:szCs w:val="21"/>
                      <w:shd w:val="clear" w:color="auto" w:fill="auto"/>
                      <w:lang w:bidi="ar"/>
                    </w:rPr>
                    <w:t>大气污染控制措施：</w:t>
                  </w:r>
                </w:p>
                <w:p>
                  <w:pPr>
                    <w:widowControl/>
                    <w:rPr>
                      <w:rFonts w:ascii="宋体" w:hAnsi="宋体" w:cs="宋体"/>
                      <w:color w:val="auto"/>
                      <w:kern w:val="0"/>
                      <w:szCs w:val="21"/>
                      <w:shd w:val="clear" w:color="auto" w:fill="auto"/>
                      <w:lang w:bidi="ar"/>
                    </w:rPr>
                  </w:pPr>
                  <w:r>
                    <w:rPr>
                      <w:rFonts w:hint="eastAsia" w:ascii="宋体" w:hAnsi="宋体" w:cs="宋体"/>
                      <w:color w:val="auto"/>
                      <w:kern w:val="0"/>
                      <w:szCs w:val="21"/>
                      <w:shd w:val="clear" w:color="auto" w:fill="auto"/>
                      <w:lang w:bidi="ar"/>
                    </w:rPr>
                    <w:t>推广使用清洁能源，实施清洁生产，节约能源，降低物耗，使污染物产生量和排放量最小化，减少大气污染；采取治理措施，对现有污染源进行治理，确保达标排放。</w:t>
                  </w:r>
                </w:p>
              </w:tc>
              <w:tc>
                <w:tcPr>
                  <w:tcW w:w="1966" w:type="pct"/>
                  <w:vAlign w:val="center"/>
                </w:tcPr>
                <w:p>
                  <w:pPr>
                    <w:autoSpaceDE w:val="0"/>
                    <w:autoSpaceDN w:val="0"/>
                    <w:adjustRightInd w:val="0"/>
                    <w:snapToGrid w:val="0"/>
                    <w:rPr>
                      <w:rFonts w:ascii="宋体" w:hAnsi="宋体" w:cs="宋体"/>
                      <w:color w:val="auto"/>
                      <w:kern w:val="0"/>
                      <w:szCs w:val="21"/>
                      <w:shd w:val="clear" w:color="auto" w:fill="auto"/>
                    </w:rPr>
                  </w:pPr>
                  <w:r>
                    <w:rPr>
                      <w:rFonts w:hint="default" w:ascii="Times New Roman" w:hAnsi="Times New Roman" w:cs="Times New Roman"/>
                      <w:color w:val="auto"/>
                      <w:kern w:val="0"/>
                      <w:szCs w:val="21"/>
                      <w:shd w:val="clear" w:color="auto" w:fill="auto"/>
                    </w:rPr>
                    <w:t>本项目使用清洁能源电，模压、发泡产生的有机废气均采用有效的污染防治措施，使污染物产生量和排放量最小化，减少大气污染；工业废气处理达标率100%</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widowControl/>
                    <w:rPr>
                      <w:rFonts w:ascii="宋体" w:hAnsi="宋体" w:cs="宋体"/>
                      <w:b/>
                      <w:bCs/>
                      <w:color w:val="auto"/>
                      <w:kern w:val="0"/>
                      <w:szCs w:val="21"/>
                      <w:shd w:val="clear" w:color="auto" w:fill="auto"/>
                      <w:lang w:bidi="ar"/>
                    </w:rPr>
                  </w:pPr>
                  <w:r>
                    <w:rPr>
                      <w:rFonts w:hint="eastAsia" w:ascii="宋体" w:hAnsi="宋体" w:cs="宋体"/>
                      <w:b/>
                      <w:bCs/>
                      <w:color w:val="auto"/>
                      <w:kern w:val="0"/>
                      <w:szCs w:val="21"/>
                      <w:shd w:val="clear" w:color="auto" w:fill="auto"/>
                      <w:lang w:bidi="ar"/>
                    </w:rPr>
                    <w:t>固废控制措施：</w:t>
                  </w:r>
                </w:p>
                <w:p>
                  <w:pPr>
                    <w:widowControl/>
                    <w:rPr>
                      <w:rFonts w:ascii="宋体" w:hAnsi="宋体" w:cs="宋体"/>
                      <w:b/>
                      <w:bCs/>
                      <w:color w:val="auto"/>
                      <w:kern w:val="0"/>
                      <w:szCs w:val="21"/>
                      <w:shd w:val="clear" w:color="auto" w:fill="auto"/>
                      <w:lang w:bidi="ar"/>
                    </w:rPr>
                  </w:pPr>
                  <w:r>
                    <w:rPr>
                      <w:rFonts w:hint="eastAsia" w:ascii="宋体" w:hAnsi="宋体" w:cs="宋体"/>
                      <w:color w:val="auto"/>
                      <w:kern w:val="0"/>
                      <w:szCs w:val="21"/>
                      <w:shd w:val="clear" w:color="auto" w:fill="auto"/>
                      <w:lang w:bidi="ar"/>
                    </w:rPr>
                    <w:t>园区内产生的生活垃圾，由园区统一收集后清运至周至县垃圾填埋场集中处置；一般工业固废按照减量化、资源化的原则，加强废物循环和回收再利用；危险废物委托有资质单位规范处置并严格执行转移联单制度。</w:t>
                  </w:r>
                </w:p>
              </w:tc>
              <w:tc>
                <w:tcPr>
                  <w:tcW w:w="1966" w:type="pct"/>
                  <w:vAlign w:val="center"/>
                </w:tcPr>
                <w:p>
                  <w:pPr>
                    <w:autoSpaceDE w:val="0"/>
                    <w:autoSpaceDN w:val="0"/>
                    <w:adjustRightInd w:val="0"/>
                    <w:snapToGrid w:val="0"/>
                    <w:rPr>
                      <w:rFonts w:ascii="宋体" w:hAnsi="宋体" w:cs="宋体"/>
                      <w:color w:val="auto"/>
                      <w:kern w:val="0"/>
                      <w:szCs w:val="21"/>
                      <w:shd w:val="clear" w:color="auto" w:fill="auto"/>
                    </w:rPr>
                  </w:pPr>
                  <w:r>
                    <w:rPr>
                      <w:rFonts w:ascii="宋体" w:hAnsi="宋体" w:cs="宋体"/>
                      <w:color w:val="auto"/>
                      <w:kern w:val="0"/>
                      <w:szCs w:val="21"/>
                      <w:shd w:val="clear" w:color="auto" w:fill="auto"/>
                    </w:rPr>
                    <w:t>项目对</w:t>
                  </w:r>
                  <w:r>
                    <w:rPr>
                      <w:rFonts w:hint="eastAsia" w:ascii="宋体" w:hAnsi="宋体" w:cs="宋体"/>
                      <w:color w:val="auto"/>
                      <w:kern w:val="0"/>
                      <w:szCs w:val="21"/>
                      <w:shd w:val="clear" w:color="auto" w:fill="auto"/>
                    </w:rPr>
                    <w:t>废</w:t>
                  </w:r>
                  <w:r>
                    <w:rPr>
                      <w:rFonts w:ascii="宋体" w:hAnsi="宋体" w:cs="宋体"/>
                      <w:color w:val="auto"/>
                      <w:kern w:val="0"/>
                      <w:szCs w:val="21"/>
                      <w:shd w:val="clear" w:color="auto" w:fill="auto"/>
                    </w:rPr>
                    <w:t>边角料等一般工业固废</w:t>
                  </w:r>
                  <w:r>
                    <w:rPr>
                      <w:rFonts w:hint="eastAsia" w:ascii="宋体" w:hAnsi="宋体" w:cs="宋体"/>
                      <w:color w:val="auto"/>
                      <w:kern w:val="0"/>
                      <w:szCs w:val="21"/>
                      <w:shd w:val="clear" w:color="auto" w:fill="auto"/>
                    </w:rPr>
                    <w:t>交由物资回收部门统一处理</w:t>
                  </w:r>
                  <w:r>
                    <w:rPr>
                      <w:rFonts w:ascii="宋体" w:hAnsi="宋体" w:cs="宋体"/>
                      <w:color w:val="auto"/>
                      <w:kern w:val="0"/>
                      <w:szCs w:val="21"/>
                      <w:shd w:val="clear" w:color="auto" w:fill="auto"/>
                    </w:rPr>
                    <w:t>，生活垃圾由当地环卫部门处理，</w:t>
                  </w:r>
                  <w:r>
                    <w:rPr>
                      <w:rFonts w:hint="eastAsia" w:ascii="宋体" w:hAnsi="宋体" w:cs="宋体"/>
                      <w:color w:val="auto"/>
                      <w:kern w:val="0"/>
                      <w:szCs w:val="21"/>
                      <w:shd w:val="clear" w:color="auto" w:fill="auto"/>
                    </w:rPr>
                    <w:t>废活性炭、废AB料</w:t>
                  </w:r>
                  <w:r>
                    <w:rPr>
                      <w:rFonts w:ascii="宋体" w:hAnsi="宋体" w:cs="宋体"/>
                      <w:color w:val="auto"/>
                      <w:kern w:val="0"/>
                      <w:szCs w:val="21"/>
                      <w:shd w:val="clear" w:color="auto" w:fill="auto"/>
                    </w:rPr>
                    <w:t>等危险废物送有资质</w:t>
                  </w:r>
                  <w:r>
                    <w:rPr>
                      <w:rFonts w:hint="eastAsia" w:ascii="宋体" w:hAnsi="宋体" w:cs="宋体"/>
                      <w:color w:val="auto"/>
                      <w:kern w:val="0"/>
                      <w:szCs w:val="21"/>
                      <w:shd w:val="clear" w:color="auto" w:fill="auto"/>
                    </w:rPr>
                    <w:t>的危废处置</w:t>
                  </w:r>
                  <w:r>
                    <w:rPr>
                      <w:rFonts w:ascii="宋体" w:hAnsi="宋体" w:cs="宋体"/>
                      <w:color w:val="auto"/>
                      <w:kern w:val="0"/>
                      <w:szCs w:val="21"/>
                      <w:shd w:val="clear" w:color="auto" w:fill="auto"/>
                    </w:rPr>
                    <w:t>单位安全处</w:t>
                  </w:r>
                  <w:r>
                    <w:rPr>
                      <w:rFonts w:hint="default" w:ascii="Times New Roman" w:hAnsi="Times New Roman" w:cs="Times New Roman"/>
                      <w:color w:val="auto"/>
                      <w:kern w:val="0"/>
                      <w:szCs w:val="21"/>
                      <w:shd w:val="clear" w:color="auto" w:fill="auto"/>
                    </w:rPr>
                    <w:t>置；固废处置率100%</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61" w:type="pct"/>
                  <w:vAlign w:val="center"/>
                </w:tcPr>
                <w:p>
                  <w:pPr>
                    <w:widowControl/>
                    <w:rPr>
                      <w:rFonts w:ascii="宋体" w:hAnsi="宋体" w:cs="宋体"/>
                      <w:b/>
                      <w:bCs/>
                      <w:color w:val="auto"/>
                      <w:kern w:val="0"/>
                      <w:szCs w:val="21"/>
                      <w:shd w:val="clear" w:color="auto" w:fill="auto"/>
                      <w:lang w:bidi="ar"/>
                    </w:rPr>
                  </w:pPr>
                  <w:r>
                    <w:rPr>
                      <w:rFonts w:hint="eastAsia" w:ascii="宋体" w:hAnsi="宋体" w:cs="宋体"/>
                      <w:b/>
                      <w:bCs/>
                      <w:color w:val="auto"/>
                      <w:kern w:val="0"/>
                      <w:szCs w:val="21"/>
                      <w:shd w:val="clear" w:color="auto" w:fill="auto"/>
                      <w:lang w:bidi="ar"/>
                    </w:rPr>
                    <w:t>水环境保护措施：</w:t>
                  </w:r>
                </w:p>
                <w:p>
                  <w:pPr>
                    <w:widowControl/>
                    <w:rPr>
                      <w:rFonts w:ascii="宋体" w:hAnsi="宋体" w:cs="宋体"/>
                      <w:b/>
                      <w:bCs/>
                      <w:color w:val="auto"/>
                      <w:kern w:val="0"/>
                      <w:szCs w:val="21"/>
                      <w:shd w:val="clear" w:color="auto" w:fill="auto"/>
                      <w:lang w:bidi="ar"/>
                    </w:rPr>
                  </w:pPr>
                  <w:r>
                    <w:rPr>
                      <w:rFonts w:hint="eastAsia" w:ascii="宋体" w:hAnsi="宋体" w:cs="宋体"/>
                      <w:color w:val="auto"/>
                      <w:kern w:val="0"/>
                      <w:szCs w:val="21"/>
                      <w:shd w:val="clear" w:color="auto" w:fill="auto"/>
                      <w:lang w:bidi="ar"/>
                    </w:rPr>
                    <w:t>园区建设集中式污水处理厂，并实行雨污分流，入园企业排放废水必须经处理后达到《污水综合排放标准》（GB8978-1996）三级标准后排入园区污水处理厂。</w:t>
                  </w:r>
                </w:p>
              </w:tc>
              <w:tc>
                <w:tcPr>
                  <w:tcW w:w="1966" w:type="pct"/>
                  <w:vAlign w:val="center"/>
                </w:tcPr>
                <w:p>
                  <w:pPr>
                    <w:widowControl/>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lang w:bidi="ar"/>
                    </w:rPr>
                    <w:t>项目厂区采用雨污分流，本项目生产废水经过滤后由管道</w:t>
                  </w:r>
                  <w:r>
                    <w:rPr>
                      <w:rFonts w:hint="eastAsia" w:cs="宋体"/>
                      <w:color w:val="auto"/>
                      <w:szCs w:val="21"/>
                      <w:shd w:val="clear" w:color="auto" w:fill="auto"/>
                      <w:lang w:bidi="ar"/>
                    </w:rPr>
                    <w:t>输送至项目厂界外南侧360m西安比亚迪汽车零部件有限公司集贤新能源汽车零部件产业园项目厂区污水处理站处理，达到《污水综合排放标准》（GB8978-1996）三级标准后排入西安市集贤产业园园区污水处理厂</w:t>
                  </w:r>
                  <w:r>
                    <w:rPr>
                      <w:rFonts w:hint="eastAsia"/>
                      <w:color w:val="auto"/>
                      <w:szCs w:val="21"/>
                      <w:shd w:val="clear" w:color="auto" w:fill="auto"/>
                    </w:rPr>
                    <w:t>；</w:t>
                  </w:r>
                  <w:r>
                    <w:rPr>
                      <w:rFonts w:hint="eastAsia" w:ascii="宋体" w:hAnsi="宋体" w:cs="宋体"/>
                      <w:color w:val="auto"/>
                      <w:kern w:val="0"/>
                      <w:szCs w:val="21"/>
                      <w:shd w:val="clear" w:color="auto" w:fill="auto"/>
                      <w:lang w:bidi="ar"/>
                    </w:rPr>
                    <w:t>生活污水经</w:t>
                  </w:r>
                  <w:r>
                    <w:rPr>
                      <w:color w:val="auto"/>
                      <w:szCs w:val="21"/>
                      <w:shd w:val="clear" w:color="auto" w:fill="auto"/>
                    </w:rPr>
                    <w:t>化粪池、隔油池处理后进入西安集贤工业园区污水厂进行处理</w:t>
                  </w:r>
                  <w:r>
                    <w:rPr>
                      <w:rFonts w:hint="eastAsia"/>
                      <w:color w:val="auto"/>
                      <w:szCs w:val="21"/>
                      <w:shd w:val="clear" w:color="auto" w:fill="auto"/>
                    </w:rPr>
                    <w:t>，</w:t>
                  </w:r>
                  <w:r>
                    <w:rPr>
                      <w:rFonts w:hint="eastAsia" w:ascii="宋体" w:hAnsi="宋体" w:cs="宋体"/>
                      <w:color w:val="auto"/>
                      <w:kern w:val="0"/>
                      <w:szCs w:val="21"/>
                      <w:shd w:val="clear" w:color="auto" w:fill="auto"/>
                      <w:lang w:bidi="ar"/>
                    </w:rPr>
                    <w:t>可有效减少废水污染物排放量，减轻对耿峪河地表水环境的影响</w:t>
                  </w:r>
                </w:p>
              </w:tc>
              <w:tc>
                <w:tcPr>
                  <w:tcW w:w="572" w:type="pct"/>
                  <w:vAlign w:val="center"/>
                </w:tcPr>
                <w:p>
                  <w:pPr>
                    <w:autoSpaceDE w:val="0"/>
                    <w:autoSpaceDN w:val="0"/>
                    <w:adjustRightInd w:val="0"/>
                    <w:snapToGrid w:val="0"/>
                    <w:jc w:val="left"/>
                    <w:rPr>
                      <w:rFonts w:ascii="宋体" w:hAnsi="宋体" w:cs="宋体"/>
                      <w:color w:val="auto"/>
                      <w:kern w:val="0"/>
                      <w:szCs w:val="21"/>
                      <w:shd w:val="clear" w:color="auto" w:fill="auto"/>
                    </w:rPr>
                  </w:pPr>
                  <w:r>
                    <w:rPr>
                      <w:rFonts w:hint="eastAsia" w:ascii="宋体" w:hAnsi="宋体" w:cs="宋体"/>
                      <w:color w:val="auto"/>
                      <w:kern w:val="0"/>
                      <w:szCs w:val="21"/>
                      <w:shd w:val="clear" w:color="auto" w:fill="auto"/>
                    </w:rPr>
                    <w:t>符合</w:t>
                  </w:r>
                </w:p>
              </w:tc>
            </w:tr>
          </w:tbl>
          <w:p>
            <w:pPr>
              <w:autoSpaceDE w:val="0"/>
              <w:autoSpaceDN w:val="0"/>
              <w:adjustRightInd w:val="0"/>
              <w:snapToGrid w:val="0"/>
              <w:ind w:firstLine="480" w:firstLineChars="200"/>
              <w:jc w:val="both"/>
              <w:rPr>
                <w:rFonts w:ascii="宋体" w:hAnsi="宋体" w:cs="宋体"/>
                <w:color w:val="auto"/>
                <w:kern w:val="0"/>
                <w:sz w:val="24"/>
                <w:shd w:val="clear" w:color="auto" w:fill="auto"/>
              </w:rPr>
            </w:pPr>
            <w:r>
              <w:rPr>
                <w:rFonts w:hint="eastAsia" w:ascii="宋体" w:hAnsi="宋体" w:eastAsia="宋体" w:cs="宋体"/>
                <w:color w:val="auto"/>
                <w:kern w:val="0"/>
                <w:sz w:val="24"/>
                <w:szCs w:val="24"/>
                <w:shd w:val="clear" w:color="auto" w:fill="auto"/>
                <w:lang w:val="en-US" w:eastAsia="zh-CN" w:bidi="ar-SA"/>
              </w:rPr>
              <w:t>综上分析，本项目建设符合周至县集贤产业园区总体规划及规划环评审查意见。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6" w:hRule="atLeast"/>
          <w:jc w:val="center"/>
        </w:trPr>
        <w:tc>
          <w:tcPr>
            <w:tcW w:w="2382" w:type="dxa"/>
            <w:vAlign w:val="center"/>
          </w:tcPr>
          <w:p>
            <w:pPr>
              <w:autoSpaceDE w:val="0"/>
              <w:autoSpaceDN w:val="0"/>
              <w:adjustRightInd w:val="0"/>
              <w:snapToGrid w:val="0"/>
              <w:jc w:val="center"/>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其他符合性分析</w:t>
            </w:r>
          </w:p>
        </w:tc>
        <w:tc>
          <w:tcPr>
            <w:tcW w:w="6488" w:type="dxa"/>
            <w:gridSpan w:val="3"/>
            <w:vAlign w:val="center"/>
          </w:tcPr>
          <w:p>
            <w:pPr>
              <w:adjustRightInd w:val="0"/>
              <w:snapToGrid w:val="0"/>
              <w:spacing w:line="360" w:lineRule="auto"/>
              <w:ind w:firstLine="482"/>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1、产业政策符合性分析</w:t>
            </w:r>
          </w:p>
          <w:p>
            <w:pPr>
              <w:adjustRightInd w:val="0"/>
              <w:snapToGrid w:val="0"/>
              <w:spacing w:line="360" w:lineRule="auto"/>
              <w:ind w:firstLine="480" w:firstLineChars="200"/>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（1）产业政策相符性</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根据《产业结构调整指导目录（2024年本）》（国家发展和改革委员会令2023年第7号），本项目不属于该目录中的鼓励类、限制类和淘汰类，为允许建设项目。</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根据《西部地区鼓励类产业目录（2020 年本）》，本项目属于“（六）陕西省—8. 汽车整车研发及制造，专用汽车（不包括普通挂车、自卸车、罐式车、厢式车和仓栅式汽车）研发及制造，汽车零部件研发及制造”，为鼓励类项目。</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同时项目已取得西安高新区行政审批服务局关于本项目的备案确认书（项目代码为2401-610161-04-03-873867）。</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因此，本项目符合国家及地方产业政策。</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（2）与《市场准入负面清单（2022年版）》符合性分析</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本项目为汽车零部件制造项目，不属于法律、法规、国务院决定等明确设立且与市场准入相关的禁止性规定范畴，不属于《产业结构调整指导目录（2024年本）》中淘汰类和限制类内容，因此不属于《市场准入负面清单（2022年版）》中禁止准入和许可准入事项。</w:t>
            </w:r>
          </w:p>
          <w:p>
            <w:pPr>
              <w:pStyle w:val="17"/>
              <w:ind w:firstLine="0" w:firstLineChars="0"/>
              <w:rPr>
                <w:rFonts w:ascii="宋体" w:hAnsi="宋体" w:eastAsia="宋体" w:cs="宋体"/>
                <w:b/>
                <w:bCs/>
                <w:color w:val="auto"/>
                <w:kern w:val="0"/>
                <w:sz w:val="24"/>
                <w:shd w:val="clear" w:color="auto" w:fill="auto"/>
              </w:rPr>
            </w:pPr>
            <w:r>
              <w:rPr>
                <w:rFonts w:hint="eastAsia" w:ascii="宋体" w:hAnsi="宋体" w:eastAsia="宋体" w:cs="宋体"/>
                <w:b/>
                <w:bCs/>
                <w:color w:val="auto"/>
                <w:kern w:val="0"/>
                <w:sz w:val="24"/>
                <w:shd w:val="clear" w:color="auto" w:fill="auto"/>
              </w:rPr>
              <w:t>2、选址合理性分析</w:t>
            </w:r>
          </w:p>
          <w:p>
            <w:pPr>
              <w:pStyle w:val="17"/>
              <w:ind w:firstLine="480"/>
              <w:rPr>
                <w:rFonts w:ascii="宋体" w:hAnsi="宋体" w:eastAsia="宋体" w:cs="宋体"/>
                <w:color w:val="auto"/>
                <w:kern w:val="0"/>
                <w:sz w:val="24"/>
                <w:shd w:val="clear" w:color="auto" w:fill="auto"/>
              </w:rPr>
            </w:pPr>
            <w:r>
              <w:rPr>
                <w:rFonts w:hint="eastAsia" w:ascii="宋体" w:hAnsi="宋体" w:eastAsia="宋体" w:cs="宋体"/>
                <w:color w:val="auto"/>
                <w:kern w:val="0"/>
                <w:sz w:val="24"/>
                <w:shd w:val="clear" w:color="auto" w:fill="auto"/>
              </w:rPr>
              <w:t>（1）</w:t>
            </w:r>
            <w:r>
              <w:rPr>
                <w:rFonts w:ascii="宋体" w:hAnsi="宋体" w:eastAsia="宋体" w:cs="宋体"/>
                <w:color w:val="auto"/>
                <w:kern w:val="0"/>
                <w:sz w:val="24"/>
                <w:shd w:val="clear" w:color="auto" w:fill="auto"/>
              </w:rPr>
              <w:t>厂址位于西安</w:t>
            </w:r>
            <w:r>
              <w:rPr>
                <w:rFonts w:hint="eastAsia" w:ascii="宋体" w:hAnsi="宋体" w:eastAsia="宋体" w:cs="宋体"/>
                <w:color w:val="auto"/>
                <w:kern w:val="0"/>
                <w:sz w:val="24"/>
                <w:shd w:val="clear" w:color="auto" w:fill="auto"/>
              </w:rPr>
              <w:t>市周至县</w:t>
            </w:r>
            <w:r>
              <w:rPr>
                <w:rFonts w:ascii="宋体" w:hAnsi="宋体" w:eastAsia="宋体" w:cs="宋体"/>
                <w:color w:val="auto"/>
                <w:kern w:val="0"/>
                <w:sz w:val="24"/>
                <w:shd w:val="clear" w:color="auto" w:fill="auto"/>
              </w:rPr>
              <w:t>集贤产业园，东侧以尚九路为界，北侧以集财路为界，西侧以集贤大道为界、临近西安比亚迪电子有限公司比亚迪高端智能终端产业园项目厂区，南侧临振兴路。拟建厂址中心地理位置坐标北纬34°4′43.166″，东经108°22′24.978″。</w:t>
            </w:r>
          </w:p>
          <w:p>
            <w:pPr>
              <w:spacing w:line="360" w:lineRule="auto"/>
              <w:ind w:firstLine="480" w:firstLineChars="200"/>
              <w:rPr>
                <w:color w:val="auto"/>
                <w:sz w:val="24"/>
                <w:shd w:val="clear" w:color="auto" w:fill="auto"/>
              </w:rPr>
            </w:pPr>
            <w:r>
              <w:rPr>
                <w:color w:val="auto"/>
                <w:kern w:val="0"/>
                <w:sz w:val="24"/>
                <w:shd w:val="clear" w:color="auto" w:fill="auto"/>
              </w:rPr>
              <w:t>（</w:t>
            </w:r>
            <w:r>
              <w:rPr>
                <w:rFonts w:hint="eastAsia"/>
                <w:color w:val="auto"/>
                <w:kern w:val="0"/>
                <w:sz w:val="24"/>
                <w:shd w:val="clear" w:color="auto" w:fill="auto"/>
              </w:rPr>
              <w:t>2</w:t>
            </w:r>
            <w:r>
              <w:rPr>
                <w:color w:val="auto"/>
                <w:kern w:val="0"/>
                <w:sz w:val="24"/>
                <w:shd w:val="clear" w:color="auto" w:fill="auto"/>
              </w:rPr>
              <w:t>）</w:t>
            </w:r>
            <w:r>
              <w:rPr>
                <w:color w:val="auto"/>
                <w:sz w:val="24"/>
                <w:shd w:val="clear" w:color="auto" w:fill="auto"/>
              </w:rPr>
              <w:t>本</w:t>
            </w:r>
            <w:r>
              <w:rPr>
                <w:rFonts w:hint="eastAsia"/>
                <w:color w:val="auto"/>
                <w:sz w:val="24"/>
                <w:shd w:val="clear" w:color="auto" w:fill="auto"/>
              </w:rPr>
              <w:t>项目占地</w:t>
            </w:r>
            <w:r>
              <w:rPr>
                <w:color w:val="auto"/>
                <w:sz w:val="24"/>
                <w:shd w:val="clear" w:color="auto" w:fill="auto"/>
              </w:rPr>
              <w:t>17407.16m</w:t>
            </w:r>
            <w:r>
              <w:rPr>
                <w:color w:val="auto"/>
                <w:sz w:val="24"/>
                <w:shd w:val="clear" w:color="auto" w:fill="auto"/>
                <w:vertAlign w:val="superscript"/>
              </w:rPr>
              <w:t>2</w:t>
            </w:r>
            <w:r>
              <w:rPr>
                <w:rFonts w:hint="eastAsia"/>
                <w:color w:val="auto"/>
                <w:sz w:val="24"/>
                <w:shd w:val="clear" w:color="auto" w:fill="auto"/>
              </w:rPr>
              <w:t>，生产区配备NVH模压机、发泡机、水刀切割等设备，以及生产辅助设备，建设NVH隔音隔热产品生产线。已取得土地开发建设与利用相关土地手续（见附件）。依托现有11#厂房，不新增占地。已建厂房用地属于工业用，</w:t>
            </w:r>
            <w:r>
              <w:rPr>
                <w:color w:val="auto"/>
                <w:sz w:val="24"/>
                <w:shd w:val="clear" w:color="auto" w:fill="auto"/>
              </w:rPr>
              <w:t>占地符合土地规划性质。</w:t>
            </w:r>
          </w:p>
          <w:p>
            <w:pPr>
              <w:adjustRightInd w:val="0"/>
              <w:snapToGrid w:val="0"/>
              <w:spacing w:line="360" w:lineRule="auto"/>
              <w:ind w:firstLine="480" w:firstLineChars="200"/>
              <w:rPr>
                <w:color w:val="auto"/>
                <w:sz w:val="24"/>
                <w:shd w:val="clear" w:color="auto" w:fill="auto"/>
              </w:rPr>
            </w:pPr>
            <w:r>
              <w:rPr>
                <w:rFonts w:hint="eastAsia"/>
                <w:color w:val="auto"/>
                <w:sz w:val="24"/>
                <w:shd w:val="clear" w:color="auto" w:fill="auto"/>
              </w:rPr>
              <w:t>（3）距离项目最近的敏感点为项目南侧</w:t>
            </w:r>
            <w:r>
              <w:rPr>
                <w:rFonts w:hint="eastAsia"/>
                <w:color w:val="auto"/>
                <w:sz w:val="24"/>
                <w:shd w:val="clear" w:color="auto" w:fill="auto"/>
                <w:lang w:val="en-US" w:eastAsia="zh-CN"/>
              </w:rPr>
              <w:t>距离31.09m</w:t>
            </w:r>
            <w:r>
              <w:rPr>
                <w:rFonts w:hint="eastAsia"/>
                <w:color w:val="auto"/>
                <w:sz w:val="24"/>
                <w:shd w:val="clear" w:color="auto" w:fill="auto"/>
              </w:rPr>
              <w:t>的耿西村、</w:t>
            </w:r>
            <w:r>
              <w:rPr>
                <w:rFonts w:hint="eastAsia"/>
                <w:color w:val="auto"/>
                <w:sz w:val="24"/>
                <w:shd w:val="clear" w:color="auto" w:fill="auto"/>
                <w:lang w:val="en-US" w:eastAsia="zh-CN"/>
              </w:rPr>
              <w:t>项目</w:t>
            </w:r>
            <w:r>
              <w:rPr>
                <w:rFonts w:hint="eastAsia"/>
                <w:color w:val="auto"/>
                <w:sz w:val="24"/>
                <w:shd w:val="clear" w:color="auto" w:fill="auto"/>
              </w:rPr>
              <w:t>西侧</w:t>
            </w:r>
            <w:r>
              <w:rPr>
                <w:rFonts w:hint="eastAsia"/>
                <w:color w:val="auto"/>
                <w:sz w:val="24"/>
                <w:shd w:val="clear" w:color="auto" w:fill="auto"/>
                <w:lang w:val="en-US" w:eastAsia="zh-CN"/>
              </w:rPr>
              <w:t>距离48.89m</w:t>
            </w:r>
            <w:r>
              <w:rPr>
                <w:rFonts w:hint="eastAsia"/>
                <w:color w:val="auto"/>
                <w:sz w:val="24"/>
                <w:shd w:val="clear" w:color="auto" w:fill="auto"/>
              </w:rPr>
              <w:t>的集贤镇东村、</w:t>
            </w:r>
            <w:r>
              <w:rPr>
                <w:rFonts w:hint="eastAsia"/>
                <w:color w:val="auto"/>
                <w:sz w:val="24"/>
                <w:shd w:val="clear" w:color="auto" w:fill="auto"/>
                <w:lang w:val="en-US" w:eastAsia="zh-CN"/>
              </w:rPr>
              <w:t>项目</w:t>
            </w:r>
            <w:r>
              <w:rPr>
                <w:rFonts w:hint="eastAsia"/>
                <w:color w:val="auto"/>
                <w:sz w:val="24"/>
                <w:shd w:val="clear" w:color="auto" w:fill="auto"/>
              </w:rPr>
              <w:t>东北侧</w:t>
            </w:r>
            <w:r>
              <w:rPr>
                <w:rFonts w:hint="eastAsia"/>
                <w:color w:val="auto"/>
                <w:sz w:val="24"/>
                <w:shd w:val="clear" w:color="auto" w:fill="auto"/>
                <w:lang w:val="en-US" w:eastAsia="zh-CN"/>
              </w:rPr>
              <w:t>距离46.21m</w:t>
            </w:r>
            <w:r>
              <w:rPr>
                <w:rFonts w:hint="eastAsia"/>
                <w:color w:val="auto"/>
                <w:sz w:val="24"/>
                <w:shd w:val="clear" w:color="auto" w:fill="auto"/>
              </w:rPr>
              <w:t>的何家寨村，项目生产中采用环评提出的各项污染防治措施后，各类污染物均能达标排放，对周边敏感点的影响较小。</w:t>
            </w:r>
          </w:p>
          <w:p>
            <w:pPr>
              <w:adjustRightInd w:val="0"/>
              <w:snapToGrid w:val="0"/>
              <w:spacing w:line="360" w:lineRule="auto"/>
              <w:ind w:firstLine="480" w:firstLineChars="200"/>
              <w:rPr>
                <w:color w:val="auto"/>
                <w:sz w:val="24"/>
                <w:shd w:val="clear" w:color="auto" w:fill="auto"/>
              </w:rPr>
            </w:pPr>
            <w:r>
              <w:rPr>
                <w:rFonts w:hint="eastAsia"/>
                <w:color w:val="auto"/>
                <w:sz w:val="24"/>
                <w:shd w:val="clear" w:color="auto" w:fill="auto"/>
              </w:rPr>
              <w:t>（4）项目所在地地理位置优越，交通便利，供水、供电和通讯等基础配套设施已基本完善，可以满足本项目建设及运营需要。项目附近1km范围内无集中式水源地、自然保护区、风景名胜区、文物保护单位、革命历史古迹及珍稀濒危野生动植物等特殊环境保护目标。</w:t>
            </w:r>
          </w:p>
          <w:p>
            <w:pPr>
              <w:adjustRightInd w:val="0"/>
              <w:snapToGrid w:val="0"/>
              <w:spacing w:line="360" w:lineRule="auto"/>
              <w:ind w:firstLine="480" w:firstLineChars="200"/>
              <w:rPr>
                <w:color w:val="auto"/>
                <w:shd w:val="clear" w:color="auto" w:fill="auto"/>
              </w:rPr>
            </w:pPr>
            <w:r>
              <w:rPr>
                <w:rFonts w:hint="eastAsia"/>
                <w:color w:val="auto"/>
                <w:sz w:val="24"/>
                <w:shd w:val="clear" w:color="auto" w:fill="auto"/>
              </w:rPr>
              <w:t>综上所述，项目选址合理。</w:t>
            </w:r>
          </w:p>
        </w:tc>
      </w:tr>
    </w:tbl>
    <w:p>
      <w:pPr>
        <w:spacing w:line="360" w:lineRule="auto"/>
        <w:ind w:firstLine="600"/>
        <w:outlineLvl w:val="0"/>
        <w:rPr>
          <w:rFonts w:eastAsia="黑体"/>
          <w:sz w:val="30"/>
        </w:rPr>
        <w:sectPr>
          <w:footerReference r:id="rId5" w:type="default"/>
          <w:pgSz w:w="11906" w:h="16838"/>
          <w:pgMar w:top="1701" w:right="1531" w:bottom="1701" w:left="1531" w:header="340" w:footer="1077" w:gutter="0"/>
          <w:pgNumType w:start="1"/>
          <w:cols w:space="720" w:num="1"/>
          <w:docGrid w:linePitch="312" w:charSpace="0"/>
        </w:sect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1" w:hRule="atLeast"/>
        </w:trPr>
        <w:tc>
          <w:tcPr>
            <w:tcW w:w="779" w:type="pct"/>
            <w:vAlign w:val="center"/>
          </w:tcPr>
          <w:p>
            <w:pPr>
              <w:pStyle w:val="17"/>
              <w:ind w:firstLine="0" w:firstLineChars="0"/>
              <w:jc w:val="center"/>
              <w:rPr>
                <w:rFonts w:eastAsia="黑体"/>
                <w:sz w:val="30"/>
              </w:rPr>
            </w:pPr>
          </w:p>
        </w:tc>
        <w:tc>
          <w:tcPr>
            <w:tcW w:w="4220" w:type="pct"/>
          </w:tcPr>
          <w:p>
            <w:pPr>
              <w:pStyle w:val="17"/>
              <w:ind w:firstLine="0" w:firstLineChars="0"/>
              <w:rPr>
                <w:rFonts w:eastAsia="宋体"/>
                <w:b/>
                <w:bCs/>
                <w:kern w:val="0"/>
                <w:sz w:val="24"/>
              </w:rPr>
            </w:pPr>
            <w:r>
              <w:rPr>
                <w:rFonts w:eastAsia="宋体"/>
                <w:b/>
                <w:bCs/>
                <w:kern w:val="0"/>
                <w:sz w:val="24"/>
              </w:rPr>
              <w:t>3、建设项目与所在地“三线一单”的符合性分析</w:t>
            </w:r>
          </w:p>
          <w:p>
            <w:pPr>
              <w:pStyle w:val="17"/>
              <w:ind w:firstLine="480"/>
              <w:rPr>
                <w:rFonts w:eastAsia="宋体"/>
                <w:kern w:val="0"/>
                <w:sz w:val="24"/>
              </w:rPr>
            </w:pPr>
            <w:r>
              <w:rPr>
                <w:rFonts w:hint="eastAsia" w:eastAsia="宋体"/>
                <w:kern w:val="0"/>
                <w:sz w:val="24"/>
              </w:rPr>
              <w:t>根据陕西省生态环境厅办公室关于印发《陕西省“三线一单”生态环境分区管控应用技术指南：环境影响评价（试行）》（陕环办发[2022]76号）通知中环评文件规范化要求中的规定：环评文件涉及“三线一单”生态环境分区管控符合性分析采取“一图一表一说明”的表达方式，在对照分析结果右侧加列，并论证规划或建设项目的符合性。</w:t>
            </w:r>
          </w:p>
          <w:p>
            <w:pPr>
              <w:pStyle w:val="17"/>
              <w:ind w:firstLine="480"/>
              <w:rPr>
                <w:rFonts w:eastAsia="宋体"/>
                <w:kern w:val="0"/>
                <w:sz w:val="24"/>
              </w:rPr>
            </w:pPr>
            <w:r>
              <w:rPr>
                <w:rFonts w:hint="eastAsia" w:eastAsia="宋体"/>
                <w:kern w:val="0"/>
                <w:sz w:val="24"/>
              </w:rPr>
              <w:t>（1）“一图”：建设项目与环境管控单元对照分析示意图</w:t>
            </w:r>
          </w:p>
          <w:p>
            <w:pPr>
              <w:pStyle w:val="17"/>
              <w:ind w:firstLine="480"/>
              <w:rPr>
                <w:rFonts w:eastAsia="宋体"/>
                <w:kern w:val="0"/>
                <w:sz w:val="24"/>
              </w:rPr>
            </w:pPr>
            <w:r>
              <w:rPr>
                <w:rFonts w:hint="eastAsia" w:eastAsia="宋体"/>
                <w:kern w:val="0"/>
                <w:sz w:val="24"/>
              </w:rPr>
              <w:t>根据《陕西省“三线一单”生态环境管控单元对照分析报告》（附件9），</w:t>
            </w:r>
            <w:r>
              <w:rPr>
                <w:rFonts w:eastAsia="宋体"/>
                <w:kern w:val="0"/>
                <w:sz w:val="24"/>
              </w:rPr>
              <w:t>本项目与陕西省“三线一单”数据应用系统的“三线一单”数据进行比对，本项目所在地属于重点管控单元，比对结果见附图5</w:t>
            </w:r>
            <w:r>
              <w:rPr>
                <w:rFonts w:hint="eastAsia" w:eastAsia="宋体"/>
                <w:kern w:val="0"/>
                <w:sz w:val="24"/>
              </w:rPr>
              <w:t>。</w:t>
            </w:r>
          </w:p>
          <w:p>
            <w:pPr>
              <w:pStyle w:val="17"/>
              <w:ind w:firstLine="480"/>
              <w:rPr>
                <w:rFonts w:eastAsia="宋体"/>
                <w:kern w:val="0"/>
                <w:sz w:val="24"/>
              </w:rPr>
            </w:pPr>
            <w:r>
              <w:rPr>
                <w:rFonts w:hint="eastAsia" w:eastAsia="宋体"/>
                <w:kern w:val="0"/>
                <w:sz w:val="24"/>
              </w:rPr>
              <w:t>（2）“一表”：项目涉及的生态环境管控单元准入清单</w:t>
            </w:r>
          </w:p>
          <w:p>
            <w:pPr>
              <w:pStyle w:val="17"/>
              <w:ind w:firstLine="480"/>
              <w:rPr>
                <w:rFonts w:eastAsia="宋体"/>
              </w:rPr>
            </w:pPr>
            <w:r>
              <w:rPr>
                <w:rFonts w:hint="eastAsia" w:eastAsia="宋体"/>
                <w:kern w:val="0"/>
                <w:sz w:val="24"/>
              </w:rPr>
              <w:t>本项目位于重点管控单元，本项目与“三线一单”及相关环保政策符合性分析表见表1-2，对照陕西省“三线一单”生态环境管控单元对照分析报告，本项目建设范围涉及的生态环境管控单元准入清单具体见表1-3；</w:t>
            </w:r>
            <w:r>
              <w:rPr>
                <w:rFonts w:eastAsia="宋体"/>
                <w:kern w:val="0"/>
                <w:sz w:val="24"/>
              </w:rPr>
              <w:t>本项目和西安市生态环境管控单元分布示意图（见附图4）</w:t>
            </w:r>
            <w:r>
              <w:rPr>
                <w:rFonts w:hint="eastAsia" w:eastAsia="宋体"/>
                <w:kern w:val="0"/>
                <w:sz w:val="24"/>
              </w:rPr>
              <w:t>。</w:t>
            </w:r>
          </w:p>
          <w:p>
            <w:pPr>
              <w:pStyle w:val="6"/>
              <w:ind w:firstLine="422"/>
              <w:jc w:val="center"/>
              <w:rPr>
                <w:b/>
                <w:sz w:val="21"/>
                <w:szCs w:val="21"/>
              </w:rPr>
            </w:pPr>
            <w:r>
              <w:rPr>
                <w:b/>
                <w:sz w:val="21"/>
                <w:szCs w:val="21"/>
              </w:rPr>
              <w:t>表1-</w:t>
            </w:r>
            <w:r>
              <w:rPr>
                <w:rFonts w:hint="eastAsia"/>
                <w:b/>
                <w:sz w:val="21"/>
                <w:szCs w:val="21"/>
              </w:rPr>
              <w:t>2</w:t>
            </w:r>
            <w:r>
              <w:rPr>
                <w:b/>
                <w:sz w:val="21"/>
                <w:szCs w:val="21"/>
              </w:rPr>
              <w:t xml:space="preserve">  本项目与“三线一单”及相关环保政策符合性分析表</w:t>
            </w:r>
          </w:p>
          <w:tbl>
            <w:tblPr>
              <w:tblStyle w:val="19"/>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4233"/>
              <w:gridCol w:w="3767"/>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2" w:type="dxa"/>
                  <w:vAlign w:val="center"/>
                </w:tcPr>
                <w:p>
                  <w:pPr>
                    <w:pStyle w:val="6"/>
                    <w:ind w:firstLine="422"/>
                    <w:jc w:val="center"/>
                    <w:rPr>
                      <w:b/>
                      <w:sz w:val="21"/>
                      <w:szCs w:val="21"/>
                    </w:rPr>
                  </w:pPr>
                  <w:r>
                    <w:rPr>
                      <w:b/>
                      <w:sz w:val="21"/>
                      <w:szCs w:val="21"/>
                    </w:rPr>
                    <w:t>相关政策名称</w:t>
                  </w:r>
                </w:p>
              </w:tc>
              <w:tc>
                <w:tcPr>
                  <w:tcW w:w="4233" w:type="dxa"/>
                  <w:vAlign w:val="center"/>
                </w:tcPr>
                <w:p>
                  <w:pPr>
                    <w:pStyle w:val="6"/>
                    <w:ind w:firstLine="422"/>
                    <w:jc w:val="center"/>
                    <w:rPr>
                      <w:b/>
                      <w:sz w:val="21"/>
                      <w:szCs w:val="21"/>
                    </w:rPr>
                  </w:pPr>
                  <w:r>
                    <w:rPr>
                      <w:b/>
                      <w:sz w:val="21"/>
                      <w:szCs w:val="21"/>
                    </w:rPr>
                    <w:t>相关要求</w:t>
                  </w:r>
                </w:p>
              </w:tc>
              <w:tc>
                <w:tcPr>
                  <w:tcW w:w="3767" w:type="dxa"/>
                  <w:vAlign w:val="center"/>
                </w:tcPr>
                <w:p>
                  <w:pPr>
                    <w:pStyle w:val="6"/>
                    <w:ind w:firstLine="422"/>
                    <w:jc w:val="center"/>
                    <w:rPr>
                      <w:b/>
                      <w:sz w:val="21"/>
                      <w:szCs w:val="21"/>
                    </w:rPr>
                  </w:pPr>
                  <w:r>
                    <w:rPr>
                      <w:b/>
                      <w:sz w:val="21"/>
                      <w:szCs w:val="21"/>
                    </w:rPr>
                    <w:t>本项目情况</w:t>
                  </w:r>
                </w:p>
              </w:tc>
              <w:tc>
                <w:tcPr>
                  <w:tcW w:w="1317" w:type="dxa"/>
                  <w:vAlign w:val="center"/>
                </w:tcPr>
                <w:p>
                  <w:pPr>
                    <w:pStyle w:val="6"/>
                    <w:jc w:val="center"/>
                    <w:rPr>
                      <w:b/>
                      <w:sz w:val="21"/>
                      <w:szCs w:val="21"/>
                    </w:rPr>
                  </w:pPr>
                  <w:r>
                    <w:rPr>
                      <w:b/>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2" w:type="dxa"/>
                  <w:vAlign w:val="center"/>
                </w:tcPr>
                <w:p>
                  <w:pPr>
                    <w:pStyle w:val="6"/>
                    <w:rPr>
                      <w:bCs/>
                      <w:sz w:val="21"/>
                      <w:szCs w:val="21"/>
                    </w:rPr>
                  </w:pPr>
                  <w:r>
                    <w:rPr>
                      <w:bCs/>
                      <w:sz w:val="21"/>
                      <w:szCs w:val="21"/>
                    </w:rPr>
                    <w:t>陕西省人民政府关于加快实施“三线一单”生态环境分区管控的意见陕政发〔2020〕11号</w:t>
                  </w:r>
                </w:p>
              </w:tc>
              <w:tc>
                <w:tcPr>
                  <w:tcW w:w="4233" w:type="dxa"/>
                  <w:vAlign w:val="center"/>
                </w:tcPr>
                <w:p>
                  <w:pPr>
                    <w:pStyle w:val="6"/>
                    <w:ind w:firstLine="420"/>
                    <w:jc w:val="center"/>
                    <w:rPr>
                      <w:bCs/>
                      <w:sz w:val="21"/>
                      <w:szCs w:val="21"/>
                    </w:rPr>
                  </w:pPr>
                  <w:r>
                    <w:rPr>
                      <w:bCs/>
                      <w:sz w:val="21"/>
                      <w:szCs w:val="21"/>
                    </w:rPr>
                    <w:t>生态环境分区管控：按照保护优先、衔接整合、有效管理的原则，将全省行政区域统筹划定优先保护、重点管控和一般管控三类环境管控单元，实施生态环境分区管控。重点管控区管控要求：以提升资源利用效率、加强污染物减排治理和环境风险防控为重点，解决突出生态环境问题</w:t>
                  </w:r>
                </w:p>
              </w:tc>
              <w:tc>
                <w:tcPr>
                  <w:tcW w:w="3767" w:type="dxa"/>
                  <w:vAlign w:val="center"/>
                </w:tcPr>
                <w:p>
                  <w:pPr>
                    <w:pStyle w:val="6"/>
                    <w:ind w:firstLine="420"/>
                    <w:jc w:val="center"/>
                    <w:rPr>
                      <w:bCs/>
                      <w:sz w:val="21"/>
                      <w:szCs w:val="21"/>
                    </w:rPr>
                  </w:pPr>
                  <w:r>
                    <w:rPr>
                      <w:bCs/>
                      <w:sz w:val="21"/>
                      <w:szCs w:val="21"/>
                    </w:rPr>
                    <w:t>本项目位于西安集贤产业园，属于重点管控单元。项目属于汽车零部件制造项目，采取相应环保措施和风险防范措施后，污染物排放较少、环境风险可控，对周围环境影响较小</w:t>
                  </w:r>
                </w:p>
              </w:tc>
              <w:tc>
                <w:tcPr>
                  <w:tcW w:w="1317" w:type="dxa"/>
                  <w:vAlign w:val="center"/>
                </w:tcPr>
                <w:p>
                  <w:pPr>
                    <w:pStyle w:val="6"/>
                    <w:ind w:firstLine="420"/>
                    <w:rPr>
                      <w:bCs/>
                      <w:sz w:val="21"/>
                      <w:szCs w:val="21"/>
                    </w:rPr>
                  </w:pPr>
                  <w:r>
                    <w:rPr>
                      <w:bCs/>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2" w:type="dxa"/>
                  <w:vMerge w:val="restart"/>
                  <w:vAlign w:val="center"/>
                </w:tcPr>
                <w:p>
                  <w:pPr>
                    <w:widowControl/>
                    <w:rPr>
                      <w:bCs/>
                      <w:szCs w:val="21"/>
                    </w:rPr>
                  </w:pPr>
                  <w:r>
                    <w:rPr>
                      <w:kern w:val="0"/>
                      <w:szCs w:val="21"/>
                      <w:lang w:bidi="ar"/>
                    </w:rPr>
                    <w:t>西安市人民政府关于印发“三线一单”生态环境分区管控方案的通知市政发〔2021〕22号</w:t>
                  </w:r>
                </w:p>
              </w:tc>
              <w:tc>
                <w:tcPr>
                  <w:tcW w:w="4233" w:type="dxa"/>
                  <w:vAlign w:val="center"/>
                </w:tcPr>
                <w:p>
                  <w:pPr>
                    <w:pStyle w:val="6"/>
                    <w:ind w:firstLine="420"/>
                    <w:jc w:val="center"/>
                    <w:rPr>
                      <w:bCs/>
                      <w:sz w:val="21"/>
                      <w:szCs w:val="21"/>
                    </w:rPr>
                  </w:pPr>
                  <w:r>
                    <w:rPr>
                      <w:bCs/>
                      <w:sz w:val="21"/>
                      <w:szCs w:val="21"/>
                    </w:rPr>
                    <w:t>空间布局约束：新建、扩建石化、化工、焦化、有色金属冶炼、平板玻璃项目应布设在依法合规设立并经规划环评的产业园区。严格落实能耗双控、产能置换、污染物区域削减、煤炭减量替代等要求，不符合要求的“两高”项目要坚决整改。</w:t>
                  </w:r>
                </w:p>
              </w:tc>
              <w:tc>
                <w:tcPr>
                  <w:tcW w:w="3767" w:type="dxa"/>
                  <w:vAlign w:val="center"/>
                </w:tcPr>
                <w:p>
                  <w:pPr>
                    <w:pStyle w:val="6"/>
                    <w:ind w:firstLine="420"/>
                    <w:jc w:val="center"/>
                    <w:rPr>
                      <w:bCs/>
                      <w:sz w:val="21"/>
                      <w:szCs w:val="21"/>
                    </w:rPr>
                  </w:pPr>
                  <w:r>
                    <w:rPr>
                      <w:bCs/>
                      <w:sz w:val="21"/>
                      <w:szCs w:val="21"/>
                    </w:rPr>
                    <w:t>本项目位于西安集贤产业园。为汽车零部件制造。不涉及高污染、高耗能的生产工序，</w:t>
                  </w:r>
                </w:p>
              </w:tc>
              <w:tc>
                <w:tcPr>
                  <w:tcW w:w="1317" w:type="dxa"/>
                  <w:vAlign w:val="center"/>
                </w:tcPr>
                <w:p>
                  <w:pPr>
                    <w:pStyle w:val="6"/>
                    <w:ind w:firstLine="420"/>
                    <w:rPr>
                      <w:bCs/>
                      <w:sz w:val="21"/>
                      <w:szCs w:val="21"/>
                    </w:rPr>
                  </w:pPr>
                  <w:r>
                    <w:rPr>
                      <w:bCs/>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2" w:type="dxa"/>
                  <w:vMerge w:val="continue"/>
                  <w:vAlign w:val="center"/>
                </w:tcPr>
                <w:p>
                  <w:pPr>
                    <w:widowControl/>
                    <w:ind w:firstLine="480"/>
                    <w:jc w:val="center"/>
                    <w:rPr>
                      <w:kern w:val="0"/>
                      <w:szCs w:val="21"/>
                      <w:lang w:bidi="ar"/>
                    </w:rPr>
                  </w:pPr>
                </w:p>
              </w:tc>
              <w:tc>
                <w:tcPr>
                  <w:tcW w:w="4233" w:type="dxa"/>
                  <w:vAlign w:val="center"/>
                </w:tcPr>
                <w:p>
                  <w:pPr>
                    <w:pStyle w:val="6"/>
                    <w:ind w:firstLine="420"/>
                    <w:jc w:val="center"/>
                    <w:rPr>
                      <w:bCs/>
                      <w:sz w:val="21"/>
                      <w:szCs w:val="21"/>
                    </w:rPr>
                  </w:pPr>
                  <w:r>
                    <w:rPr>
                      <w:bCs/>
                      <w:sz w:val="21"/>
                      <w:szCs w:val="21"/>
                    </w:rPr>
                    <w:t>污染物排放管控：到 2025 年，全市河湖水质达到准Ⅳ类。到 2025 年，空气质量优良天数比例达到 74%，地表水达到或好于Ⅲ类水体比例达到73%以上。</w:t>
                  </w:r>
                </w:p>
              </w:tc>
              <w:tc>
                <w:tcPr>
                  <w:tcW w:w="3767" w:type="dxa"/>
                  <w:vAlign w:val="center"/>
                </w:tcPr>
                <w:p>
                  <w:pPr>
                    <w:pStyle w:val="6"/>
                    <w:ind w:firstLine="420"/>
                    <w:jc w:val="center"/>
                    <w:rPr>
                      <w:bCs/>
                      <w:sz w:val="21"/>
                      <w:szCs w:val="21"/>
                    </w:rPr>
                  </w:pPr>
                  <w:r>
                    <w:rPr>
                      <w:bCs/>
                      <w:sz w:val="21"/>
                      <w:szCs w:val="21"/>
                    </w:rPr>
                    <w:t>项目废水主要为生活污水</w:t>
                  </w:r>
                  <w:r>
                    <w:rPr>
                      <w:rFonts w:hint="eastAsia"/>
                      <w:bCs/>
                      <w:sz w:val="21"/>
                      <w:szCs w:val="21"/>
                    </w:rPr>
                    <w:t>和生产废水</w:t>
                  </w:r>
                  <w:r>
                    <w:rPr>
                      <w:bCs/>
                      <w:sz w:val="21"/>
                      <w:szCs w:val="21"/>
                    </w:rPr>
                    <w:t>，</w:t>
                  </w:r>
                  <w:r>
                    <w:rPr>
                      <w:rFonts w:hint="eastAsia"/>
                      <w:bCs/>
                      <w:sz w:val="21"/>
                      <w:szCs w:val="21"/>
                    </w:rPr>
                    <w:t>生活污水排入西安集贤产业园污水处理站进行处理，生产废水经过滤后排入西安集贤产业园污水处理站进行进一步处理，</w:t>
                  </w:r>
                  <w:r>
                    <w:rPr>
                      <w:bCs/>
                      <w:sz w:val="21"/>
                      <w:szCs w:val="21"/>
                    </w:rPr>
                    <w:t>对地表水体的影响很小。</w:t>
                  </w:r>
                </w:p>
              </w:tc>
              <w:tc>
                <w:tcPr>
                  <w:tcW w:w="1317" w:type="dxa"/>
                  <w:vAlign w:val="center"/>
                </w:tcPr>
                <w:p>
                  <w:pPr>
                    <w:pStyle w:val="6"/>
                    <w:ind w:firstLine="420"/>
                    <w:rPr>
                      <w:bCs/>
                      <w:sz w:val="21"/>
                      <w:szCs w:val="21"/>
                    </w:rPr>
                  </w:pPr>
                  <w:r>
                    <w:rPr>
                      <w:bCs/>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2" w:type="dxa"/>
                  <w:vMerge w:val="continue"/>
                  <w:vAlign w:val="center"/>
                </w:tcPr>
                <w:p>
                  <w:pPr>
                    <w:widowControl/>
                    <w:ind w:firstLine="480"/>
                    <w:jc w:val="center"/>
                    <w:rPr>
                      <w:kern w:val="0"/>
                      <w:szCs w:val="21"/>
                      <w:lang w:bidi="ar"/>
                    </w:rPr>
                  </w:pPr>
                </w:p>
              </w:tc>
              <w:tc>
                <w:tcPr>
                  <w:tcW w:w="4233" w:type="dxa"/>
                  <w:vAlign w:val="center"/>
                </w:tcPr>
                <w:p>
                  <w:pPr>
                    <w:pStyle w:val="6"/>
                    <w:ind w:firstLine="420"/>
                    <w:jc w:val="center"/>
                    <w:rPr>
                      <w:bCs/>
                      <w:sz w:val="21"/>
                      <w:szCs w:val="21"/>
                    </w:rPr>
                  </w:pPr>
                  <w:r>
                    <w:rPr>
                      <w:bCs/>
                      <w:sz w:val="21"/>
                      <w:szCs w:val="21"/>
                    </w:rPr>
                    <w:t>环境风险管控：将环境风险纳入常态化管理，推进固体废物、化学物质、重金属、核与辐射等重点领域环境风险防控，推动环境风险防控由应急管理向全过程管理转变。</w:t>
                  </w:r>
                </w:p>
              </w:tc>
              <w:tc>
                <w:tcPr>
                  <w:tcW w:w="3767" w:type="dxa"/>
                  <w:vAlign w:val="center"/>
                </w:tcPr>
                <w:p>
                  <w:pPr>
                    <w:pStyle w:val="6"/>
                    <w:ind w:firstLine="420"/>
                    <w:jc w:val="center"/>
                    <w:rPr>
                      <w:bCs/>
                      <w:sz w:val="21"/>
                      <w:szCs w:val="21"/>
                    </w:rPr>
                  </w:pPr>
                  <w:r>
                    <w:rPr>
                      <w:bCs/>
                      <w:sz w:val="21"/>
                      <w:szCs w:val="21"/>
                    </w:rPr>
                    <w:t>项目涉及到的风险物质较少，</w:t>
                  </w:r>
                  <w:r>
                    <w:rPr>
                      <w:rFonts w:hint="eastAsia"/>
                      <w:bCs/>
                      <w:sz w:val="21"/>
                      <w:szCs w:val="21"/>
                    </w:rPr>
                    <w:t>并通过</w:t>
                  </w:r>
                  <w:r>
                    <w:rPr>
                      <w:bCs/>
                      <w:sz w:val="21"/>
                      <w:szCs w:val="21"/>
                    </w:rPr>
                    <w:t>设置消防器具、规范设计、加强管理制度等</w:t>
                  </w:r>
                  <w:r>
                    <w:rPr>
                      <w:rFonts w:hint="eastAsia"/>
                      <w:bCs/>
                      <w:sz w:val="21"/>
                      <w:szCs w:val="21"/>
                    </w:rPr>
                    <w:t>措施</w:t>
                  </w:r>
                  <w:r>
                    <w:rPr>
                      <w:bCs/>
                      <w:sz w:val="21"/>
                      <w:szCs w:val="21"/>
                    </w:rPr>
                    <w:t>，实现了环境风险防控由应急管理向全过程管理转变。</w:t>
                  </w:r>
                </w:p>
              </w:tc>
              <w:tc>
                <w:tcPr>
                  <w:tcW w:w="1317" w:type="dxa"/>
                  <w:vAlign w:val="center"/>
                </w:tcPr>
                <w:p>
                  <w:pPr>
                    <w:pStyle w:val="6"/>
                    <w:ind w:firstLine="420"/>
                    <w:rPr>
                      <w:bCs/>
                      <w:sz w:val="21"/>
                      <w:szCs w:val="21"/>
                    </w:rPr>
                  </w:pPr>
                  <w:r>
                    <w:rPr>
                      <w:bCs/>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2" w:type="dxa"/>
                  <w:vMerge w:val="continue"/>
                  <w:vAlign w:val="center"/>
                </w:tcPr>
                <w:p>
                  <w:pPr>
                    <w:widowControl/>
                    <w:ind w:firstLine="480"/>
                    <w:jc w:val="center"/>
                    <w:rPr>
                      <w:kern w:val="0"/>
                      <w:szCs w:val="21"/>
                      <w:lang w:bidi="ar"/>
                    </w:rPr>
                  </w:pPr>
                </w:p>
              </w:tc>
              <w:tc>
                <w:tcPr>
                  <w:tcW w:w="4233" w:type="dxa"/>
                  <w:vAlign w:val="center"/>
                </w:tcPr>
                <w:p>
                  <w:pPr>
                    <w:pStyle w:val="6"/>
                    <w:ind w:firstLine="420"/>
                    <w:jc w:val="center"/>
                    <w:rPr>
                      <w:bCs/>
                      <w:sz w:val="21"/>
                      <w:szCs w:val="21"/>
                    </w:rPr>
                  </w:pPr>
                  <w:r>
                    <w:rPr>
                      <w:bCs/>
                      <w:sz w:val="21"/>
                      <w:szCs w:val="21"/>
                    </w:rPr>
                    <w:t>资源利用效率要求：到 2025 年，单位地区生产总值用水量累计降低 2%。持续实施煤炭消费总量控制，大力推进以电代煤、以气代煤等清洁替代形式；稳步提高天然气消费比例；有序发展新能源。</w:t>
                  </w:r>
                </w:p>
              </w:tc>
              <w:tc>
                <w:tcPr>
                  <w:tcW w:w="3767" w:type="dxa"/>
                  <w:vAlign w:val="center"/>
                </w:tcPr>
                <w:p>
                  <w:pPr>
                    <w:pStyle w:val="6"/>
                    <w:ind w:firstLine="420"/>
                    <w:jc w:val="center"/>
                    <w:rPr>
                      <w:bCs/>
                      <w:sz w:val="21"/>
                      <w:szCs w:val="21"/>
                    </w:rPr>
                  </w:pPr>
                  <w:r>
                    <w:rPr>
                      <w:bCs/>
                      <w:sz w:val="21"/>
                      <w:szCs w:val="21"/>
                    </w:rPr>
                    <w:t>项目生产不使用煤炭，使用清洁能源电。</w:t>
                  </w:r>
                </w:p>
              </w:tc>
              <w:tc>
                <w:tcPr>
                  <w:tcW w:w="1317" w:type="dxa"/>
                  <w:vAlign w:val="center"/>
                </w:tcPr>
                <w:p>
                  <w:pPr>
                    <w:pStyle w:val="6"/>
                    <w:ind w:firstLine="420"/>
                    <w:rPr>
                      <w:bCs/>
                      <w:sz w:val="21"/>
                      <w:szCs w:val="21"/>
                    </w:rPr>
                  </w:pPr>
                  <w:r>
                    <w:rPr>
                      <w:bCs/>
                      <w:sz w:val="21"/>
                      <w:szCs w:val="21"/>
                    </w:rPr>
                    <w:t>符合</w:t>
                  </w:r>
                </w:p>
              </w:tc>
            </w:tr>
          </w:tbl>
          <w:p>
            <w:pPr>
              <w:pStyle w:val="6"/>
              <w:ind w:firstLine="422"/>
              <w:jc w:val="center"/>
              <w:rPr>
                <w:b/>
                <w:sz w:val="21"/>
                <w:szCs w:val="21"/>
              </w:rPr>
            </w:pPr>
          </w:p>
          <w:p>
            <w:pPr>
              <w:pStyle w:val="6"/>
              <w:ind w:firstLine="422"/>
              <w:jc w:val="center"/>
              <w:rPr>
                <w:b/>
                <w:sz w:val="21"/>
                <w:szCs w:val="21"/>
              </w:rPr>
            </w:pPr>
          </w:p>
          <w:p>
            <w:pPr>
              <w:pStyle w:val="6"/>
              <w:ind w:firstLine="422"/>
              <w:jc w:val="center"/>
              <w:rPr>
                <w:b/>
                <w:sz w:val="21"/>
                <w:szCs w:val="21"/>
              </w:rPr>
            </w:pPr>
            <w:r>
              <w:rPr>
                <w:b/>
                <w:sz w:val="21"/>
                <w:szCs w:val="21"/>
              </w:rPr>
              <w:t>表1-</w:t>
            </w:r>
            <w:r>
              <w:rPr>
                <w:rFonts w:hint="eastAsia"/>
                <w:b/>
                <w:sz w:val="21"/>
                <w:szCs w:val="21"/>
              </w:rPr>
              <w:t>3</w:t>
            </w:r>
            <w:r>
              <w:rPr>
                <w:b/>
                <w:sz w:val="21"/>
                <w:szCs w:val="21"/>
              </w:rPr>
              <w:t xml:space="preserve">  本项目范围涉及的生态环境管控单元准入清单表</w:t>
            </w:r>
          </w:p>
          <w:tbl>
            <w:tblPr>
              <w:tblStyle w:val="19"/>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1"/>
              <w:gridCol w:w="61"/>
              <w:gridCol w:w="669"/>
              <w:gridCol w:w="52"/>
              <w:gridCol w:w="773"/>
              <w:gridCol w:w="9"/>
              <w:gridCol w:w="791"/>
              <w:gridCol w:w="809"/>
              <w:gridCol w:w="3110"/>
              <w:gridCol w:w="163"/>
              <w:gridCol w:w="3275"/>
              <w:gridCol w:w="8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73" w:type="pct"/>
                  <w:gridSpan w:val="2"/>
                  <w:vAlign w:val="center"/>
                </w:tcPr>
                <w:p>
                  <w:pPr>
                    <w:jc w:val="center"/>
                    <w:rPr>
                      <w:b/>
                      <w:bCs/>
                    </w:rPr>
                  </w:pPr>
                  <w:r>
                    <w:rPr>
                      <w:b/>
                      <w:bCs/>
                    </w:rPr>
                    <w:t>环境管控单元名称</w:t>
                  </w:r>
                </w:p>
              </w:tc>
              <w:tc>
                <w:tcPr>
                  <w:tcW w:w="296" w:type="pct"/>
                  <w:vAlign w:val="center"/>
                </w:tcPr>
                <w:p>
                  <w:pPr>
                    <w:jc w:val="center"/>
                    <w:rPr>
                      <w:b/>
                      <w:bCs/>
                    </w:rPr>
                  </w:pPr>
                  <w:r>
                    <w:rPr>
                      <w:b/>
                      <w:bCs/>
                    </w:rPr>
                    <w:t>区县</w:t>
                  </w:r>
                </w:p>
              </w:tc>
              <w:tc>
                <w:tcPr>
                  <w:tcW w:w="365" w:type="pct"/>
                  <w:gridSpan w:val="2"/>
                  <w:vAlign w:val="center"/>
                </w:tcPr>
                <w:p>
                  <w:pPr>
                    <w:jc w:val="center"/>
                    <w:rPr>
                      <w:b/>
                      <w:bCs/>
                    </w:rPr>
                  </w:pPr>
                  <w:r>
                    <w:rPr>
                      <w:b/>
                      <w:bCs/>
                    </w:rPr>
                    <w:t>市（区）</w:t>
                  </w:r>
                </w:p>
              </w:tc>
              <w:tc>
                <w:tcPr>
                  <w:tcW w:w="353" w:type="pct"/>
                  <w:gridSpan w:val="2"/>
                  <w:vAlign w:val="center"/>
                </w:tcPr>
                <w:p>
                  <w:pPr>
                    <w:jc w:val="center"/>
                    <w:rPr>
                      <w:b/>
                      <w:bCs/>
                    </w:rPr>
                  </w:pPr>
                  <w:r>
                    <w:rPr>
                      <w:b/>
                      <w:bCs/>
                    </w:rPr>
                    <w:t>单元要素属性</w:t>
                  </w:r>
                </w:p>
              </w:tc>
              <w:tc>
                <w:tcPr>
                  <w:tcW w:w="1733" w:type="pct"/>
                  <w:gridSpan w:val="2"/>
                  <w:vAlign w:val="center"/>
                </w:tcPr>
                <w:p>
                  <w:pPr>
                    <w:jc w:val="center"/>
                    <w:rPr>
                      <w:b/>
                      <w:bCs/>
                    </w:rPr>
                  </w:pPr>
                  <w:r>
                    <w:rPr>
                      <w:b/>
                      <w:bCs/>
                    </w:rPr>
                    <w:t>管控要求</w:t>
                  </w:r>
                </w:p>
              </w:tc>
              <w:tc>
                <w:tcPr>
                  <w:tcW w:w="1519" w:type="pct"/>
                  <w:gridSpan w:val="2"/>
                  <w:vAlign w:val="center"/>
                </w:tcPr>
                <w:p>
                  <w:pPr>
                    <w:jc w:val="center"/>
                    <w:rPr>
                      <w:b/>
                      <w:bCs/>
                    </w:rPr>
                  </w:pPr>
                  <w:r>
                    <w:rPr>
                      <w:b/>
                      <w:bCs/>
                    </w:rPr>
                    <w:t>项目情况</w:t>
                  </w:r>
                </w:p>
              </w:tc>
              <w:tc>
                <w:tcPr>
                  <w:tcW w:w="357" w:type="pct"/>
                  <w:vAlign w:val="center"/>
                </w:tcPr>
                <w:p>
                  <w:pPr>
                    <w:jc w:val="center"/>
                    <w:rPr>
                      <w:b/>
                      <w:bCs/>
                    </w:rPr>
                  </w:pPr>
                  <w:r>
                    <w:rPr>
                      <w:b/>
                      <w:bCs/>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88" w:type="pct"/>
                  <w:gridSpan w:val="7"/>
                  <w:vMerge w:val="restart"/>
                  <w:vAlign w:val="center"/>
                </w:tcPr>
                <w:p>
                  <w:r>
                    <w:rPr>
                      <w:rFonts w:hint="eastAsia"/>
                    </w:rPr>
                    <w:t>《陕西省“三线一单”生态环境管控单元对照分析报告》</w:t>
                  </w:r>
                </w:p>
              </w:tc>
              <w:tc>
                <w:tcPr>
                  <w:tcW w:w="358" w:type="pct"/>
                  <w:vAlign w:val="center"/>
                </w:tcPr>
                <w:p>
                  <w:r>
                    <w:rPr>
                      <w:kern w:val="0"/>
                      <w:szCs w:val="21"/>
                    </w:rPr>
                    <w:t>优先保护单元</w:t>
                  </w:r>
                </w:p>
              </w:tc>
              <w:tc>
                <w:tcPr>
                  <w:tcW w:w="1375" w:type="pct"/>
                  <w:vAlign w:val="center"/>
                </w:tcPr>
                <w:p>
                  <w:r>
                    <w:rPr>
                      <w:rFonts w:hint="eastAsia"/>
                    </w:rPr>
                    <w:t>包括生态保护红线、一般生态空间、水环境优先保护区、大气环境优先保护区等，以生态环境保护为主，禁止或限制大规模的工业发展、矿产等自然资源开发和城镇建设等。</w:t>
                  </w:r>
                </w:p>
              </w:tc>
              <w:tc>
                <w:tcPr>
                  <w:tcW w:w="1519" w:type="pct"/>
                  <w:gridSpan w:val="2"/>
                  <w:vMerge w:val="restart"/>
                  <w:vAlign w:val="center"/>
                </w:tcPr>
                <w:p>
                  <w:r>
                    <w:rPr>
                      <w:rFonts w:hint="eastAsia"/>
                    </w:rPr>
                    <w:t>本项目选址位于</w:t>
                  </w:r>
                  <w:r>
                    <w:rPr>
                      <w:rFonts w:hint="eastAsia"/>
                      <w:kern w:val="0"/>
                      <w:szCs w:val="21"/>
                    </w:rPr>
                    <w:t>西安市集贤产业园，根据陕西省“三线一单”生态环境管控单元对照分析报告，项目建址地属于生态环境管控单元中的重点管控单元（见附图5），不属于优先保护单元。项目为汽车零部件及配件制造项目，施工期和运营期采取相应的环保措施后，对环境影响较小。符合重点管控单元的要求。</w:t>
                  </w:r>
                </w:p>
              </w:tc>
              <w:tc>
                <w:tcPr>
                  <w:tcW w:w="357" w:type="pct"/>
                  <w:vAlign w:val="center"/>
                </w:tcPr>
                <w:p>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1388" w:type="pct"/>
                  <w:gridSpan w:val="7"/>
                  <w:vMerge w:val="continue"/>
                  <w:vAlign w:val="center"/>
                </w:tcPr>
                <w:p/>
              </w:tc>
              <w:tc>
                <w:tcPr>
                  <w:tcW w:w="358" w:type="pct"/>
                  <w:vAlign w:val="center"/>
                </w:tcPr>
                <w:p>
                  <w:pPr>
                    <w:rPr>
                      <w:kern w:val="0"/>
                      <w:szCs w:val="21"/>
                    </w:rPr>
                  </w:pPr>
                  <w:r>
                    <w:rPr>
                      <w:kern w:val="0"/>
                      <w:szCs w:val="21"/>
                    </w:rPr>
                    <w:t>重点管控单元</w:t>
                  </w:r>
                </w:p>
              </w:tc>
              <w:tc>
                <w:tcPr>
                  <w:tcW w:w="1375" w:type="pct"/>
                  <w:vAlign w:val="center"/>
                </w:tcPr>
                <w:p>
                  <w:r>
                    <w:rPr>
                      <w:rFonts w:hint="eastAsia"/>
                      <w:kern w:val="0"/>
                      <w:szCs w:val="21"/>
                    </w:rPr>
                    <w:t>包括城镇和工业园区 (集聚区)，人口密集、资源开发强度大、污染物排放强度高的区域，根据单元内水、大气、土壤、生态等环境要素的质量目标和管控要求，以及自然资源管控要求，综合确定准入、治理等环境管控清单。</w:t>
                  </w:r>
                </w:p>
              </w:tc>
              <w:tc>
                <w:tcPr>
                  <w:tcW w:w="1519" w:type="pct"/>
                  <w:gridSpan w:val="2"/>
                  <w:vMerge w:val="continue"/>
                  <w:vAlign w:val="center"/>
                </w:tcPr>
                <w:p>
                  <w:pPr>
                    <w:ind w:firstLine="480"/>
                    <w:jc w:val="center"/>
                  </w:pPr>
                </w:p>
              </w:tc>
              <w:tc>
                <w:tcPr>
                  <w:tcW w:w="357" w:type="pct"/>
                  <w:vAlign w:val="center"/>
                </w:tcPr>
                <w:p>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1388" w:type="pct"/>
                  <w:gridSpan w:val="7"/>
                  <w:vMerge w:val="continue"/>
                  <w:vAlign w:val="center"/>
                </w:tcPr>
                <w:p/>
              </w:tc>
              <w:tc>
                <w:tcPr>
                  <w:tcW w:w="358" w:type="pct"/>
                  <w:vAlign w:val="center"/>
                </w:tcPr>
                <w:p>
                  <w:pPr>
                    <w:rPr>
                      <w:kern w:val="0"/>
                      <w:szCs w:val="21"/>
                    </w:rPr>
                  </w:pPr>
                  <w:r>
                    <w:rPr>
                      <w:kern w:val="0"/>
                      <w:szCs w:val="21"/>
                    </w:rPr>
                    <w:t>一般管控单元</w:t>
                  </w:r>
                </w:p>
              </w:tc>
              <w:tc>
                <w:tcPr>
                  <w:tcW w:w="1375" w:type="pct"/>
                  <w:vAlign w:val="center"/>
                </w:tcPr>
                <w:p>
                  <w:pPr>
                    <w:rPr>
                      <w:kern w:val="0"/>
                      <w:szCs w:val="21"/>
                    </w:rPr>
                  </w:pPr>
                  <w:r>
                    <w:rPr>
                      <w:rFonts w:hint="eastAsia"/>
                      <w:kern w:val="0"/>
                      <w:szCs w:val="21"/>
                    </w:rPr>
                    <w:t>包括除优先保护单元和重点管控单元之外的其他区域，执行区域生态环境保护的基本要求。</w:t>
                  </w:r>
                </w:p>
              </w:tc>
              <w:tc>
                <w:tcPr>
                  <w:tcW w:w="1519" w:type="pct"/>
                  <w:gridSpan w:val="2"/>
                  <w:vMerge w:val="continue"/>
                  <w:vAlign w:val="center"/>
                </w:tcPr>
                <w:p>
                  <w:pPr>
                    <w:ind w:firstLine="480"/>
                    <w:jc w:val="center"/>
                  </w:pPr>
                </w:p>
              </w:tc>
              <w:tc>
                <w:tcPr>
                  <w:tcW w:w="357" w:type="pct"/>
                  <w:vAlign w:val="center"/>
                </w:tcPr>
                <w:p>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1388" w:type="pct"/>
                  <w:gridSpan w:val="7"/>
                  <w:vMerge w:val="restart"/>
                  <w:vAlign w:val="center"/>
                </w:tcPr>
                <w:p>
                  <w:pPr>
                    <w:jc w:val="center"/>
                  </w:pPr>
                  <w:r>
                    <w:rPr>
                      <w:rFonts w:hint="eastAsia"/>
                    </w:rPr>
                    <w:t>三线一单</w:t>
                  </w:r>
                </w:p>
              </w:tc>
              <w:tc>
                <w:tcPr>
                  <w:tcW w:w="358" w:type="pct"/>
                  <w:vAlign w:val="center"/>
                </w:tcPr>
                <w:p>
                  <w:pPr>
                    <w:autoSpaceDE w:val="0"/>
                    <w:autoSpaceDN w:val="0"/>
                    <w:adjustRightInd w:val="0"/>
                    <w:jc w:val="center"/>
                    <w:rPr>
                      <w:kern w:val="0"/>
                      <w:szCs w:val="21"/>
                    </w:rPr>
                  </w:pPr>
                  <w:r>
                    <w:rPr>
                      <w:kern w:val="0"/>
                      <w:szCs w:val="21"/>
                    </w:rPr>
                    <w:t>生态保护红线</w:t>
                  </w:r>
                </w:p>
              </w:tc>
              <w:tc>
                <w:tcPr>
                  <w:tcW w:w="2895" w:type="pct"/>
                  <w:gridSpan w:val="3"/>
                  <w:vAlign w:val="center"/>
                </w:tcPr>
                <w:p>
                  <w:pPr>
                    <w:widowControl/>
                    <w:spacing w:line="240" w:lineRule="atLeast"/>
                    <w:rPr>
                      <w:kern w:val="18"/>
                      <w:szCs w:val="21"/>
                    </w:rPr>
                  </w:pPr>
                  <w:r>
                    <w:rPr>
                      <w:rFonts w:hint="eastAsia"/>
                      <w:kern w:val="0"/>
                      <w:szCs w:val="21"/>
                    </w:rPr>
                    <w:t>本项目选址位于西安市集贤产业园，根据陕西省“三线一单”生态环境管控单元对照分析报告，项目建址地属于生态环境管控单元中的重点管控单元（见附图5），本项目不涉及生态保护红线。</w:t>
                  </w:r>
                </w:p>
              </w:tc>
              <w:tc>
                <w:tcPr>
                  <w:tcW w:w="357" w:type="pct"/>
                  <w:vAlign w:val="center"/>
                </w:tcPr>
                <w:p>
                  <w:pPr>
                    <w:widowControl/>
                    <w:spacing w:line="240" w:lineRule="atLeast"/>
                    <w:rPr>
                      <w:kern w:val="18"/>
                      <w:szCs w:val="21"/>
                    </w:rPr>
                  </w:pPr>
                  <w:r>
                    <w:rPr>
                      <w:kern w:val="18"/>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1388" w:type="pct"/>
                  <w:gridSpan w:val="7"/>
                  <w:vMerge w:val="continue"/>
                </w:tcPr>
                <w:p/>
              </w:tc>
              <w:tc>
                <w:tcPr>
                  <w:tcW w:w="358" w:type="pct"/>
                  <w:vAlign w:val="center"/>
                </w:tcPr>
                <w:p>
                  <w:pPr>
                    <w:autoSpaceDE w:val="0"/>
                    <w:autoSpaceDN w:val="0"/>
                    <w:adjustRightInd w:val="0"/>
                    <w:jc w:val="center"/>
                    <w:rPr>
                      <w:kern w:val="0"/>
                      <w:szCs w:val="21"/>
                    </w:rPr>
                  </w:pPr>
                  <w:r>
                    <w:rPr>
                      <w:kern w:val="0"/>
                      <w:szCs w:val="21"/>
                    </w:rPr>
                    <w:t>环境质量底线</w:t>
                  </w:r>
                </w:p>
              </w:tc>
              <w:tc>
                <w:tcPr>
                  <w:tcW w:w="2895" w:type="pct"/>
                  <w:gridSpan w:val="3"/>
                  <w:vAlign w:val="center"/>
                </w:tcPr>
                <w:p>
                  <w:pPr>
                    <w:widowControl/>
                    <w:spacing w:line="240" w:lineRule="atLeast"/>
                    <w:rPr>
                      <w:kern w:val="18"/>
                      <w:szCs w:val="21"/>
                    </w:rPr>
                  </w:pPr>
                  <w:r>
                    <w:rPr>
                      <w:rFonts w:hint="eastAsia"/>
                      <w:kern w:val="0"/>
                      <w:szCs w:val="21"/>
                    </w:rPr>
                    <w:t>经现状调查，项目区域现状环境空气质量、声环境质量、地表水环境质量均满足相应环境质量目标，现状良好。本项目排放的废气、废水、噪声等，经采取各项污染防治措施后，对区域环境贡献值较小，满足区域各项功能区要求，不涉及环境质量底线。因此，项目建设符合环境质量底线要求。</w:t>
                  </w:r>
                </w:p>
              </w:tc>
              <w:tc>
                <w:tcPr>
                  <w:tcW w:w="357" w:type="pct"/>
                  <w:vAlign w:val="center"/>
                </w:tcPr>
                <w:p>
                  <w:pPr>
                    <w:widowControl/>
                    <w:spacing w:line="240" w:lineRule="atLeast"/>
                    <w:rPr>
                      <w:kern w:val="18"/>
                      <w:szCs w:val="21"/>
                    </w:rPr>
                  </w:pPr>
                  <w:r>
                    <w:rPr>
                      <w:kern w:val="18"/>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1388" w:type="pct"/>
                  <w:gridSpan w:val="7"/>
                  <w:vMerge w:val="continue"/>
                </w:tcPr>
                <w:p/>
              </w:tc>
              <w:tc>
                <w:tcPr>
                  <w:tcW w:w="358" w:type="pct"/>
                  <w:vAlign w:val="center"/>
                </w:tcPr>
                <w:p>
                  <w:pPr>
                    <w:autoSpaceDE w:val="0"/>
                    <w:autoSpaceDN w:val="0"/>
                    <w:adjustRightInd w:val="0"/>
                    <w:jc w:val="center"/>
                    <w:rPr>
                      <w:kern w:val="0"/>
                      <w:szCs w:val="21"/>
                    </w:rPr>
                  </w:pPr>
                  <w:r>
                    <w:rPr>
                      <w:kern w:val="0"/>
                      <w:szCs w:val="21"/>
                    </w:rPr>
                    <w:t>资源利用上线</w:t>
                  </w:r>
                </w:p>
              </w:tc>
              <w:tc>
                <w:tcPr>
                  <w:tcW w:w="2895" w:type="pct"/>
                  <w:gridSpan w:val="3"/>
                  <w:vAlign w:val="center"/>
                </w:tcPr>
                <w:p>
                  <w:pPr>
                    <w:widowControl/>
                    <w:spacing w:line="240" w:lineRule="atLeast"/>
                    <w:rPr>
                      <w:kern w:val="18"/>
                      <w:szCs w:val="21"/>
                    </w:rPr>
                  </w:pPr>
                  <w:r>
                    <w:rPr>
                      <w:rFonts w:hint="eastAsia"/>
                      <w:kern w:val="0"/>
                      <w:szCs w:val="21"/>
                    </w:rPr>
                    <w:t>本项目选址位于西安市集贤产业园内，项目用水为市政给水，用电为市政供电；运营期消耗一定的电、水资源，消耗量较少，不触及资源利用上线。</w:t>
                  </w:r>
                </w:p>
              </w:tc>
              <w:tc>
                <w:tcPr>
                  <w:tcW w:w="357" w:type="pct"/>
                  <w:vAlign w:val="center"/>
                </w:tcPr>
                <w:p>
                  <w:pPr>
                    <w:widowControl/>
                    <w:spacing w:line="240" w:lineRule="atLeast"/>
                    <w:rPr>
                      <w:kern w:val="18"/>
                      <w:szCs w:val="21"/>
                    </w:rPr>
                  </w:pPr>
                  <w:r>
                    <w:rPr>
                      <w:kern w:val="18"/>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1388" w:type="pct"/>
                  <w:gridSpan w:val="7"/>
                  <w:vMerge w:val="continue"/>
                </w:tcPr>
                <w:p/>
              </w:tc>
              <w:tc>
                <w:tcPr>
                  <w:tcW w:w="358" w:type="pct"/>
                  <w:vAlign w:val="center"/>
                </w:tcPr>
                <w:p>
                  <w:pPr>
                    <w:autoSpaceDE w:val="0"/>
                    <w:autoSpaceDN w:val="0"/>
                    <w:adjustRightInd w:val="0"/>
                    <w:jc w:val="center"/>
                    <w:rPr>
                      <w:kern w:val="0"/>
                      <w:szCs w:val="21"/>
                    </w:rPr>
                  </w:pPr>
                  <w:r>
                    <w:rPr>
                      <w:rFonts w:hint="eastAsia"/>
                      <w:kern w:val="0"/>
                      <w:szCs w:val="21"/>
                    </w:rPr>
                    <w:t>准入清单</w:t>
                  </w:r>
                </w:p>
              </w:tc>
              <w:tc>
                <w:tcPr>
                  <w:tcW w:w="2895" w:type="pct"/>
                  <w:gridSpan w:val="3"/>
                  <w:vAlign w:val="center"/>
                </w:tcPr>
                <w:p>
                  <w:pPr>
                    <w:widowControl/>
                    <w:spacing w:line="240" w:lineRule="atLeast"/>
                    <w:rPr>
                      <w:kern w:val="18"/>
                      <w:szCs w:val="21"/>
                    </w:rPr>
                  </w:pPr>
                  <w:r>
                    <w:rPr>
                      <w:rFonts w:hint="eastAsia"/>
                      <w:kern w:val="0"/>
                      <w:szCs w:val="21"/>
                    </w:rPr>
                    <w:t>本项目属于汽车零部件及配件制造业，根据《产业结构调整指导目录（2024年本）》，本项目不属于其中限制类和淘汰类，属于鼓励类建设项目。因此，项目建设符合国家产业政策</w:t>
                  </w:r>
                  <w:r>
                    <w:rPr>
                      <w:kern w:val="0"/>
                      <w:szCs w:val="21"/>
                    </w:rPr>
                    <w:t>。</w:t>
                  </w:r>
                </w:p>
              </w:tc>
              <w:tc>
                <w:tcPr>
                  <w:tcW w:w="357" w:type="pct"/>
                  <w:vAlign w:val="center"/>
                </w:tcPr>
                <w:p>
                  <w:pPr>
                    <w:widowControl/>
                    <w:spacing w:line="240" w:lineRule="atLeast"/>
                    <w:rPr>
                      <w:kern w:val="18"/>
                      <w:szCs w:val="21"/>
                    </w:rPr>
                  </w:pPr>
                  <w:r>
                    <w:rPr>
                      <w:rFonts w:hint="eastAsia"/>
                      <w:kern w:val="18"/>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346" w:type="pct"/>
                  <w:vMerge w:val="restart"/>
                  <w:vAlign w:val="center"/>
                </w:tcPr>
                <w:p>
                  <w:r>
                    <w:t>周至县集贤产业园</w:t>
                  </w:r>
                </w:p>
              </w:tc>
              <w:tc>
                <w:tcPr>
                  <w:tcW w:w="346" w:type="pct"/>
                  <w:gridSpan w:val="3"/>
                  <w:vMerge w:val="restart"/>
                  <w:vAlign w:val="center"/>
                </w:tcPr>
                <w:p>
                  <w:r>
                    <w:t>西安市</w:t>
                  </w:r>
                </w:p>
              </w:tc>
              <w:tc>
                <w:tcPr>
                  <w:tcW w:w="346" w:type="pct"/>
                  <w:gridSpan w:val="2"/>
                  <w:vMerge w:val="restart"/>
                  <w:vAlign w:val="center"/>
                </w:tcPr>
                <w:p>
                  <w:r>
                    <w:t>周至县</w:t>
                  </w:r>
                </w:p>
              </w:tc>
              <w:tc>
                <w:tcPr>
                  <w:tcW w:w="347" w:type="pct"/>
                  <w:vAlign w:val="center"/>
                </w:tcPr>
                <w:p>
                  <w:r>
                    <w:t>大气环境高排放重点管控区、水环境农业污染重点管控区、生态用水补给区管控分区、土地资源重点管控区、高污染燃料禁燃区、周至县集贤产业园区</w:t>
                  </w:r>
                </w:p>
              </w:tc>
              <w:tc>
                <w:tcPr>
                  <w:tcW w:w="358" w:type="pct"/>
                  <w:vAlign w:val="center"/>
                </w:tcPr>
                <w:p>
                  <w:r>
                    <w:t>空间布局约束</w:t>
                  </w:r>
                </w:p>
              </w:tc>
              <w:tc>
                <w:tcPr>
                  <w:tcW w:w="1447" w:type="pct"/>
                  <w:gridSpan w:val="2"/>
                  <w:vAlign w:val="center"/>
                </w:tcPr>
                <w:p>
                  <w:r>
                    <w:t>大气环境高排放重点管控区：1.调整结构强化领域绿色低碳发展。2.严禁新增钢铁、焦化、水泥熟料、平板玻璃、电解铝、氧化铝、煤化工产能，严控新增炼油产能。周至县集贤产业园区 1.禁止不符合规划产业结构和国家产业政策的企业入园。2.执行西安市生态环境要素分区总体准入清单中“5.2 大气环境高排放重点管控区”准入要求。3.执行西安市生态环境要素分区总体准入清单中“5.5 水环境农业污染重点管控区”准入要求。4.农用地优先保护区执行西安市生态环境要素分区总体准入清单中“4.2 农用地优先保护区”准入要求。5.农用地污染风险重点管控区执行西安市生态环境要素分区总体准入清单中“5.7 农用地污染风险重点管控区”准入要求。</w:t>
                  </w:r>
                </w:p>
              </w:tc>
              <w:tc>
                <w:tcPr>
                  <w:tcW w:w="1447" w:type="pct"/>
                  <w:vAlign w:val="center"/>
                </w:tcPr>
                <w:p>
                  <w:r>
                    <w:t>本项目为汽车零部件制造，不属于钢铁、焦化、水泥熟料、平板玻璃、电解铝、氧化铝、煤化工，符合规划产业结构和国家产业政策的企业</w:t>
                  </w:r>
                </w:p>
              </w:tc>
              <w:tc>
                <w:tcPr>
                  <w:tcW w:w="357" w:type="pct"/>
                  <w:vAlign w:val="center"/>
                </w:tcPr>
                <w:p>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346" w:type="pct"/>
                  <w:vMerge w:val="continue"/>
                  <w:vAlign w:val="center"/>
                </w:tcPr>
                <w:p>
                  <w:pPr>
                    <w:ind w:firstLine="480"/>
                    <w:jc w:val="center"/>
                  </w:pPr>
                </w:p>
              </w:tc>
              <w:tc>
                <w:tcPr>
                  <w:tcW w:w="346" w:type="pct"/>
                  <w:gridSpan w:val="3"/>
                  <w:vMerge w:val="continue"/>
                  <w:vAlign w:val="center"/>
                </w:tcPr>
                <w:p>
                  <w:pPr>
                    <w:ind w:firstLine="480"/>
                    <w:jc w:val="center"/>
                  </w:pPr>
                </w:p>
              </w:tc>
              <w:tc>
                <w:tcPr>
                  <w:tcW w:w="346" w:type="pct"/>
                  <w:gridSpan w:val="2"/>
                  <w:vMerge w:val="continue"/>
                  <w:vAlign w:val="center"/>
                </w:tcPr>
                <w:p>
                  <w:pPr>
                    <w:ind w:firstLine="480"/>
                    <w:jc w:val="center"/>
                  </w:pPr>
                </w:p>
              </w:tc>
              <w:tc>
                <w:tcPr>
                  <w:tcW w:w="347" w:type="pct"/>
                  <w:vAlign w:val="center"/>
                </w:tcPr>
                <w:p>
                  <w:pPr>
                    <w:ind w:firstLine="480"/>
                    <w:jc w:val="center"/>
                  </w:pPr>
                </w:p>
              </w:tc>
              <w:tc>
                <w:tcPr>
                  <w:tcW w:w="358" w:type="pct"/>
                  <w:vAlign w:val="center"/>
                </w:tcPr>
                <w:p>
                  <w:r>
                    <w:t>污染物排放管控</w:t>
                  </w:r>
                </w:p>
              </w:tc>
              <w:tc>
                <w:tcPr>
                  <w:tcW w:w="1447" w:type="pct"/>
                  <w:gridSpan w:val="2"/>
                  <w:vAlign w:val="center"/>
                </w:tcPr>
                <w:p>
                  <w:r>
                    <w:t>大气环境高排放重点管控区：1.实施重点行业氮氧化物等污染物深度治理。探索研究开展水泥行业超低排放改造。加强自备燃煤机组污染治理设施运行管控，确保超低排放运行。针对铸造、铁合金、焦化、水泥、砖瓦、石灰、耐火材料、有色金属冶炼等行业严格控制物料储存、输送及生产工艺过程中无组织排放。2.在工业园区、企业集群推广建设涉挥发性有机物“绿岛”项目。在工业涂装和包装印刷等行业全面推进源头替代，严格落实国家和地方产品挥发性有机物含量限值质量标准</w:t>
                  </w:r>
                </w:p>
              </w:tc>
              <w:tc>
                <w:tcPr>
                  <w:tcW w:w="1447" w:type="pct"/>
                  <w:vAlign w:val="center"/>
                </w:tcPr>
                <w:p>
                  <w:r>
                    <w:rPr>
                      <w:rFonts w:hint="eastAsia"/>
                    </w:rPr>
                    <w:t>本项目无氮氧化物排放，</w:t>
                  </w:r>
                  <w:r>
                    <w:rPr>
                      <w:rFonts w:hint="eastAsia"/>
                      <w:kern w:val="0"/>
                      <w:szCs w:val="21"/>
                    </w:rPr>
                    <w:t>属于汽车零部件及配件制造，</w:t>
                  </w:r>
                  <w:r>
                    <w:t>不属于铸造、铁合金、焦化、水泥、砖瓦、石灰、耐火材料、有色金属冶炼等行业，</w:t>
                  </w:r>
                  <w:r>
                    <w:rPr>
                      <w:rFonts w:hint="eastAsia"/>
                    </w:rPr>
                    <w:t>也不属于</w:t>
                  </w:r>
                  <w:r>
                    <w:t>工业涂装和包装印刷等行业</w:t>
                  </w:r>
                  <w:r>
                    <w:rPr>
                      <w:rFonts w:hint="eastAsia"/>
                    </w:rPr>
                    <w:t>，</w:t>
                  </w:r>
                  <w:r>
                    <w:t>且严格落实国家和地方产品挥发性有机物含量限值质量标准</w:t>
                  </w:r>
                </w:p>
              </w:tc>
              <w:tc>
                <w:tcPr>
                  <w:tcW w:w="357" w:type="pct"/>
                  <w:vAlign w:val="center"/>
                </w:tcPr>
                <w:p>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346" w:type="pct"/>
                  <w:vMerge w:val="continue"/>
                  <w:vAlign w:val="center"/>
                </w:tcPr>
                <w:p>
                  <w:pPr>
                    <w:ind w:firstLine="480"/>
                    <w:jc w:val="center"/>
                  </w:pPr>
                </w:p>
              </w:tc>
              <w:tc>
                <w:tcPr>
                  <w:tcW w:w="346" w:type="pct"/>
                  <w:gridSpan w:val="3"/>
                  <w:vMerge w:val="continue"/>
                  <w:vAlign w:val="center"/>
                </w:tcPr>
                <w:p>
                  <w:pPr>
                    <w:ind w:firstLine="480"/>
                    <w:jc w:val="center"/>
                  </w:pPr>
                </w:p>
              </w:tc>
              <w:tc>
                <w:tcPr>
                  <w:tcW w:w="346" w:type="pct"/>
                  <w:gridSpan w:val="2"/>
                  <w:vMerge w:val="continue"/>
                  <w:vAlign w:val="center"/>
                </w:tcPr>
                <w:p>
                  <w:pPr>
                    <w:ind w:firstLine="480"/>
                    <w:jc w:val="center"/>
                  </w:pPr>
                </w:p>
              </w:tc>
              <w:tc>
                <w:tcPr>
                  <w:tcW w:w="347" w:type="pct"/>
                  <w:vAlign w:val="center"/>
                </w:tcPr>
                <w:p>
                  <w:pPr>
                    <w:ind w:firstLine="480"/>
                    <w:jc w:val="center"/>
                  </w:pPr>
                </w:p>
              </w:tc>
              <w:tc>
                <w:tcPr>
                  <w:tcW w:w="358" w:type="pct"/>
                  <w:vAlign w:val="center"/>
                </w:tcPr>
                <w:p>
                  <w:r>
                    <w:t>环境风险管控</w:t>
                  </w:r>
                </w:p>
              </w:tc>
              <w:tc>
                <w:tcPr>
                  <w:tcW w:w="1447" w:type="pct"/>
                  <w:gridSpan w:val="2"/>
                  <w:vAlign w:val="center"/>
                </w:tcPr>
                <w:p>
                  <w:r>
                    <w:t>周至县集贤产业园区 1.农用地污染风险重点管控区执行西安市生态环境要素分区总体准入清单中“5.7 农用地污染风险重点管控区”准入要求。</w:t>
                  </w:r>
                </w:p>
              </w:tc>
              <w:tc>
                <w:tcPr>
                  <w:tcW w:w="1447" w:type="pct"/>
                  <w:vAlign w:val="center"/>
                </w:tcPr>
                <w:p>
                  <w:r>
                    <w:t>本项目采取有效的风险防范、减缓措施，同时针对本项目可能发生的环境风险事故制定环境风险应急预案，强化安全生产管理，将环境风险纳入常态化管理，本项目环境风险可以接受。</w:t>
                  </w:r>
                </w:p>
              </w:tc>
              <w:tc>
                <w:tcPr>
                  <w:tcW w:w="357" w:type="pct"/>
                  <w:vAlign w:val="center"/>
                </w:tcPr>
                <w:p>
                  <w: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1" w:hRule="atLeast"/>
              </w:trPr>
              <w:tc>
                <w:tcPr>
                  <w:tcW w:w="346" w:type="pct"/>
                  <w:vMerge w:val="continue"/>
                  <w:vAlign w:val="center"/>
                </w:tcPr>
                <w:p>
                  <w:pPr>
                    <w:ind w:firstLine="480"/>
                    <w:jc w:val="center"/>
                  </w:pPr>
                </w:p>
              </w:tc>
              <w:tc>
                <w:tcPr>
                  <w:tcW w:w="346" w:type="pct"/>
                  <w:gridSpan w:val="3"/>
                  <w:vMerge w:val="continue"/>
                  <w:vAlign w:val="center"/>
                </w:tcPr>
                <w:p>
                  <w:pPr>
                    <w:ind w:firstLine="480"/>
                    <w:jc w:val="center"/>
                  </w:pPr>
                </w:p>
              </w:tc>
              <w:tc>
                <w:tcPr>
                  <w:tcW w:w="346" w:type="pct"/>
                  <w:gridSpan w:val="2"/>
                  <w:vMerge w:val="continue"/>
                  <w:vAlign w:val="center"/>
                </w:tcPr>
                <w:p>
                  <w:pPr>
                    <w:ind w:firstLine="480"/>
                    <w:jc w:val="center"/>
                  </w:pPr>
                </w:p>
              </w:tc>
              <w:tc>
                <w:tcPr>
                  <w:tcW w:w="347" w:type="pct"/>
                  <w:vAlign w:val="center"/>
                </w:tcPr>
                <w:p>
                  <w:pPr>
                    <w:ind w:firstLine="480"/>
                    <w:jc w:val="center"/>
                  </w:pPr>
                </w:p>
              </w:tc>
              <w:tc>
                <w:tcPr>
                  <w:tcW w:w="358" w:type="pct"/>
                  <w:vAlign w:val="center"/>
                </w:tcPr>
                <w:p>
                  <w:r>
                    <w:t>资源开发效率要求</w:t>
                  </w:r>
                </w:p>
              </w:tc>
              <w:tc>
                <w:tcPr>
                  <w:tcW w:w="1447" w:type="pct"/>
                  <w:gridSpan w:val="2"/>
                  <w:vAlign w:val="center"/>
                </w:tcPr>
                <w:p>
                  <w:r>
                    <w:t>土地资源重点管控区：1.按照布局集中、用地集约、产业集聚、效益集显的原则，重点依托省级以上开发区、县域工业集中区等，推进战略性新兴产业、先进制造业、生产性服务业等产业项目在工业产业区块内集中布局。严格控制在园区外安排新增工业用地。确需在园区外安排重大或有特殊工艺要求工业项目的，须加强科学论证。2.严格用地准入管理。严格执行自然资源开发利用限制和禁止目录、建设用地定额标准和市场准入负面清单。</w:t>
                  </w:r>
                </w:p>
              </w:tc>
              <w:tc>
                <w:tcPr>
                  <w:tcW w:w="1447" w:type="pct"/>
                  <w:vAlign w:val="center"/>
                </w:tcPr>
                <w:p>
                  <w:r>
                    <w:t>本项目位于</w:t>
                  </w:r>
                  <w:r>
                    <w:rPr>
                      <w:rFonts w:hint="eastAsia"/>
                    </w:rPr>
                    <w:t>西安市周至县</w:t>
                  </w:r>
                  <w:r>
                    <w:t>集贤产业园区</w:t>
                  </w:r>
                  <w:r>
                    <w:rPr>
                      <w:rFonts w:hint="eastAsia"/>
                    </w:rPr>
                    <w:t>，</w:t>
                  </w:r>
                  <w:r>
                    <w:t>利用现有厂房，不新增占地，布局集中、用地集约</w:t>
                  </w:r>
                  <w:r>
                    <w:rPr>
                      <w:rFonts w:hint="eastAsia"/>
                    </w:rPr>
                    <w:t>。</w:t>
                  </w:r>
                </w:p>
              </w:tc>
              <w:tc>
                <w:tcPr>
                  <w:tcW w:w="357" w:type="pct"/>
                  <w:vAlign w:val="center"/>
                </w:tcPr>
                <w:p>
                  <w:r>
                    <w:t>符合</w:t>
                  </w:r>
                </w:p>
              </w:tc>
            </w:tr>
          </w:tbl>
          <w:p>
            <w:pPr>
              <w:pStyle w:val="17"/>
              <w:ind w:firstLine="480"/>
              <w:rPr>
                <w:rFonts w:eastAsia="宋体"/>
                <w:kern w:val="0"/>
                <w:sz w:val="24"/>
                <w:lang w:val="zh-CN"/>
              </w:rPr>
            </w:pPr>
            <w:r>
              <w:rPr>
                <w:rFonts w:hint="eastAsia" w:eastAsia="宋体"/>
                <w:kern w:val="0"/>
                <w:sz w:val="24"/>
                <w:lang w:val="zh-CN"/>
              </w:rPr>
              <w:t>（</w:t>
            </w:r>
            <w:r>
              <w:rPr>
                <w:rFonts w:hint="eastAsia" w:eastAsia="宋体"/>
                <w:kern w:val="0"/>
                <w:sz w:val="24"/>
              </w:rPr>
              <w:t>3</w:t>
            </w:r>
            <w:r>
              <w:rPr>
                <w:rFonts w:hint="eastAsia" w:eastAsia="宋体"/>
                <w:kern w:val="0"/>
                <w:sz w:val="24"/>
                <w:lang w:val="zh-CN"/>
              </w:rPr>
              <w:t>）“一说明”：依据“一图”和“一表”结果，论证建设项目符合性的说明</w:t>
            </w:r>
          </w:p>
          <w:p>
            <w:pPr>
              <w:pStyle w:val="17"/>
              <w:ind w:firstLine="480"/>
              <w:rPr>
                <w:rFonts w:eastAsia="宋体"/>
                <w:kern w:val="0"/>
                <w:sz w:val="24"/>
                <w:lang w:val="zh-CN"/>
              </w:rPr>
            </w:pPr>
            <w:r>
              <w:rPr>
                <w:rFonts w:hint="eastAsia" w:eastAsia="宋体"/>
                <w:kern w:val="0"/>
                <w:sz w:val="24"/>
                <w:lang w:val="zh-CN"/>
              </w:rPr>
              <w:t>根据一图一表分析可知，本项目所在地位于陕西省西安市集贤产业园尚九路以西，108省道以北，属于重点管控单元，项目建设满足管控单元在空间布局约束、污染物排放管控等管控维度的要求。</w:t>
            </w:r>
          </w:p>
          <w:p>
            <w:pPr>
              <w:pStyle w:val="17"/>
              <w:ind w:firstLine="480"/>
              <w:rPr>
                <w:rFonts w:eastAsia="宋体"/>
                <w:kern w:val="0"/>
                <w:sz w:val="24"/>
                <w:lang w:val="zh-CN"/>
              </w:rPr>
            </w:pPr>
            <w:r>
              <w:rPr>
                <w:rFonts w:hint="eastAsia" w:eastAsia="宋体"/>
                <w:kern w:val="0"/>
                <w:sz w:val="24"/>
                <w:lang w:val="zh-CN"/>
              </w:rPr>
              <w:t>综上所述，本项目建设符合“三线一单”相关要求。</w:t>
            </w:r>
          </w:p>
          <w:p>
            <w:pPr>
              <w:ind w:firstLine="480"/>
            </w:pPr>
          </w:p>
        </w:tc>
      </w:tr>
    </w:tbl>
    <w:p>
      <w:pPr>
        <w:pStyle w:val="17"/>
        <w:ind w:firstLine="600"/>
        <w:rPr>
          <w:rFonts w:eastAsia="黑体"/>
          <w:sz w:val="30"/>
        </w:rPr>
      </w:pPr>
    </w:p>
    <w:p>
      <w:pPr>
        <w:ind w:firstLine="600"/>
        <w:rPr>
          <w:rFonts w:eastAsia="黑体"/>
          <w:sz w:val="30"/>
        </w:rPr>
        <w:sectPr>
          <w:footerReference r:id="rId6" w:type="default"/>
          <w:pgSz w:w="16838" w:h="11906" w:orient="landscape"/>
          <w:pgMar w:top="1531" w:right="1701" w:bottom="1531" w:left="1701" w:header="340" w:footer="1077" w:gutter="0"/>
          <w:pgNumType w:fmt="decimal" w:start="6"/>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4" w:hRule="atLeast"/>
        </w:trPr>
        <w:tc>
          <w:tcPr>
            <w:tcW w:w="1314" w:type="dxa"/>
          </w:tcPr>
          <w:p>
            <w:pPr>
              <w:pStyle w:val="17"/>
              <w:ind w:firstLine="560"/>
            </w:pPr>
          </w:p>
        </w:tc>
        <w:tc>
          <w:tcPr>
            <w:tcW w:w="7746" w:type="dxa"/>
          </w:tcPr>
          <w:p>
            <w:pPr>
              <w:pStyle w:val="17"/>
              <w:ind w:firstLine="0" w:firstLineChars="0"/>
              <w:rPr>
                <w:rFonts w:ascii="宋体" w:hAnsi="宋体" w:eastAsia="宋体" w:cs="宋体"/>
                <w:b/>
                <w:bCs/>
                <w:kern w:val="0"/>
                <w:sz w:val="24"/>
              </w:rPr>
            </w:pPr>
            <w:r>
              <w:rPr>
                <w:rFonts w:hint="eastAsia" w:ascii="宋体" w:hAnsi="宋体" w:eastAsia="宋体" w:cs="宋体"/>
                <w:b/>
                <w:bCs/>
                <w:kern w:val="0"/>
                <w:sz w:val="24"/>
              </w:rPr>
              <w:t>4、与相关环保政策符合性分析</w:t>
            </w:r>
          </w:p>
          <w:p>
            <w:pPr>
              <w:ind w:firstLine="482"/>
              <w:jc w:val="center"/>
              <w:rPr>
                <w:b/>
                <w:bCs/>
                <w:szCs w:val="21"/>
              </w:rPr>
            </w:pPr>
            <w:r>
              <w:rPr>
                <w:b/>
                <w:bCs/>
                <w:szCs w:val="21"/>
              </w:rPr>
              <w:t>表1-</w:t>
            </w:r>
            <w:r>
              <w:rPr>
                <w:rFonts w:hint="eastAsia"/>
                <w:b/>
                <w:bCs/>
                <w:szCs w:val="21"/>
              </w:rPr>
              <w:t>4</w:t>
            </w:r>
            <w:r>
              <w:rPr>
                <w:b/>
                <w:bCs/>
                <w:szCs w:val="21"/>
              </w:rPr>
              <w:t xml:space="preserve">  本项目与有关政策相符性分析</w:t>
            </w:r>
          </w:p>
          <w:tbl>
            <w:tblPr>
              <w:tblStyle w:val="18"/>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3132"/>
              <w:gridCol w:w="1908"/>
              <w:gridCol w:w="9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Align w:val="center"/>
                </w:tcPr>
                <w:p>
                  <w:pPr>
                    <w:jc w:val="center"/>
                    <w:rPr>
                      <w:b/>
                      <w:bCs/>
                      <w:color w:val="auto"/>
                      <w:szCs w:val="21"/>
                    </w:rPr>
                  </w:pPr>
                  <w:r>
                    <w:rPr>
                      <w:b/>
                      <w:bCs/>
                      <w:color w:val="auto"/>
                      <w:szCs w:val="21"/>
                    </w:rPr>
                    <w:t>文件名称</w:t>
                  </w:r>
                </w:p>
              </w:tc>
              <w:tc>
                <w:tcPr>
                  <w:tcW w:w="2079" w:type="pct"/>
                  <w:vAlign w:val="center"/>
                </w:tcPr>
                <w:p>
                  <w:pPr>
                    <w:jc w:val="center"/>
                    <w:rPr>
                      <w:b/>
                      <w:bCs/>
                      <w:color w:val="auto"/>
                      <w:szCs w:val="21"/>
                    </w:rPr>
                  </w:pPr>
                  <w:r>
                    <w:rPr>
                      <w:b/>
                      <w:bCs/>
                      <w:color w:val="auto"/>
                      <w:szCs w:val="21"/>
                    </w:rPr>
                    <w:t>文件内容</w:t>
                  </w:r>
                </w:p>
              </w:tc>
              <w:tc>
                <w:tcPr>
                  <w:tcW w:w="1266" w:type="pct"/>
                  <w:vAlign w:val="center"/>
                </w:tcPr>
                <w:p>
                  <w:pPr>
                    <w:jc w:val="center"/>
                    <w:rPr>
                      <w:b/>
                      <w:bCs/>
                      <w:color w:val="auto"/>
                      <w:szCs w:val="21"/>
                    </w:rPr>
                  </w:pPr>
                  <w:r>
                    <w:rPr>
                      <w:b/>
                      <w:bCs/>
                      <w:color w:val="auto"/>
                      <w:szCs w:val="21"/>
                    </w:rPr>
                    <w:t>项目情况</w:t>
                  </w:r>
                </w:p>
              </w:tc>
              <w:tc>
                <w:tcPr>
                  <w:tcW w:w="603" w:type="pct"/>
                  <w:vAlign w:val="center"/>
                </w:tcPr>
                <w:p>
                  <w:pPr>
                    <w:jc w:val="center"/>
                    <w:rPr>
                      <w:b/>
                      <w:bCs/>
                      <w:color w:val="auto"/>
                      <w:szCs w:val="21"/>
                    </w:rPr>
                  </w:pPr>
                  <w:r>
                    <w:rPr>
                      <w:b/>
                      <w:bCs/>
                      <w:color w:val="auto"/>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Align w:val="center"/>
                </w:tcPr>
                <w:p>
                  <w:pPr>
                    <w:rPr>
                      <w:color w:val="auto"/>
                      <w:szCs w:val="21"/>
                    </w:rPr>
                  </w:pPr>
                  <w:r>
                    <w:rPr>
                      <w:color w:val="auto"/>
                      <w:szCs w:val="21"/>
                    </w:rPr>
                    <w:t>《中华人民共和国大气污染防治法》（2018年10月26日修正版）</w:t>
                  </w:r>
                </w:p>
              </w:tc>
              <w:tc>
                <w:tcPr>
                  <w:tcW w:w="2079" w:type="pct"/>
                  <w:vAlign w:val="center"/>
                </w:tcPr>
                <w:p>
                  <w:pPr>
                    <w:rPr>
                      <w:color w:val="auto"/>
                      <w:szCs w:val="21"/>
                    </w:rPr>
                  </w:pPr>
                  <w:r>
                    <w:rPr>
                      <w:color w:val="auto"/>
                      <w:szCs w:val="21"/>
                    </w:rPr>
                    <w:t>产生含挥发性有机物废气的生产和服务活动，应当在密闭空间或者设备中进行，并按照规定安装、使用污染防治设施；无法密闭的，应当采取措施减少废气排放。</w:t>
                  </w:r>
                </w:p>
              </w:tc>
              <w:tc>
                <w:tcPr>
                  <w:tcW w:w="1266" w:type="pct"/>
                  <w:vAlign w:val="center"/>
                </w:tcPr>
                <w:p>
                  <w:pPr>
                    <w:rPr>
                      <w:color w:val="auto"/>
                      <w:szCs w:val="21"/>
                    </w:rPr>
                  </w:pPr>
                  <w:r>
                    <w:rPr>
                      <w:color w:val="auto"/>
                      <w:szCs w:val="21"/>
                    </w:rPr>
                    <w:t>本项目发泡</w:t>
                  </w:r>
                  <w:r>
                    <w:rPr>
                      <w:rFonts w:hint="eastAsia"/>
                      <w:color w:val="auto"/>
                      <w:szCs w:val="21"/>
                    </w:rPr>
                    <w:t>工序、模压工序</w:t>
                  </w:r>
                  <w:r>
                    <w:rPr>
                      <w:color w:val="auto"/>
                      <w:szCs w:val="21"/>
                    </w:rPr>
                    <w:t>，产生的有机废气经</w:t>
                  </w:r>
                  <w:r>
                    <w:rPr>
                      <w:rFonts w:hint="eastAsia"/>
                      <w:color w:val="auto"/>
                      <w:szCs w:val="21"/>
                    </w:rPr>
                    <w:t>集气罩收集</w:t>
                  </w:r>
                  <w:r>
                    <w:rPr>
                      <w:color w:val="auto"/>
                      <w:szCs w:val="21"/>
                    </w:rPr>
                    <w:t>后由干式过滤器+二级活性炭过滤装置处理后，经15m排气筒排放。</w:t>
                  </w:r>
                </w:p>
              </w:tc>
              <w:tc>
                <w:tcPr>
                  <w:tcW w:w="603" w:type="pct"/>
                  <w:vAlign w:val="center"/>
                </w:tcPr>
                <w:p>
                  <w:pPr>
                    <w:rPr>
                      <w:color w:val="auto"/>
                      <w:szCs w:val="21"/>
                    </w:rPr>
                  </w:pPr>
                  <w:r>
                    <w:rPr>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restart"/>
                  <w:vAlign w:val="center"/>
                </w:tcPr>
                <w:p>
                  <w:pPr>
                    <w:rPr>
                      <w:color w:val="auto"/>
                      <w:szCs w:val="21"/>
                    </w:rPr>
                  </w:pPr>
                  <w:r>
                    <w:rPr>
                      <w:color w:val="auto"/>
                      <w:szCs w:val="21"/>
                    </w:rPr>
                    <w:t>《挥发性有机物（VOCs）污染防治技术政策》（公告 2013年 第31号）</w:t>
                  </w:r>
                </w:p>
              </w:tc>
              <w:tc>
                <w:tcPr>
                  <w:tcW w:w="2079" w:type="pct"/>
                  <w:vAlign w:val="center"/>
                </w:tcPr>
                <w:p>
                  <w:pPr>
                    <w:pStyle w:val="40"/>
                    <w:jc w:val="both"/>
                    <w:rPr>
                      <w:color w:val="auto"/>
                      <w:szCs w:val="21"/>
                    </w:rPr>
                  </w:pPr>
                  <w:r>
                    <w:rPr>
                      <w:color w:val="auto"/>
                      <w:szCs w:val="21"/>
                    </w:rPr>
                    <w:t>本技术政策提出了生产VOCs物料和含VOCs产品的生产、储存运输销售、使用、消费各环节的污染防治策略和方法。VOCs来源广泛，主要污染源包括工业源、生活源。</w:t>
                  </w:r>
                </w:p>
                <w:p>
                  <w:pPr>
                    <w:pStyle w:val="40"/>
                    <w:jc w:val="both"/>
                    <w:rPr>
                      <w:color w:val="auto"/>
                      <w:szCs w:val="21"/>
                    </w:rPr>
                  </w:pPr>
                  <w:r>
                    <w:rPr>
                      <w:color w:val="auto"/>
                      <w:szCs w:val="21"/>
                    </w:rPr>
                    <w:t>工业源主要包括石油炼制与石油化工、煤炭加工与转化等含VOCs原料的生产行业，油类（燃油、溶剂等）储存、运输和销售过程，涂料、油墨、胶粘剂、农药等以VOCs为原料的生产行业，涂装、印刷、粘合、工业清洗等含VOCs产品的使用过程，生活源包括建筑装饰装修、餐饮服务和服装干洗。</w:t>
                  </w:r>
                </w:p>
              </w:tc>
              <w:tc>
                <w:tcPr>
                  <w:tcW w:w="1266" w:type="pct"/>
                  <w:vAlign w:val="center"/>
                </w:tcPr>
                <w:p>
                  <w:pPr>
                    <w:rPr>
                      <w:color w:val="auto"/>
                      <w:szCs w:val="21"/>
                    </w:rPr>
                  </w:pPr>
                  <w:r>
                    <w:rPr>
                      <w:color w:val="auto"/>
                      <w:szCs w:val="21"/>
                    </w:rPr>
                    <w:t>本项目不属于以上行业，产生有机废气的过程主要为发泡过程产生的有机废气</w:t>
                  </w:r>
                  <w:r>
                    <w:rPr>
                      <w:rFonts w:hint="eastAsia"/>
                      <w:color w:val="auto"/>
                      <w:szCs w:val="21"/>
                    </w:rPr>
                    <w:t>、模压工序产生的模压加热有机废气，</w:t>
                  </w:r>
                  <w:r>
                    <w:rPr>
                      <w:color w:val="auto"/>
                      <w:szCs w:val="21"/>
                    </w:rPr>
                    <w:t>参考以上行业对有机废气进行处理。</w:t>
                  </w:r>
                </w:p>
              </w:tc>
              <w:tc>
                <w:tcPr>
                  <w:tcW w:w="603" w:type="pct"/>
                  <w:vAlign w:val="center"/>
                </w:tcPr>
                <w:p>
                  <w:pPr>
                    <w:rPr>
                      <w:color w:val="auto"/>
                      <w:szCs w:val="21"/>
                    </w:rPr>
                  </w:pPr>
                  <w:r>
                    <w:rPr>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continue"/>
                  <w:vAlign w:val="center"/>
                </w:tcPr>
                <w:p>
                  <w:pPr>
                    <w:ind w:firstLine="480"/>
                    <w:jc w:val="center"/>
                    <w:rPr>
                      <w:color w:val="auto"/>
                      <w:szCs w:val="21"/>
                    </w:rPr>
                  </w:pPr>
                </w:p>
              </w:tc>
              <w:tc>
                <w:tcPr>
                  <w:tcW w:w="2079" w:type="pct"/>
                  <w:vAlign w:val="center"/>
                </w:tcPr>
                <w:p>
                  <w:pPr>
                    <w:pStyle w:val="40"/>
                    <w:jc w:val="both"/>
                    <w:rPr>
                      <w:color w:val="auto"/>
                      <w:szCs w:val="21"/>
                    </w:rPr>
                  </w:pPr>
                  <w:r>
                    <w:rPr>
                      <w:color w:val="auto"/>
                      <w:szCs w:val="21"/>
                    </w:rPr>
                    <w:t>含VOC</w:t>
                  </w:r>
                  <w:r>
                    <w:rPr>
                      <w:color w:val="auto"/>
                      <w:szCs w:val="21"/>
                      <w:vertAlign w:val="subscript"/>
                    </w:rPr>
                    <w:t>S</w:t>
                  </w:r>
                  <w:r>
                    <w:rPr>
                      <w:color w:val="auto"/>
                      <w:szCs w:val="21"/>
                    </w:rPr>
                    <w:t>产品的使用过程中，应采取废气收集措施，提高废气收集效率，减少废气的无组织排放与逸散，并对收集后的废气进行回收或处理后达标排放。</w:t>
                  </w:r>
                </w:p>
              </w:tc>
              <w:tc>
                <w:tcPr>
                  <w:tcW w:w="1266" w:type="pct"/>
                  <w:vAlign w:val="center"/>
                </w:tcPr>
                <w:p>
                  <w:pPr>
                    <w:rPr>
                      <w:color w:val="auto"/>
                      <w:szCs w:val="21"/>
                    </w:rPr>
                  </w:pPr>
                  <w:r>
                    <w:rPr>
                      <w:color w:val="auto"/>
                      <w:szCs w:val="21"/>
                    </w:rPr>
                    <w:t>本项目发泡</w:t>
                  </w:r>
                  <w:r>
                    <w:rPr>
                      <w:rFonts w:hint="eastAsia"/>
                      <w:color w:val="auto"/>
                      <w:szCs w:val="21"/>
                    </w:rPr>
                    <w:t>工序、模压工序</w:t>
                  </w:r>
                  <w:r>
                    <w:rPr>
                      <w:color w:val="auto"/>
                      <w:szCs w:val="21"/>
                    </w:rPr>
                    <w:t>产生的有机废气经</w:t>
                  </w:r>
                  <w:r>
                    <w:rPr>
                      <w:rFonts w:hint="eastAsia"/>
                      <w:color w:val="auto"/>
                      <w:szCs w:val="21"/>
                    </w:rPr>
                    <w:t>集气罩</w:t>
                  </w:r>
                  <w:r>
                    <w:rPr>
                      <w:color w:val="auto"/>
                      <w:szCs w:val="21"/>
                    </w:rPr>
                    <w:t>收集后由干式过滤器+二级活性炭过滤装置处理后，经15m排气筒排放。</w:t>
                  </w:r>
                </w:p>
              </w:tc>
              <w:tc>
                <w:tcPr>
                  <w:tcW w:w="603" w:type="pct"/>
                  <w:vAlign w:val="center"/>
                </w:tcPr>
                <w:p>
                  <w:pPr>
                    <w:rPr>
                      <w:color w:val="auto"/>
                      <w:szCs w:val="21"/>
                    </w:rPr>
                  </w:pPr>
                  <w:r>
                    <w:rPr>
                      <w:rFonts w:hint="eastAsia"/>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continue"/>
                  <w:vAlign w:val="center"/>
                </w:tcPr>
                <w:p>
                  <w:pPr>
                    <w:ind w:firstLine="480"/>
                    <w:jc w:val="center"/>
                    <w:rPr>
                      <w:color w:val="auto"/>
                      <w:szCs w:val="21"/>
                    </w:rPr>
                  </w:pPr>
                </w:p>
              </w:tc>
              <w:tc>
                <w:tcPr>
                  <w:tcW w:w="2079" w:type="pct"/>
                  <w:vAlign w:val="center"/>
                </w:tcPr>
                <w:p>
                  <w:pPr>
                    <w:rPr>
                      <w:color w:val="auto"/>
                      <w:szCs w:val="21"/>
                    </w:rPr>
                  </w:pPr>
                  <w:r>
                    <w:rPr>
                      <w:color w:val="auto"/>
                      <w:szCs w:val="21"/>
                    </w:rPr>
                    <w:t>对于不能再生的过滤材料、吸附剂及催化剂等净化材料，应按照国家固体废物管理的相关规定处理处置。</w:t>
                  </w:r>
                </w:p>
              </w:tc>
              <w:tc>
                <w:tcPr>
                  <w:tcW w:w="1266" w:type="pct"/>
                  <w:vAlign w:val="center"/>
                </w:tcPr>
                <w:p>
                  <w:pPr>
                    <w:rPr>
                      <w:color w:val="auto"/>
                      <w:szCs w:val="21"/>
                    </w:rPr>
                  </w:pPr>
                  <w:r>
                    <w:rPr>
                      <w:color w:val="auto"/>
                      <w:szCs w:val="21"/>
                    </w:rPr>
                    <w:t>本项目产生的废活性炭等危险废物委托有资质单位定期</w:t>
                  </w:r>
                  <w:r>
                    <w:rPr>
                      <w:rFonts w:hint="eastAsia"/>
                      <w:color w:val="auto"/>
                      <w:szCs w:val="21"/>
                    </w:rPr>
                    <w:t>回收</w:t>
                  </w:r>
                  <w:r>
                    <w:rPr>
                      <w:color w:val="auto"/>
                      <w:szCs w:val="21"/>
                    </w:rPr>
                    <w:t>处置。</w:t>
                  </w:r>
                </w:p>
              </w:tc>
              <w:tc>
                <w:tcPr>
                  <w:tcW w:w="603" w:type="pct"/>
                  <w:vAlign w:val="center"/>
                </w:tcPr>
                <w:p>
                  <w:pPr>
                    <w:rPr>
                      <w:color w:val="auto"/>
                      <w:szCs w:val="21"/>
                    </w:rPr>
                  </w:pPr>
                  <w:r>
                    <w:rPr>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continue"/>
                  <w:vAlign w:val="center"/>
                </w:tcPr>
                <w:p>
                  <w:pPr>
                    <w:ind w:firstLine="480"/>
                    <w:jc w:val="center"/>
                    <w:rPr>
                      <w:color w:val="auto"/>
                      <w:szCs w:val="21"/>
                    </w:rPr>
                  </w:pPr>
                </w:p>
              </w:tc>
              <w:tc>
                <w:tcPr>
                  <w:tcW w:w="2079" w:type="pct"/>
                  <w:vAlign w:val="center"/>
                </w:tcPr>
                <w:p>
                  <w:pPr>
                    <w:rPr>
                      <w:color w:val="auto"/>
                      <w:szCs w:val="21"/>
                    </w:rPr>
                  </w:pPr>
                  <w:r>
                    <w:rPr>
                      <w:color w:val="auto"/>
                      <w:szCs w:val="21"/>
                    </w:rPr>
                    <w:t>鼓励企业自行开展VOCs监测，并及时主动向当地环保行政主管部门报送监测结果。企业应建立健全VOCs治理设施的运行维护规程和台帐等日常管理制度，并根据工艺要求定期对各类设备、电气、自控仪表等进行检修维护，确保设施的稳定运行。</w:t>
                  </w:r>
                </w:p>
              </w:tc>
              <w:tc>
                <w:tcPr>
                  <w:tcW w:w="1266" w:type="pct"/>
                  <w:vAlign w:val="center"/>
                </w:tcPr>
                <w:p>
                  <w:pPr>
                    <w:rPr>
                      <w:color w:val="auto"/>
                      <w:szCs w:val="21"/>
                    </w:rPr>
                  </w:pPr>
                  <w:r>
                    <w:rPr>
                      <w:color w:val="auto"/>
                      <w:szCs w:val="21"/>
                    </w:rPr>
                    <w:t>环评要求建设单位对</w:t>
                  </w:r>
                  <w:r>
                    <w:rPr>
                      <w:rFonts w:hint="eastAsia"/>
                      <w:color w:val="auto"/>
                      <w:szCs w:val="21"/>
                    </w:rPr>
                    <w:t>非甲烷总烃</w:t>
                  </w:r>
                  <w:r>
                    <w:rPr>
                      <w:color w:val="auto"/>
                      <w:szCs w:val="21"/>
                    </w:rPr>
                    <w:t>开展例行监测，建立管理台账，定期维护设备，确保设施稳定运行。目前，企业按照相关要求对现有工程进行例行监测。</w:t>
                  </w:r>
                </w:p>
              </w:tc>
              <w:tc>
                <w:tcPr>
                  <w:tcW w:w="603" w:type="pct"/>
                  <w:vAlign w:val="center"/>
                </w:tcPr>
                <w:p>
                  <w:pPr>
                    <w:rPr>
                      <w:color w:val="auto"/>
                      <w:szCs w:val="21"/>
                    </w:rPr>
                  </w:pPr>
                  <w:r>
                    <w:rPr>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Align w:val="center"/>
                </w:tcPr>
                <w:p>
                  <w:pPr>
                    <w:rPr>
                      <w:color w:val="auto"/>
                      <w:szCs w:val="21"/>
                    </w:rPr>
                  </w:pPr>
                  <w:r>
                    <w:rPr>
                      <w:color w:val="auto"/>
                      <w:szCs w:val="21"/>
                    </w:rPr>
                    <w:t>《挥发性有机物无组织排放控制标准》</w:t>
                  </w:r>
                  <w:r>
                    <w:rPr>
                      <w:color w:val="auto"/>
                    </w:rPr>
                    <w:fldChar w:fldCharType="begin"/>
                  </w:r>
                  <w:r>
                    <w:rPr>
                      <w:color w:val="auto"/>
                    </w:rPr>
                    <w:instrText xml:space="preserve"> HYPERLINK "https://www.mee.gov.cn/ywgz/fgbz/bz/bzwb/dqhjbh/dqgdwrywrwpfbz/201906/W020190606587693632696.pdf" </w:instrText>
                  </w:r>
                  <w:r>
                    <w:rPr>
                      <w:color w:val="auto"/>
                    </w:rPr>
                    <w:fldChar w:fldCharType="separate"/>
                  </w:r>
                  <w:r>
                    <w:rPr>
                      <w:color w:val="auto"/>
                      <w:szCs w:val="21"/>
                    </w:rPr>
                    <w:t>（GB 37822—2019）</w:t>
                  </w:r>
                  <w:r>
                    <w:rPr>
                      <w:color w:val="auto"/>
                      <w:szCs w:val="21"/>
                    </w:rPr>
                    <w:fldChar w:fldCharType="end"/>
                  </w:r>
                </w:p>
              </w:tc>
              <w:tc>
                <w:tcPr>
                  <w:tcW w:w="2079" w:type="pct"/>
                  <w:vAlign w:val="center"/>
                </w:tcPr>
                <w:p>
                  <w:pPr>
                    <w:rPr>
                      <w:color w:val="auto"/>
                      <w:szCs w:val="21"/>
                    </w:rPr>
                  </w:pPr>
                  <w:r>
                    <w:rPr>
                      <w:color w:val="auto"/>
                      <w:szCs w:val="21"/>
                    </w:rPr>
                    <w:t>VOCs 物料应储存于密闭的容器、包装袋、储罐、储库、料仓中。盛装 VOCs 物料的容器或包装袋应存放于室内，或存放于设置有雨棚、遮阳和防渗设施的专用场地。盛装 VOCs 物料的容器或包装袋在非取用状态时应加盖、封口，保持密闭。VOCs 物料混合、搅拌、研磨、造粒、切片、压块等配料加工过程，以及含 VOCs 产品的包装（灌装、分装）过程应采用密闭设备或在密闭空间内操作，废气应排至 VOCs 废气收集处理系统；无法密闭的，应采取局部气体收集措施，废气应排至 VOCs 废气收集处理系统。</w:t>
                  </w:r>
                </w:p>
              </w:tc>
              <w:tc>
                <w:tcPr>
                  <w:tcW w:w="1266" w:type="pct"/>
                  <w:vAlign w:val="center"/>
                </w:tcPr>
                <w:p>
                  <w:pPr>
                    <w:rPr>
                      <w:color w:val="auto"/>
                      <w:szCs w:val="21"/>
                    </w:rPr>
                  </w:pPr>
                  <w:r>
                    <w:rPr>
                      <w:color w:val="auto"/>
                      <w:szCs w:val="21"/>
                    </w:rPr>
                    <w:t>本项目危险化学品原料</w:t>
                  </w:r>
                  <w:r>
                    <w:rPr>
                      <w:rFonts w:hint="eastAsia"/>
                      <w:color w:val="auto"/>
                      <w:szCs w:val="21"/>
                    </w:rPr>
                    <w:t>异氰酸酯中成分二苯基甲烷二异氰酸酯</w:t>
                  </w:r>
                  <w:r>
                    <w:rPr>
                      <w:color w:val="auto"/>
                      <w:szCs w:val="21"/>
                    </w:rPr>
                    <w:t>等储存于危化品库内，危化品库设置防雨防渗防火等设施。</w:t>
                  </w:r>
                </w:p>
                <w:p>
                  <w:pPr>
                    <w:ind w:firstLine="210" w:firstLineChars="100"/>
                    <w:rPr>
                      <w:color w:val="auto"/>
                      <w:szCs w:val="21"/>
                    </w:rPr>
                  </w:pPr>
                  <w:r>
                    <w:rPr>
                      <w:color w:val="auto"/>
                      <w:szCs w:val="21"/>
                    </w:rPr>
                    <w:t>本项目发泡</w:t>
                  </w:r>
                  <w:r>
                    <w:rPr>
                      <w:rFonts w:hint="eastAsia"/>
                      <w:color w:val="auto"/>
                      <w:szCs w:val="21"/>
                    </w:rPr>
                    <w:t>工序、模压工序</w:t>
                  </w:r>
                  <w:r>
                    <w:rPr>
                      <w:color w:val="auto"/>
                      <w:szCs w:val="21"/>
                    </w:rPr>
                    <w:t>产生的有机废气经</w:t>
                  </w:r>
                  <w:r>
                    <w:rPr>
                      <w:rFonts w:hint="eastAsia"/>
                      <w:color w:val="auto"/>
                      <w:szCs w:val="21"/>
                    </w:rPr>
                    <w:t>集气罩</w:t>
                  </w:r>
                  <w:r>
                    <w:rPr>
                      <w:color w:val="auto"/>
                      <w:szCs w:val="21"/>
                    </w:rPr>
                    <w:t>收集后由干式过滤器+二级活性炭过滤装置处理后，经15m排气筒排放。</w:t>
                  </w:r>
                </w:p>
              </w:tc>
              <w:tc>
                <w:tcPr>
                  <w:tcW w:w="603" w:type="pct"/>
                  <w:vAlign w:val="center"/>
                </w:tcPr>
                <w:p>
                  <w:pPr>
                    <w:rPr>
                      <w:color w:val="auto"/>
                      <w:szCs w:val="21"/>
                    </w:rPr>
                  </w:pPr>
                  <w:r>
                    <w:rPr>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Align w:val="center"/>
                </w:tcPr>
                <w:p>
                  <w:pPr>
                    <w:pStyle w:val="40"/>
                    <w:rPr>
                      <w:color w:val="auto"/>
                      <w:szCs w:val="21"/>
                    </w:rPr>
                  </w:pPr>
                  <w:r>
                    <w:rPr>
                      <w:color w:val="auto"/>
                      <w:szCs w:val="21"/>
                    </w:rPr>
                    <w:t>陕西省生态环境厅《关于进一步加强重点地区涉VOCs项目环境影响评价管理工作的通知（陕环环评函[2020]61号）》</w:t>
                  </w:r>
                </w:p>
              </w:tc>
              <w:tc>
                <w:tcPr>
                  <w:tcW w:w="2079" w:type="pct"/>
                  <w:vAlign w:val="center"/>
                </w:tcPr>
                <w:p>
                  <w:pPr>
                    <w:pStyle w:val="40"/>
                    <w:jc w:val="both"/>
                    <w:rPr>
                      <w:color w:val="auto"/>
                      <w:szCs w:val="21"/>
                    </w:rPr>
                  </w:pPr>
                  <w:r>
                    <w:rPr>
                      <w:color w:val="auto"/>
                      <w:szCs w:val="21"/>
                    </w:rPr>
                    <w:t>严格涉VOCs建设项目环境影响评价，涉VOCs建设项目特别是石化、化工、包装印刷、工业涂装等新增VOCs排放量的建设项目，环评文件应明确VOCs污染防治设施措施并预测排放量，按照国家和我省具体规定实行区域内VOCs排放等量或倍量削减替代。</w:t>
                  </w:r>
                </w:p>
              </w:tc>
              <w:tc>
                <w:tcPr>
                  <w:tcW w:w="1266" w:type="pct"/>
                  <w:vAlign w:val="center"/>
                </w:tcPr>
                <w:p>
                  <w:pPr>
                    <w:pStyle w:val="40"/>
                    <w:jc w:val="both"/>
                    <w:rPr>
                      <w:color w:val="auto"/>
                      <w:szCs w:val="21"/>
                    </w:rPr>
                  </w:pPr>
                  <w:r>
                    <w:rPr>
                      <w:color w:val="auto"/>
                      <w:szCs w:val="21"/>
                    </w:rPr>
                    <w:t>本项目运营期涉及VOCs排放的工序为发泡工序</w:t>
                  </w:r>
                  <w:r>
                    <w:rPr>
                      <w:rFonts w:hint="eastAsia"/>
                      <w:color w:val="auto"/>
                      <w:szCs w:val="21"/>
                    </w:rPr>
                    <w:t>、模压工序</w:t>
                  </w:r>
                  <w:r>
                    <w:rPr>
                      <w:color w:val="auto"/>
                      <w:szCs w:val="21"/>
                    </w:rPr>
                    <w:t>，VOCs产生量小，且采取相应的处理措施可实现达标排放。</w:t>
                  </w:r>
                </w:p>
              </w:tc>
              <w:tc>
                <w:tcPr>
                  <w:tcW w:w="603" w:type="pct"/>
                  <w:vAlign w:val="center"/>
                </w:tcPr>
                <w:p>
                  <w:pPr>
                    <w:pStyle w:val="40"/>
                    <w:rPr>
                      <w:color w:val="auto"/>
                      <w:szCs w:val="21"/>
                    </w:rPr>
                  </w:pPr>
                  <w:r>
                    <w:rPr>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restart"/>
                  <w:vAlign w:val="center"/>
                </w:tcPr>
                <w:p>
                  <w:pPr>
                    <w:pStyle w:val="41"/>
                    <w:jc w:val="center"/>
                    <w:rPr>
                      <w:rFonts w:hint="default" w:ascii="Times New Roman" w:hAnsi="Times New Roman" w:eastAsia="宋体"/>
                      <w:color w:val="auto"/>
                      <w:sz w:val="21"/>
                      <w:szCs w:val="21"/>
                      <w:lang w:val="en-GB"/>
                    </w:rPr>
                  </w:pPr>
                  <w:r>
                    <w:rPr>
                      <w:rFonts w:hint="default" w:ascii="Times New Roman" w:hAnsi="Times New Roman" w:eastAsia="宋体"/>
                      <w:color w:val="auto"/>
                      <w:sz w:val="21"/>
                      <w:szCs w:val="21"/>
                      <w:lang w:val="en-GB"/>
                    </w:rPr>
                    <w:t>《西安市2021年有机废气综合治理方案》</w:t>
                  </w:r>
                </w:p>
              </w:tc>
              <w:tc>
                <w:tcPr>
                  <w:tcW w:w="2079" w:type="pct"/>
                  <w:vAlign w:val="center"/>
                </w:tcPr>
                <w:p>
                  <w:pPr>
                    <w:pStyle w:val="41"/>
                    <w:jc w:val="both"/>
                    <w:rPr>
                      <w:rFonts w:hint="default" w:ascii="Times New Roman" w:hAnsi="Times New Roman" w:eastAsia="宋体"/>
                      <w:color w:val="auto"/>
                      <w:sz w:val="21"/>
                      <w:szCs w:val="21"/>
                      <w:lang w:val="zh-CN"/>
                    </w:rPr>
                  </w:pPr>
                  <w:r>
                    <w:rPr>
                      <w:rFonts w:hint="default" w:ascii="Times New Roman" w:hAnsi="Times New Roman" w:eastAsia="宋体"/>
                      <w:color w:val="auto"/>
                      <w:sz w:val="21"/>
                      <w:szCs w:val="21"/>
                      <w:lang w:val="zh-CN"/>
                    </w:rPr>
                    <w:t>严格项目准入。根据《大气污染防治法》第四十六条“工业涂装企业应当使用低VOCs含量涂料”相关规定，全市所有新、改、扩建工业涂装类项目（除特殊工艺外）选用的涂料必须符合《低挥发性有机化合物含量涂料产品技术要求》含量限值要求，并在环评文件中体现。</w:t>
                  </w:r>
                </w:p>
              </w:tc>
              <w:tc>
                <w:tcPr>
                  <w:tcW w:w="1266"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本项目为汽车零部件制造项目，不属于</w:t>
                  </w:r>
                  <w:r>
                    <w:rPr>
                      <w:rFonts w:hint="default" w:ascii="Times New Roman" w:hAnsi="Times New Roman" w:eastAsia="宋体"/>
                      <w:color w:val="auto"/>
                      <w:sz w:val="21"/>
                      <w:szCs w:val="21"/>
                      <w:lang w:val="zh-CN"/>
                    </w:rPr>
                    <w:t>工业涂装类企业。</w:t>
                  </w:r>
                </w:p>
              </w:tc>
              <w:tc>
                <w:tcPr>
                  <w:tcW w:w="603" w:type="pct"/>
                  <w:vAlign w:val="center"/>
                </w:tcPr>
                <w:p>
                  <w:pPr>
                    <w:pStyle w:val="41"/>
                    <w:jc w:val="center"/>
                    <w:rPr>
                      <w:rFonts w:hint="default" w:ascii="Times New Roman" w:hAnsi="Times New Roman" w:eastAsia="宋体"/>
                      <w:color w:val="auto"/>
                      <w:sz w:val="21"/>
                      <w:szCs w:val="21"/>
                    </w:rPr>
                  </w:pPr>
                  <w:r>
                    <w:rPr>
                      <w:rFonts w:hint="default"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continue"/>
                  <w:vAlign w:val="center"/>
                </w:tcPr>
                <w:p>
                  <w:pPr>
                    <w:pStyle w:val="41"/>
                    <w:jc w:val="center"/>
                    <w:rPr>
                      <w:rFonts w:hint="default" w:ascii="Times New Roman" w:hAnsi="Times New Roman" w:eastAsia="宋体"/>
                      <w:color w:val="auto"/>
                      <w:sz w:val="21"/>
                      <w:szCs w:val="21"/>
                      <w:lang w:val="en-GB"/>
                    </w:rPr>
                  </w:pPr>
                </w:p>
              </w:tc>
              <w:tc>
                <w:tcPr>
                  <w:tcW w:w="2079" w:type="pct"/>
                  <w:vAlign w:val="center"/>
                </w:tcPr>
                <w:p>
                  <w:pPr>
                    <w:pStyle w:val="41"/>
                    <w:jc w:val="both"/>
                    <w:rPr>
                      <w:rFonts w:hint="default" w:ascii="Times New Roman" w:hAnsi="Times New Roman" w:eastAsia="宋体"/>
                      <w:color w:val="auto"/>
                      <w:sz w:val="21"/>
                      <w:szCs w:val="21"/>
                      <w:lang w:val="zh-CN"/>
                    </w:rPr>
                  </w:pPr>
                  <w:r>
                    <w:rPr>
                      <w:rFonts w:hint="default" w:ascii="Times New Roman" w:hAnsi="Times New Roman" w:eastAsia="宋体"/>
                      <w:color w:val="auto"/>
                      <w:sz w:val="21"/>
                      <w:szCs w:val="21"/>
                      <w:lang w:val="zh-CN"/>
                    </w:rPr>
                    <w:t>加强治理设施的运行管理。6月22日前，对单一采用光氧化、光催化、低温等离子、活性炭吸附棉、喷淋吸收、生物法等治理工艺的或采用上述工艺进行组合的企业提出整改要求，并将企业清单报市生态环境局，7月31日前完成提升改造工作；对采用一次活性炭、活性炭吸附+光催化（光氧化）等治理工艺的企业进行抽查，污染物排放达不到相应行业大气污染物排放标准的，限期进行治理；对涉及 VOCs 排放的企业必须设置规范的永久性测试孔、采样平台和排污标志，对未按要求设置的，6月22日前完成整改；对未按时限更换活性炭的企业，在6月30日前完成一轮活性炭更换工作。</w:t>
                  </w:r>
                </w:p>
              </w:tc>
              <w:tc>
                <w:tcPr>
                  <w:tcW w:w="1266"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本项目采用二级活性炭处理装置对挥发性有机物进行处理，环评要求对</w:t>
                  </w:r>
                  <w:r>
                    <w:rPr>
                      <w:rFonts w:hint="default" w:ascii="Times New Roman" w:hAnsi="Times New Roman" w:eastAsia="宋体"/>
                      <w:color w:val="auto"/>
                      <w:sz w:val="21"/>
                      <w:szCs w:val="21"/>
                      <w:lang w:val="zh-CN"/>
                    </w:rPr>
                    <w:t>涉及VOCs排放的企业必须设置规范的永久性测试孔、采样平台和排污标志</w:t>
                  </w:r>
                  <w:r>
                    <w:rPr>
                      <w:rFonts w:hint="default" w:ascii="Times New Roman" w:hAnsi="Times New Roman" w:eastAsia="宋体"/>
                      <w:color w:val="auto"/>
                      <w:sz w:val="21"/>
                      <w:szCs w:val="21"/>
                    </w:rPr>
                    <w:t>。</w:t>
                  </w:r>
                </w:p>
              </w:tc>
              <w:tc>
                <w:tcPr>
                  <w:tcW w:w="603" w:type="pct"/>
                  <w:vAlign w:val="center"/>
                </w:tcPr>
                <w:p>
                  <w:pPr>
                    <w:pStyle w:val="41"/>
                    <w:jc w:val="center"/>
                    <w:rPr>
                      <w:rFonts w:hint="default" w:ascii="Times New Roman" w:hAnsi="Times New Roman" w:eastAsia="宋体"/>
                      <w:color w:val="auto"/>
                      <w:sz w:val="21"/>
                      <w:szCs w:val="21"/>
                    </w:rPr>
                  </w:pPr>
                  <w:r>
                    <w:rPr>
                      <w:rFonts w:hint="default"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restart"/>
                  <w:vAlign w:val="center"/>
                </w:tcPr>
                <w:p>
                  <w:pPr>
                    <w:pStyle w:val="41"/>
                    <w:jc w:val="center"/>
                    <w:rPr>
                      <w:rFonts w:hint="default" w:ascii="Times New Roman" w:hAnsi="Times New Roman" w:eastAsia="宋体"/>
                      <w:color w:val="auto"/>
                      <w:sz w:val="21"/>
                      <w:szCs w:val="21"/>
                      <w:lang w:val="en-GB"/>
                    </w:rPr>
                  </w:pPr>
                  <w:r>
                    <w:rPr>
                      <w:rFonts w:ascii="Times New Roman" w:hAnsi="Times New Roman" w:eastAsia="宋体"/>
                      <w:color w:val="auto"/>
                      <w:sz w:val="21"/>
                      <w:szCs w:val="21"/>
                      <w:lang w:val="en-GB"/>
                    </w:rPr>
                    <w:t>《</w:t>
                  </w:r>
                  <w:r>
                    <w:rPr>
                      <w:rFonts w:ascii="Times New Roman" w:hAnsi="Times New Roman" w:eastAsia="宋体"/>
                      <w:color w:val="auto"/>
                      <w:sz w:val="21"/>
                      <w:szCs w:val="21"/>
                    </w:rPr>
                    <w:t>西安市“十四五”生态环境保护规划</w:t>
                  </w:r>
                  <w:r>
                    <w:rPr>
                      <w:rFonts w:ascii="Times New Roman" w:hAnsi="Times New Roman" w:eastAsia="宋体"/>
                      <w:color w:val="auto"/>
                      <w:sz w:val="21"/>
                      <w:szCs w:val="21"/>
                      <w:lang w:val="en-GB"/>
                    </w:rPr>
                    <w:t>》</w:t>
                  </w:r>
                </w:p>
              </w:tc>
              <w:tc>
                <w:tcPr>
                  <w:tcW w:w="2079"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坚持将生态环境保护融入发展全过程，落实“三线一单”制度，强化环评源头预防作用，健全排污许可制度。</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本项目位于西安市周至县集贤产业园内，属于重点管控单元，根据表1-3，项目符合三线一单要求项目在采取有效的环保措施后污染物排放量小</w:t>
                  </w:r>
                </w:p>
              </w:tc>
              <w:tc>
                <w:tcPr>
                  <w:tcW w:w="603" w:type="pct"/>
                  <w:vAlign w:val="center"/>
                </w:tcPr>
                <w:p>
                  <w:pPr>
                    <w:pStyle w:val="41"/>
                    <w:jc w:val="center"/>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9" w:type="pct"/>
                  <w:vMerge w:val="continue"/>
                  <w:vAlign w:val="center"/>
                </w:tcPr>
                <w:p>
                  <w:pPr>
                    <w:pStyle w:val="41"/>
                    <w:jc w:val="center"/>
                    <w:rPr>
                      <w:rFonts w:hint="default" w:ascii="Times New Roman" w:hAnsi="Times New Roman" w:eastAsia="宋体"/>
                      <w:color w:val="auto"/>
                      <w:sz w:val="21"/>
                      <w:szCs w:val="21"/>
                      <w:lang w:val="en-GB"/>
                    </w:rPr>
                  </w:pPr>
                </w:p>
              </w:tc>
              <w:tc>
                <w:tcPr>
                  <w:tcW w:w="2079"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开展重点行业工业企业挥发性有机物无组织排放治理，以工业涂装、包装印刷、汽修和油品储运销等为重点领域，以工业园区、企业集群和重点企业为重点管控对象，全面加强对光化学反应活性强的VOCs物质控制。建立完善重点行业源头、过程和末端VOCs全过程控制体系，实施VOCs总量控制。严格落实产品强制标准中VOCs含量限值；全面落实《挥发性有机物无组织排放控制标准》要求，引导企业加强对含VOCs物料的存储、转移和输送等环节的全方位密闭管理，以及对设备与管线组件泄漏、敞开液面逸散以及工艺过程等方面的全过程精细化管控，实现VOCs排放量明显下降。</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本项目有机废气产生量较少，无组织排放量较低，产生的有机废气</w:t>
                  </w:r>
                  <w:r>
                    <w:rPr>
                      <w:rFonts w:hint="default" w:ascii="Times New Roman" w:hAnsi="Times New Roman" w:eastAsia="宋体"/>
                      <w:color w:val="auto"/>
                      <w:sz w:val="21"/>
                      <w:szCs w:val="21"/>
                    </w:rPr>
                    <w:t>经</w:t>
                  </w:r>
                  <w:r>
                    <w:rPr>
                      <w:rFonts w:ascii="Times New Roman" w:hAnsi="Times New Roman" w:eastAsia="宋体"/>
                      <w:color w:val="auto"/>
                      <w:sz w:val="21"/>
                      <w:szCs w:val="21"/>
                    </w:rPr>
                    <w:t>集气罩收集</w:t>
                  </w:r>
                  <w:r>
                    <w:rPr>
                      <w:rFonts w:hint="default" w:ascii="Times New Roman" w:hAnsi="Times New Roman" w:eastAsia="宋体"/>
                      <w:color w:val="auto"/>
                      <w:sz w:val="21"/>
                      <w:szCs w:val="21"/>
                    </w:rPr>
                    <w:t>后由干式过滤器+二级活性炭过滤装置处理后</w:t>
                  </w:r>
                  <w:r>
                    <w:rPr>
                      <w:rFonts w:ascii="Times New Roman" w:hAnsi="Times New Roman" w:eastAsia="宋体"/>
                      <w:color w:val="auto"/>
                      <w:sz w:val="21"/>
                      <w:szCs w:val="21"/>
                    </w:rPr>
                    <w:t>均可达标排放</w:t>
                  </w:r>
                  <w:r>
                    <w:rPr>
                      <w:rFonts w:hint="default" w:ascii="Times New Roman" w:hAnsi="Times New Roman" w:eastAsia="宋体"/>
                      <w:color w:val="auto"/>
                      <w:sz w:val="21"/>
                      <w:szCs w:val="21"/>
                    </w:rPr>
                    <w:t>。</w:t>
                  </w:r>
                </w:p>
              </w:tc>
              <w:tc>
                <w:tcPr>
                  <w:tcW w:w="603" w:type="pct"/>
                  <w:vAlign w:val="center"/>
                </w:tcPr>
                <w:p>
                  <w:pPr>
                    <w:pStyle w:val="41"/>
                    <w:jc w:val="center"/>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Merge w:val="restart"/>
                  <w:vAlign w:val="center"/>
                </w:tcPr>
                <w:p>
                  <w:pPr>
                    <w:pStyle w:val="41"/>
                    <w:jc w:val="center"/>
                    <w:rPr>
                      <w:rFonts w:hint="default" w:ascii="Times New Roman" w:hAnsi="Times New Roman" w:eastAsia="宋体"/>
                      <w:color w:val="auto"/>
                      <w:sz w:val="21"/>
                      <w:szCs w:val="21"/>
                    </w:rPr>
                  </w:pPr>
                  <w:r>
                    <w:rPr>
                      <w:rFonts w:ascii="Times New Roman" w:hAnsi="Times New Roman" w:eastAsia="宋体"/>
                      <w:color w:val="auto"/>
                      <w:sz w:val="21"/>
                      <w:szCs w:val="21"/>
                      <w:lang w:val="en-GB"/>
                    </w:rPr>
                    <w:t>《</w:t>
                  </w:r>
                  <w:r>
                    <w:rPr>
                      <w:rFonts w:ascii="Times New Roman" w:hAnsi="Times New Roman" w:eastAsia="宋体"/>
                      <w:color w:val="auto"/>
                      <w:sz w:val="21"/>
                      <w:szCs w:val="21"/>
                    </w:rPr>
                    <w:t>陕西省大气污染治理专项行动方案（2023-2027年）</w:t>
                  </w:r>
                  <w:r>
                    <w:rPr>
                      <w:rFonts w:ascii="Times New Roman" w:hAnsi="Times New Roman" w:eastAsia="宋体"/>
                      <w:color w:val="auto"/>
                      <w:sz w:val="21"/>
                      <w:szCs w:val="21"/>
                      <w:lang w:val="en-GB"/>
                    </w:rPr>
                    <w:t>》（</w:t>
                  </w:r>
                  <w:r>
                    <w:rPr>
                      <w:rFonts w:ascii="Times New Roman" w:hAnsi="Times New Roman" w:eastAsia="宋体"/>
                      <w:color w:val="auto"/>
                      <w:sz w:val="21"/>
                      <w:szCs w:val="21"/>
                    </w:rPr>
                    <w:t>陕发[2023]4号</w:t>
                  </w:r>
                  <w:r>
                    <w:rPr>
                      <w:rFonts w:ascii="Times New Roman" w:hAnsi="Times New Roman" w:eastAsia="宋体"/>
                      <w:color w:val="auto"/>
                      <w:sz w:val="21"/>
                      <w:szCs w:val="21"/>
                      <w:lang w:val="en-GB"/>
                    </w:rPr>
                    <w:t>）</w:t>
                  </w:r>
                </w:p>
              </w:tc>
              <w:tc>
                <w:tcPr>
                  <w:tcW w:w="2079"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产业发展结构调整。关中地区严禁新增钢铁、焦化、水泥熟料、平板玻璃、电解铝、氧化铝、煤化工产能，合理控制煤制油气产能规模，严控新增炼油产能。</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本项目不涉及上述行业</w:t>
                  </w:r>
                </w:p>
              </w:tc>
              <w:tc>
                <w:tcPr>
                  <w:tcW w:w="603" w:type="pct"/>
                  <w:vAlign w:val="center"/>
                </w:tcPr>
                <w:p>
                  <w:pPr>
                    <w:pStyle w:val="41"/>
                    <w:jc w:val="center"/>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Merge w:val="continue"/>
                  <w:vAlign w:val="center"/>
                </w:tcPr>
                <w:p>
                  <w:pPr>
                    <w:pStyle w:val="41"/>
                    <w:jc w:val="both"/>
                    <w:rPr>
                      <w:rFonts w:hint="default"/>
                      <w:color w:val="auto"/>
                    </w:rPr>
                  </w:pPr>
                </w:p>
              </w:tc>
              <w:tc>
                <w:tcPr>
                  <w:tcW w:w="2079"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关中地区市辖区及开发区范围内新、改、扩建涉气重点行业企业应达到环保绩效A级、绩效引领性水平，西安市、咸阳市、渭南市的其他区域应达到环保绩效B级及以上水平。</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项目采用的生产工艺、污染治理技术、排放限制、无组织管控要求、监测监控水平、环境管理水平、水平、环境管理水平、运输方式和管控要求等方面基本满足环保绩效B级企业要求。</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Merge w:val="restar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《西安市大气污染治理专项行动方案（2023-2027年）》（市字[2023]32号）</w:t>
                  </w:r>
                </w:p>
              </w:tc>
              <w:tc>
                <w:tcPr>
                  <w:tcW w:w="207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强化源头管控。严格落实国家和我省产业规划、产业政策、“三线一单”、规划环评等要求，深入开展我市区域空间生态环境评价工作，积极推行区域、规划环境影响评价，新改扩建化工、石化、建材、有色等项目的环境影响评价应满足区域和规划环评要求。</w:t>
                  </w:r>
                </w:p>
              </w:tc>
              <w:tc>
                <w:tcPr>
                  <w:tcW w:w="1266"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本项目属于汽车零部件及配件制造项目，项目符合西安市“三线一单”生态环境分区管控和环境准入要求、符合规划区环评要求。</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Merge w:val="continue"/>
                  <w:vAlign w:val="center"/>
                </w:tcPr>
                <w:p>
                  <w:pPr>
                    <w:pStyle w:val="41"/>
                    <w:jc w:val="both"/>
                    <w:rPr>
                      <w:rFonts w:hint="default" w:ascii="Times New Roman" w:hAnsi="Times New Roman" w:eastAsia="宋体"/>
                      <w:color w:val="auto"/>
                      <w:sz w:val="21"/>
                      <w:szCs w:val="21"/>
                    </w:rPr>
                  </w:pPr>
                </w:p>
              </w:tc>
              <w:tc>
                <w:tcPr>
                  <w:tcW w:w="207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强化涉活性炭VOCs处理工艺治理。新建项目不再采用单一低温等离子、光氧化、光催化等治理技术，非水溶性VOCs废气不再采用单一喷淋吸收方式处理。</w:t>
                  </w:r>
                </w:p>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全面推进涉VOCs排放企业低挥发性原辅材料替代。2023年技术可行的工业涂装企业全部使用低挥发性涂料，2025年全部实现水性替代。</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本项目发泡工序、模压工序产生的非甲烷总烃经集气罩收集后由干式过滤器+二级活性炭过滤装置处理后，经15m排气筒排放。</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Merge w:val="restar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《西安市大气污染治理专项行动2024年工作方案》</w:t>
                  </w:r>
                </w:p>
              </w:tc>
              <w:tc>
                <w:tcPr>
                  <w:tcW w:w="207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严格落实国家和我省产业规划、产业政策、“三线一单”、规划环评、重点污染物总量控制、污染物排放区域削减等要求，积极推行区域、规划环境影响评价，新改扩建化工、石化、建材、有色等项目的环境影响评价应满足区域和规划环评要求。</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本项目已严格落实国家和我省产业规划、产业政策、“三线一单”、规划环评等要求。</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Merge w:val="continue"/>
                  <w:vAlign w:val="center"/>
                </w:tcPr>
                <w:p>
                  <w:pPr>
                    <w:pStyle w:val="41"/>
                    <w:jc w:val="both"/>
                    <w:rPr>
                      <w:rFonts w:hint="default" w:ascii="Times New Roman" w:hAnsi="Times New Roman" w:eastAsia="宋体"/>
                      <w:color w:val="auto"/>
                      <w:sz w:val="21"/>
                      <w:szCs w:val="21"/>
                    </w:rPr>
                  </w:pPr>
                </w:p>
              </w:tc>
              <w:tc>
                <w:tcPr>
                  <w:tcW w:w="207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各区、开发区范围内新改扩建涉气重点行业企业应达到环保绩效A级、绩效引领性水平，周至县、蓝田县应达到环保绩效B级及以上水平。</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项目采用的生产工艺、污染治理技术、排放限制、无组织管控要求、监测监控水平、环境管理水平、水平、环境管理水平、运输方式和管控要求等方面基本满足环保绩效B级企业要求。</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《西安市生态环境局关于加强挥发性有机物活性炭吸附处理设施运行管理工作的通知》（市环发〔2022〕65号）</w:t>
                  </w:r>
                </w:p>
              </w:tc>
              <w:tc>
                <w:tcPr>
                  <w:tcW w:w="207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污处设施运行维护管理规程：企业自行制定《污处设施运行维护管理规程》，规程内容要详实，具有针对性和操作性，应明确过滤棉、活性炭等易损耗材料的更换周期，更换周期应结合理论计算和实际运行得出，原则上活性炭更换周期一般不应超过累计运行500小时或3个月（从严执行）。</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本项目更换的废活性炭暂存于危险废物贮存库，交由有资质单位处置，活性炭更换频率按照环保设施设计单位要求及时更换。</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49" w:type="pct"/>
                  <w:vAlign w:val="center"/>
                </w:tcPr>
                <w:p>
                  <w:pPr>
                    <w:pStyle w:val="41"/>
                    <w:jc w:val="both"/>
                    <w:rPr>
                      <w:rFonts w:hint="default" w:ascii="Times New Roman" w:hAnsi="Times New Roman" w:eastAsia="宋体"/>
                      <w:color w:val="auto"/>
                      <w:sz w:val="21"/>
                      <w:szCs w:val="21"/>
                    </w:rPr>
                  </w:pPr>
                  <w:r>
                    <w:rPr>
                      <w:rFonts w:hint="default" w:ascii="Times New Roman" w:hAnsi="Times New Roman" w:eastAsia="宋体"/>
                      <w:color w:val="auto"/>
                      <w:sz w:val="21"/>
                      <w:szCs w:val="21"/>
                    </w:rPr>
                    <w:t>《关于加强涉气项目环境影响评价管理的通知》（市环办发〔2023〕47号）</w:t>
                  </w:r>
                </w:p>
              </w:tc>
              <w:tc>
                <w:tcPr>
                  <w:tcW w:w="2079"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严</w:t>
                  </w:r>
                  <w:r>
                    <w:rPr>
                      <w:rFonts w:hint="default" w:ascii="Times New Roman" w:hAnsi="Times New Roman" w:eastAsia="宋体"/>
                      <w:color w:val="auto"/>
                      <w:sz w:val="21"/>
                      <w:szCs w:val="21"/>
                    </w:rPr>
                    <w:t>禁新增煤电（含自备电厂）装机规模，不再新建燃煤集中供热站。新改扩建化工、石化、建材、有色等项目应充分满足区域和规划环评要求。</w:t>
                  </w:r>
                </w:p>
              </w:tc>
              <w:tc>
                <w:tcPr>
                  <w:tcW w:w="1266"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本项目不涉及</w:t>
                  </w:r>
                  <w:r>
                    <w:rPr>
                      <w:rFonts w:hint="default" w:ascii="Times New Roman" w:hAnsi="Times New Roman" w:eastAsia="宋体"/>
                      <w:color w:val="auto"/>
                      <w:sz w:val="21"/>
                      <w:szCs w:val="21"/>
                    </w:rPr>
                    <w:t>煤电（含自备电厂）装机</w:t>
                  </w:r>
                  <w:r>
                    <w:rPr>
                      <w:rFonts w:ascii="Times New Roman" w:hAnsi="Times New Roman" w:eastAsia="宋体"/>
                      <w:color w:val="auto"/>
                      <w:sz w:val="21"/>
                      <w:szCs w:val="21"/>
                    </w:rPr>
                    <w:t>，</w:t>
                  </w:r>
                  <w:r>
                    <w:rPr>
                      <w:rFonts w:hint="default" w:ascii="Times New Roman" w:hAnsi="Times New Roman" w:eastAsia="宋体"/>
                      <w:color w:val="auto"/>
                      <w:sz w:val="21"/>
                      <w:szCs w:val="21"/>
                    </w:rPr>
                    <w:t>不新建燃煤集中供热站</w:t>
                  </w:r>
                  <w:r>
                    <w:rPr>
                      <w:rFonts w:ascii="Times New Roman" w:hAnsi="Times New Roman" w:eastAsia="宋体"/>
                      <w:color w:val="auto"/>
                      <w:sz w:val="21"/>
                      <w:szCs w:val="21"/>
                    </w:rPr>
                    <w:t>；</w:t>
                  </w:r>
                  <w:r>
                    <w:rPr>
                      <w:rFonts w:hint="default" w:ascii="Times New Roman" w:hAnsi="Times New Roman" w:eastAsia="宋体"/>
                      <w:color w:val="auto"/>
                      <w:sz w:val="21"/>
                      <w:szCs w:val="21"/>
                    </w:rPr>
                    <w:t>本项目属于汽车零部件及配件制造</w:t>
                  </w:r>
                  <w:r>
                    <w:rPr>
                      <w:rFonts w:ascii="Times New Roman" w:hAnsi="Times New Roman" w:eastAsia="宋体"/>
                      <w:color w:val="auto"/>
                      <w:sz w:val="21"/>
                      <w:szCs w:val="21"/>
                    </w:rPr>
                    <w:t>，不属于</w:t>
                  </w:r>
                  <w:r>
                    <w:rPr>
                      <w:rFonts w:hint="default" w:ascii="Times New Roman" w:hAnsi="Times New Roman" w:eastAsia="宋体"/>
                      <w:color w:val="auto"/>
                      <w:sz w:val="21"/>
                      <w:szCs w:val="21"/>
                    </w:rPr>
                    <w:t>化工、石化、建材、有色等项目</w:t>
                  </w:r>
                </w:p>
              </w:tc>
              <w:tc>
                <w:tcPr>
                  <w:tcW w:w="603" w:type="pct"/>
                  <w:vAlign w:val="center"/>
                </w:tcPr>
                <w:p>
                  <w:pPr>
                    <w:pStyle w:val="41"/>
                    <w:jc w:val="both"/>
                    <w:rPr>
                      <w:rFonts w:hint="default" w:ascii="Times New Roman" w:hAnsi="Times New Roman" w:eastAsia="宋体"/>
                      <w:color w:val="auto"/>
                      <w:sz w:val="21"/>
                      <w:szCs w:val="21"/>
                    </w:rPr>
                  </w:pPr>
                  <w:r>
                    <w:rPr>
                      <w:rFonts w:ascii="Times New Roman" w:hAnsi="Times New Roman" w:eastAsia="宋体"/>
                      <w:color w:val="auto"/>
                      <w:sz w:val="21"/>
                      <w:szCs w:val="21"/>
                    </w:rPr>
                    <w:t>符合</w:t>
                  </w:r>
                </w:p>
              </w:tc>
            </w:tr>
          </w:tbl>
          <w:p>
            <w:pPr>
              <w:pStyle w:val="17"/>
              <w:ind w:firstLine="560"/>
            </w:pPr>
          </w:p>
        </w:tc>
      </w:tr>
    </w:tbl>
    <w:p>
      <w:pPr>
        <w:rPr>
          <w:rFonts w:eastAsia="黑体"/>
          <w:sz w:val="30"/>
        </w:rPr>
      </w:pPr>
    </w:p>
    <w:p>
      <w:pPr>
        <w:pStyle w:val="17"/>
        <w:ind w:firstLine="0" w:firstLineChars="0"/>
        <w:rPr>
          <w:rFonts w:eastAsia="黑体"/>
          <w:sz w:val="30"/>
        </w:rPr>
      </w:pPr>
    </w:p>
    <w:p>
      <w:pPr>
        <w:ind w:firstLine="480"/>
        <w:sectPr>
          <w:footerReference r:id="rId7" w:type="default"/>
          <w:pgSz w:w="11906" w:h="16838"/>
          <w:pgMar w:top="1701" w:right="1531" w:bottom="1701" w:left="1531" w:header="340" w:footer="1077" w:gutter="0"/>
          <w:pgNumType w:fmt="decimal" w:start="12"/>
          <w:cols w:space="720" w:num="1"/>
          <w:docGrid w:linePitch="312" w:charSpace="0"/>
        </w:sectPr>
      </w:pPr>
    </w:p>
    <w:p>
      <w:pPr>
        <w:pStyle w:val="13"/>
        <w:ind w:firstLine="600"/>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823" w:type="dxa"/>
            <w:tcBorders>
              <w:right w:val="single" w:color="auto" w:sz="4" w:space="0"/>
            </w:tcBorders>
            <w:vAlign w:val="center"/>
          </w:tcPr>
          <w:p>
            <w:pPr>
              <w:pStyle w:val="13"/>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Cs w:val="24"/>
              </w:rPr>
              <w:t>建设内容</w:t>
            </w:r>
          </w:p>
        </w:tc>
        <w:tc>
          <w:tcPr>
            <w:tcW w:w="8161" w:type="dxa"/>
            <w:tcBorders>
              <w:left w:val="single" w:color="auto" w:sz="4" w:space="0"/>
            </w:tcBorders>
          </w:tcPr>
          <w:p>
            <w:pPr>
              <w:adjustRightInd w:val="0"/>
              <w:snapToGrid w:val="0"/>
              <w:spacing w:line="360" w:lineRule="auto"/>
              <w:ind w:firstLine="480" w:firstLineChars="200"/>
              <w:rPr>
                <w:rFonts w:hint="default" w:eastAsia="宋体"/>
                <w:color w:val="auto"/>
                <w:kern w:val="0"/>
                <w:sz w:val="24"/>
                <w:lang w:val="en-US" w:eastAsia="zh-CN"/>
              </w:rPr>
            </w:pPr>
            <w:r>
              <w:rPr>
                <w:rFonts w:hint="eastAsia"/>
                <w:color w:val="auto"/>
                <w:kern w:val="0"/>
                <w:sz w:val="24"/>
                <w:lang w:val="en-US" w:eastAsia="zh-CN"/>
              </w:rPr>
              <w:t>目前</w:t>
            </w:r>
            <w:r>
              <w:rPr>
                <w:rFonts w:hint="eastAsia"/>
                <w:color w:val="auto"/>
                <w:kern w:val="0"/>
                <w:sz w:val="24"/>
              </w:rPr>
              <w:t xml:space="preserve">新能源车的噪声主要分布在 </w:t>
            </w:r>
            <w:r>
              <w:rPr>
                <w:color w:val="auto"/>
                <w:kern w:val="0"/>
                <w:sz w:val="24"/>
              </w:rPr>
              <w:t xml:space="preserve">4000Hz </w:t>
            </w:r>
            <w:r>
              <w:rPr>
                <w:rFonts w:hint="eastAsia"/>
                <w:color w:val="auto"/>
                <w:kern w:val="0"/>
                <w:sz w:val="24"/>
              </w:rPr>
              <w:t>以下</w:t>
            </w:r>
            <w:r>
              <w:rPr>
                <w:rFonts w:hint="eastAsia"/>
                <w:color w:val="auto"/>
                <w:kern w:val="0"/>
                <w:sz w:val="24"/>
                <w:lang w:val="en-US" w:eastAsia="zh-CN"/>
              </w:rPr>
              <w:t>，主要</w:t>
            </w:r>
            <w:r>
              <w:rPr>
                <w:rFonts w:hint="eastAsia"/>
                <w:color w:val="auto"/>
                <w:kern w:val="0"/>
                <w:sz w:val="24"/>
              </w:rPr>
              <w:t>通过被动降噪解决新能源车的</w:t>
            </w:r>
            <w:r>
              <w:rPr>
                <w:color w:val="auto"/>
                <w:kern w:val="0"/>
                <w:sz w:val="24"/>
              </w:rPr>
              <w:t>NVH</w:t>
            </w:r>
            <w:r>
              <w:rPr>
                <w:rFonts w:hint="eastAsia"/>
                <w:color w:val="auto"/>
                <w:kern w:val="0"/>
                <w:sz w:val="24"/>
              </w:rPr>
              <w:t>问题</w:t>
            </w:r>
            <w:r>
              <w:rPr>
                <w:rFonts w:hint="eastAsia"/>
                <w:color w:val="auto"/>
                <w:kern w:val="0"/>
                <w:sz w:val="24"/>
                <w:lang w:eastAsia="zh-CN"/>
              </w:rPr>
              <w:t>，</w:t>
            </w:r>
            <w:r>
              <w:rPr>
                <w:rFonts w:hint="eastAsia"/>
                <w:color w:val="auto"/>
                <w:kern w:val="0"/>
                <w:sz w:val="24"/>
              </w:rPr>
              <w:t>西安比亚迪汽车零部件有限公司从材料级别</w:t>
            </w:r>
            <w:r>
              <w:rPr>
                <w:rFonts w:hint="eastAsia"/>
                <w:color w:val="auto"/>
                <w:kern w:val="0"/>
                <w:sz w:val="24"/>
                <w:lang w:eastAsia="zh-CN"/>
              </w:rPr>
              <w:t>、</w:t>
            </w:r>
            <w:r>
              <w:rPr>
                <w:rFonts w:hint="eastAsia"/>
                <w:color w:val="auto"/>
                <w:kern w:val="0"/>
                <w:sz w:val="24"/>
              </w:rPr>
              <w:t>零部件级别设计和优化</w:t>
            </w:r>
            <w:r>
              <w:rPr>
                <w:rFonts w:hint="eastAsia"/>
                <w:color w:val="auto"/>
                <w:kern w:val="0"/>
                <w:sz w:val="24"/>
                <w:lang w:val="en-US" w:eastAsia="zh-CN"/>
              </w:rPr>
              <w:t>等方面改善整车NVH性能。</w:t>
            </w:r>
          </w:p>
          <w:p>
            <w:pPr>
              <w:adjustRightInd w:val="0"/>
              <w:snapToGrid w:val="0"/>
              <w:spacing w:line="360" w:lineRule="auto"/>
              <w:ind w:firstLine="480" w:firstLineChars="200"/>
              <w:rPr>
                <w:bCs/>
                <w:color w:val="auto"/>
                <w:sz w:val="24"/>
              </w:rPr>
            </w:pPr>
            <w:r>
              <w:rPr>
                <w:rFonts w:hint="eastAsia"/>
                <w:bCs/>
                <w:color w:val="auto"/>
                <w:sz w:val="24"/>
              </w:rPr>
              <w:t>根据生产发展需要，西安比亚迪汽车零部件有限公司于2024年01月12日取得年产120万车付NVH隔音隔热产品项目备案文件（项目代码：2401-610161-04-03-873867），该备案文件中明确项目建设规模及内容为：在集贤工业园现有厂房内，新购NVH模压机、发泡机、水刀切割等设备，以及生产辅助设备，建设NVH隔音隔热产品生产线，项目建成年产120万车付汽车NVH隔音隔热产品（附件2）。</w:t>
            </w:r>
          </w:p>
          <w:p>
            <w:pPr>
              <w:adjustRightInd w:val="0"/>
              <w:snapToGrid w:val="0"/>
              <w:spacing w:line="360" w:lineRule="auto"/>
              <w:ind w:firstLine="480" w:firstLineChars="200"/>
              <w:rPr>
                <w:color w:val="auto"/>
                <w:kern w:val="0"/>
                <w:sz w:val="24"/>
              </w:rPr>
            </w:pPr>
            <w:r>
              <w:rPr>
                <w:color w:val="auto"/>
                <w:kern w:val="0"/>
                <w:sz w:val="24"/>
              </w:rPr>
              <w:t>根据《中华人民共和国环境保护法》、《中华人民共和国环境影响评价法》（2018年修订）和《建设项目环境保护管理条例》（国务院令第682号）等有关文件，项目需进行环境影响评价。根据《建设项目环境影响评价分类管理名录（2021年版）》，本项目属于</w:t>
            </w:r>
            <w:r>
              <w:rPr>
                <w:rFonts w:hint="eastAsia"/>
                <w:color w:val="auto"/>
                <w:kern w:val="0"/>
                <w:sz w:val="24"/>
              </w:rPr>
              <w:t>“</w:t>
            </w:r>
            <w:r>
              <w:rPr>
                <w:color w:val="auto"/>
                <w:kern w:val="0"/>
                <w:sz w:val="24"/>
              </w:rPr>
              <w:t>三十三、汽车制造业36，71、汽车零部件及配件制造367，其他</w:t>
            </w:r>
            <w:r>
              <w:rPr>
                <w:rFonts w:hint="eastAsia"/>
                <w:color w:val="auto"/>
                <w:kern w:val="0"/>
                <w:sz w:val="24"/>
              </w:rPr>
              <w:t>”</w:t>
            </w:r>
            <w:r>
              <w:rPr>
                <w:color w:val="auto"/>
                <w:kern w:val="0"/>
                <w:sz w:val="24"/>
              </w:rPr>
              <w:t>，因此应编制环境影响报告表。</w:t>
            </w:r>
          </w:p>
          <w:p>
            <w:pPr>
              <w:pStyle w:val="17"/>
              <w:ind w:firstLine="0" w:firstLineChars="0"/>
              <w:rPr>
                <w:rFonts w:eastAsia="宋体"/>
                <w:b/>
                <w:bCs/>
                <w:color w:val="auto"/>
                <w:kern w:val="0"/>
                <w:sz w:val="24"/>
              </w:rPr>
            </w:pPr>
            <w:r>
              <w:rPr>
                <w:rFonts w:eastAsia="宋体"/>
                <w:b/>
                <w:bCs/>
                <w:color w:val="auto"/>
                <w:kern w:val="0"/>
                <w:sz w:val="24"/>
              </w:rPr>
              <w:t>1、项目建设概况</w:t>
            </w:r>
          </w:p>
          <w:p>
            <w:pPr>
              <w:adjustRightInd w:val="0"/>
              <w:snapToGrid w:val="0"/>
              <w:spacing w:line="360" w:lineRule="auto"/>
              <w:ind w:firstLine="480" w:firstLineChars="200"/>
              <w:rPr>
                <w:color w:val="auto"/>
                <w:kern w:val="0"/>
                <w:sz w:val="24"/>
              </w:rPr>
            </w:pPr>
            <w:r>
              <w:rPr>
                <w:color w:val="auto"/>
                <w:kern w:val="0"/>
                <w:sz w:val="24"/>
              </w:rPr>
              <w:t>（1）项目名称：年产120万车付NVH隔音隔热产品项目</w:t>
            </w:r>
          </w:p>
          <w:p>
            <w:pPr>
              <w:adjustRightInd w:val="0"/>
              <w:snapToGrid w:val="0"/>
              <w:spacing w:line="360" w:lineRule="auto"/>
              <w:ind w:firstLine="480" w:firstLineChars="200"/>
              <w:rPr>
                <w:color w:val="auto"/>
                <w:kern w:val="0"/>
                <w:sz w:val="24"/>
              </w:rPr>
            </w:pPr>
            <w:r>
              <w:rPr>
                <w:color w:val="auto"/>
                <w:kern w:val="0"/>
                <w:sz w:val="24"/>
              </w:rPr>
              <w:t>（2）建设单位：西安比亚迪汽车零部件有限公司</w:t>
            </w:r>
          </w:p>
          <w:p>
            <w:pPr>
              <w:adjustRightInd w:val="0"/>
              <w:snapToGrid w:val="0"/>
              <w:spacing w:line="360" w:lineRule="auto"/>
              <w:ind w:firstLine="480" w:firstLineChars="200"/>
              <w:rPr>
                <w:color w:val="auto"/>
                <w:kern w:val="0"/>
                <w:sz w:val="24"/>
              </w:rPr>
            </w:pPr>
            <w:r>
              <w:rPr>
                <w:color w:val="auto"/>
                <w:kern w:val="0"/>
                <w:sz w:val="24"/>
              </w:rPr>
              <w:t>（3）建设性质：新建</w:t>
            </w:r>
          </w:p>
          <w:p>
            <w:pPr>
              <w:adjustRightInd w:val="0"/>
              <w:snapToGrid w:val="0"/>
              <w:spacing w:line="360" w:lineRule="auto"/>
              <w:ind w:firstLine="480" w:firstLineChars="200"/>
              <w:rPr>
                <w:color w:val="auto"/>
                <w:kern w:val="0"/>
                <w:sz w:val="24"/>
              </w:rPr>
            </w:pPr>
            <w:r>
              <w:rPr>
                <w:color w:val="auto"/>
                <w:kern w:val="0"/>
                <w:sz w:val="24"/>
              </w:rPr>
              <w:t>（4）行业类别：C367</w:t>
            </w:r>
            <w:r>
              <w:rPr>
                <w:rFonts w:hint="eastAsia"/>
                <w:color w:val="auto"/>
                <w:kern w:val="0"/>
                <w:sz w:val="24"/>
              </w:rPr>
              <w:t>0</w:t>
            </w:r>
            <w:r>
              <w:rPr>
                <w:color w:val="auto"/>
                <w:kern w:val="0"/>
                <w:sz w:val="24"/>
              </w:rPr>
              <w:t>汽车零部件及配件制造</w:t>
            </w:r>
          </w:p>
          <w:p>
            <w:pPr>
              <w:adjustRightInd w:val="0"/>
              <w:snapToGrid w:val="0"/>
              <w:spacing w:line="360" w:lineRule="auto"/>
              <w:ind w:firstLine="480" w:firstLineChars="200"/>
              <w:rPr>
                <w:color w:val="auto"/>
                <w:kern w:val="0"/>
                <w:sz w:val="24"/>
              </w:rPr>
            </w:pPr>
            <w:r>
              <w:rPr>
                <w:color w:val="auto"/>
                <w:kern w:val="0"/>
                <w:sz w:val="24"/>
              </w:rPr>
              <w:t>（5）建设地点：陕西省西安市</w:t>
            </w:r>
            <w:r>
              <w:rPr>
                <w:rFonts w:hint="eastAsia"/>
                <w:color w:val="auto"/>
                <w:kern w:val="0"/>
                <w:sz w:val="24"/>
              </w:rPr>
              <w:t>周至县</w:t>
            </w:r>
            <w:r>
              <w:rPr>
                <w:color w:val="auto"/>
                <w:kern w:val="0"/>
                <w:sz w:val="24"/>
              </w:rPr>
              <w:t>集贤工业园尚九路以西，108省道以北，依托现有厂房，不新增占地</w:t>
            </w:r>
            <w:r>
              <w:rPr>
                <w:rFonts w:hint="eastAsia"/>
                <w:color w:val="auto"/>
                <w:kern w:val="0"/>
                <w:sz w:val="24"/>
              </w:rPr>
              <w:t>。</w:t>
            </w:r>
          </w:p>
          <w:p>
            <w:pPr>
              <w:pStyle w:val="17"/>
              <w:ind w:firstLine="480"/>
              <w:rPr>
                <w:color w:val="auto"/>
                <w:kern w:val="0"/>
                <w:sz w:val="24"/>
              </w:rPr>
            </w:pPr>
            <w:r>
              <w:rPr>
                <w:rFonts w:eastAsia="宋体"/>
                <w:color w:val="auto"/>
                <w:kern w:val="0"/>
                <w:sz w:val="24"/>
              </w:rPr>
              <w:t>（6）四邻关系：本项目利用已建成的11#厂房。11#厂房北侧为10#厂房（电控工厂），南侧为12#厂房（电池托盘车间），西侧为综合站房，东侧为16#厂房（齿轮工厂）。</w:t>
            </w:r>
            <w:r>
              <w:rPr>
                <w:rFonts w:hint="eastAsia" w:eastAsia="宋体"/>
                <w:color w:val="auto"/>
                <w:kern w:val="0"/>
                <w:sz w:val="24"/>
              </w:rPr>
              <w:t>项目地理位置见附图1，四邻关系见附图3。</w:t>
            </w:r>
          </w:p>
          <w:p>
            <w:pPr>
              <w:adjustRightInd w:val="0"/>
              <w:snapToGrid w:val="0"/>
              <w:spacing w:line="360" w:lineRule="auto"/>
              <w:ind w:firstLine="482"/>
              <w:rPr>
                <w:b/>
                <w:bCs/>
                <w:color w:val="auto"/>
                <w:kern w:val="0"/>
                <w:sz w:val="24"/>
              </w:rPr>
            </w:pPr>
            <w:r>
              <w:rPr>
                <w:b/>
                <w:bCs/>
                <w:color w:val="auto"/>
                <w:kern w:val="0"/>
                <w:sz w:val="24"/>
              </w:rPr>
              <w:t>2、建设规模及产品方案</w:t>
            </w:r>
          </w:p>
          <w:p>
            <w:pPr>
              <w:adjustRightInd w:val="0"/>
              <w:snapToGrid w:val="0"/>
              <w:spacing w:line="360" w:lineRule="auto"/>
              <w:ind w:firstLine="480" w:firstLineChars="200"/>
              <w:rPr>
                <w:rFonts w:hint="eastAsia" w:eastAsia="宋体"/>
                <w:color w:val="auto"/>
                <w:kern w:val="0"/>
                <w:sz w:val="24"/>
                <w:lang w:eastAsia="zh-CN"/>
              </w:rPr>
            </w:pPr>
            <w:r>
              <w:rPr>
                <w:color w:val="auto"/>
                <w:kern w:val="0"/>
                <w:sz w:val="24"/>
              </w:rPr>
              <w:t>根据备案文件以及建设单位提供相关资料，项目产品主要为汽车NVH隔音隔热产品，共四种类型，分别为声学包、搁物架、前围隔热层、地毯项目，产品的大小根据模具的大小进行确定，项目建成后产品方案、生产规模情况见表2-1</w:t>
            </w:r>
            <w:r>
              <w:rPr>
                <w:rFonts w:hint="eastAsia"/>
                <w:color w:val="auto"/>
                <w:kern w:val="0"/>
                <w:sz w:val="24"/>
                <w:lang w:eastAsia="zh-CN"/>
              </w:rPr>
              <w:t>。</w:t>
            </w:r>
          </w:p>
          <w:p>
            <w:pPr>
              <w:adjustRightInd w:val="0"/>
              <w:snapToGrid w:val="0"/>
              <w:spacing w:line="360" w:lineRule="auto"/>
              <w:ind w:firstLine="482"/>
              <w:jc w:val="center"/>
              <w:rPr>
                <w:b/>
                <w:bCs/>
                <w:color w:val="auto"/>
                <w:kern w:val="0"/>
                <w:szCs w:val="21"/>
              </w:rPr>
            </w:pPr>
            <w:r>
              <w:rPr>
                <w:b/>
                <w:bCs/>
                <w:color w:val="auto"/>
                <w:kern w:val="0"/>
                <w:szCs w:val="21"/>
              </w:rPr>
              <w:t>表 2-1 项目建成后产品方案</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863"/>
              <w:gridCol w:w="2648"/>
              <w:gridCol w:w="18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91" w:type="pct"/>
                  <w:tcBorders>
                    <w:tl2br w:val="nil"/>
                    <w:tr2bl w:val="nil"/>
                  </w:tcBorders>
                  <w:vAlign w:val="center"/>
                </w:tcPr>
                <w:p>
                  <w:pPr>
                    <w:pStyle w:val="4"/>
                    <w:rPr>
                      <w:b/>
                      <w:bCs/>
                      <w:color w:val="auto"/>
                      <w:szCs w:val="21"/>
                    </w:rPr>
                  </w:pPr>
                  <w:r>
                    <w:rPr>
                      <w:b/>
                      <w:bCs/>
                      <w:color w:val="auto"/>
                      <w:szCs w:val="21"/>
                    </w:rPr>
                    <w:t>序号</w:t>
                  </w:r>
                </w:p>
              </w:tc>
              <w:tc>
                <w:tcPr>
                  <w:tcW w:w="1802" w:type="pct"/>
                  <w:tcBorders>
                    <w:tl2br w:val="nil"/>
                    <w:tr2bl w:val="nil"/>
                  </w:tcBorders>
                  <w:vAlign w:val="center"/>
                </w:tcPr>
                <w:p>
                  <w:pPr>
                    <w:pStyle w:val="4"/>
                    <w:rPr>
                      <w:b/>
                      <w:bCs/>
                      <w:color w:val="auto"/>
                      <w:szCs w:val="21"/>
                    </w:rPr>
                  </w:pPr>
                  <w:r>
                    <w:rPr>
                      <w:b/>
                      <w:bCs/>
                      <w:color w:val="auto"/>
                      <w:szCs w:val="21"/>
                    </w:rPr>
                    <w:t>产品名称</w:t>
                  </w:r>
                </w:p>
              </w:tc>
              <w:tc>
                <w:tcPr>
                  <w:tcW w:w="1667" w:type="pct"/>
                  <w:tcBorders>
                    <w:tl2br w:val="nil"/>
                    <w:tr2bl w:val="nil"/>
                  </w:tcBorders>
                  <w:vAlign w:val="center"/>
                </w:tcPr>
                <w:p>
                  <w:pPr>
                    <w:pStyle w:val="4"/>
                    <w:rPr>
                      <w:b/>
                      <w:bCs/>
                      <w:color w:val="auto"/>
                      <w:szCs w:val="21"/>
                    </w:rPr>
                  </w:pPr>
                  <w:r>
                    <w:rPr>
                      <w:b/>
                      <w:bCs/>
                      <w:color w:val="auto"/>
                      <w:szCs w:val="21"/>
                    </w:rPr>
                    <w:t>规格参数</w:t>
                  </w:r>
                </w:p>
              </w:tc>
              <w:tc>
                <w:tcPr>
                  <w:tcW w:w="1139" w:type="pct"/>
                  <w:tcBorders>
                    <w:tl2br w:val="nil"/>
                    <w:tr2bl w:val="nil"/>
                  </w:tcBorders>
                  <w:vAlign w:val="center"/>
                </w:tcPr>
                <w:p>
                  <w:pPr>
                    <w:pStyle w:val="4"/>
                    <w:rPr>
                      <w:b/>
                      <w:bCs/>
                      <w:color w:val="auto"/>
                      <w:szCs w:val="21"/>
                    </w:rPr>
                  </w:pPr>
                  <w:r>
                    <w:rPr>
                      <w:b/>
                      <w:bCs/>
                      <w:color w:val="auto"/>
                      <w:szCs w:val="21"/>
                    </w:rPr>
                    <w:t>年产量（t/a）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391" w:type="pct"/>
                  <w:tcBorders>
                    <w:tl2br w:val="nil"/>
                    <w:tr2bl w:val="nil"/>
                  </w:tcBorders>
                  <w:vAlign w:val="center"/>
                </w:tcPr>
                <w:p>
                  <w:pPr>
                    <w:pStyle w:val="4"/>
                    <w:rPr>
                      <w:color w:val="auto"/>
                      <w:szCs w:val="21"/>
                    </w:rPr>
                  </w:pPr>
                  <w:r>
                    <w:rPr>
                      <w:color w:val="auto"/>
                      <w:szCs w:val="21"/>
                    </w:rPr>
                    <w:t>1</w:t>
                  </w:r>
                </w:p>
              </w:tc>
              <w:tc>
                <w:tcPr>
                  <w:tcW w:w="1802" w:type="pct"/>
                  <w:tcBorders>
                    <w:tl2br w:val="nil"/>
                    <w:tr2bl w:val="nil"/>
                  </w:tcBorders>
                  <w:vAlign w:val="center"/>
                </w:tcPr>
                <w:p>
                  <w:pPr>
                    <w:jc w:val="center"/>
                    <w:rPr>
                      <w:color w:val="auto"/>
                      <w:szCs w:val="21"/>
                    </w:rPr>
                  </w:pPr>
                  <w:r>
                    <w:rPr>
                      <w:color w:val="auto"/>
                      <w:szCs w:val="21"/>
                    </w:rPr>
                    <w:t>声学包</w:t>
                  </w:r>
                </w:p>
              </w:tc>
              <w:tc>
                <w:tcPr>
                  <w:tcW w:w="1667" w:type="pct"/>
                  <w:tcBorders>
                    <w:tl2br w:val="nil"/>
                    <w:tr2bl w:val="nil"/>
                  </w:tcBorders>
                  <w:vAlign w:val="center"/>
                </w:tcPr>
                <w:p>
                  <w:pPr>
                    <w:jc w:val="center"/>
                    <w:rPr>
                      <w:color w:val="auto"/>
                      <w:szCs w:val="21"/>
                    </w:rPr>
                  </w:pPr>
                  <w:r>
                    <w:rPr>
                      <w:color w:val="auto"/>
                      <w:szCs w:val="21"/>
                    </w:rPr>
                    <w:t>100*200-400*900mm</w:t>
                  </w:r>
                </w:p>
              </w:tc>
              <w:tc>
                <w:tcPr>
                  <w:tcW w:w="1139" w:type="pct"/>
                  <w:tcBorders>
                    <w:tl2br w:val="nil"/>
                    <w:tr2bl w:val="nil"/>
                  </w:tcBorders>
                  <w:vAlign w:val="center"/>
                </w:tcPr>
                <w:p>
                  <w:pPr>
                    <w:pStyle w:val="4"/>
                    <w:rPr>
                      <w:color w:val="auto"/>
                      <w:szCs w:val="21"/>
                    </w:rPr>
                  </w:pPr>
                  <w:r>
                    <w:rPr>
                      <w:rFonts w:hint="eastAsia"/>
                      <w:color w:val="auto"/>
                      <w:szCs w:val="21"/>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exact"/>
                <w:jc w:val="center"/>
              </w:trPr>
              <w:tc>
                <w:tcPr>
                  <w:tcW w:w="391" w:type="pct"/>
                  <w:tcBorders>
                    <w:tl2br w:val="nil"/>
                    <w:tr2bl w:val="nil"/>
                  </w:tcBorders>
                  <w:vAlign w:val="center"/>
                </w:tcPr>
                <w:p>
                  <w:pPr>
                    <w:pStyle w:val="4"/>
                    <w:rPr>
                      <w:color w:val="auto"/>
                      <w:szCs w:val="21"/>
                    </w:rPr>
                  </w:pPr>
                  <w:r>
                    <w:rPr>
                      <w:color w:val="auto"/>
                      <w:szCs w:val="21"/>
                    </w:rPr>
                    <w:t>2</w:t>
                  </w:r>
                </w:p>
              </w:tc>
              <w:tc>
                <w:tcPr>
                  <w:tcW w:w="1802" w:type="pct"/>
                  <w:tcBorders>
                    <w:tl2br w:val="nil"/>
                    <w:tr2bl w:val="nil"/>
                  </w:tcBorders>
                  <w:vAlign w:val="center"/>
                </w:tcPr>
                <w:p>
                  <w:pPr>
                    <w:jc w:val="center"/>
                    <w:rPr>
                      <w:color w:val="auto"/>
                      <w:szCs w:val="21"/>
                    </w:rPr>
                  </w:pPr>
                  <w:r>
                    <w:rPr>
                      <w:color w:val="auto"/>
                      <w:szCs w:val="21"/>
                    </w:rPr>
                    <w:t>搁物架</w:t>
                  </w:r>
                </w:p>
                <w:p>
                  <w:pPr>
                    <w:pStyle w:val="3"/>
                    <w:spacing w:before="120"/>
                    <w:ind w:firstLine="422"/>
                    <w:rPr>
                      <w:color w:val="auto"/>
                      <w:sz w:val="21"/>
                      <w:szCs w:val="21"/>
                    </w:rPr>
                  </w:pPr>
                </w:p>
              </w:tc>
              <w:tc>
                <w:tcPr>
                  <w:tcW w:w="1667" w:type="pct"/>
                  <w:tcBorders>
                    <w:tl2br w:val="nil"/>
                    <w:tr2bl w:val="nil"/>
                  </w:tcBorders>
                  <w:vAlign w:val="center"/>
                </w:tcPr>
                <w:p>
                  <w:pPr>
                    <w:jc w:val="center"/>
                    <w:rPr>
                      <w:color w:val="auto"/>
                      <w:szCs w:val="21"/>
                    </w:rPr>
                  </w:pPr>
                  <w:r>
                    <w:rPr>
                      <w:color w:val="auto"/>
                      <w:szCs w:val="21"/>
                    </w:rPr>
                    <w:t>1200*800mm</w:t>
                  </w:r>
                </w:p>
              </w:tc>
              <w:tc>
                <w:tcPr>
                  <w:tcW w:w="1139" w:type="pct"/>
                  <w:tcBorders>
                    <w:tl2br w:val="nil"/>
                    <w:tr2bl w:val="nil"/>
                  </w:tcBorders>
                  <w:vAlign w:val="center"/>
                </w:tcPr>
                <w:p>
                  <w:pPr>
                    <w:pStyle w:val="4"/>
                    <w:rPr>
                      <w:color w:val="auto"/>
                      <w:szCs w:val="21"/>
                    </w:rPr>
                  </w:pPr>
                  <w:r>
                    <w:rPr>
                      <w:rFonts w:hint="eastAsia"/>
                      <w:color w:val="auto"/>
                      <w:szCs w:val="21"/>
                    </w:rPr>
                    <w:t>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391" w:type="pct"/>
                  <w:tcBorders>
                    <w:tl2br w:val="nil"/>
                    <w:tr2bl w:val="nil"/>
                  </w:tcBorders>
                  <w:vAlign w:val="center"/>
                </w:tcPr>
                <w:p>
                  <w:pPr>
                    <w:pStyle w:val="4"/>
                    <w:rPr>
                      <w:color w:val="auto"/>
                      <w:szCs w:val="21"/>
                    </w:rPr>
                  </w:pPr>
                  <w:r>
                    <w:rPr>
                      <w:color w:val="auto"/>
                      <w:szCs w:val="21"/>
                    </w:rPr>
                    <w:t>3</w:t>
                  </w:r>
                </w:p>
              </w:tc>
              <w:tc>
                <w:tcPr>
                  <w:tcW w:w="1802" w:type="pct"/>
                  <w:tcBorders>
                    <w:tl2br w:val="nil"/>
                    <w:tr2bl w:val="nil"/>
                  </w:tcBorders>
                  <w:vAlign w:val="center"/>
                </w:tcPr>
                <w:p>
                  <w:pPr>
                    <w:jc w:val="center"/>
                    <w:rPr>
                      <w:color w:val="auto"/>
                      <w:szCs w:val="21"/>
                    </w:rPr>
                  </w:pPr>
                  <w:r>
                    <w:rPr>
                      <w:color w:val="auto"/>
                      <w:szCs w:val="21"/>
                    </w:rPr>
                    <w:t>前围隔热层</w:t>
                  </w:r>
                </w:p>
              </w:tc>
              <w:tc>
                <w:tcPr>
                  <w:tcW w:w="1667" w:type="pct"/>
                  <w:tcBorders>
                    <w:tl2br w:val="nil"/>
                    <w:tr2bl w:val="nil"/>
                  </w:tcBorders>
                  <w:vAlign w:val="center"/>
                </w:tcPr>
                <w:p>
                  <w:pPr>
                    <w:jc w:val="center"/>
                    <w:rPr>
                      <w:color w:val="auto"/>
                      <w:szCs w:val="21"/>
                    </w:rPr>
                  </w:pPr>
                  <w:r>
                    <w:rPr>
                      <w:color w:val="auto"/>
                      <w:szCs w:val="21"/>
                    </w:rPr>
                    <w:t>1600*1100mm</w:t>
                  </w:r>
                </w:p>
              </w:tc>
              <w:tc>
                <w:tcPr>
                  <w:tcW w:w="1139" w:type="pct"/>
                  <w:tcBorders>
                    <w:tl2br w:val="nil"/>
                    <w:tr2bl w:val="nil"/>
                  </w:tcBorders>
                  <w:vAlign w:val="center"/>
                </w:tcPr>
                <w:p>
                  <w:pPr>
                    <w:pStyle w:val="4"/>
                    <w:rPr>
                      <w:color w:val="auto"/>
                      <w:szCs w:val="21"/>
                    </w:rPr>
                  </w:pPr>
                  <w:r>
                    <w:rPr>
                      <w:rFonts w:hint="eastAsia"/>
                      <w:color w:val="auto"/>
                      <w:szCs w:val="21"/>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391" w:type="pct"/>
                  <w:tcBorders>
                    <w:tl2br w:val="nil"/>
                    <w:tr2bl w:val="nil"/>
                  </w:tcBorders>
                  <w:vAlign w:val="center"/>
                </w:tcPr>
                <w:p>
                  <w:pPr>
                    <w:pStyle w:val="4"/>
                    <w:rPr>
                      <w:color w:val="auto"/>
                      <w:szCs w:val="21"/>
                    </w:rPr>
                  </w:pPr>
                  <w:r>
                    <w:rPr>
                      <w:color w:val="auto"/>
                      <w:szCs w:val="21"/>
                    </w:rPr>
                    <w:t>4</w:t>
                  </w:r>
                </w:p>
              </w:tc>
              <w:tc>
                <w:tcPr>
                  <w:tcW w:w="1802" w:type="pct"/>
                  <w:tcBorders>
                    <w:tl2br w:val="nil"/>
                    <w:tr2bl w:val="nil"/>
                  </w:tcBorders>
                  <w:vAlign w:val="center"/>
                </w:tcPr>
                <w:p>
                  <w:pPr>
                    <w:jc w:val="center"/>
                    <w:rPr>
                      <w:color w:val="auto"/>
                      <w:szCs w:val="21"/>
                    </w:rPr>
                  </w:pPr>
                  <w:r>
                    <w:rPr>
                      <w:color w:val="auto"/>
                      <w:szCs w:val="21"/>
                    </w:rPr>
                    <w:t>地毯项目</w:t>
                  </w:r>
                </w:p>
              </w:tc>
              <w:tc>
                <w:tcPr>
                  <w:tcW w:w="1667" w:type="pct"/>
                  <w:tcBorders>
                    <w:tl2br w:val="nil"/>
                    <w:tr2bl w:val="nil"/>
                  </w:tcBorders>
                  <w:vAlign w:val="center"/>
                </w:tcPr>
                <w:p>
                  <w:pPr>
                    <w:jc w:val="center"/>
                    <w:rPr>
                      <w:color w:val="auto"/>
                      <w:szCs w:val="21"/>
                    </w:rPr>
                  </w:pPr>
                  <w:r>
                    <w:rPr>
                      <w:color w:val="auto"/>
                      <w:szCs w:val="21"/>
                    </w:rPr>
                    <w:t>2300*1700mm</w:t>
                  </w:r>
                </w:p>
              </w:tc>
              <w:tc>
                <w:tcPr>
                  <w:tcW w:w="1139" w:type="pct"/>
                  <w:tcBorders>
                    <w:tl2br w:val="nil"/>
                    <w:tr2bl w:val="nil"/>
                  </w:tcBorders>
                  <w:vAlign w:val="center"/>
                </w:tcPr>
                <w:p>
                  <w:pPr>
                    <w:pStyle w:val="4"/>
                    <w:rPr>
                      <w:color w:val="auto"/>
                      <w:szCs w:val="21"/>
                    </w:rPr>
                  </w:pPr>
                  <w:r>
                    <w:rPr>
                      <w:rFonts w:hint="eastAsia"/>
                      <w:color w:val="auto"/>
                      <w:szCs w:val="21"/>
                    </w:rPr>
                    <w:t>1296</w:t>
                  </w:r>
                </w:p>
              </w:tc>
            </w:tr>
          </w:tbl>
          <w:p>
            <w:pPr>
              <w:adjustRightInd w:val="0"/>
              <w:snapToGrid w:val="0"/>
              <w:spacing w:line="360" w:lineRule="auto"/>
              <w:ind w:firstLine="482"/>
              <w:rPr>
                <w:b/>
                <w:bCs/>
                <w:color w:val="auto"/>
                <w:kern w:val="0"/>
                <w:sz w:val="24"/>
              </w:rPr>
            </w:pPr>
            <w:r>
              <w:rPr>
                <w:b/>
                <w:bCs/>
                <w:color w:val="auto"/>
                <w:kern w:val="0"/>
                <w:sz w:val="24"/>
              </w:rPr>
              <w:t>3、主要建设内容</w:t>
            </w:r>
          </w:p>
          <w:p>
            <w:pPr>
              <w:adjustRightInd w:val="0"/>
              <w:snapToGrid w:val="0"/>
              <w:spacing w:line="360" w:lineRule="auto"/>
              <w:ind w:firstLine="480" w:firstLineChars="200"/>
              <w:rPr>
                <w:color w:val="auto"/>
                <w:kern w:val="0"/>
                <w:sz w:val="24"/>
              </w:rPr>
            </w:pPr>
            <w:r>
              <w:rPr>
                <w:color w:val="auto"/>
                <w:kern w:val="0"/>
                <w:sz w:val="24"/>
              </w:rPr>
              <w:t>本项目拟在西安比亚迪集贤工业园现有11#厂房内，建设年产120万车付汽车NVH隔音隔热产品，主要建设内容为：</w:t>
            </w:r>
          </w:p>
          <w:p>
            <w:pPr>
              <w:adjustRightInd w:val="0"/>
              <w:snapToGrid w:val="0"/>
              <w:spacing w:line="360" w:lineRule="auto"/>
              <w:ind w:firstLine="480" w:firstLineChars="200"/>
              <w:rPr>
                <w:color w:val="auto"/>
                <w:kern w:val="0"/>
                <w:sz w:val="24"/>
              </w:rPr>
            </w:pPr>
            <w:r>
              <w:rPr>
                <w:color w:val="auto"/>
                <w:kern w:val="0"/>
                <w:sz w:val="24"/>
              </w:rPr>
              <w:t>新购NVH模压机、发泡机、水刀切割等设备，以及生产辅助设备，建设NVH隔音隔热产品生产线，主要生产工艺为模压、发泡。项目组成及建设内容详见表2-2。</w:t>
            </w:r>
          </w:p>
          <w:p>
            <w:pPr>
              <w:pStyle w:val="3"/>
              <w:spacing w:before="120"/>
              <w:ind w:firstLine="422"/>
              <w:rPr>
                <w:rFonts w:eastAsia="宋体"/>
                <w:bCs/>
                <w:color w:val="auto"/>
                <w:kern w:val="0"/>
                <w:sz w:val="21"/>
                <w:szCs w:val="21"/>
              </w:rPr>
            </w:pPr>
            <w:r>
              <w:rPr>
                <w:rFonts w:eastAsia="宋体"/>
                <w:bCs/>
                <w:color w:val="auto"/>
                <w:kern w:val="0"/>
                <w:sz w:val="21"/>
                <w:szCs w:val="21"/>
              </w:rPr>
              <w:t>表2-2  项目组成一览表</w:t>
            </w:r>
          </w:p>
          <w:tbl>
            <w:tblPr>
              <w:tblStyle w:val="1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09"/>
              <w:gridCol w:w="823"/>
              <w:gridCol w:w="655"/>
              <w:gridCol w:w="3402"/>
              <w:gridCol w:w="15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09" w:type="pct"/>
                  <w:vAlign w:val="center"/>
                </w:tcPr>
                <w:p>
                  <w:pPr>
                    <w:jc w:val="center"/>
                    <w:rPr>
                      <w:b/>
                      <w:bCs/>
                      <w:color w:val="auto"/>
                      <w:szCs w:val="21"/>
                    </w:rPr>
                  </w:pPr>
                  <w:r>
                    <w:rPr>
                      <w:b/>
                      <w:bCs/>
                      <w:color w:val="auto"/>
                      <w:szCs w:val="21"/>
                    </w:rPr>
                    <w:t>类别</w:t>
                  </w:r>
                </w:p>
              </w:tc>
              <w:tc>
                <w:tcPr>
                  <w:tcW w:w="964" w:type="pct"/>
                  <w:gridSpan w:val="2"/>
                  <w:vAlign w:val="center"/>
                </w:tcPr>
                <w:p>
                  <w:pPr>
                    <w:jc w:val="center"/>
                    <w:rPr>
                      <w:b/>
                      <w:bCs/>
                      <w:color w:val="auto"/>
                      <w:szCs w:val="21"/>
                    </w:rPr>
                  </w:pPr>
                  <w:r>
                    <w:rPr>
                      <w:b/>
                      <w:bCs/>
                      <w:color w:val="auto"/>
                      <w:szCs w:val="21"/>
                    </w:rPr>
                    <w:t>名称</w:t>
                  </w:r>
                </w:p>
              </w:tc>
              <w:tc>
                <w:tcPr>
                  <w:tcW w:w="2553" w:type="pct"/>
                  <w:gridSpan w:val="2"/>
                  <w:vAlign w:val="center"/>
                </w:tcPr>
                <w:p>
                  <w:pPr>
                    <w:jc w:val="center"/>
                    <w:rPr>
                      <w:b/>
                      <w:bCs/>
                      <w:color w:val="auto"/>
                      <w:szCs w:val="21"/>
                    </w:rPr>
                  </w:pPr>
                  <w:r>
                    <w:rPr>
                      <w:b/>
                      <w:bCs/>
                      <w:color w:val="auto"/>
                      <w:szCs w:val="21"/>
                    </w:rPr>
                    <w:t>本项目建设内容</w:t>
                  </w:r>
                </w:p>
              </w:tc>
              <w:tc>
                <w:tcPr>
                  <w:tcW w:w="972" w:type="pct"/>
                  <w:vAlign w:val="center"/>
                </w:tcPr>
                <w:p>
                  <w:pPr>
                    <w:jc w:val="center"/>
                    <w:rPr>
                      <w:b/>
                      <w:bCs/>
                      <w:color w:val="auto"/>
                      <w:szCs w:val="21"/>
                    </w:rPr>
                  </w:pPr>
                  <w:r>
                    <w:rPr>
                      <w:b/>
                      <w:bCs/>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Align w:val="center"/>
                </w:tcPr>
                <w:p>
                  <w:pPr>
                    <w:jc w:val="center"/>
                    <w:rPr>
                      <w:color w:val="auto"/>
                      <w:szCs w:val="21"/>
                    </w:rPr>
                  </w:pPr>
                  <w:r>
                    <w:rPr>
                      <w:color w:val="auto"/>
                      <w:szCs w:val="21"/>
                    </w:rPr>
                    <w:t>主体工程</w:t>
                  </w:r>
                </w:p>
              </w:tc>
              <w:tc>
                <w:tcPr>
                  <w:tcW w:w="964" w:type="pct"/>
                  <w:gridSpan w:val="2"/>
                  <w:vAlign w:val="center"/>
                </w:tcPr>
                <w:p>
                  <w:pPr>
                    <w:jc w:val="center"/>
                    <w:rPr>
                      <w:color w:val="auto"/>
                      <w:szCs w:val="21"/>
                    </w:rPr>
                  </w:pPr>
                  <w:r>
                    <w:rPr>
                      <w:color w:val="auto"/>
                      <w:szCs w:val="21"/>
                    </w:rPr>
                    <w:t>11#厂房</w:t>
                  </w:r>
                </w:p>
                <w:p>
                  <w:pPr>
                    <w:jc w:val="center"/>
                    <w:rPr>
                      <w:color w:val="auto"/>
                      <w:szCs w:val="21"/>
                    </w:rPr>
                  </w:pPr>
                  <w:r>
                    <w:rPr>
                      <w:color w:val="auto"/>
                      <w:szCs w:val="21"/>
                    </w:rPr>
                    <w:t>（NVH生产线）</w:t>
                  </w:r>
                </w:p>
              </w:tc>
              <w:tc>
                <w:tcPr>
                  <w:tcW w:w="2553" w:type="pct"/>
                  <w:gridSpan w:val="2"/>
                  <w:vAlign w:val="center"/>
                </w:tcPr>
                <w:p>
                  <w:pPr>
                    <w:rPr>
                      <w:color w:val="auto"/>
                      <w:szCs w:val="21"/>
                    </w:rPr>
                  </w:pPr>
                  <w:r>
                    <w:rPr>
                      <w:color w:val="auto"/>
                      <w:szCs w:val="21"/>
                    </w:rPr>
                    <w:t>项目占地17407.16m</w:t>
                  </w:r>
                  <w:r>
                    <w:rPr>
                      <w:color w:val="auto"/>
                      <w:szCs w:val="21"/>
                      <w:vertAlign w:val="superscript"/>
                    </w:rPr>
                    <w:t>2</w:t>
                  </w:r>
                  <w:r>
                    <w:rPr>
                      <w:rFonts w:hint="eastAsia"/>
                      <w:color w:val="auto"/>
                      <w:szCs w:val="21"/>
                    </w:rPr>
                    <w:t>，</w:t>
                  </w:r>
                  <w:r>
                    <w:rPr>
                      <w:color w:val="auto"/>
                      <w:szCs w:val="21"/>
                    </w:rPr>
                    <w:t>新购NVH模压机</w:t>
                  </w:r>
                  <w:r>
                    <w:rPr>
                      <w:rFonts w:hint="eastAsia"/>
                      <w:color w:val="auto"/>
                      <w:szCs w:val="21"/>
                    </w:rPr>
                    <w:t>9台</w:t>
                  </w:r>
                  <w:r>
                    <w:rPr>
                      <w:color w:val="auto"/>
                      <w:szCs w:val="21"/>
                    </w:rPr>
                    <w:t>、发泡机</w:t>
                  </w:r>
                  <w:r>
                    <w:rPr>
                      <w:rFonts w:hint="eastAsia"/>
                      <w:color w:val="auto"/>
                      <w:szCs w:val="21"/>
                    </w:rPr>
                    <w:t>6台</w:t>
                  </w:r>
                  <w:r>
                    <w:rPr>
                      <w:color w:val="auto"/>
                      <w:szCs w:val="21"/>
                    </w:rPr>
                    <w:t>、水刀切割</w:t>
                  </w:r>
                  <w:r>
                    <w:rPr>
                      <w:rFonts w:hint="eastAsia"/>
                      <w:color w:val="auto"/>
                      <w:szCs w:val="21"/>
                    </w:rPr>
                    <w:t>机2台</w:t>
                  </w:r>
                  <w:r>
                    <w:rPr>
                      <w:color w:val="auto"/>
                      <w:szCs w:val="21"/>
                    </w:rPr>
                    <w:t>等设备，以及生产辅助设备，建设NVH隔音隔热产品生产线</w:t>
                  </w:r>
                  <w:r>
                    <w:rPr>
                      <w:rFonts w:hint="eastAsia"/>
                      <w:color w:val="auto"/>
                      <w:szCs w:val="21"/>
                    </w:rPr>
                    <w:t>，</w:t>
                  </w:r>
                  <w:r>
                    <w:rPr>
                      <w:color w:val="auto"/>
                      <w:szCs w:val="21"/>
                    </w:rPr>
                    <w:t>项目建成年产120万车付汽车NVH隔音隔热产品。</w:t>
                  </w:r>
                </w:p>
              </w:tc>
              <w:tc>
                <w:tcPr>
                  <w:tcW w:w="972" w:type="pct"/>
                  <w:vAlign w:val="center"/>
                </w:tcPr>
                <w:p>
                  <w:pPr>
                    <w:jc w:val="center"/>
                    <w:rPr>
                      <w:color w:val="auto"/>
                      <w:szCs w:val="21"/>
                    </w:rPr>
                  </w:pPr>
                  <w:r>
                    <w:rPr>
                      <w:color w:val="auto"/>
                      <w:szCs w:val="21"/>
                    </w:rPr>
                    <w:t>依托现有厂房，仅进行设备安装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restart"/>
                  <w:vAlign w:val="center"/>
                </w:tcPr>
                <w:p>
                  <w:pPr>
                    <w:jc w:val="center"/>
                    <w:rPr>
                      <w:color w:val="auto"/>
                      <w:szCs w:val="21"/>
                    </w:rPr>
                  </w:pPr>
                  <w:r>
                    <w:rPr>
                      <w:color w:val="auto"/>
                      <w:szCs w:val="21"/>
                    </w:rPr>
                    <w:t>储运工程</w:t>
                  </w:r>
                </w:p>
              </w:tc>
              <w:tc>
                <w:tcPr>
                  <w:tcW w:w="964" w:type="pct"/>
                  <w:gridSpan w:val="2"/>
                  <w:vAlign w:val="center"/>
                </w:tcPr>
                <w:p>
                  <w:pPr>
                    <w:jc w:val="center"/>
                    <w:rPr>
                      <w:color w:val="auto"/>
                      <w:szCs w:val="21"/>
                    </w:rPr>
                  </w:pPr>
                  <w:r>
                    <w:rPr>
                      <w:color w:val="auto"/>
                      <w:szCs w:val="21"/>
                    </w:rPr>
                    <w:t>废料仓</w:t>
                  </w:r>
                </w:p>
              </w:tc>
              <w:tc>
                <w:tcPr>
                  <w:tcW w:w="2553" w:type="pct"/>
                  <w:gridSpan w:val="2"/>
                  <w:vAlign w:val="center"/>
                </w:tcPr>
                <w:p>
                  <w:pPr>
                    <w:rPr>
                      <w:color w:val="auto"/>
                      <w:szCs w:val="21"/>
                    </w:rPr>
                  </w:pPr>
                  <w:r>
                    <w:rPr>
                      <w:rFonts w:hint="eastAsia"/>
                      <w:color w:val="auto"/>
                      <w:szCs w:val="21"/>
                    </w:rPr>
                    <w:t>模压成型</w:t>
                  </w:r>
                  <w:r>
                    <w:rPr>
                      <w:color w:val="auto"/>
                      <w:szCs w:val="21"/>
                    </w:rPr>
                    <w:t>PET残料、</w:t>
                  </w:r>
                  <w:r>
                    <w:rPr>
                      <w:rFonts w:hint="eastAsia"/>
                      <w:color w:val="auto"/>
                      <w:szCs w:val="21"/>
                    </w:rPr>
                    <w:t>发泡成型</w:t>
                  </w:r>
                  <w:r>
                    <w:rPr>
                      <w:color w:val="auto"/>
                      <w:szCs w:val="21"/>
                    </w:rPr>
                    <w:t>废料</w:t>
                  </w:r>
                  <w:r>
                    <w:rPr>
                      <w:rFonts w:hint="eastAsia"/>
                      <w:color w:val="auto"/>
                      <w:szCs w:val="21"/>
                    </w:rPr>
                    <w:t>、废包装、废无纺布</w:t>
                  </w:r>
                  <w:r>
                    <w:rPr>
                      <w:color w:val="auto"/>
                      <w:szCs w:val="21"/>
                    </w:rPr>
                    <w:t>等存储于废料仓</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危废站</w:t>
                  </w:r>
                </w:p>
              </w:tc>
              <w:tc>
                <w:tcPr>
                  <w:tcW w:w="2553" w:type="pct"/>
                  <w:gridSpan w:val="2"/>
                  <w:vAlign w:val="center"/>
                </w:tcPr>
                <w:p>
                  <w:pPr>
                    <w:rPr>
                      <w:color w:val="auto"/>
                      <w:szCs w:val="21"/>
                    </w:rPr>
                  </w:pPr>
                  <w:r>
                    <w:rPr>
                      <w:color w:val="auto"/>
                      <w:szCs w:val="21"/>
                    </w:rPr>
                    <w:t>废AB料、废脱模剂、</w:t>
                  </w:r>
                  <w:r>
                    <w:rPr>
                      <w:rFonts w:hint="eastAsia"/>
                      <w:color w:val="auto"/>
                      <w:szCs w:val="21"/>
                    </w:rPr>
                    <w:t>废含油手套、抹布、废沾染物空桶、废活性炭、废液压油</w:t>
                  </w:r>
                  <w:r>
                    <w:rPr>
                      <w:color w:val="auto"/>
                      <w:szCs w:val="21"/>
                    </w:rPr>
                    <w:t>等危险废物存储于厂区危废站</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危化品库</w:t>
                  </w:r>
                </w:p>
              </w:tc>
              <w:tc>
                <w:tcPr>
                  <w:tcW w:w="2553" w:type="pct"/>
                  <w:gridSpan w:val="2"/>
                  <w:vAlign w:val="center"/>
                </w:tcPr>
                <w:p>
                  <w:pPr>
                    <w:rPr>
                      <w:color w:val="auto"/>
                      <w:szCs w:val="21"/>
                    </w:rPr>
                  </w:pPr>
                  <w:r>
                    <w:rPr>
                      <w:color w:val="auto"/>
                      <w:szCs w:val="21"/>
                    </w:rPr>
                    <w:t>异氰酸酯等危化品存储于厂区危化品库</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restart"/>
                  <w:vAlign w:val="center"/>
                </w:tcPr>
                <w:p>
                  <w:pPr>
                    <w:jc w:val="center"/>
                    <w:rPr>
                      <w:color w:val="auto"/>
                      <w:szCs w:val="21"/>
                    </w:rPr>
                  </w:pPr>
                  <w:r>
                    <w:rPr>
                      <w:color w:val="auto"/>
                      <w:szCs w:val="21"/>
                    </w:rPr>
                    <w:t>辅助工程</w:t>
                  </w:r>
                </w:p>
              </w:tc>
              <w:tc>
                <w:tcPr>
                  <w:tcW w:w="964" w:type="pct"/>
                  <w:gridSpan w:val="2"/>
                  <w:vAlign w:val="center"/>
                </w:tcPr>
                <w:p>
                  <w:pPr>
                    <w:jc w:val="center"/>
                    <w:rPr>
                      <w:color w:val="auto"/>
                      <w:szCs w:val="21"/>
                    </w:rPr>
                  </w:pPr>
                  <w:r>
                    <w:rPr>
                      <w:color w:val="auto"/>
                      <w:szCs w:val="21"/>
                    </w:rPr>
                    <w:t>生活区</w:t>
                  </w:r>
                </w:p>
              </w:tc>
              <w:tc>
                <w:tcPr>
                  <w:tcW w:w="2553" w:type="pct"/>
                  <w:gridSpan w:val="2"/>
                  <w:vAlign w:val="center"/>
                </w:tcPr>
                <w:p>
                  <w:pPr>
                    <w:rPr>
                      <w:color w:val="auto"/>
                      <w:szCs w:val="21"/>
                    </w:rPr>
                  </w:pPr>
                  <w:r>
                    <w:rPr>
                      <w:color w:val="auto"/>
                      <w:szCs w:val="21"/>
                    </w:rPr>
                    <w:t>依托现有，包括食堂和宿舍</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办公区</w:t>
                  </w:r>
                </w:p>
              </w:tc>
              <w:tc>
                <w:tcPr>
                  <w:tcW w:w="2553" w:type="pct"/>
                  <w:gridSpan w:val="2"/>
                  <w:vAlign w:val="center"/>
                </w:tcPr>
                <w:p>
                  <w:pPr>
                    <w:rPr>
                      <w:color w:val="auto"/>
                      <w:szCs w:val="21"/>
                    </w:rPr>
                  </w:pPr>
                  <w:r>
                    <w:rPr>
                      <w:color w:val="auto"/>
                      <w:szCs w:val="21"/>
                    </w:rPr>
                    <w:t>在</w:t>
                  </w:r>
                  <w:r>
                    <w:rPr>
                      <w:rFonts w:hint="eastAsia"/>
                      <w:color w:val="auto"/>
                      <w:szCs w:val="21"/>
                    </w:rPr>
                    <w:t>11#</w:t>
                  </w:r>
                  <w:r>
                    <w:rPr>
                      <w:color w:val="auto"/>
                      <w:szCs w:val="21"/>
                    </w:rPr>
                    <w:t>厂房</w:t>
                  </w:r>
                  <w:r>
                    <w:rPr>
                      <w:rFonts w:hint="eastAsia"/>
                      <w:color w:val="auto"/>
                      <w:szCs w:val="21"/>
                    </w:rPr>
                    <w:t>内</w:t>
                  </w:r>
                  <w:r>
                    <w:rPr>
                      <w:color w:val="auto"/>
                      <w:szCs w:val="21"/>
                    </w:rPr>
                    <w:t>北侧区域设置一间办公室、一间会议室</w:t>
                  </w:r>
                </w:p>
              </w:tc>
              <w:tc>
                <w:tcPr>
                  <w:tcW w:w="972" w:type="pct"/>
                  <w:vAlign w:val="center"/>
                </w:tcPr>
                <w:p>
                  <w:pPr>
                    <w:jc w:val="center"/>
                    <w:rPr>
                      <w:color w:val="auto"/>
                      <w:szCs w:val="21"/>
                    </w:rPr>
                  </w:pPr>
                  <w:r>
                    <w:rPr>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维修房</w:t>
                  </w:r>
                </w:p>
              </w:tc>
              <w:tc>
                <w:tcPr>
                  <w:tcW w:w="2553" w:type="pct"/>
                  <w:gridSpan w:val="2"/>
                  <w:vAlign w:val="center"/>
                </w:tcPr>
                <w:p>
                  <w:pPr>
                    <w:rPr>
                      <w:color w:val="auto"/>
                      <w:szCs w:val="21"/>
                    </w:rPr>
                  </w:pPr>
                  <w:r>
                    <w:rPr>
                      <w:color w:val="auto"/>
                      <w:szCs w:val="21"/>
                    </w:rPr>
                    <w:t>在</w:t>
                  </w:r>
                  <w:r>
                    <w:rPr>
                      <w:rFonts w:hint="eastAsia"/>
                      <w:color w:val="auto"/>
                      <w:szCs w:val="21"/>
                    </w:rPr>
                    <w:t>11#</w:t>
                  </w:r>
                  <w:r>
                    <w:rPr>
                      <w:color w:val="auto"/>
                      <w:szCs w:val="21"/>
                    </w:rPr>
                    <w:t>厂房</w:t>
                  </w:r>
                  <w:r>
                    <w:rPr>
                      <w:rFonts w:hint="eastAsia"/>
                      <w:color w:val="auto"/>
                      <w:szCs w:val="21"/>
                    </w:rPr>
                    <w:t>内</w:t>
                  </w:r>
                  <w:r>
                    <w:rPr>
                      <w:color w:val="auto"/>
                      <w:szCs w:val="21"/>
                    </w:rPr>
                    <w:t>北侧区域设置一间维修房，仅进行简单维修</w:t>
                  </w:r>
                </w:p>
              </w:tc>
              <w:tc>
                <w:tcPr>
                  <w:tcW w:w="972" w:type="pct"/>
                  <w:vAlign w:val="center"/>
                </w:tcPr>
                <w:p>
                  <w:pPr>
                    <w:jc w:val="center"/>
                    <w:rPr>
                      <w:color w:val="auto"/>
                      <w:szCs w:val="21"/>
                    </w:rPr>
                  </w:pPr>
                  <w:r>
                    <w:rPr>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9" w:type="pct"/>
                  <w:vMerge w:val="restart"/>
                  <w:vAlign w:val="center"/>
                </w:tcPr>
                <w:p>
                  <w:pPr>
                    <w:jc w:val="center"/>
                    <w:rPr>
                      <w:color w:val="auto"/>
                      <w:szCs w:val="21"/>
                    </w:rPr>
                  </w:pPr>
                  <w:r>
                    <w:rPr>
                      <w:color w:val="auto"/>
                      <w:szCs w:val="21"/>
                    </w:rPr>
                    <w:t>公用工程</w:t>
                  </w:r>
                </w:p>
              </w:tc>
              <w:tc>
                <w:tcPr>
                  <w:tcW w:w="964" w:type="pct"/>
                  <w:gridSpan w:val="2"/>
                  <w:vAlign w:val="center"/>
                </w:tcPr>
                <w:p>
                  <w:pPr>
                    <w:jc w:val="center"/>
                    <w:rPr>
                      <w:color w:val="auto"/>
                      <w:szCs w:val="21"/>
                    </w:rPr>
                  </w:pPr>
                  <w:r>
                    <w:rPr>
                      <w:color w:val="auto"/>
                      <w:szCs w:val="21"/>
                    </w:rPr>
                    <w:t>给水</w:t>
                  </w:r>
                </w:p>
              </w:tc>
              <w:tc>
                <w:tcPr>
                  <w:tcW w:w="2553" w:type="pct"/>
                  <w:gridSpan w:val="2"/>
                  <w:vAlign w:val="center"/>
                </w:tcPr>
                <w:p>
                  <w:pPr>
                    <w:rPr>
                      <w:color w:val="auto"/>
                      <w:szCs w:val="21"/>
                    </w:rPr>
                  </w:pPr>
                  <w:r>
                    <w:rPr>
                      <w:color w:val="auto"/>
                      <w:szCs w:val="21"/>
                    </w:rPr>
                    <w:t>给水由集贤工业园区自来水厂负责提供</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供电</w:t>
                  </w:r>
                </w:p>
              </w:tc>
              <w:tc>
                <w:tcPr>
                  <w:tcW w:w="2553" w:type="pct"/>
                  <w:gridSpan w:val="2"/>
                  <w:vAlign w:val="center"/>
                </w:tcPr>
                <w:p>
                  <w:pPr>
                    <w:rPr>
                      <w:color w:val="auto"/>
                      <w:szCs w:val="21"/>
                    </w:rPr>
                  </w:pPr>
                  <w:r>
                    <w:rPr>
                      <w:color w:val="auto"/>
                      <w:szCs w:val="21"/>
                    </w:rPr>
                    <w:t>供电由厂区电网接入</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排水</w:t>
                  </w:r>
                </w:p>
              </w:tc>
              <w:tc>
                <w:tcPr>
                  <w:tcW w:w="2553" w:type="pct"/>
                  <w:gridSpan w:val="2"/>
                  <w:vAlign w:val="center"/>
                </w:tcPr>
                <w:p>
                  <w:pPr>
                    <w:rPr>
                      <w:color w:val="auto"/>
                      <w:szCs w:val="21"/>
                    </w:rPr>
                  </w:pPr>
                  <w:r>
                    <w:rPr>
                      <w:rFonts w:hint="eastAsia"/>
                      <w:color w:val="auto"/>
                      <w:szCs w:val="21"/>
                    </w:rPr>
                    <w:t>本项目产生</w:t>
                  </w:r>
                  <w:r>
                    <w:rPr>
                      <w:color w:val="auto"/>
                      <w:szCs w:val="21"/>
                    </w:rPr>
                    <w:t>生活污水</w:t>
                  </w:r>
                  <w:r>
                    <w:rPr>
                      <w:rFonts w:hint="eastAsia"/>
                      <w:color w:val="auto"/>
                      <w:szCs w:val="21"/>
                    </w:rPr>
                    <w:t>和生产废水，生活污水</w:t>
                  </w:r>
                  <w:r>
                    <w:rPr>
                      <w:color w:val="auto"/>
                      <w:szCs w:val="21"/>
                    </w:rPr>
                    <w:t>经化粪池、隔油池处理后直接进入西安集贤工业园区污水厂进行处理</w:t>
                  </w:r>
                  <w:r>
                    <w:rPr>
                      <w:rFonts w:hint="eastAsia"/>
                      <w:color w:val="auto"/>
                      <w:szCs w:val="21"/>
                    </w:rPr>
                    <w:t>；生产废水经过滤后进入西安比亚迪零部件有限公司集贤新能源汽车零部件产业园污水站处理，达标后排入西安市集贤产业园园区污水处理厂。</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restart"/>
                  <w:vAlign w:val="center"/>
                </w:tcPr>
                <w:p>
                  <w:pPr>
                    <w:jc w:val="center"/>
                    <w:rPr>
                      <w:color w:val="auto"/>
                      <w:szCs w:val="21"/>
                    </w:rPr>
                  </w:pPr>
                  <w:r>
                    <w:rPr>
                      <w:color w:val="auto"/>
                      <w:szCs w:val="21"/>
                    </w:rPr>
                    <w:t>环保工程</w:t>
                  </w:r>
                </w:p>
              </w:tc>
              <w:tc>
                <w:tcPr>
                  <w:tcW w:w="446" w:type="pct"/>
                  <w:vMerge w:val="restart"/>
                  <w:vAlign w:val="center"/>
                </w:tcPr>
                <w:p>
                  <w:pPr>
                    <w:jc w:val="center"/>
                    <w:rPr>
                      <w:color w:val="auto"/>
                      <w:szCs w:val="21"/>
                    </w:rPr>
                  </w:pPr>
                  <w:r>
                    <w:rPr>
                      <w:color w:val="auto"/>
                      <w:szCs w:val="21"/>
                    </w:rPr>
                    <w:t>废气治理</w:t>
                  </w:r>
                </w:p>
              </w:tc>
              <w:tc>
                <w:tcPr>
                  <w:tcW w:w="517" w:type="pct"/>
                  <w:vAlign w:val="center"/>
                </w:tcPr>
                <w:p>
                  <w:pPr>
                    <w:jc w:val="center"/>
                    <w:rPr>
                      <w:color w:val="auto"/>
                      <w:szCs w:val="21"/>
                    </w:rPr>
                  </w:pPr>
                  <w:r>
                    <w:rPr>
                      <w:color w:val="auto"/>
                      <w:szCs w:val="21"/>
                    </w:rPr>
                    <w:t>发泡废气</w:t>
                  </w:r>
                </w:p>
              </w:tc>
              <w:tc>
                <w:tcPr>
                  <w:tcW w:w="2553" w:type="pct"/>
                  <w:gridSpan w:val="2"/>
                  <w:vAlign w:val="center"/>
                </w:tcPr>
                <w:p>
                  <w:pPr>
                    <w:rPr>
                      <w:color w:val="auto"/>
                      <w:szCs w:val="21"/>
                    </w:rPr>
                  </w:pPr>
                  <w:r>
                    <w:rPr>
                      <w:color w:val="auto"/>
                      <w:szCs w:val="21"/>
                    </w:rPr>
                    <w:t>产生的</w:t>
                  </w:r>
                  <w:r>
                    <w:rPr>
                      <w:rFonts w:hint="eastAsia"/>
                      <w:color w:val="auto"/>
                      <w:szCs w:val="21"/>
                    </w:rPr>
                    <w:t>非甲烷总烃</w:t>
                  </w:r>
                  <w:r>
                    <w:rPr>
                      <w:color w:val="auto"/>
                      <w:szCs w:val="21"/>
                    </w:rPr>
                    <w:t>经</w:t>
                  </w:r>
                  <w:r>
                    <w:rPr>
                      <w:rFonts w:hint="eastAsia"/>
                      <w:color w:val="auto"/>
                      <w:szCs w:val="21"/>
                    </w:rPr>
                    <w:t>集气罩收集</w:t>
                  </w:r>
                  <w:r>
                    <w:rPr>
                      <w:color w:val="auto"/>
                      <w:szCs w:val="21"/>
                    </w:rPr>
                    <w:t>后由干式过滤器+二级活性炭过滤装置处理后，经15m排气筒排放</w:t>
                  </w:r>
                  <w:r>
                    <w:rPr>
                      <w:rFonts w:hint="eastAsia"/>
                      <w:color w:val="auto"/>
                      <w:szCs w:val="21"/>
                    </w:rPr>
                    <w:t>（DA001）</w:t>
                  </w:r>
                </w:p>
              </w:tc>
              <w:tc>
                <w:tcPr>
                  <w:tcW w:w="972" w:type="pct"/>
                  <w:vAlign w:val="center"/>
                </w:tcPr>
                <w:p>
                  <w:pPr>
                    <w:jc w:val="center"/>
                    <w:rPr>
                      <w:color w:val="auto"/>
                      <w:szCs w:val="21"/>
                    </w:rPr>
                  </w:pPr>
                  <w:r>
                    <w:rPr>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rFonts w:hint="eastAsia" w:eastAsia="宋体"/>
                      <w:color w:val="auto"/>
                      <w:szCs w:val="21"/>
                      <w:lang w:eastAsia="zh-CN"/>
                    </w:rPr>
                  </w:pPr>
                  <w:r>
                    <w:rPr>
                      <w:rFonts w:hint="eastAsia"/>
                      <w:color w:val="auto"/>
                      <w:szCs w:val="21"/>
                      <w:lang w:eastAsia="zh-CN"/>
                    </w:rPr>
                    <w:t>模压废气</w:t>
                  </w:r>
                </w:p>
              </w:tc>
              <w:tc>
                <w:tcPr>
                  <w:tcW w:w="2553" w:type="pct"/>
                  <w:gridSpan w:val="2"/>
                  <w:vAlign w:val="center"/>
                </w:tcPr>
                <w:p>
                  <w:pPr>
                    <w:rPr>
                      <w:color w:val="auto"/>
                      <w:szCs w:val="21"/>
                    </w:rPr>
                  </w:pPr>
                  <w:r>
                    <w:rPr>
                      <w:color w:val="auto"/>
                      <w:szCs w:val="21"/>
                    </w:rPr>
                    <w:t>产生的</w:t>
                  </w:r>
                  <w:r>
                    <w:rPr>
                      <w:rFonts w:hint="eastAsia"/>
                      <w:color w:val="auto"/>
                      <w:szCs w:val="21"/>
                    </w:rPr>
                    <w:t>非甲烷总烃</w:t>
                  </w:r>
                  <w:r>
                    <w:rPr>
                      <w:color w:val="auto"/>
                      <w:szCs w:val="21"/>
                    </w:rPr>
                    <w:t>经</w:t>
                  </w:r>
                  <w:r>
                    <w:rPr>
                      <w:rFonts w:hint="eastAsia"/>
                      <w:color w:val="auto"/>
                      <w:szCs w:val="21"/>
                    </w:rPr>
                    <w:t>集气罩收集</w:t>
                  </w:r>
                  <w:r>
                    <w:rPr>
                      <w:color w:val="auto"/>
                      <w:szCs w:val="21"/>
                    </w:rPr>
                    <w:t>后由干式过滤器+二级活性炭过滤装置处理后，经15m排气筒排放</w:t>
                  </w:r>
                  <w:r>
                    <w:rPr>
                      <w:rFonts w:hint="eastAsia"/>
                      <w:color w:val="auto"/>
                      <w:szCs w:val="21"/>
                    </w:rPr>
                    <w:t>（DA002）</w:t>
                  </w:r>
                </w:p>
              </w:tc>
              <w:tc>
                <w:tcPr>
                  <w:tcW w:w="972" w:type="pct"/>
                  <w:vAlign w:val="center"/>
                </w:tcPr>
                <w:p>
                  <w:pPr>
                    <w:jc w:val="center"/>
                    <w:rPr>
                      <w:color w:val="auto"/>
                      <w:szCs w:val="21"/>
                    </w:rPr>
                  </w:pPr>
                  <w:r>
                    <w:rPr>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rFonts w:hint="eastAsia"/>
                      <w:color w:val="auto"/>
                      <w:szCs w:val="21"/>
                    </w:rPr>
                    <w:t>模具清理</w:t>
                  </w:r>
                  <w:r>
                    <w:rPr>
                      <w:color w:val="auto"/>
                      <w:szCs w:val="21"/>
                    </w:rPr>
                    <w:t>废气</w:t>
                  </w:r>
                </w:p>
              </w:tc>
              <w:tc>
                <w:tcPr>
                  <w:tcW w:w="2553" w:type="pct"/>
                  <w:gridSpan w:val="2"/>
                  <w:vAlign w:val="center"/>
                </w:tcPr>
                <w:p>
                  <w:pPr>
                    <w:rPr>
                      <w:color w:val="auto"/>
                      <w:szCs w:val="21"/>
                    </w:rPr>
                  </w:pPr>
                  <w:r>
                    <w:rPr>
                      <w:color w:val="auto"/>
                      <w:szCs w:val="21"/>
                    </w:rPr>
                    <w:t>产生的</w:t>
                  </w:r>
                  <w:r>
                    <w:rPr>
                      <w:rFonts w:hint="eastAsia"/>
                      <w:color w:val="auto"/>
                      <w:szCs w:val="21"/>
                    </w:rPr>
                    <w:t>颗粒物</w:t>
                  </w:r>
                  <w:r>
                    <w:rPr>
                      <w:color w:val="auto"/>
                      <w:szCs w:val="21"/>
                    </w:rPr>
                    <w:t>经</w:t>
                  </w:r>
                  <w:r>
                    <w:rPr>
                      <w:rFonts w:hint="eastAsia"/>
                      <w:color w:val="auto"/>
                      <w:szCs w:val="21"/>
                    </w:rPr>
                    <w:t>集气罩收集</w:t>
                  </w:r>
                  <w:r>
                    <w:rPr>
                      <w:color w:val="auto"/>
                      <w:szCs w:val="21"/>
                    </w:rPr>
                    <w:t>后由干式过滤器+二级活性炭过滤装置处理后，经15m排气筒排放</w:t>
                  </w:r>
                  <w:r>
                    <w:rPr>
                      <w:rFonts w:hint="eastAsia"/>
                      <w:color w:val="auto"/>
                      <w:szCs w:val="21"/>
                    </w:rPr>
                    <w:t>（DA001、DA002）</w:t>
                  </w:r>
                </w:p>
              </w:tc>
              <w:tc>
                <w:tcPr>
                  <w:tcW w:w="972" w:type="pct"/>
                  <w:vAlign w:val="center"/>
                </w:tcPr>
                <w:p>
                  <w:pPr>
                    <w:jc w:val="center"/>
                    <w:rPr>
                      <w:color w:val="auto"/>
                      <w:szCs w:val="21"/>
                    </w:rPr>
                  </w:pPr>
                  <w:r>
                    <w:rPr>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rFonts w:hint="eastAsia"/>
                      <w:color w:val="auto"/>
                      <w:szCs w:val="21"/>
                    </w:rPr>
                    <w:t>模具清理</w:t>
                  </w:r>
                  <w:r>
                    <w:rPr>
                      <w:color w:val="auto"/>
                      <w:szCs w:val="21"/>
                    </w:rPr>
                    <w:t>废气（未捕集部分）、发泡废气（未捕集部分）、</w:t>
                  </w:r>
                  <w:r>
                    <w:rPr>
                      <w:rFonts w:hint="eastAsia"/>
                      <w:color w:val="auto"/>
                      <w:szCs w:val="21"/>
                      <w:lang w:eastAsia="zh-CN"/>
                    </w:rPr>
                    <w:t>模压废气</w:t>
                  </w:r>
                  <w:r>
                    <w:rPr>
                      <w:color w:val="auto"/>
                      <w:szCs w:val="21"/>
                    </w:rPr>
                    <w:t>（未捕集部分）</w:t>
                  </w:r>
                </w:p>
              </w:tc>
              <w:tc>
                <w:tcPr>
                  <w:tcW w:w="2553" w:type="pct"/>
                  <w:gridSpan w:val="2"/>
                  <w:vAlign w:val="center"/>
                </w:tcPr>
                <w:p>
                  <w:pPr>
                    <w:rPr>
                      <w:color w:val="auto"/>
                      <w:szCs w:val="21"/>
                    </w:rPr>
                  </w:pPr>
                  <w:r>
                    <w:rPr>
                      <w:color w:val="auto"/>
                      <w:szCs w:val="21"/>
                    </w:rPr>
                    <w:t>经厂房阻隔后车间内无组织排放</w:t>
                  </w:r>
                </w:p>
              </w:tc>
              <w:tc>
                <w:tcPr>
                  <w:tcW w:w="972" w:type="pct"/>
                  <w:vAlign w:val="center"/>
                </w:tcPr>
                <w:p>
                  <w:pPr>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restart"/>
                  <w:vAlign w:val="center"/>
                </w:tcPr>
                <w:p>
                  <w:pPr>
                    <w:jc w:val="center"/>
                    <w:rPr>
                      <w:color w:val="auto"/>
                      <w:szCs w:val="21"/>
                    </w:rPr>
                  </w:pPr>
                  <w:r>
                    <w:rPr>
                      <w:color w:val="auto"/>
                      <w:szCs w:val="21"/>
                    </w:rPr>
                    <w:t>废水治理</w:t>
                  </w:r>
                </w:p>
              </w:tc>
              <w:tc>
                <w:tcPr>
                  <w:tcW w:w="517" w:type="pct"/>
                  <w:vAlign w:val="center"/>
                </w:tcPr>
                <w:p>
                  <w:pPr>
                    <w:jc w:val="center"/>
                    <w:rPr>
                      <w:color w:val="auto"/>
                      <w:szCs w:val="21"/>
                    </w:rPr>
                  </w:pPr>
                  <w:r>
                    <w:rPr>
                      <w:color w:val="auto"/>
                      <w:szCs w:val="21"/>
                    </w:rPr>
                    <w:t>生活污水</w:t>
                  </w:r>
                </w:p>
              </w:tc>
              <w:tc>
                <w:tcPr>
                  <w:tcW w:w="2553" w:type="pct"/>
                  <w:gridSpan w:val="2"/>
                  <w:vAlign w:val="center"/>
                </w:tcPr>
                <w:p>
                  <w:pPr>
                    <w:rPr>
                      <w:color w:val="auto"/>
                      <w:szCs w:val="21"/>
                    </w:rPr>
                  </w:pPr>
                  <w:r>
                    <w:rPr>
                      <w:color w:val="auto"/>
                      <w:szCs w:val="21"/>
                    </w:rPr>
                    <w:t>依托厂区</w:t>
                  </w:r>
                  <w:r>
                    <w:rPr>
                      <w:rFonts w:hint="eastAsia"/>
                      <w:color w:val="auto"/>
                      <w:szCs w:val="21"/>
                    </w:rPr>
                    <w:t>现有化粪池隔油池处理后进入西安集贤工业园区污水厂进行处理</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Merge w:val="restart"/>
                  <w:vAlign w:val="center"/>
                </w:tcPr>
                <w:p>
                  <w:pPr>
                    <w:jc w:val="center"/>
                    <w:rPr>
                      <w:color w:val="auto"/>
                      <w:szCs w:val="21"/>
                    </w:rPr>
                  </w:pPr>
                  <w:r>
                    <w:rPr>
                      <w:rFonts w:hint="eastAsia"/>
                      <w:color w:val="auto"/>
                      <w:szCs w:val="21"/>
                    </w:rPr>
                    <w:t>生产废水</w:t>
                  </w:r>
                </w:p>
              </w:tc>
              <w:tc>
                <w:tcPr>
                  <w:tcW w:w="2553" w:type="pct"/>
                  <w:gridSpan w:val="2"/>
                  <w:vAlign w:val="center"/>
                </w:tcPr>
                <w:p>
                  <w:pPr>
                    <w:rPr>
                      <w:color w:val="auto"/>
                      <w:szCs w:val="21"/>
                    </w:rPr>
                  </w:pPr>
                  <w:r>
                    <w:rPr>
                      <w:rFonts w:hint="eastAsia"/>
                      <w:color w:val="auto"/>
                      <w:szCs w:val="21"/>
                    </w:rPr>
                    <w:t>水刀切割废水经过滤后依托比亚迪零部件有限公司集贤新能源汽车零部件产业园污水站处理，达标后排入西安市集贤产业园园区污水处理厂</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Merge w:val="continue"/>
                  <w:vAlign w:val="center"/>
                </w:tcPr>
                <w:p>
                  <w:pPr>
                    <w:jc w:val="center"/>
                    <w:rPr>
                      <w:color w:val="auto"/>
                      <w:szCs w:val="21"/>
                    </w:rPr>
                  </w:pPr>
                </w:p>
              </w:tc>
              <w:tc>
                <w:tcPr>
                  <w:tcW w:w="2553" w:type="pct"/>
                  <w:gridSpan w:val="2"/>
                  <w:vAlign w:val="center"/>
                </w:tcPr>
                <w:p>
                  <w:pPr>
                    <w:rPr>
                      <w:color w:val="auto"/>
                      <w:szCs w:val="21"/>
                    </w:rPr>
                  </w:pPr>
                  <w:r>
                    <w:rPr>
                      <w:rFonts w:hint="eastAsia"/>
                      <w:color w:val="auto"/>
                      <w:szCs w:val="21"/>
                    </w:rPr>
                    <w:t>发泡机水箱废水依托比亚迪零部件有限公司集贤新能源汽车零部件产业园污水站处理，达标后排入西安市集贤产业园园区污水处理厂</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Align w:val="center"/>
                </w:tcPr>
                <w:p>
                  <w:pPr>
                    <w:jc w:val="center"/>
                    <w:rPr>
                      <w:color w:val="auto"/>
                      <w:szCs w:val="21"/>
                    </w:rPr>
                  </w:pPr>
                  <w:r>
                    <w:rPr>
                      <w:color w:val="auto"/>
                      <w:szCs w:val="21"/>
                    </w:rPr>
                    <w:t>噪声治理</w:t>
                  </w:r>
                </w:p>
              </w:tc>
              <w:tc>
                <w:tcPr>
                  <w:tcW w:w="517" w:type="pct"/>
                  <w:vAlign w:val="center"/>
                </w:tcPr>
                <w:p>
                  <w:pPr>
                    <w:jc w:val="center"/>
                    <w:rPr>
                      <w:color w:val="auto"/>
                      <w:szCs w:val="21"/>
                    </w:rPr>
                  </w:pPr>
                  <w:r>
                    <w:rPr>
                      <w:color w:val="auto"/>
                      <w:szCs w:val="21"/>
                    </w:rPr>
                    <w:t>生产设备</w:t>
                  </w:r>
                </w:p>
              </w:tc>
              <w:tc>
                <w:tcPr>
                  <w:tcW w:w="2553" w:type="pct"/>
                  <w:gridSpan w:val="2"/>
                  <w:vAlign w:val="center"/>
                </w:tcPr>
                <w:p>
                  <w:pPr>
                    <w:rPr>
                      <w:color w:val="auto"/>
                      <w:szCs w:val="21"/>
                    </w:rPr>
                  </w:pPr>
                  <w:r>
                    <w:rPr>
                      <w:color w:val="auto"/>
                      <w:szCs w:val="21"/>
                    </w:rPr>
                    <w:t>采取厂房隔声、基础减</w:t>
                  </w:r>
                  <w:r>
                    <w:rPr>
                      <w:rFonts w:hint="eastAsia"/>
                      <w:color w:val="auto"/>
                      <w:szCs w:val="21"/>
                    </w:rPr>
                    <w:t>振</w:t>
                  </w:r>
                  <w:r>
                    <w:rPr>
                      <w:color w:val="auto"/>
                      <w:szCs w:val="21"/>
                    </w:rPr>
                    <w:t>、消声等措施</w:t>
                  </w:r>
                </w:p>
              </w:tc>
              <w:tc>
                <w:tcPr>
                  <w:tcW w:w="972" w:type="pct"/>
                  <w:vAlign w:val="center"/>
                </w:tcPr>
                <w:p>
                  <w:pPr>
                    <w:jc w:val="center"/>
                    <w:rPr>
                      <w:color w:val="auto"/>
                      <w:szCs w:val="21"/>
                    </w:rPr>
                  </w:pPr>
                  <w:r>
                    <w:rPr>
                      <w:color w:val="auto"/>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restart"/>
                  <w:vAlign w:val="center"/>
                </w:tcPr>
                <w:p>
                  <w:pPr>
                    <w:jc w:val="center"/>
                    <w:rPr>
                      <w:color w:val="auto"/>
                      <w:szCs w:val="21"/>
                    </w:rPr>
                  </w:pPr>
                  <w:r>
                    <w:rPr>
                      <w:color w:val="auto"/>
                      <w:szCs w:val="21"/>
                    </w:rPr>
                    <w:t>固废治理</w:t>
                  </w:r>
                </w:p>
              </w:tc>
              <w:tc>
                <w:tcPr>
                  <w:tcW w:w="517" w:type="pct"/>
                  <w:vAlign w:val="center"/>
                </w:tcPr>
                <w:p>
                  <w:pPr>
                    <w:jc w:val="center"/>
                    <w:rPr>
                      <w:color w:val="auto"/>
                      <w:szCs w:val="21"/>
                    </w:rPr>
                  </w:pPr>
                  <w:r>
                    <w:rPr>
                      <w:rFonts w:hint="eastAsia"/>
                      <w:color w:val="auto"/>
                      <w:szCs w:val="21"/>
                    </w:rPr>
                    <w:t>模压成型</w:t>
                  </w:r>
                  <w:r>
                    <w:rPr>
                      <w:color w:val="auto"/>
                      <w:szCs w:val="21"/>
                    </w:rPr>
                    <w:t>PET残料</w:t>
                  </w:r>
                </w:p>
              </w:tc>
              <w:tc>
                <w:tcPr>
                  <w:tcW w:w="412" w:type="pct"/>
                  <w:vMerge w:val="restart"/>
                  <w:vAlign w:val="center"/>
                </w:tcPr>
                <w:p>
                  <w:pPr>
                    <w:rPr>
                      <w:color w:val="auto"/>
                      <w:szCs w:val="21"/>
                    </w:rPr>
                  </w:pPr>
                  <w:r>
                    <w:rPr>
                      <w:rFonts w:hint="eastAsia"/>
                      <w:color w:val="auto"/>
                      <w:szCs w:val="21"/>
                    </w:rPr>
                    <w:t>一般固废</w:t>
                  </w:r>
                </w:p>
              </w:tc>
              <w:tc>
                <w:tcPr>
                  <w:tcW w:w="2141" w:type="pct"/>
                  <w:vMerge w:val="restart"/>
                  <w:vAlign w:val="center"/>
                </w:tcPr>
                <w:p>
                  <w:pPr>
                    <w:rPr>
                      <w:color w:val="auto"/>
                      <w:szCs w:val="21"/>
                    </w:rPr>
                  </w:pPr>
                  <w:r>
                    <w:rPr>
                      <w:color w:val="auto"/>
                      <w:szCs w:val="21"/>
                    </w:rPr>
                    <w:t>集中收集至园区</w:t>
                  </w:r>
                  <w:r>
                    <w:rPr>
                      <w:rFonts w:hint="eastAsia"/>
                      <w:color w:val="auto"/>
                      <w:szCs w:val="21"/>
                    </w:rPr>
                    <w:t>废料仓</w:t>
                  </w:r>
                  <w:r>
                    <w:rPr>
                      <w:color w:val="auto"/>
                      <w:szCs w:val="21"/>
                    </w:rPr>
                    <w:t>，统一处理</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rFonts w:hint="eastAsia"/>
                      <w:color w:val="auto"/>
                      <w:szCs w:val="21"/>
                    </w:rPr>
                    <w:t>发泡成型</w:t>
                  </w:r>
                  <w:r>
                    <w:rPr>
                      <w:color w:val="auto"/>
                      <w:szCs w:val="21"/>
                    </w:rPr>
                    <w:t>废料</w:t>
                  </w:r>
                </w:p>
              </w:tc>
              <w:tc>
                <w:tcPr>
                  <w:tcW w:w="412" w:type="pct"/>
                  <w:vMerge w:val="continue"/>
                  <w:vAlign w:val="center"/>
                </w:tcPr>
                <w:p>
                  <w:pPr>
                    <w:ind w:firstLine="480"/>
                    <w:rPr>
                      <w:color w:val="auto"/>
                      <w:szCs w:val="21"/>
                    </w:rPr>
                  </w:pPr>
                </w:p>
              </w:tc>
              <w:tc>
                <w:tcPr>
                  <w:tcW w:w="2141" w:type="pct"/>
                  <w:vMerge w:val="continue"/>
                  <w:vAlign w:val="center"/>
                </w:tcPr>
                <w:p>
                  <w:pPr>
                    <w:ind w:firstLine="480"/>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color w:val="auto"/>
                      <w:szCs w:val="21"/>
                    </w:rPr>
                    <w:t>废包装</w:t>
                  </w:r>
                </w:p>
              </w:tc>
              <w:tc>
                <w:tcPr>
                  <w:tcW w:w="412" w:type="pct"/>
                  <w:vMerge w:val="continue"/>
                  <w:vAlign w:val="center"/>
                </w:tcPr>
                <w:p>
                  <w:pPr>
                    <w:ind w:firstLine="480"/>
                    <w:rPr>
                      <w:color w:val="auto"/>
                      <w:szCs w:val="21"/>
                    </w:rPr>
                  </w:pPr>
                </w:p>
              </w:tc>
              <w:tc>
                <w:tcPr>
                  <w:tcW w:w="2141" w:type="pct"/>
                  <w:vMerge w:val="continue"/>
                  <w:vAlign w:val="center"/>
                </w:tcPr>
                <w:p>
                  <w:pPr>
                    <w:ind w:firstLine="480"/>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rFonts w:hint="eastAsia"/>
                      <w:color w:val="auto"/>
                      <w:szCs w:val="21"/>
                    </w:rPr>
                    <w:t>水刀切割过滤残渣</w:t>
                  </w:r>
                </w:p>
              </w:tc>
              <w:tc>
                <w:tcPr>
                  <w:tcW w:w="412" w:type="pct"/>
                  <w:vMerge w:val="continue"/>
                  <w:vAlign w:val="center"/>
                </w:tcPr>
                <w:p>
                  <w:pPr>
                    <w:ind w:firstLine="480"/>
                    <w:rPr>
                      <w:color w:val="auto"/>
                      <w:szCs w:val="21"/>
                    </w:rPr>
                  </w:pPr>
                </w:p>
              </w:tc>
              <w:tc>
                <w:tcPr>
                  <w:tcW w:w="2141" w:type="pct"/>
                  <w:vMerge w:val="continue"/>
                  <w:vAlign w:val="center"/>
                </w:tcPr>
                <w:p>
                  <w:pPr>
                    <w:ind w:firstLine="480"/>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rFonts w:hint="eastAsia"/>
                      <w:color w:val="auto"/>
                      <w:szCs w:val="21"/>
                    </w:rPr>
                    <w:t>废无纺布</w:t>
                  </w:r>
                </w:p>
              </w:tc>
              <w:tc>
                <w:tcPr>
                  <w:tcW w:w="412" w:type="pct"/>
                  <w:vMerge w:val="continue"/>
                  <w:vAlign w:val="center"/>
                </w:tcPr>
                <w:p>
                  <w:pPr>
                    <w:ind w:firstLine="480"/>
                    <w:rPr>
                      <w:color w:val="auto"/>
                      <w:szCs w:val="21"/>
                    </w:rPr>
                  </w:pPr>
                </w:p>
              </w:tc>
              <w:tc>
                <w:tcPr>
                  <w:tcW w:w="2141" w:type="pct"/>
                  <w:vMerge w:val="continue"/>
                  <w:vAlign w:val="center"/>
                </w:tcPr>
                <w:p>
                  <w:pPr>
                    <w:ind w:firstLine="480"/>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color w:val="auto"/>
                      <w:szCs w:val="21"/>
                    </w:rPr>
                    <w:t>废AB料</w:t>
                  </w:r>
                </w:p>
              </w:tc>
              <w:tc>
                <w:tcPr>
                  <w:tcW w:w="412" w:type="pct"/>
                  <w:vMerge w:val="restart"/>
                  <w:vAlign w:val="center"/>
                </w:tcPr>
                <w:p>
                  <w:pPr>
                    <w:rPr>
                      <w:color w:val="auto"/>
                      <w:szCs w:val="21"/>
                    </w:rPr>
                  </w:pPr>
                  <w:r>
                    <w:rPr>
                      <w:rFonts w:hint="eastAsia"/>
                      <w:color w:val="auto"/>
                      <w:szCs w:val="21"/>
                    </w:rPr>
                    <w:t>危险废物</w:t>
                  </w:r>
                </w:p>
              </w:tc>
              <w:tc>
                <w:tcPr>
                  <w:tcW w:w="2141" w:type="pct"/>
                  <w:vMerge w:val="restart"/>
                  <w:vAlign w:val="center"/>
                </w:tcPr>
                <w:p>
                  <w:pPr>
                    <w:rPr>
                      <w:color w:val="auto"/>
                      <w:szCs w:val="21"/>
                    </w:rPr>
                  </w:pPr>
                  <w:r>
                    <w:rPr>
                      <w:color w:val="auto"/>
                      <w:szCs w:val="21"/>
                    </w:rPr>
                    <w:t>采用专用容器收集，暂存在厂区危废站，</w:t>
                  </w:r>
                  <w:r>
                    <w:rPr>
                      <w:rFonts w:hint="eastAsia"/>
                      <w:color w:val="auto"/>
                      <w:szCs w:val="21"/>
                    </w:rPr>
                    <w:t>定期</w:t>
                  </w:r>
                  <w:r>
                    <w:rPr>
                      <w:color w:val="auto"/>
                      <w:szCs w:val="21"/>
                    </w:rPr>
                    <w:t>交</w:t>
                  </w:r>
                  <w:r>
                    <w:rPr>
                      <w:rStyle w:val="22"/>
                      <w:rFonts w:hint="eastAsia"/>
                      <w:color w:val="auto"/>
                      <w:kern w:val="0"/>
                      <w:szCs w:val="20"/>
                    </w:rPr>
                    <w:t>由</w:t>
                  </w:r>
                  <w:r>
                    <w:rPr>
                      <w:rFonts w:hint="eastAsia"/>
                      <w:color w:val="auto"/>
                      <w:szCs w:val="21"/>
                    </w:rPr>
                    <w:t>富平海螺环保科技有限公司、冀东海德堡（扶风）水泥有限公司、派尔森创新科技股份有限公司、铜川海螺环保科技有限责任公司、渭南德昌环保科技有限公司、陕西新天地固体废物综合处置有限公司等有资质单位处置（附件10）</w:t>
                  </w: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color w:val="auto"/>
                      <w:szCs w:val="21"/>
                    </w:rPr>
                    <w:t>废脱模剂</w:t>
                  </w:r>
                </w:p>
              </w:tc>
              <w:tc>
                <w:tcPr>
                  <w:tcW w:w="412" w:type="pct"/>
                  <w:vMerge w:val="continue"/>
                  <w:vAlign w:val="center"/>
                </w:tcPr>
                <w:p>
                  <w:pPr>
                    <w:ind w:firstLine="480"/>
                    <w:jc w:val="center"/>
                    <w:rPr>
                      <w:color w:val="auto"/>
                      <w:szCs w:val="21"/>
                    </w:rPr>
                  </w:pPr>
                </w:p>
              </w:tc>
              <w:tc>
                <w:tcPr>
                  <w:tcW w:w="2141" w:type="pct"/>
                  <w:vMerge w:val="continue"/>
                  <w:vAlign w:val="center"/>
                </w:tcPr>
                <w:p>
                  <w:pPr>
                    <w:ind w:firstLine="480"/>
                    <w:jc w:val="center"/>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kern w:val="0"/>
                    </w:rPr>
                  </w:pPr>
                  <w:r>
                    <w:rPr>
                      <w:rFonts w:hint="eastAsia"/>
                      <w:color w:val="auto"/>
                      <w:kern w:val="0"/>
                    </w:rPr>
                    <w:t>废液压油</w:t>
                  </w:r>
                </w:p>
              </w:tc>
              <w:tc>
                <w:tcPr>
                  <w:tcW w:w="412" w:type="pct"/>
                  <w:vMerge w:val="continue"/>
                  <w:vAlign w:val="center"/>
                </w:tcPr>
                <w:p>
                  <w:pPr>
                    <w:ind w:firstLine="480"/>
                    <w:jc w:val="center"/>
                    <w:rPr>
                      <w:color w:val="auto"/>
                      <w:szCs w:val="21"/>
                    </w:rPr>
                  </w:pPr>
                </w:p>
              </w:tc>
              <w:tc>
                <w:tcPr>
                  <w:tcW w:w="2141" w:type="pct"/>
                  <w:vMerge w:val="continue"/>
                  <w:vAlign w:val="center"/>
                </w:tcPr>
                <w:p>
                  <w:pPr>
                    <w:ind w:firstLine="480"/>
                    <w:jc w:val="center"/>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color w:val="auto"/>
                      <w:kern w:val="0"/>
                    </w:rPr>
                    <w:t>废</w:t>
                  </w:r>
                  <w:r>
                    <w:rPr>
                      <w:rFonts w:hint="eastAsia"/>
                      <w:color w:val="auto"/>
                      <w:kern w:val="0"/>
                    </w:rPr>
                    <w:t>含油手套</w:t>
                  </w:r>
                  <w:r>
                    <w:rPr>
                      <w:color w:val="auto"/>
                      <w:kern w:val="0"/>
                    </w:rPr>
                    <w:t>抹布、</w:t>
                  </w:r>
                  <w:r>
                    <w:rPr>
                      <w:color w:val="auto"/>
                      <w:szCs w:val="21"/>
                    </w:rPr>
                    <w:t>废沾染物空桶</w:t>
                  </w:r>
                </w:p>
              </w:tc>
              <w:tc>
                <w:tcPr>
                  <w:tcW w:w="412" w:type="pct"/>
                  <w:vMerge w:val="continue"/>
                  <w:vAlign w:val="center"/>
                </w:tcPr>
                <w:p>
                  <w:pPr>
                    <w:ind w:firstLine="480"/>
                    <w:jc w:val="center"/>
                    <w:rPr>
                      <w:color w:val="auto"/>
                      <w:szCs w:val="21"/>
                    </w:rPr>
                  </w:pPr>
                </w:p>
              </w:tc>
              <w:tc>
                <w:tcPr>
                  <w:tcW w:w="2141" w:type="pct"/>
                  <w:vMerge w:val="continue"/>
                  <w:vAlign w:val="center"/>
                </w:tcPr>
                <w:p>
                  <w:pPr>
                    <w:ind w:firstLine="480"/>
                    <w:jc w:val="center"/>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446" w:type="pct"/>
                  <w:vMerge w:val="continue"/>
                  <w:vAlign w:val="center"/>
                </w:tcPr>
                <w:p>
                  <w:pPr>
                    <w:ind w:firstLine="480"/>
                    <w:jc w:val="center"/>
                    <w:rPr>
                      <w:color w:val="auto"/>
                      <w:szCs w:val="21"/>
                    </w:rPr>
                  </w:pPr>
                </w:p>
              </w:tc>
              <w:tc>
                <w:tcPr>
                  <w:tcW w:w="517" w:type="pct"/>
                  <w:vAlign w:val="center"/>
                </w:tcPr>
                <w:p>
                  <w:pPr>
                    <w:jc w:val="center"/>
                    <w:rPr>
                      <w:color w:val="auto"/>
                      <w:szCs w:val="21"/>
                    </w:rPr>
                  </w:pPr>
                  <w:r>
                    <w:rPr>
                      <w:color w:val="auto"/>
                      <w:szCs w:val="21"/>
                    </w:rPr>
                    <w:t>废活性炭</w:t>
                  </w:r>
                </w:p>
              </w:tc>
              <w:tc>
                <w:tcPr>
                  <w:tcW w:w="412" w:type="pct"/>
                  <w:vMerge w:val="continue"/>
                  <w:vAlign w:val="center"/>
                </w:tcPr>
                <w:p>
                  <w:pPr>
                    <w:ind w:firstLine="480"/>
                    <w:jc w:val="center"/>
                    <w:rPr>
                      <w:color w:val="auto"/>
                      <w:szCs w:val="21"/>
                    </w:rPr>
                  </w:pPr>
                </w:p>
              </w:tc>
              <w:tc>
                <w:tcPr>
                  <w:tcW w:w="2141" w:type="pct"/>
                  <w:vMerge w:val="continue"/>
                  <w:vAlign w:val="center"/>
                </w:tcPr>
                <w:p>
                  <w:pPr>
                    <w:ind w:firstLine="480"/>
                    <w:jc w:val="center"/>
                    <w:rPr>
                      <w:color w:val="auto"/>
                      <w:szCs w:val="21"/>
                    </w:rPr>
                  </w:pPr>
                </w:p>
              </w:tc>
              <w:tc>
                <w:tcPr>
                  <w:tcW w:w="972"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restart"/>
                  <w:vAlign w:val="center"/>
                </w:tcPr>
                <w:p>
                  <w:pPr>
                    <w:jc w:val="center"/>
                    <w:rPr>
                      <w:color w:val="auto"/>
                      <w:szCs w:val="21"/>
                    </w:rPr>
                  </w:pPr>
                  <w:r>
                    <w:rPr>
                      <w:color w:val="auto"/>
                      <w:szCs w:val="21"/>
                    </w:rPr>
                    <w:t>依托工程</w:t>
                  </w:r>
                </w:p>
              </w:tc>
              <w:tc>
                <w:tcPr>
                  <w:tcW w:w="964" w:type="pct"/>
                  <w:gridSpan w:val="2"/>
                  <w:vAlign w:val="center"/>
                </w:tcPr>
                <w:p>
                  <w:pPr>
                    <w:jc w:val="center"/>
                    <w:rPr>
                      <w:color w:val="auto"/>
                      <w:szCs w:val="21"/>
                    </w:rPr>
                  </w:pPr>
                  <w:r>
                    <w:rPr>
                      <w:color w:val="auto"/>
                      <w:szCs w:val="21"/>
                    </w:rPr>
                    <w:t>现有厂房</w:t>
                  </w:r>
                </w:p>
              </w:tc>
              <w:tc>
                <w:tcPr>
                  <w:tcW w:w="3526" w:type="pct"/>
                  <w:gridSpan w:val="3"/>
                  <w:vAlign w:val="center"/>
                </w:tcPr>
                <w:p>
                  <w:pPr>
                    <w:rPr>
                      <w:color w:val="auto"/>
                      <w:szCs w:val="21"/>
                    </w:rPr>
                  </w:pPr>
                  <w:r>
                    <w:rPr>
                      <w:color w:val="auto"/>
                      <w:szCs w:val="21"/>
                    </w:rPr>
                    <w:t>本次工程布置于11#厂房，需进行设备安装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废料仓</w:t>
                  </w:r>
                </w:p>
              </w:tc>
              <w:tc>
                <w:tcPr>
                  <w:tcW w:w="3526" w:type="pct"/>
                  <w:gridSpan w:val="3"/>
                  <w:vAlign w:val="center"/>
                </w:tcPr>
                <w:p>
                  <w:pPr>
                    <w:jc w:val="both"/>
                    <w:rPr>
                      <w:color w:val="auto"/>
                      <w:szCs w:val="21"/>
                    </w:rPr>
                  </w:pPr>
                  <w:r>
                    <w:rPr>
                      <w:color w:val="auto"/>
                      <w:szCs w:val="21"/>
                    </w:rPr>
                    <w:t>厂区设置废料仓一座，</w:t>
                  </w:r>
                  <w:r>
                    <w:rPr>
                      <w:rFonts w:hint="eastAsia"/>
                      <w:color w:val="auto"/>
                      <w:szCs w:val="21"/>
                    </w:rPr>
                    <w:t>位于厂区东南角，占地面积</w:t>
                  </w:r>
                  <w:r>
                    <w:rPr>
                      <w:rFonts w:hint="eastAsia"/>
                      <w:color w:val="auto"/>
                      <w:szCs w:val="21"/>
                      <w:lang w:val="en-US" w:eastAsia="zh-CN"/>
                    </w:rPr>
                    <w:t>6642</w:t>
                  </w:r>
                  <w:r>
                    <w:rPr>
                      <w:color w:val="auto"/>
                      <w:szCs w:val="21"/>
                    </w:rPr>
                    <w:t>m</w:t>
                  </w:r>
                  <w:r>
                    <w:rPr>
                      <w:color w:val="auto"/>
                      <w:szCs w:val="21"/>
                      <w:vertAlign w:val="superscript"/>
                    </w:rPr>
                    <w:t>2</w:t>
                  </w:r>
                  <w:r>
                    <w:rPr>
                      <w:rFonts w:hint="eastAsia"/>
                      <w:color w:val="auto"/>
                      <w:szCs w:val="21"/>
                    </w:rPr>
                    <w:t>，</w:t>
                  </w:r>
                  <w:r>
                    <w:rPr>
                      <w:color w:val="auto"/>
                      <w:szCs w:val="21"/>
                    </w:rPr>
                    <w:t>集中收集全厂生产过程中产生的一般固体废物，定期外售处理。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危废站</w:t>
                  </w:r>
                </w:p>
              </w:tc>
              <w:tc>
                <w:tcPr>
                  <w:tcW w:w="3526" w:type="pct"/>
                  <w:gridSpan w:val="3"/>
                  <w:vAlign w:val="center"/>
                </w:tcPr>
                <w:p>
                  <w:pPr>
                    <w:jc w:val="both"/>
                    <w:rPr>
                      <w:color w:val="auto"/>
                      <w:szCs w:val="21"/>
                    </w:rPr>
                  </w:pPr>
                  <w:r>
                    <w:rPr>
                      <w:color w:val="auto"/>
                      <w:szCs w:val="21"/>
                    </w:rPr>
                    <w:t>厂区设置危废站 2 座，每座占地面积 720m</w:t>
                  </w:r>
                  <w:r>
                    <w:rPr>
                      <w:color w:val="auto"/>
                      <w:szCs w:val="21"/>
                      <w:vertAlign w:val="superscript"/>
                    </w:rPr>
                    <w:t>2</w:t>
                  </w:r>
                  <w:r>
                    <w:rPr>
                      <w:color w:val="auto"/>
                      <w:szCs w:val="21"/>
                    </w:rPr>
                    <w:t>，</w:t>
                  </w:r>
                  <w:r>
                    <w:rPr>
                      <w:rFonts w:hint="eastAsia"/>
                      <w:color w:val="auto"/>
                      <w:szCs w:val="21"/>
                    </w:rPr>
                    <w:t>位于厂区东侧，</w:t>
                  </w:r>
                  <w:r>
                    <w:rPr>
                      <w:color w:val="auto"/>
                      <w:szCs w:val="21"/>
                    </w:rPr>
                    <w:t>集中收集全厂生产过程中产生的危险废物，定期送有资质的危废处置单位进行处理，能够满足本项目需求。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危化品库</w:t>
                  </w:r>
                </w:p>
              </w:tc>
              <w:tc>
                <w:tcPr>
                  <w:tcW w:w="3526" w:type="pct"/>
                  <w:gridSpan w:val="3"/>
                  <w:vAlign w:val="center"/>
                </w:tcPr>
                <w:p>
                  <w:pPr>
                    <w:jc w:val="both"/>
                    <w:rPr>
                      <w:color w:val="auto"/>
                      <w:szCs w:val="21"/>
                    </w:rPr>
                  </w:pPr>
                  <w:r>
                    <w:rPr>
                      <w:color w:val="auto"/>
                      <w:szCs w:val="21"/>
                    </w:rPr>
                    <w:t>厂区设置危化品库 2 座，每座占地面积 720m</w:t>
                  </w:r>
                  <w:r>
                    <w:rPr>
                      <w:color w:val="auto"/>
                      <w:szCs w:val="21"/>
                      <w:vertAlign w:val="superscript"/>
                    </w:rPr>
                    <w:t>2</w:t>
                  </w:r>
                  <w:r>
                    <w:rPr>
                      <w:color w:val="auto"/>
                      <w:szCs w:val="21"/>
                    </w:rPr>
                    <w:t>，位于危废站以北</w:t>
                  </w:r>
                  <w:r>
                    <w:rPr>
                      <w:rFonts w:hint="eastAsia"/>
                      <w:color w:val="auto"/>
                      <w:szCs w:val="21"/>
                    </w:rPr>
                    <w:t>，厂区东侧</w:t>
                  </w:r>
                  <w:r>
                    <w:rPr>
                      <w:color w:val="auto"/>
                      <w:szCs w:val="21"/>
                    </w:rPr>
                    <w:t>。集中存储厂区生产所用的各种危险化学品，能够满足本项目需求。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废水处理</w:t>
                  </w:r>
                </w:p>
              </w:tc>
              <w:tc>
                <w:tcPr>
                  <w:tcW w:w="3526" w:type="pct"/>
                  <w:gridSpan w:val="3"/>
                  <w:vAlign w:val="center"/>
                </w:tcPr>
                <w:p>
                  <w:pPr>
                    <w:rPr>
                      <w:color w:val="auto"/>
                      <w:szCs w:val="21"/>
                    </w:rPr>
                  </w:pPr>
                  <w:r>
                    <w:rPr>
                      <w:color w:val="auto"/>
                      <w:szCs w:val="21"/>
                    </w:rPr>
                    <w:t>厂区建有生产废水处理站</w:t>
                  </w:r>
                  <w:r>
                    <w:rPr>
                      <w:rFonts w:hint="eastAsia"/>
                      <w:color w:val="auto"/>
                      <w:szCs w:val="21"/>
                    </w:rPr>
                    <w:t>1</w:t>
                  </w:r>
                  <w:r>
                    <w:rPr>
                      <w:color w:val="auto"/>
                      <w:szCs w:val="21"/>
                    </w:rPr>
                    <w:t>座，污水处理站设计处理规模有机废水最大处理能力 600m³/d，综合废水最大处理能力 1300m³/d，能够满足本项目需求。</w:t>
                  </w:r>
                </w:p>
                <w:p>
                  <w:pPr>
                    <w:rPr>
                      <w:color w:val="auto"/>
                      <w:szCs w:val="21"/>
                    </w:rPr>
                  </w:pPr>
                  <w:r>
                    <w:rPr>
                      <w:color w:val="auto"/>
                      <w:szCs w:val="21"/>
                    </w:rPr>
                    <w:t>厂区及员工生活区设化粪池，食堂设隔油池。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食堂</w:t>
                  </w:r>
                </w:p>
              </w:tc>
              <w:tc>
                <w:tcPr>
                  <w:tcW w:w="3526" w:type="pct"/>
                  <w:gridSpan w:val="3"/>
                  <w:vAlign w:val="center"/>
                </w:tcPr>
                <w:p>
                  <w:pPr>
                    <w:rPr>
                      <w:color w:val="auto"/>
                      <w:szCs w:val="21"/>
                    </w:rPr>
                  </w:pPr>
                  <w:r>
                    <w:rPr>
                      <w:color w:val="auto"/>
                      <w:szCs w:val="21"/>
                    </w:rPr>
                    <w:t>本项目新增劳动定员</w:t>
                  </w:r>
                  <w:r>
                    <w:rPr>
                      <w:rFonts w:hint="eastAsia"/>
                      <w:color w:val="auto"/>
                      <w:szCs w:val="21"/>
                    </w:rPr>
                    <w:t>180</w:t>
                  </w:r>
                  <w:r>
                    <w:rPr>
                      <w:color w:val="auto"/>
                      <w:szCs w:val="21"/>
                    </w:rPr>
                    <w:t>人，依托现有食堂，</w:t>
                  </w:r>
                  <w:r>
                    <w:rPr>
                      <w:color w:val="auto"/>
                      <w:kern w:val="0"/>
                      <w:szCs w:val="21"/>
                      <w:lang w:bidi="en-US"/>
                    </w:rPr>
                    <w:t>根据企业提供资料，现有食堂可满足本项目人员需求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Merge w:val="continue"/>
                  <w:vAlign w:val="center"/>
                </w:tcPr>
                <w:p>
                  <w:pPr>
                    <w:ind w:firstLine="480"/>
                    <w:jc w:val="center"/>
                    <w:rPr>
                      <w:color w:val="auto"/>
                      <w:szCs w:val="21"/>
                    </w:rPr>
                  </w:pPr>
                </w:p>
              </w:tc>
              <w:tc>
                <w:tcPr>
                  <w:tcW w:w="964" w:type="pct"/>
                  <w:gridSpan w:val="2"/>
                  <w:vAlign w:val="center"/>
                </w:tcPr>
                <w:p>
                  <w:pPr>
                    <w:jc w:val="center"/>
                    <w:rPr>
                      <w:color w:val="auto"/>
                      <w:szCs w:val="21"/>
                    </w:rPr>
                  </w:pPr>
                  <w:r>
                    <w:rPr>
                      <w:color w:val="auto"/>
                      <w:szCs w:val="21"/>
                    </w:rPr>
                    <w:t>宿舍</w:t>
                  </w:r>
                </w:p>
              </w:tc>
              <w:tc>
                <w:tcPr>
                  <w:tcW w:w="3526" w:type="pct"/>
                  <w:gridSpan w:val="3"/>
                  <w:vAlign w:val="center"/>
                </w:tcPr>
                <w:p>
                  <w:pPr>
                    <w:rPr>
                      <w:color w:val="auto"/>
                      <w:szCs w:val="21"/>
                    </w:rPr>
                  </w:pPr>
                  <w:r>
                    <w:rPr>
                      <w:color w:val="auto"/>
                      <w:szCs w:val="21"/>
                    </w:rPr>
                    <w:t>本项目新增劳动定员</w:t>
                  </w:r>
                  <w:r>
                    <w:rPr>
                      <w:rFonts w:hint="eastAsia"/>
                      <w:color w:val="auto"/>
                      <w:szCs w:val="21"/>
                    </w:rPr>
                    <w:t>180</w:t>
                  </w:r>
                  <w:r>
                    <w:rPr>
                      <w:color w:val="auto"/>
                      <w:szCs w:val="21"/>
                    </w:rPr>
                    <w:t>人，依托现有员工宿舍，</w:t>
                  </w:r>
                  <w:r>
                    <w:rPr>
                      <w:color w:val="auto"/>
                      <w:kern w:val="0"/>
                      <w:szCs w:val="21"/>
                      <w:lang w:bidi="en-US"/>
                    </w:rPr>
                    <w:t>根据企业提供资料，现有食堂可满足本项目人员需求</w:t>
                  </w:r>
                </w:p>
              </w:tc>
            </w:tr>
          </w:tbl>
          <w:p>
            <w:pPr>
              <w:adjustRightInd w:val="0"/>
              <w:snapToGrid w:val="0"/>
              <w:spacing w:line="360" w:lineRule="auto"/>
              <w:ind w:firstLine="482"/>
              <w:rPr>
                <w:b/>
                <w:bCs/>
                <w:color w:val="auto"/>
                <w:kern w:val="0"/>
                <w:sz w:val="24"/>
              </w:rPr>
            </w:pPr>
            <w:r>
              <w:rPr>
                <w:b/>
                <w:bCs/>
                <w:color w:val="auto"/>
                <w:kern w:val="0"/>
                <w:sz w:val="24"/>
              </w:rPr>
              <w:t>4、主要原辅材料及能源消耗</w:t>
            </w:r>
          </w:p>
          <w:p>
            <w:pPr>
              <w:spacing w:line="360" w:lineRule="auto"/>
              <w:ind w:firstLine="480" w:firstLineChars="200"/>
              <w:rPr>
                <w:color w:val="auto"/>
                <w:sz w:val="24"/>
              </w:rPr>
            </w:pPr>
            <w:r>
              <w:rPr>
                <w:color w:val="auto"/>
                <w:kern w:val="0"/>
                <w:sz w:val="24"/>
              </w:rPr>
              <w:t>本项目主要原辅材料及能源消耗情况见表2-3。</w:t>
            </w:r>
          </w:p>
          <w:p>
            <w:pPr>
              <w:pStyle w:val="6"/>
              <w:ind w:firstLine="422"/>
              <w:jc w:val="center"/>
              <w:rPr>
                <w:b/>
                <w:color w:val="auto"/>
                <w:sz w:val="21"/>
                <w:szCs w:val="21"/>
              </w:rPr>
            </w:pPr>
          </w:p>
          <w:p>
            <w:pPr>
              <w:pStyle w:val="6"/>
              <w:ind w:firstLine="422"/>
              <w:jc w:val="center"/>
              <w:rPr>
                <w:b/>
                <w:color w:val="auto"/>
                <w:sz w:val="21"/>
                <w:szCs w:val="21"/>
              </w:rPr>
            </w:pPr>
          </w:p>
          <w:p>
            <w:pPr>
              <w:pStyle w:val="6"/>
              <w:ind w:firstLine="422"/>
              <w:jc w:val="center"/>
              <w:rPr>
                <w:b/>
                <w:color w:val="auto"/>
                <w:sz w:val="21"/>
                <w:szCs w:val="21"/>
              </w:rPr>
            </w:pPr>
            <w:r>
              <w:rPr>
                <w:b/>
                <w:color w:val="auto"/>
                <w:sz w:val="21"/>
                <w:szCs w:val="21"/>
              </w:rPr>
              <w:t>表2-3  项目主要原辅材料及能源消耗情况表</w:t>
            </w:r>
          </w:p>
          <w:tbl>
            <w:tblPr>
              <w:tblStyle w:val="18"/>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78"/>
              <w:gridCol w:w="514"/>
              <w:gridCol w:w="263"/>
              <w:gridCol w:w="708"/>
              <w:gridCol w:w="668"/>
              <w:gridCol w:w="2341"/>
              <w:gridCol w:w="1000"/>
              <w:gridCol w:w="768"/>
              <w:gridCol w:w="4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52" w:hRule="exact"/>
                <w:tblHeader/>
                <w:jc w:val="center"/>
              </w:trPr>
              <w:tc>
                <w:tcPr>
                  <w:tcW w:w="5000" w:type="pct"/>
                  <w:gridSpan w:val="10"/>
                  <w:tcBorders>
                    <w:tl2br w:val="nil"/>
                    <w:tr2bl w:val="nil"/>
                  </w:tcBorders>
                  <w:vAlign w:val="center"/>
                </w:tcPr>
                <w:p>
                  <w:pPr>
                    <w:pStyle w:val="4"/>
                    <w:adjustRightInd w:val="0"/>
                    <w:snapToGrid w:val="0"/>
                    <w:ind w:firstLine="512"/>
                    <w:rPr>
                      <w:b/>
                      <w:bCs/>
                      <w:color w:val="auto"/>
                      <w:szCs w:val="21"/>
                    </w:rPr>
                  </w:pPr>
                  <w:r>
                    <w:rPr>
                      <w:b/>
                      <w:bCs/>
                      <w:color w:val="auto"/>
                      <w:szCs w:val="21"/>
                    </w:rPr>
                    <w:t>原辅材料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0" w:hRule="exact"/>
                <w:tblHeader/>
                <w:jc w:val="center"/>
              </w:trPr>
              <w:tc>
                <w:tcPr>
                  <w:tcW w:w="276" w:type="pct"/>
                  <w:tcBorders>
                    <w:tl2br w:val="nil"/>
                    <w:tr2bl w:val="nil"/>
                  </w:tcBorders>
                  <w:vAlign w:val="center"/>
                </w:tcPr>
                <w:p>
                  <w:pPr>
                    <w:pStyle w:val="4"/>
                    <w:adjustRightInd w:val="0"/>
                    <w:snapToGrid w:val="0"/>
                    <w:rPr>
                      <w:b/>
                      <w:bCs/>
                      <w:color w:val="auto"/>
                      <w:szCs w:val="21"/>
                    </w:rPr>
                  </w:pPr>
                  <w:r>
                    <w:rPr>
                      <w:b/>
                      <w:bCs/>
                      <w:color w:val="auto"/>
                      <w:szCs w:val="21"/>
                    </w:rPr>
                    <w:t>序号</w:t>
                  </w:r>
                </w:p>
              </w:tc>
              <w:tc>
                <w:tcPr>
                  <w:tcW w:w="490" w:type="pct"/>
                  <w:tcBorders>
                    <w:tl2br w:val="nil"/>
                    <w:tr2bl w:val="nil"/>
                  </w:tcBorders>
                  <w:vAlign w:val="center"/>
                </w:tcPr>
                <w:p>
                  <w:pPr>
                    <w:pStyle w:val="4"/>
                    <w:adjustRightInd w:val="0"/>
                    <w:snapToGrid w:val="0"/>
                    <w:rPr>
                      <w:b/>
                      <w:bCs/>
                      <w:color w:val="auto"/>
                      <w:szCs w:val="21"/>
                    </w:rPr>
                  </w:pPr>
                  <w:r>
                    <w:rPr>
                      <w:b/>
                      <w:bCs/>
                      <w:color w:val="auto"/>
                      <w:szCs w:val="21"/>
                    </w:rPr>
                    <w:t>名称</w:t>
                  </w:r>
                </w:p>
              </w:tc>
              <w:tc>
                <w:tcPr>
                  <w:tcW w:w="489" w:type="pct"/>
                  <w:gridSpan w:val="2"/>
                  <w:tcBorders>
                    <w:tl2br w:val="nil"/>
                    <w:tr2bl w:val="nil"/>
                  </w:tcBorders>
                  <w:vAlign w:val="center"/>
                </w:tcPr>
                <w:p>
                  <w:pPr>
                    <w:pStyle w:val="4"/>
                    <w:adjustRightInd w:val="0"/>
                    <w:snapToGrid w:val="0"/>
                    <w:rPr>
                      <w:b/>
                      <w:bCs/>
                      <w:color w:val="auto"/>
                      <w:szCs w:val="21"/>
                    </w:rPr>
                  </w:pPr>
                  <w:r>
                    <w:rPr>
                      <w:b/>
                      <w:bCs/>
                      <w:color w:val="auto"/>
                      <w:szCs w:val="21"/>
                    </w:rPr>
                    <w:t>年用量</w:t>
                  </w:r>
                </w:p>
              </w:tc>
              <w:tc>
                <w:tcPr>
                  <w:tcW w:w="446" w:type="pct"/>
                  <w:tcBorders>
                    <w:tl2br w:val="nil"/>
                    <w:tr2bl w:val="nil"/>
                  </w:tcBorders>
                  <w:vAlign w:val="center"/>
                </w:tcPr>
                <w:p>
                  <w:pPr>
                    <w:pStyle w:val="4"/>
                    <w:adjustRightInd w:val="0"/>
                    <w:snapToGrid w:val="0"/>
                    <w:rPr>
                      <w:b/>
                      <w:bCs/>
                      <w:color w:val="auto"/>
                      <w:szCs w:val="21"/>
                    </w:rPr>
                  </w:pPr>
                  <w:r>
                    <w:rPr>
                      <w:b/>
                      <w:bCs/>
                      <w:color w:val="auto"/>
                      <w:szCs w:val="21"/>
                    </w:rPr>
                    <w:t>形态</w:t>
                  </w:r>
                </w:p>
              </w:tc>
              <w:tc>
                <w:tcPr>
                  <w:tcW w:w="420" w:type="pct"/>
                  <w:tcBorders>
                    <w:tl2br w:val="nil"/>
                    <w:tr2bl w:val="nil"/>
                  </w:tcBorders>
                  <w:vAlign w:val="center"/>
                </w:tcPr>
                <w:p>
                  <w:pPr>
                    <w:pStyle w:val="4"/>
                    <w:adjustRightInd w:val="0"/>
                    <w:snapToGrid w:val="0"/>
                    <w:rPr>
                      <w:b/>
                      <w:bCs/>
                      <w:color w:val="auto"/>
                      <w:szCs w:val="21"/>
                    </w:rPr>
                  </w:pPr>
                  <w:r>
                    <w:rPr>
                      <w:b/>
                      <w:bCs/>
                      <w:color w:val="auto"/>
                      <w:szCs w:val="21"/>
                    </w:rPr>
                    <w:t>工序</w:t>
                  </w:r>
                </w:p>
              </w:tc>
              <w:tc>
                <w:tcPr>
                  <w:tcW w:w="1475" w:type="pct"/>
                  <w:tcBorders>
                    <w:tl2br w:val="nil"/>
                    <w:tr2bl w:val="nil"/>
                  </w:tcBorders>
                  <w:vAlign w:val="center"/>
                </w:tcPr>
                <w:p>
                  <w:pPr>
                    <w:pStyle w:val="4"/>
                    <w:adjustRightInd w:val="0"/>
                    <w:snapToGrid w:val="0"/>
                    <w:rPr>
                      <w:b/>
                      <w:bCs/>
                      <w:color w:val="auto"/>
                      <w:szCs w:val="21"/>
                    </w:rPr>
                  </w:pPr>
                  <w:r>
                    <w:rPr>
                      <w:b/>
                      <w:bCs/>
                      <w:color w:val="auto"/>
                      <w:szCs w:val="21"/>
                    </w:rPr>
                    <w:t>规格</w:t>
                  </w:r>
                </w:p>
              </w:tc>
              <w:tc>
                <w:tcPr>
                  <w:tcW w:w="630" w:type="pct"/>
                  <w:tcBorders>
                    <w:tl2br w:val="nil"/>
                    <w:tr2bl w:val="nil"/>
                  </w:tcBorders>
                  <w:vAlign w:val="center"/>
                </w:tcPr>
                <w:p>
                  <w:pPr>
                    <w:pStyle w:val="4"/>
                    <w:adjustRightInd w:val="0"/>
                    <w:snapToGrid w:val="0"/>
                    <w:rPr>
                      <w:b/>
                      <w:bCs/>
                      <w:color w:val="auto"/>
                      <w:szCs w:val="21"/>
                    </w:rPr>
                  </w:pPr>
                  <w:r>
                    <w:rPr>
                      <w:b/>
                      <w:bCs/>
                      <w:color w:val="auto"/>
                      <w:szCs w:val="21"/>
                    </w:rPr>
                    <w:t>最大贮存量（t）</w:t>
                  </w:r>
                </w:p>
              </w:tc>
              <w:tc>
                <w:tcPr>
                  <w:tcW w:w="483" w:type="pct"/>
                  <w:tcBorders>
                    <w:tl2br w:val="nil"/>
                    <w:tr2bl w:val="nil"/>
                  </w:tcBorders>
                  <w:vAlign w:val="center"/>
                </w:tcPr>
                <w:p>
                  <w:pPr>
                    <w:pStyle w:val="4"/>
                    <w:adjustRightInd w:val="0"/>
                    <w:snapToGrid w:val="0"/>
                    <w:rPr>
                      <w:b/>
                      <w:bCs/>
                      <w:color w:val="auto"/>
                      <w:szCs w:val="21"/>
                    </w:rPr>
                  </w:pPr>
                  <w:r>
                    <w:rPr>
                      <w:b/>
                      <w:bCs/>
                      <w:color w:val="auto"/>
                      <w:szCs w:val="21"/>
                    </w:rPr>
                    <w:t>储存位置</w:t>
                  </w:r>
                </w:p>
              </w:tc>
              <w:tc>
                <w:tcPr>
                  <w:tcW w:w="286" w:type="pct"/>
                  <w:tcBorders>
                    <w:tl2br w:val="nil"/>
                    <w:tr2bl w:val="nil"/>
                  </w:tcBorders>
                  <w:vAlign w:val="center"/>
                </w:tcPr>
                <w:p>
                  <w:pPr>
                    <w:pStyle w:val="4"/>
                    <w:adjustRightInd w:val="0"/>
                    <w:snapToGrid w:val="0"/>
                    <w:rPr>
                      <w:b/>
                      <w:bCs/>
                      <w:color w:val="auto"/>
                      <w:szCs w:val="21"/>
                    </w:rPr>
                  </w:pPr>
                  <w:r>
                    <w:rPr>
                      <w:b/>
                      <w:bCs/>
                      <w:color w:val="auto"/>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1</w:t>
                  </w:r>
                </w:p>
              </w:tc>
              <w:tc>
                <w:tcPr>
                  <w:tcW w:w="490" w:type="pct"/>
                  <w:tcBorders>
                    <w:tl2br w:val="nil"/>
                    <w:tr2bl w:val="nil"/>
                  </w:tcBorders>
                  <w:vAlign w:val="center"/>
                </w:tcPr>
                <w:p>
                  <w:pPr>
                    <w:pStyle w:val="4"/>
                    <w:adjustRightInd w:val="0"/>
                    <w:snapToGrid w:val="0"/>
                    <w:rPr>
                      <w:color w:val="auto"/>
                      <w:szCs w:val="21"/>
                    </w:rPr>
                  </w:pPr>
                  <w:r>
                    <w:rPr>
                      <w:color w:val="auto"/>
                      <w:szCs w:val="21"/>
                    </w:rPr>
                    <w:t>毛毡料</w:t>
                  </w:r>
                </w:p>
              </w:tc>
              <w:tc>
                <w:tcPr>
                  <w:tcW w:w="489" w:type="pct"/>
                  <w:gridSpan w:val="2"/>
                  <w:tcBorders>
                    <w:tl2br w:val="nil"/>
                    <w:tr2bl w:val="nil"/>
                  </w:tcBorders>
                  <w:vAlign w:val="center"/>
                </w:tcPr>
                <w:p>
                  <w:pPr>
                    <w:pStyle w:val="4"/>
                    <w:adjustRightInd w:val="0"/>
                    <w:snapToGrid w:val="0"/>
                    <w:rPr>
                      <w:color w:val="auto"/>
                      <w:szCs w:val="21"/>
                    </w:rPr>
                  </w:pPr>
                  <w:r>
                    <w:rPr>
                      <w:color w:val="auto"/>
                      <w:szCs w:val="21"/>
                    </w:rPr>
                    <w:t>3000t/a</w:t>
                  </w:r>
                </w:p>
              </w:tc>
              <w:tc>
                <w:tcPr>
                  <w:tcW w:w="446" w:type="pct"/>
                  <w:tcBorders>
                    <w:tl2br w:val="nil"/>
                    <w:tr2bl w:val="nil"/>
                  </w:tcBorders>
                  <w:vAlign w:val="center"/>
                </w:tcPr>
                <w:p>
                  <w:pPr>
                    <w:pStyle w:val="4"/>
                    <w:adjustRightInd w:val="0"/>
                    <w:snapToGrid w:val="0"/>
                    <w:rPr>
                      <w:color w:val="auto"/>
                      <w:szCs w:val="21"/>
                    </w:rPr>
                  </w:pPr>
                  <w:r>
                    <w:rPr>
                      <w:color w:val="auto"/>
                      <w:szCs w:val="21"/>
                    </w:rPr>
                    <w:t>固体</w:t>
                  </w:r>
                </w:p>
              </w:tc>
              <w:tc>
                <w:tcPr>
                  <w:tcW w:w="420" w:type="pct"/>
                  <w:tcBorders>
                    <w:tl2br w:val="nil"/>
                    <w:tr2bl w:val="nil"/>
                  </w:tcBorders>
                  <w:vAlign w:val="center"/>
                </w:tcPr>
                <w:p>
                  <w:pPr>
                    <w:pStyle w:val="4"/>
                    <w:adjustRightInd w:val="0"/>
                    <w:snapToGrid w:val="0"/>
                    <w:rPr>
                      <w:color w:val="auto"/>
                      <w:szCs w:val="21"/>
                    </w:rPr>
                  </w:pPr>
                  <w:r>
                    <w:rPr>
                      <w:color w:val="auto"/>
                      <w:szCs w:val="21"/>
                    </w:rPr>
                    <w:t>模压</w:t>
                  </w:r>
                </w:p>
              </w:tc>
              <w:tc>
                <w:tcPr>
                  <w:tcW w:w="1475" w:type="pct"/>
                  <w:tcBorders>
                    <w:tl2br w:val="nil"/>
                    <w:tr2bl w:val="nil"/>
                  </w:tcBorders>
                  <w:vAlign w:val="center"/>
                </w:tcPr>
                <w:p>
                  <w:pPr>
                    <w:pStyle w:val="4"/>
                    <w:adjustRightInd w:val="0"/>
                    <w:snapToGrid w:val="0"/>
                    <w:rPr>
                      <w:color w:val="auto"/>
                      <w:szCs w:val="21"/>
                    </w:rPr>
                  </w:pPr>
                  <w:r>
                    <w:rPr>
                      <w:color w:val="auto"/>
                      <w:szCs w:val="21"/>
                    </w:rPr>
                    <w:t>800*500/2300*1700</w:t>
                  </w:r>
                </w:p>
              </w:tc>
              <w:tc>
                <w:tcPr>
                  <w:tcW w:w="630" w:type="pct"/>
                  <w:tcBorders>
                    <w:tl2br w:val="nil"/>
                    <w:tr2bl w:val="nil"/>
                  </w:tcBorders>
                  <w:vAlign w:val="center"/>
                </w:tcPr>
                <w:p>
                  <w:pPr>
                    <w:pStyle w:val="4"/>
                    <w:adjustRightInd w:val="0"/>
                    <w:snapToGrid w:val="0"/>
                    <w:rPr>
                      <w:color w:val="auto"/>
                      <w:szCs w:val="21"/>
                    </w:rPr>
                  </w:pPr>
                  <w:r>
                    <w:rPr>
                      <w:color w:val="auto"/>
                      <w:szCs w:val="21"/>
                    </w:rPr>
                    <w:t>100</w:t>
                  </w:r>
                </w:p>
              </w:tc>
              <w:tc>
                <w:tcPr>
                  <w:tcW w:w="483" w:type="pct"/>
                  <w:tcBorders>
                    <w:tl2br w:val="nil"/>
                    <w:tr2bl w:val="nil"/>
                  </w:tcBorders>
                  <w:vAlign w:val="center"/>
                </w:tcPr>
                <w:p>
                  <w:pPr>
                    <w:pStyle w:val="4"/>
                    <w:adjustRightInd w:val="0"/>
                    <w:snapToGrid w:val="0"/>
                    <w:rPr>
                      <w:color w:val="auto"/>
                      <w:szCs w:val="21"/>
                    </w:rPr>
                  </w:pPr>
                  <w:r>
                    <w:rPr>
                      <w:color w:val="auto"/>
                      <w:szCs w:val="21"/>
                    </w:rPr>
                    <w:t>厂房仓库</w:t>
                  </w:r>
                </w:p>
              </w:tc>
              <w:tc>
                <w:tcPr>
                  <w:tcW w:w="286" w:type="pct"/>
                  <w:tcBorders>
                    <w:tl2br w:val="nil"/>
                    <w:tr2bl w:val="nil"/>
                  </w:tcBorders>
                  <w:vAlign w:val="center"/>
                </w:tcPr>
                <w:p>
                  <w:pPr>
                    <w:pStyle w:val="4"/>
                    <w:adjustRightInd w:val="0"/>
                    <w:snapToGrid w:val="0"/>
                    <w:rPr>
                      <w:color w:val="auto"/>
                      <w:szCs w:val="21"/>
                    </w:rPr>
                  </w:pPr>
                  <w:r>
                    <w:rPr>
                      <w:color w:val="auto"/>
                      <w:szCs w:val="21"/>
                    </w:rPr>
                    <w:t>采购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2</w:t>
                  </w:r>
                </w:p>
              </w:tc>
              <w:tc>
                <w:tcPr>
                  <w:tcW w:w="490" w:type="pct"/>
                  <w:tcBorders>
                    <w:tl2br w:val="nil"/>
                    <w:tr2bl w:val="nil"/>
                  </w:tcBorders>
                  <w:vAlign w:val="center"/>
                </w:tcPr>
                <w:p>
                  <w:pPr>
                    <w:pStyle w:val="4"/>
                    <w:adjustRightInd w:val="0"/>
                    <w:snapToGrid w:val="0"/>
                    <w:rPr>
                      <w:color w:val="auto"/>
                      <w:szCs w:val="21"/>
                    </w:rPr>
                  </w:pPr>
                  <w:r>
                    <w:rPr>
                      <w:color w:val="auto"/>
                      <w:szCs w:val="21"/>
                    </w:rPr>
                    <w:t>组合聚醚</w:t>
                  </w:r>
                </w:p>
                <w:p>
                  <w:pPr>
                    <w:pStyle w:val="4"/>
                    <w:adjustRightInd w:val="0"/>
                    <w:snapToGrid w:val="0"/>
                    <w:rPr>
                      <w:color w:val="auto"/>
                      <w:szCs w:val="21"/>
                    </w:rPr>
                  </w:pPr>
                </w:p>
              </w:tc>
              <w:tc>
                <w:tcPr>
                  <w:tcW w:w="489" w:type="pct"/>
                  <w:gridSpan w:val="2"/>
                  <w:tcBorders>
                    <w:tl2br w:val="nil"/>
                    <w:tr2bl w:val="nil"/>
                  </w:tcBorders>
                  <w:vAlign w:val="center"/>
                </w:tcPr>
                <w:p>
                  <w:pPr>
                    <w:pStyle w:val="4"/>
                    <w:adjustRightInd w:val="0"/>
                    <w:snapToGrid w:val="0"/>
                    <w:rPr>
                      <w:color w:val="auto"/>
                      <w:szCs w:val="21"/>
                    </w:rPr>
                  </w:pPr>
                  <w:r>
                    <w:rPr>
                      <w:color w:val="auto"/>
                      <w:szCs w:val="21"/>
                    </w:rPr>
                    <w:t>1200t/a</w:t>
                  </w:r>
                </w:p>
              </w:tc>
              <w:tc>
                <w:tcPr>
                  <w:tcW w:w="446" w:type="pct"/>
                  <w:tcBorders>
                    <w:tl2br w:val="nil"/>
                    <w:tr2bl w:val="nil"/>
                  </w:tcBorders>
                  <w:vAlign w:val="center"/>
                </w:tcPr>
                <w:p>
                  <w:pPr>
                    <w:pStyle w:val="4"/>
                    <w:adjustRightInd w:val="0"/>
                    <w:snapToGrid w:val="0"/>
                    <w:rPr>
                      <w:color w:val="auto"/>
                      <w:szCs w:val="21"/>
                    </w:rPr>
                  </w:pPr>
                  <w:r>
                    <w:rPr>
                      <w:color w:val="auto"/>
                      <w:szCs w:val="21"/>
                    </w:rPr>
                    <w:t>液体</w:t>
                  </w:r>
                </w:p>
              </w:tc>
              <w:tc>
                <w:tcPr>
                  <w:tcW w:w="420" w:type="pct"/>
                  <w:tcBorders>
                    <w:tl2br w:val="nil"/>
                    <w:tr2bl w:val="nil"/>
                  </w:tcBorders>
                  <w:vAlign w:val="center"/>
                </w:tcPr>
                <w:p>
                  <w:pPr>
                    <w:pStyle w:val="4"/>
                    <w:adjustRightInd w:val="0"/>
                    <w:snapToGrid w:val="0"/>
                    <w:rPr>
                      <w:color w:val="auto"/>
                      <w:szCs w:val="21"/>
                    </w:rPr>
                  </w:pPr>
                  <w:r>
                    <w:rPr>
                      <w:color w:val="auto"/>
                      <w:szCs w:val="21"/>
                    </w:rPr>
                    <w:t>发泡</w:t>
                  </w:r>
                </w:p>
              </w:tc>
              <w:tc>
                <w:tcPr>
                  <w:tcW w:w="1475" w:type="pct"/>
                  <w:tcBorders>
                    <w:tl2br w:val="nil"/>
                    <w:tr2bl w:val="nil"/>
                  </w:tcBorders>
                  <w:vAlign w:val="center"/>
                </w:tcPr>
                <w:p>
                  <w:pPr>
                    <w:pStyle w:val="4"/>
                    <w:adjustRightInd w:val="0"/>
                    <w:snapToGrid w:val="0"/>
                    <w:rPr>
                      <w:color w:val="auto"/>
                      <w:szCs w:val="21"/>
                    </w:rPr>
                  </w:pPr>
                  <w:r>
                    <w:rPr>
                      <w:color w:val="auto"/>
                      <w:szCs w:val="21"/>
                    </w:rPr>
                    <w:t>桶装200kg</w:t>
                  </w:r>
                </w:p>
              </w:tc>
              <w:tc>
                <w:tcPr>
                  <w:tcW w:w="630" w:type="pct"/>
                  <w:tcBorders>
                    <w:tl2br w:val="nil"/>
                    <w:tr2bl w:val="nil"/>
                  </w:tcBorders>
                  <w:vAlign w:val="center"/>
                </w:tcPr>
                <w:p>
                  <w:pPr>
                    <w:pStyle w:val="4"/>
                    <w:adjustRightInd w:val="0"/>
                    <w:snapToGrid w:val="0"/>
                    <w:rPr>
                      <w:color w:val="auto"/>
                      <w:szCs w:val="21"/>
                    </w:rPr>
                  </w:pPr>
                  <w:r>
                    <w:rPr>
                      <w:rFonts w:hint="eastAsia"/>
                      <w:color w:val="auto"/>
                      <w:szCs w:val="21"/>
                    </w:rPr>
                    <w:t>20</w:t>
                  </w:r>
                </w:p>
              </w:tc>
              <w:tc>
                <w:tcPr>
                  <w:tcW w:w="483" w:type="pct"/>
                  <w:tcBorders>
                    <w:tl2br w:val="nil"/>
                    <w:tr2bl w:val="nil"/>
                  </w:tcBorders>
                  <w:vAlign w:val="center"/>
                </w:tcPr>
                <w:p>
                  <w:pPr>
                    <w:pStyle w:val="4"/>
                    <w:adjustRightInd w:val="0"/>
                    <w:snapToGrid w:val="0"/>
                    <w:rPr>
                      <w:color w:val="auto"/>
                      <w:szCs w:val="21"/>
                    </w:rPr>
                  </w:pPr>
                  <w:r>
                    <w:rPr>
                      <w:color w:val="auto"/>
                      <w:szCs w:val="21"/>
                    </w:rPr>
                    <w:t>危化品库</w:t>
                  </w:r>
                </w:p>
              </w:tc>
              <w:tc>
                <w:tcPr>
                  <w:tcW w:w="286" w:type="pct"/>
                  <w:tcBorders>
                    <w:tl2br w:val="nil"/>
                    <w:tr2bl w:val="nil"/>
                  </w:tcBorders>
                  <w:vAlign w:val="center"/>
                </w:tcPr>
                <w:p>
                  <w:pPr>
                    <w:pStyle w:val="4"/>
                    <w:adjustRightInd w:val="0"/>
                    <w:snapToGrid w:val="0"/>
                    <w:rPr>
                      <w:color w:val="auto"/>
                      <w:szCs w:val="21"/>
                    </w:rPr>
                  </w:pPr>
                  <w:r>
                    <w:rPr>
                      <w:color w:val="auto"/>
                      <w:szCs w:val="21"/>
                    </w:rPr>
                    <w:t>采购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5"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3</w:t>
                  </w:r>
                </w:p>
              </w:tc>
              <w:tc>
                <w:tcPr>
                  <w:tcW w:w="490" w:type="pct"/>
                  <w:tcBorders>
                    <w:tl2br w:val="nil"/>
                    <w:tr2bl w:val="nil"/>
                  </w:tcBorders>
                  <w:vAlign w:val="center"/>
                </w:tcPr>
                <w:p>
                  <w:pPr>
                    <w:pStyle w:val="4"/>
                    <w:adjustRightInd w:val="0"/>
                    <w:snapToGrid w:val="0"/>
                    <w:rPr>
                      <w:color w:val="auto"/>
                      <w:szCs w:val="21"/>
                    </w:rPr>
                  </w:pPr>
                  <w:r>
                    <w:rPr>
                      <w:color w:val="auto"/>
                      <w:szCs w:val="21"/>
                    </w:rPr>
                    <w:t>异氰酸酯</w:t>
                  </w:r>
                </w:p>
              </w:tc>
              <w:tc>
                <w:tcPr>
                  <w:tcW w:w="489" w:type="pct"/>
                  <w:gridSpan w:val="2"/>
                  <w:tcBorders>
                    <w:tl2br w:val="nil"/>
                    <w:tr2bl w:val="nil"/>
                  </w:tcBorders>
                  <w:vAlign w:val="center"/>
                </w:tcPr>
                <w:p>
                  <w:pPr>
                    <w:pStyle w:val="4"/>
                    <w:adjustRightInd w:val="0"/>
                    <w:snapToGrid w:val="0"/>
                    <w:rPr>
                      <w:color w:val="auto"/>
                      <w:szCs w:val="21"/>
                    </w:rPr>
                  </w:pPr>
                  <w:r>
                    <w:rPr>
                      <w:color w:val="auto"/>
                      <w:szCs w:val="21"/>
                    </w:rPr>
                    <w:t>600t/a</w:t>
                  </w:r>
                </w:p>
              </w:tc>
              <w:tc>
                <w:tcPr>
                  <w:tcW w:w="446" w:type="pct"/>
                  <w:tcBorders>
                    <w:tl2br w:val="nil"/>
                    <w:tr2bl w:val="nil"/>
                  </w:tcBorders>
                  <w:vAlign w:val="center"/>
                </w:tcPr>
                <w:p>
                  <w:pPr>
                    <w:pStyle w:val="4"/>
                    <w:adjustRightInd w:val="0"/>
                    <w:snapToGrid w:val="0"/>
                    <w:rPr>
                      <w:color w:val="auto"/>
                      <w:szCs w:val="21"/>
                    </w:rPr>
                  </w:pPr>
                  <w:r>
                    <w:rPr>
                      <w:color w:val="auto"/>
                      <w:szCs w:val="21"/>
                    </w:rPr>
                    <w:t>液体</w:t>
                  </w:r>
                </w:p>
              </w:tc>
              <w:tc>
                <w:tcPr>
                  <w:tcW w:w="420" w:type="pct"/>
                  <w:tcBorders>
                    <w:tl2br w:val="nil"/>
                    <w:tr2bl w:val="nil"/>
                  </w:tcBorders>
                  <w:vAlign w:val="center"/>
                </w:tcPr>
                <w:p>
                  <w:pPr>
                    <w:pStyle w:val="4"/>
                    <w:adjustRightInd w:val="0"/>
                    <w:snapToGrid w:val="0"/>
                    <w:rPr>
                      <w:color w:val="auto"/>
                      <w:szCs w:val="21"/>
                    </w:rPr>
                  </w:pPr>
                  <w:r>
                    <w:rPr>
                      <w:color w:val="auto"/>
                      <w:szCs w:val="21"/>
                    </w:rPr>
                    <w:t>发泡</w:t>
                  </w:r>
                </w:p>
              </w:tc>
              <w:tc>
                <w:tcPr>
                  <w:tcW w:w="1475" w:type="pct"/>
                  <w:tcBorders>
                    <w:tl2br w:val="nil"/>
                    <w:tr2bl w:val="nil"/>
                  </w:tcBorders>
                  <w:vAlign w:val="center"/>
                </w:tcPr>
                <w:p>
                  <w:pPr>
                    <w:pStyle w:val="4"/>
                    <w:adjustRightInd w:val="0"/>
                    <w:snapToGrid w:val="0"/>
                    <w:rPr>
                      <w:color w:val="auto"/>
                      <w:szCs w:val="21"/>
                    </w:rPr>
                  </w:pPr>
                  <w:r>
                    <w:rPr>
                      <w:color w:val="auto"/>
                      <w:szCs w:val="21"/>
                    </w:rPr>
                    <w:t>桶装200kg</w:t>
                  </w:r>
                </w:p>
              </w:tc>
              <w:tc>
                <w:tcPr>
                  <w:tcW w:w="630" w:type="pct"/>
                  <w:tcBorders>
                    <w:tl2br w:val="nil"/>
                    <w:tr2bl w:val="nil"/>
                  </w:tcBorders>
                  <w:vAlign w:val="center"/>
                </w:tcPr>
                <w:p>
                  <w:pPr>
                    <w:pStyle w:val="4"/>
                    <w:adjustRightInd w:val="0"/>
                    <w:snapToGrid w:val="0"/>
                    <w:rPr>
                      <w:color w:val="auto"/>
                      <w:szCs w:val="21"/>
                    </w:rPr>
                  </w:pPr>
                  <w:r>
                    <w:rPr>
                      <w:rFonts w:hint="eastAsia"/>
                      <w:color w:val="auto"/>
                      <w:szCs w:val="21"/>
                    </w:rPr>
                    <w:t>1</w:t>
                  </w:r>
                </w:p>
              </w:tc>
              <w:tc>
                <w:tcPr>
                  <w:tcW w:w="483" w:type="pct"/>
                  <w:tcBorders>
                    <w:tl2br w:val="nil"/>
                    <w:tr2bl w:val="nil"/>
                  </w:tcBorders>
                  <w:vAlign w:val="center"/>
                </w:tcPr>
                <w:p>
                  <w:pPr>
                    <w:pStyle w:val="4"/>
                    <w:adjustRightInd w:val="0"/>
                    <w:snapToGrid w:val="0"/>
                    <w:rPr>
                      <w:color w:val="auto"/>
                      <w:szCs w:val="21"/>
                    </w:rPr>
                  </w:pPr>
                  <w:r>
                    <w:rPr>
                      <w:color w:val="auto"/>
                      <w:szCs w:val="21"/>
                    </w:rPr>
                    <w:t>危化品库</w:t>
                  </w:r>
                </w:p>
              </w:tc>
              <w:tc>
                <w:tcPr>
                  <w:tcW w:w="286" w:type="pct"/>
                  <w:tcBorders>
                    <w:tl2br w:val="nil"/>
                    <w:tr2bl w:val="nil"/>
                  </w:tcBorders>
                  <w:vAlign w:val="center"/>
                </w:tcPr>
                <w:p>
                  <w:pPr>
                    <w:pStyle w:val="4"/>
                    <w:adjustRightInd w:val="0"/>
                    <w:snapToGrid w:val="0"/>
                    <w:rPr>
                      <w:color w:val="auto"/>
                      <w:szCs w:val="21"/>
                    </w:rPr>
                  </w:pPr>
                  <w:r>
                    <w:rPr>
                      <w:color w:val="auto"/>
                      <w:szCs w:val="21"/>
                    </w:rPr>
                    <w:t>采购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4</w:t>
                  </w:r>
                </w:p>
              </w:tc>
              <w:tc>
                <w:tcPr>
                  <w:tcW w:w="490" w:type="pct"/>
                  <w:tcBorders>
                    <w:tl2br w:val="nil"/>
                    <w:tr2bl w:val="nil"/>
                  </w:tcBorders>
                  <w:vAlign w:val="center"/>
                </w:tcPr>
                <w:p>
                  <w:pPr>
                    <w:pStyle w:val="4"/>
                    <w:adjustRightInd w:val="0"/>
                    <w:snapToGrid w:val="0"/>
                    <w:rPr>
                      <w:color w:val="auto"/>
                      <w:szCs w:val="21"/>
                    </w:rPr>
                  </w:pPr>
                  <w:r>
                    <w:rPr>
                      <w:color w:val="auto"/>
                      <w:szCs w:val="21"/>
                    </w:rPr>
                    <w:t>脱模剂</w:t>
                  </w:r>
                </w:p>
              </w:tc>
              <w:tc>
                <w:tcPr>
                  <w:tcW w:w="489" w:type="pct"/>
                  <w:gridSpan w:val="2"/>
                  <w:tcBorders>
                    <w:tl2br w:val="nil"/>
                    <w:tr2bl w:val="nil"/>
                  </w:tcBorders>
                  <w:vAlign w:val="center"/>
                </w:tcPr>
                <w:p>
                  <w:pPr>
                    <w:pStyle w:val="4"/>
                    <w:adjustRightInd w:val="0"/>
                    <w:snapToGrid w:val="0"/>
                    <w:rPr>
                      <w:color w:val="auto"/>
                      <w:szCs w:val="21"/>
                    </w:rPr>
                  </w:pPr>
                  <w:r>
                    <w:rPr>
                      <w:color w:val="auto"/>
                      <w:szCs w:val="21"/>
                    </w:rPr>
                    <w:t>50t/a</w:t>
                  </w:r>
                </w:p>
              </w:tc>
              <w:tc>
                <w:tcPr>
                  <w:tcW w:w="446" w:type="pct"/>
                  <w:tcBorders>
                    <w:tl2br w:val="nil"/>
                    <w:tr2bl w:val="nil"/>
                  </w:tcBorders>
                  <w:vAlign w:val="center"/>
                </w:tcPr>
                <w:p>
                  <w:pPr>
                    <w:pStyle w:val="4"/>
                    <w:adjustRightInd w:val="0"/>
                    <w:snapToGrid w:val="0"/>
                    <w:rPr>
                      <w:color w:val="auto"/>
                      <w:szCs w:val="21"/>
                    </w:rPr>
                  </w:pPr>
                  <w:r>
                    <w:rPr>
                      <w:color w:val="auto"/>
                      <w:szCs w:val="21"/>
                    </w:rPr>
                    <w:t>液体</w:t>
                  </w:r>
                </w:p>
              </w:tc>
              <w:tc>
                <w:tcPr>
                  <w:tcW w:w="420" w:type="pct"/>
                  <w:tcBorders>
                    <w:tl2br w:val="nil"/>
                    <w:tr2bl w:val="nil"/>
                  </w:tcBorders>
                  <w:vAlign w:val="center"/>
                </w:tcPr>
                <w:p>
                  <w:pPr>
                    <w:pStyle w:val="4"/>
                    <w:adjustRightInd w:val="0"/>
                    <w:snapToGrid w:val="0"/>
                    <w:rPr>
                      <w:color w:val="auto"/>
                      <w:szCs w:val="21"/>
                    </w:rPr>
                  </w:pPr>
                  <w:r>
                    <w:rPr>
                      <w:color w:val="auto"/>
                      <w:szCs w:val="21"/>
                    </w:rPr>
                    <w:t>发泡</w:t>
                  </w:r>
                </w:p>
              </w:tc>
              <w:tc>
                <w:tcPr>
                  <w:tcW w:w="1475" w:type="pct"/>
                  <w:tcBorders>
                    <w:tl2br w:val="nil"/>
                    <w:tr2bl w:val="nil"/>
                  </w:tcBorders>
                  <w:vAlign w:val="center"/>
                </w:tcPr>
                <w:p>
                  <w:pPr>
                    <w:pStyle w:val="4"/>
                    <w:adjustRightInd w:val="0"/>
                    <w:snapToGrid w:val="0"/>
                    <w:rPr>
                      <w:color w:val="auto"/>
                      <w:szCs w:val="21"/>
                    </w:rPr>
                  </w:pPr>
                  <w:r>
                    <w:rPr>
                      <w:color w:val="auto"/>
                      <w:szCs w:val="21"/>
                    </w:rPr>
                    <w:t>桶装15kg</w:t>
                  </w:r>
                </w:p>
              </w:tc>
              <w:tc>
                <w:tcPr>
                  <w:tcW w:w="630" w:type="pct"/>
                  <w:tcBorders>
                    <w:tl2br w:val="nil"/>
                    <w:tr2bl w:val="nil"/>
                  </w:tcBorders>
                  <w:vAlign w:val="center"/>
                </w:tcPr>
                <w:p>
                  <w:pPr>
                    <w:pStyle w:val="4"/>
                    <w:adjustRightInd w:val="0"/>
                    <w:snapToGrid w:val="0"/>
                    <w:rPr>
                      <w:color w:val="auto"/>
                      <w:szCs w:val="21"/>
                    </w:rPr>
                  </w:pPr>
                  <w:r>
                    <w:rPr>
                      <w:color w:val="auto"/>
                      <w:szCs w:val="21"/>
                    </w:rPr>
                    <w:t>5</w:t>
                  </w:r>
                </w:p>
              </w:tc>
              <w:tc>
                <w:tcPr>
                  <w:tcW w:w="483" w:type="pct"/>
                  <w:tcBorders>
                    <w:tl2br w:val="nil"/>
                    <w:tr2bl w:val="nil"/>
                  </w:tcBorders>
                  <w:vAlign w:val="center"/>
                </w:tcPr>
                <w:p>
                  <w:pPr>
                    <w:adjustRightInd w:val="0"/>
                    <w:snapToGrid w:val="0"/>
                    <w:jc w:val="center"/>
                    <w:rPr>
                      <w:color w:val="auto"/>
                      <w:spacing w:val="8"/>
                      <w:kern w:val="0"/>
                      <w:szCs w:val="21"/>
                    </w:rPr>
                  </w:pPr>
                  <w:r>
                    <w:rPr>
                      <w:color w:val="auto"/>
                      <w:szCs w:val="21"/>
                    </w:rPr>
                    <w:t>危化品库</w:t>
                  </w:r>
                </w:p>
              </w:tc>
              <w:tc>
                <w:tcPr>
                  <w:tcW w:w="286" w:type="pct"/>
                  <w:tcBorders>
                    <w:tl2br w:val="nil"/>
                    <w:tr2bl w:val="nil"/>
                  </w:tcBorders>
                  <w:vAlign w:val="center"/>
                </w:tcPr>
                <w:p>
                  <w:pPr>
                    <w:adjustRightInd w:val="0"/>
                    <w:snapToGrid w:val="0"/>
                    <w:jc w:val="center"/>
                    <w:rPr>
                      <w:color w:val="auto"/>
                      <w:spacing w:val="8"/>
                      <w:kern w:val="0"/>
                      <w:szCs w:val="21"/>
                    </w:rPr>
                  </w:pPr>
                  <w:r>
                    <w:rPr>
                      <w:color w:val="auto"/>
                      <w:spacing w:val="8"/>
                      <w:kern w:val="0"/>
                      <w:szCs w:val="21"/>
                    </w:rPr>
                    <w:t>采购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5</w:t>
                  </w:r>
                </w:p>
              </w:tc>
              <w:tc>
                <w:tcPr>
                  <w:tcW w:w="490" w:type="pct"/>
                  <w:tcBorders>
                    <w:tl2br w:val="nil"/>
                    <w:tr2bl w:val="nil"/>
                  </w:tcBorders>
                  <w:vAlign w:val="center"/>
                </w:tcPr>
                <w:p>
                  <w:pPr>
                    <w:pStyle w:val="4"/>
                    <w:adjustRightInd w:val="0"/>
                    <w:snapToGrid w:val="0"/>
                    <w:rPr>
                      <w:color w:val="auto"/>
                      <w:szCs w:val="21"/>
                    </w:rPr>
                  </w:pPr>
                  <w:r>
                    <w:rPr>
                      <w:color w:val="auto"/>
                      <w:szCs w:val="21"/>
                    </w:rPr>
                    <w:t>纸箱</w:t>
                  </w:r>
                </w:p>
              </w:tc>
              <w:tc>
                <w:tcPr>
                  <w:tcW w:w="489" w:type="pct"/>
                  <w:gridSpan w:val="2"/>
                  <w:tcBorders>
                    <w:tl2br w:val="nil"/>
                    <w:tr2bl w:val="nil"/>
                  </w:tcBorders>
                  <w:vAlign w:val="center"/>
                </w:tcPr>
                <w:p>
                  <w:pPr>
                    <w:pStyle w:val="4"/>
                    <w:adjustRightInd w:val="0"/>
                    <w:snapToGrid w:val="0"/>
                    <w:rPr>
                      <w:color w:val="auto"/>
                      <w:szCs w:val="21"/>
                    </w:rPr>
                  </w:pPr>
                  <w:r>
                    <w:rPr>
                      <w:color w:val="auto"/>
                      <w:szCs w:val="21"/>
                    </w:rPr>
                    <w:t>15000个</w:t>
                  </w:r>
                </w:p>
              </w:tc>
              <w:tc>
                <w:tcPr>
                  <w:tcW w:w="446" w:type="pct"/>
                  <w:tcBorders>
                    <w:tl2br w:val="nil"/>
                    <w:tr2bl w:val="nil"/>
                  </w:tcBorders>
                  <w:vAlign w:val="center"/>
                </w:tcPr>
                <w:p>
                  <w:pPr>
                    <w:pStyle w:val="4"/>
                    <w:adjustRightInd w:val="0"/>
                    <w:snapToGrid w:val="0"/>
                    <w:jc w:val="both"/>
                    <w:rPr>
                      <w:color w:val="auto"/>
                      <w:szCs w:val="21"/>
                    </w:rPr>
                  </w:pPr>
                  <w:r>
                    <w:rPr>
                      <w:color w:val="auto"/>
                      <w:szCs w:val="21"/>
                    </w:rPr>
                    <w:t>固体</w:t>
                  </w:r>
                </w:p>
              </w:tc>
              <w:tc>
                <w:tcPr>
                  <w:tcW w:w="420" w:type="pct"/>
                  <w:tcBorders>
                    <w:tl2br w:val="nil"/>
                    <w:tr2bl w:val="nil"/>
                  </w:tcBorders>
                  <w:vAlign w:val="center"/>
                </w:tcPr>
                <w:p>
                  <w:pPr>
                    <w:pStyle w:val="4"/>
                    <w:adjustRightInd w:val="0"/>
                    <w:snapToGrid w:val="0"/>
                    <w:rPr>
                      <w:color w:val="auto"/>
                      <w:szCs w:val="21"/>
                    </w:rPr>
                  </w:pPr>
                  <w:r>
                    <w:rPr>
                      <w:color w:val="auto"/>
                      <w:szCs w:val="21"/>
                    </w:rPr>
                    <w:t>包装</w:t>
                  </w:r>
                </w:p>
              </w:tc>
              <w:tc>
                <w:tcPr>
                  <w:tcW w:w="1475" w:type="pct"/>
                  <w:tcBorders>
                    <w:tl2br w:val="nil"/>
                    <w:tr2bl w:val="nil"/>
                  </w:tcBorders>
                  <w:vAlign w:val="center"/>
                </w:tcPr>
                <w:p>
                  <w:pPr>
                    <w:pStyle w:val="4"/>
                    <w:adjustRightInd w:val="0"/>
                    <w:snapToGrid w:val="0"/>
                    <w:rPr>
                      <w:color w:val="auto"/>
                      <w:szCs w:val="21"/>
                    </w:rPr>
                  </w:pPr>
                  <w:r>
                    <w:rPr>
                      <w:color w:val="auto"/>
                      <w:szCs w:val="21"/>
                    </w:rPr>
                    <w:t>545*305*130mm-920*720*680mm</w:t>
                  </w:r>
                </w:p>
              </w:tc>
              <w:tc>
                <w:tcPr>
                  <w:tcW w:w="630" w:type="pct"/>
                  <w:tcBorders>
                    <w:tl2br w:val="nil"/>
                    <w:tr2bl w:val="nil"/>
                  </w:tcBorders>
                  <w:vAlign w:val="center"/>
                </w:tcPr>
                <w:p>
                  <w:pPr>
                    <w:pStyle w:val="4"/>
                    <w:adjustRightInd w:val="0"/>
                    <w:snapToGrid w:val="0"/>
                    <w:rPr>
                      <w:color w:val="auto"/>
                      <w:szCs w:val="21"/>
                    </w:rPr>
                  </w:pPr>
                  <w:r>
                    <w:rPr>
                      <w:color w:val="auto"/>
                      <w:szCs w:val="21"/>
                    </w:rPr>
                    <w:t>2000个</w:t>
                  </w:r>
                </w:p>
              </w:tc>
              <w:tc>
                <w:tcPr>
                  <w:tcW w:w="483" w:type="pct"/>
                  <w:tcBorders>
                    <w:tl2br w:val="nil"/>
                    <w:tr2bl w:val="nil"/>
                  </w:tcBorders>
                  <w:vAlign w:val="center"/>
                </w:tcPr>
                <w:p>
                  <w:pPr>
                    <w:adjustRightInd w:val="0"/>
                    <w:snapToGrid w:val="0"/>
                    <w:jc w:val="center"/>
                    <w:rPr>
                      <w:color w:val="auto"/>
                      <w:spacing w:val="8"/>
                      <w:kern w:val="0"/>
                      <w:szCs w:val="21"/>
                    </w:rPr>
                  </w:pPr>
                  <w:r>
                    <w:rPr>
                      <w:color w:val="auto"/>
                      <w:spacing w:val="8"/>
                      <w:kern w:val="0"/>
                      <w:szCs w:val="21"/>
                    </w:rPr>
                    <w:t>厂房仓库</w:t>
                  </w:r>
                </w:p>
              </w:tc>
              <w:tc>
                <w:tcPr>
                  <w:tcW w:w="286" w:type="pct"/>
                  <w:tcBorders>
                    <w:tl2br w:val="nil"/>
                    <w:tr2bl w:val="nil"/>
                  </w:tcBorders>
                  <w:vAlign w:val="center"/>
                </w:tcPr>
                <w:p>
                  <w:pPr>
                    <w:adjustRightInd w:val="0"/>
                    <w:snapToGrid w:val="0"/>
                    <w:jc w:val="center"/>
                    <w:rPr>
                      <w:color w:val="auto"/>
                      <w:spacing w:val="8"/>
                      <w:kern w:val="0"/>
                      <w:szCs w:val="21"/>
                    </w:rPr>
                  </w:pPr>
                  <w:r>
                    <w:rPr>
                      <w:color w:val="auto"/>
                      <w:spacing w:val="8"/>
                      <w:kern w:val="0"/>
                      <w:szCs w:val="21"/>
                    </w:rPr>
                    <w:t>采购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exact"/>
                <w:tblHeader/>
                <w:jc w:val="center"/>
              </w:trPr>
              <w:tc>
                <w:tcPr>
                  <w:tcW w:w="5000" w:type="pct"/>
                  <w:gridSpan w:val="10"/>
                  <w:tcBorders>
                    <w:tl2br w:val="nil"/>
                    <w:tr2bl w:val="nil"/>
                  </w:tcBorders>
                  <w:vAlign w:val="center"/>
                </w:tcPr>
                <w:p>
                  <w:pPr>
                    <w:adjustRightInd w:val="0"/>
                    <w:snapToGrid w:val="0"/>
                    <w:jc w:val="center"/>
                    <w:rPr>
                      <w:color w:val="auto"/>
                      <w:spacing w:val="8"/>
                      <w:kern w:val="0"/>
                      <w:szCs w:val="21"/>
                    </w:rPr>
                  </w:pPr>
                  <w:r>
                    <w:rPr>
                      <w:color w:val="auto"/>
                      <w:spacing w:val="8"/>
                      <w:kern w:val="0"/>
                      <w:szCs w:val="21"/>
                    </w:rPr>
                    <w:t>能源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6</w:t>
                  </w:r>
                </w:p>
              </w:tc>
              <w:tc>
                <w:tcPr>
                  <w:tcW w:w="814" w:type="pct"/>
                  <w:gridSpan w:val="2"/>
                  <w:tcBorders>
                    <w:tl2br w:val="nil"/>
                    <w:tr2bl w:val="nil"/>
                  </w:tcBorders>
                  <w:vAlign w:val="center"/>
                </w:tcPr>
                <w:p>
                  <w:pPr>
                    <w:pStyle w:val="4"/>
                    <w:adjustRightInd w:val="0"/>
                    <w:snapToGrid w:val="0"/>
                    <w:rPr>
                      <w:color w:val="auto"/>
                      <w:szCs w:val="21"/>
                    </w:rPr>
                  </w:pPr>
                  <w:r>
                    <w:rPr>
                      <w:color w:val="auto"/>
                      <w:szCs w:val="21"/>
                    </w:rPr>
                    <w:t>新鲜水</w:t>
                  </w:r>
                </w:p>
              </w:tc>
              <w:tc>
                <w:tcPr>
                  <w:tcW w:w="1032" w:type="pct"/>
                  <w:gridSpan w:val="3"/>
                  <w:tcBorders>
                    <w:tl2br w:val="nil"/>
                    <w:tr2bl w:val="nil"/>
                  </w:tcBorders>
                  <w:vAlign w:val="center"/>
                </w:tcPr>
                <w:p>
                  <w:pPr>
                    <w:pStyle w:val="4"/>
                    <w:adjustRightInd w:val="0"/>
                    <w:snapToGrid w:val="0"/>
                    <w:rPr>
                      <w:color w:val="auto"/>
                      <w:szCs w:val="21"/>
                    </w:rPr>
                  </w:pPr>
                  <w:r>
                    <w:rPr>
                      <w:rFonts w:hint="eastAsia"/>
                      <w:color w:val="auto"/>
                      <w:szCs w:val="21"/>
                    </w:rPr>
                    <w:t>6826.2</w:t>
                  </w:r>
                  <w:r>
                    <w:rPr>
                      <w:color w:val="auto"/>
                      <w:szCs w:val="21"/>
                    </w:rPr>
                    <w:t>t/a</w:t>
                  </w:r>
                </w:p>
              </w:tc>
              <w:tc>
                <w:tcPr>
                  <w:tcW w:w="2876" w:type="pct"/>
                  <w:gridSpan w:val="4"/>
                  <w:tcBorders>
                    <w:tl2br w:val="nil"/>
                    <w:tr2bl w:val="nil"/>
                  </w:tcBorders>
                  <w:vAlign w:val="center"/>
                </w:tcPr>
                <w:p>
                  <w:pPr>
                    <w:adjustRightInd w:val="0"/>
                    <w:snapToGrid w:val="0"/>
                    <w:jc w:val="center"/>
                    <w:rPr>
                      <w:color w:val="auto"/>
                      <w:spacing w:val="8"/>
                      <w:kern w:val="0"/>
                      <w:szCs w:val="21"/>
                    </w:rPr>
                  </w:pPr>
                  <w:r>
                    <w:rPr>
                      <w:color w:val="auto"/>
                      <w:kern w:val="0"/>
                      <w:szCs w:val="21"/>
                      <w:lang w:bidi="en-US"/>
                    </w:rPr>
                    <w:t>市政供水管网提供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exact"/>
                <w:tblHeader/>
                <w:jc w:val="center"/>
              </w:trPr>
              <w:tc>
                <w:tcPr>
                  <w:tcW w:w="276" w:type="pct"/>
                  <w:tcBorders>
                    <w:tl2br w:val="nil"/>
                    <w:tr2bl w:val="nil"/>
                  </w:tcBorders>
                  <w:vAlign w:val="center"/>
                </w:tcPr>
                <w:p>
                  <w:pPr>
                    <w:pStyle w:val="4"/>
                    <w:adjustRightInd w:val="0"/>
                    <w:snapToGrid w:val="0"/>
                    <w:rPr>
                      <w:color w:val="auto"/>
                      <w:szCs w:val="21"/>
                    </w:rPr>
                  </w:pPr>
                  <w:r>
                    <w:rPr>
                      <w:color w:val="auto"/>
                      <w:szCs w:val="21"/>
                    </w:rPr>
                    <w:t>7</w:t>
                  </w:r>
                </w:p>
              </w:tc>
              <w:tc>
                <w:tcPr>
                  <w:tcW w:w="814" w:type="pct"/>
                  <w:gridSpan w:val="2"/>
                  <w:tcBorders>
                    <w:tl2br w:val="nil"/>
                    <w:tr2bl w:val="nil"/>
                  </w:tcBorders>
                  <w:vAlign w:val="center"/>
                </w:tcPr>
                <w:p>
                  <w:pPr>
                    <w:pStyle w:val="4"/>
                    <w:adjustRightInd w:val="0"/>
                    <w:snapToGrid w:val="0"/>
                    <w:rPr>
                      <w:color w:val="auto"/>
                      <w:szCs w:val="21"/>
                    </w:rPr>
                  </w:pPr>
                  <w:r>
                    <w:rPr>
                      <w:color w:val="auto"/>
                      <w:szCs w:val="21"/>
                      <w:lang w:bidi="en-US"/>
                    </w:rPr>
                    <w:t>电</w:t>
                  </w:r>
                </w:p>
              </w:tc>
              <w:tc>
                <w:tcPr>
                  <w:tcW w:w="1032" w:type="pct"/>
                  <w:gridSpan w:val="3"/>
                  <w:tcBorders>
                    <w:tl2br w:val="nil"/>
                    <w:tr2bl w:val="nil"/>
                  </w:tcBorders>
                  <w:vAlign w:val="center"/>
                </w:tcPr>
                <w:p>
                  <w:pPr>
                    <w:pStyle w:val="4"/>
                    <w:adjustRightInd w:val="0"/>
                    <w:snapToGrid w:val="0"/>
                    <w:rPr>
                      <w:color w:val="auto"/>
                      <w:szCs w:val="21"/>
                    </w:rPr>
                  </w:pPr>
                  <w:r>
                    <w:rPr>
                      <w:color w:val="auto"/>
                      <w:szCs w:val="21"/>
                    </w:rPr>
                    <w:t>240</w:t>
                  </w:r>
                  <w:r>
                    <w:rPr>
                      <w:color w:val="auto"/>
                      <w:szCs w:val="21"/>
                      <w:lang w:bidi="en-US"/>
                    </w:rPr>
                    <w:t>万kwh/a</w:t>
                  </w:r>
                </w:p>
              </w:tc>
              <w:tc>
                <w:tcPr>
                  <w:tcW w:w="2876" w:type="pct"/>
                  <w:gridSpan w:val="4"/>
                  <w:tcBorders>
                    <w:tl2br w:val="nil"/>
                    <w:tr2bl w:val="nil"/>
                  </w:tcBorders>
                  <w:vAlign w:val="center"/>
                </w:tcPr>
                <w:p>
                  <w:pPr>
                    <w:adjustRightInd w:val="0"/>
                    <w:snapToGrid w:val="0"/>
                    <w:jc w:val="center"/>
                    <w:rPr>
                      <w:color w:val="auto"/>
                      <w:spacing w:val="8"/>
                      <w:kern w:val="0"/>
                      <w:szCs w:val="21"/>
                    </w:rPr>
                  </w:pPr>
                  <w:r>
                    <w:rPr>
                      <w:color w:val="auto"/>
                      <w:kern w:val="0"/>
                      <w:szCs w:val="21"/>
                      <w:lang w:bidi="en-US"/>
                    </w:rPr>
                    <w:t>当地电网供应</w:t>
                  </w:r>
                </w:p>
              </w:tc>
            </w:tr>
          </w:tbl>
          <w:p>
            <w:pPr>
              <w:widowControl/>
              <w:ind w:firstLine="480"/>
              <w:jc w:val="center"/>
              <w:rPr>
                <w:color w:val="auto"/>
              </w:rPr>
            </w:pPr>
            <w:r>
              <w:rPr>
                <w:rFonts w:hint="eastAsia" w:ascii="宋体" w:hAnsi="宋体" w:cs="宋体"/>
                <w:b/>
                <w:bCs/>
                <w:color w:val="auto"/>
                <w:kern w:val="0"/>
                <w:szCs w:val="21"/>
                <w:lang w:bidi="ar"/>
              </w:rPr>
              <w:t>表</w:t>
            </w:r>
            <w:r>
              <w:rPr>
                <w:b/>
                <w:color w:val="auto"/>
                <w:szCs w:val="21"/>
              </w:rPr>
              <w:t>2-4</w:t>
            </w:r>
            <w:r>
              <w:rPr>
                <w:rFonts w:eastAsia="TimesNewRomanPS-BoldMT"/>
                <w:b/>
                <w:bCs/>
                <w:color w:val="auto"/>
                <w:kern w:val="0"/>
                <w:szCs w:val="21"/>
                <w:lang w:bidi="ar"/>
              </w:rPr>
              <w:t xml:space="preserve"> </w:t>
            </w:r>
            <w:r>
              <w:rPr>
                <w:b/>
                <w:bCs/>
                <w:color w:val="auto"/>
                <w:kern w:val="0"/>
                <w:szCs w:val="21"/>
                <w:lang w:bidi="ar"/>
              </w:rPr>
              <w:t>项目主要原辅料组成成分及性质表</w:t>
            </w:r>
          </w:p>
          <w:tbl>
            <w:tblPr>
              <w:tblStyle w:val="19"/>
              <w:tblW w:w="7945"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627"/>
              <w:gridCol w:w="5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tcBorders>
                    <w:top w:val="single" w:color="auto" w:sz="12" w:space="0"/>
                  </w:tcBorders>
                  <w:vAlign w:val="center"/>
                </w:tcPr>
                <w:p>
                  <w:pPr>
                    <w:adjustRightInd w:val="0"/>
                    <w:snapToGrid w:val="0"/>
                    <w:spacing w:line="360" w:lineRule="auto"/>
                    <w:jc w:val="center"/>
                    <w:rPr>
                      <w:b/>
                      <w:bCs/>
                      <w:color w:val="auto"/>
                      <w:kern w:val="0"/>
                      <w:szCs w:val="21"/>
                    </w:rPr>
                  </w:pPr>
                  <w:r>
                    <w:rPr>
                      <w:b/>
                      <w:bCs/>
                      <w:color w:val="auto"/>
                      <w:kern w:val="0"/>
                      <w:szCs w:val="21"/>
                    </w:rPr>
                    <w:t>序号</w:t>
                  </w:r>
                </w:p>
              </w:tc>
              <w:tc>
                <w:tcPr>
                  <w:tcW w:w="1627" w:type="dxa"/>
                  <w:tcBorders>
                    <w:top w:val="single" w:color="auto" w:sz="12" w:space="0"/>
                  </w:tcBorders>
                  <w:vAlign w:val="center"/>
                </w:tcPr>
                <w:p>
                  <w:pPr>
                    <w:adjustRightInd w:val="0"/>
                    <w:snapToGrid w:val="0"/>
                    <w:spacing w:line="360" w:lineRule="auto"/>
                    <w:jc w:val="center"/>
                    <w:rPr>
                      <w:b/>
                      <w:bCs/>
                      <w:color w:val="auto"/>
                      <w:kern w:val="0"/>
                      <w:szCs w:val="21"/>
                    </w:rPr>
                  </w:pPr>
                  <w:r>
                    <w:rPr>
                      <w:b/>
                      <w:bCs/>
                      <w:color w:val="auto"/>
                      <w:kern w:val="0"/>
                      <w:szCs w:val="21"/>
                    </w:rPr>
                    <w:t>要原辅料名称</w:t>
                  </w:r>
                </w:p>
              </w:tc>
              <w:tc>
                <w:tcPr>
                  <w:tcW w:w="5522" w:type="dxa"/>
                  <w:tcBorders>
                    <w:top w:val="single" w:color="auto" w:sz="12" w:space="0"/>
                  </w:tcBorders>
                  <w:vAlign w:val="center"/>
                </w:tcPr>
                <w:p>
                  <w:pPr>
                    <w:adjustRightInd w:val="0"/>
                    <w:snapToGrid w:val="0"/>
                    <w:spacing w:line="360" w:lineRule="auto"/>
                    <w:jc w:val="center"/>
                    <w:rPr>
                      <w:b/>
                      <w:bCs/>
                      <w:color w:val="auto"/>
                      <w:kern w:val="0"/>
                      <w:szCs w:val="21"/>
                    </w:rPr>
                  </w:pPr>
                  <w:r>
                    <w:rPr>
                      <w:b/>
                      <w:bCs/>
                      <w:color w:val="auto"/>
                      <w:kern w:val="0"/>
                      <w:szCs w:val="21"/>
                    </w:rPr>
                    <w:t>组成成分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adjustRightInd w:val="0"/>
                    <w:snapToGrid w:val="0"/>
                    <w:spacing w:line="360" w:lineRule="auto"/>
                    <w:jc w:val="center"/>
                    <w:rPr>
                      <w:b w:val="0"/>
                      <w:bCs w:val="0"/>
                      <w:color w:val="auto"/>
                      <w:kern w:val="0"/>
                      <w:szCs w:val="21"/>
                    </w:rPr>
                  </w:pPr>
                  <w:r>
                    <w:rPr>
                      <w:b w:val="0"/>
                      <w:bCs w:val="0"/>
                      <w:color w:val="auto"/>
                      <w:kern w:val="0"/>
                      <w:szCs w:val="21"/>
                    </w:rPr>
                    <w:t>1</w:t>
                  </w:r>
                </w:p>
              </w:tc>
              <w:tc>
                <w:tcPr>
                  <w:tcW w:w="1627" w:type="dxa"/>
                  <w:vAlign w:val="center"/>
                </w:tcPr>
                <w:p>
                  <w:pPr>
                    <w:adjustRightInd w:val="0"/>
                    <w:snapToGrid w:val="0"/>
                    <w:spacing w:line="360" w:lineRule="auto"/>
                    <w:jc w:val="center"/>
                    <w:rPr>
                      <w:b/>
                      <w:bCs/>
                      <w:color w:val="auto"/>
                      <w:kern w:val="0"/>
                      <w:szCs w:val="21"/>
                    </w:rPr>
                  </w:pPr>
                  <w:r>
                    <w:rPr>
                      <w:color w:val="auto"/>
                      <w:szCs w:val="21"/>
                    </w:rPr>
                    <w:t>毛毡料</w:t>
                  </w:r>
                  <w:r>
                    <w:rPr>
                      <w:rFonts w:hint="eastAsia"/>
                      <w:color w:val="auto"/>
                      <w:szCs w:val="21"/>
                    </w:rPr>
                    <w:t>（PET）</w:t>
                  </w:r>
                </w:p>
              </w:tc>
              <w:tc>
                <w:tcPr>
                  <w:tcW w:w="5522" w:type="dxa"/>
                  <w:vAlign w:val="center"/>
                </w:tcPr>
                <w:p>
                  <w:pPr>
                    <w:adjustRightInd w:val="0"/>
                    <w:snapToGrid w:val="0"/>
                    <w:spacing w:line="360" w:lineRule="auto"/>
                    <w:jc w:val="center"/>
                    <w:rPr>
                      <w:b/>
                      <w:bCs/>
                      <w:color w:val="auto"/>
                      <w:kern w:val="0"/>
                      <w:szCs w:val="21"/>
                    </w:rPr>
                  </w:pPr>
                  <w:r>
                    <w:rPr>
                      <w:color w:val="auto"/>
                      <w:szCs w:val="21"/>
                    </w:rPr>
                    <w:t>聚对苯二甲酸乙二醇酯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96" w:type="dxa"/>
                  <w:vAlign w:val="center"/>
                </w:tcPr>
                <w:p>
                  <w:pPr>
                    <w:adjustRightInd w:val="0"/>
                    <w:snapToGrid w:val="0"/>
                    <w:spacing w:line="360" w:lineRule="auto"/>
                    <w:jc w:val="center"/>
                    <w:rPr>
                      <w:b w:val="0"/>
                      <w:bCs w:val="0"/>
                      <w:color w:val="auto"/>
                      <w:kern w:val="0"/>
                      <w:szCs w:val="21"/>
                    </w:rPr>
                  </w:pPr>
                  <w:r>
                    <w:rPr>
                      <w:b w:val="0"/>
                      <w:bCs w:val="0"/>
                      <w:color w:val="auto"/>
                      <w:kern w:val="0"/>
                      <w:szCs w:val="21"/>
                    </w:rPr>
                    <w:t>2</w:t>
                  </w:r>
                </w:p>
              </w:tc>
              <w:tc>
                <w:tcPr>
                  <w:tcW w:w="1627" w:type="dxa"/>
                  <w:vAlign w:val="center"/>
                </w:tcPr>
                <w:p>
                  <w:pPr>
                    <w:adjustRightInd w:val="0"/>
                    <w:snapToGrid w:val="0"/>
                    <w:spacing w:line="360" w:lineRule="auto"/>
                    <w:jc w:val="center"/>
                    <w:rPr>
                      <w:color w:val="auto"/>
                      <w:szCs w:val="21"/>
                    </w:rPr>
                  </w:pPr>
                  <w:r>
                    <w:rPr>
                      <w:color w:val="auto"/>
                      <w:szCs w:val="21"/>
                    </w:rPr>
                    <w:t>组合聚醚</w:t>
                  </w:r>
                </w:p>
                <w:p>
                  <w:pPr>
                    <w:adjustRightInd w:val="0"/>
                    <w:snapToGrid w:val="0"/>
                    <w:spacing w:line="360" w:lineRule="auto"/>
                    <w:jc w:val="center"/>
                    <w:rPr>
                      <w:b/>
                      <w:bCs/>
                      <w:color w:val="auto"/>
                      <w:kern w:val="0"/>
                      <w:szCs w:val="21"/>
                    </w:rPr>
                  </w:pPr>
                  <w:r>
                    <w:rPr>
                      <w:rFonts w:hint="eastAsia"/>
                      <w:color w:val="auto"/>
                      <w:szCs w:val="21"/>
                    </w:rPr>
                    <w:t>（A料）</w:t>
                  </w:r>
                </w:p>
              </w:tc>
              <w:tc>
                <w:tcPr>
                  <w:tcW w:w="5522" w:type="dxa"/>
                  <w:vAlign w:val="center"/>
                </w:tcPr>
                <w:p>
                  <w:pPr>
                    <w:adjustRightInd w:val="0"/>
                    <w:snapToGrid w:val="0"/>
                    <w:spacing w:line="360" w:lineRule="auto"/>
                    <w:jc w:val="center"/>
                    <w:rPr>
                      <w:color w:val="auto"/>
                      <w:kern w:val="0"/>
                      <w:szCs w:val="21"/>
                    </w:rPr>
                  </w:pPr>
                  <w:r>
                    <w:rPr>
                      <w:color w:val="auto"/>
                      <w:kern w:val="0"/>
                      <w:szCs w:val="21"/>
                    </w:rPr>
                    <w:t>聚醚多元醇（85-95%）、双</w:t>
                  </w:r>
                  <w:r>
                    <w:rPr>
                      <w:rFonts w:hint="eastAsia"/>
                      <w:color w:val="auto"/>
                      <w:kern w:val="0"/>
                      <w:szCs w:val="21"/>
                    </w:rPr>
                    <w:t>（</w:t>
                  </w:r>
                  <w:r>
                    <w:rPr>
                      <w:color w:val="auto"/>
                      <w:kern w:val="0"/>
                      <w:szCs w:val="21"/>
                    </w:rPr>
                    <w:t>二甲氨基乙基</w:t>
                  </w:r>
                  <w:r>
                    <w:rPr>
                      <w:rFonts w:hint="eastAsia"/>
                      <w:color w:val="auto"/>
                      <w:kern w:val="0"/>
                      <w:szCs w:val="21"/>
                    </w:rPr>
                    <w:t>）</w:t>
                  </w:r>
                  <w:r>
                    <w:rPr>
                      <w:color w:val="auto"/>
                      <w:kern w:val="0"/>
                      <w:szCs w:val="21"/>
                    </w:rPr>
                    <w:t>醚（0.2-2%）、三亚乙基二胺（0.2-2%）、聚硅氧烷环氧丙烷环氧乙烷共聚物（0.2-2%）、扩链剂（0.2-3%）、开孔剂（0.2-5%）、发泡剂</w:t>
                  </w:r>
                  <w:r>
                    <w:rPr>
                      <w:rFonts w:hint="eastAsia"/>
                      <w:color w:val="auto"/>
                      <w:kern w:val="0"/>
                      <w:szCs w:val="21"/>
                    </w:rPr>
                    <w:t>（</w:t>
                  </w:r>
                  <w:r>
                    <w:rPr>
                      <w:color w:val="auto"/>
                      <w:kern w:val="0"/>
                      <w:szCs w:val="21"/>
                    </w:rPr>
                    <w:t>水</w:t>
                  </w:r>
                  <w:r>
                    <w:rPr>
                      <w:rFonts w:hint="eastAsia"/>
                      <w:color w:val="auto"/>
                      <w:kern w:val="0"/>
                      <w:szCs w:val="21"/>
                    </w:rPr>
                    <w:t>）</w:t>
                  </w:r>
                  <w:r>
                    <w:rPr>
                      <w:color w:val="auto"/>
                      <w:kern w:val="0"/>
                      <w:szCs w:val="21"/>
                    </w:rPr>
                    <w:t>（1-4%）、色膏（&lt;2.0%）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adjustRightInd w:val="0"/>
                    <w:snapToGrid w:val="0"/>
                    <w:spacing w:line="360" w:lineRule="auto"/>
                    <w:jc w:val="center"/>
                    <w:rPr>
                      <w:b w:val="0"/>
                      <w:bCs w:val="0"/>
                      <w:color w:val="auto"/>
                      <w:kern w:val="0"/>
                      <w:szCs w:val="21"/>
                    </w:rPr>
                  </w:pPr>
                  <w:r>
                    <w:rPr>
                      <w:b w:val="0"/>
                      <w:bCs w:val="0"/>
                      <w:color w:val="auto"/>
                      <w:kern w:val="0"/>
                      <w:szCs w:val="21"/>
                    </w:rPr>
                    <w:t>3</w:t>
                  </w:r>
                </w:p>
              </w:tc>
              <w:tc>
                <w:tcPr>
                  <w:tcW w:w="1627" w:type="dxa"/>
                  <w:vAlign w:val="center"/>
                </w:tcPr>
                <w:p>
                  <w:pPr>
                    <w:adjustRightInd w:val="0"/>
                    <w:snapToGrid w:val="0"/>
                    <w:spacing w:line="360" w:lineRule="auto"/>
                    <w:jc w:val="center"/>
                    <w:rPr>
                      <w:color w:val="auto"/>
                      <w:szCs w:val="21"/>
                    </w:rPr>
                  </w:pPr>
                  <w:r>
                    <w:rPr>
                      <w:color w:val="auto"/>
                      <w:szCs w:val="21"/>
                    </w:rPr>
                    <w:t>异氰酸酯</w:t>
                  </w:r>
                </w:p>
                <w:p>
                  <w:pPr>
                    <w:adjustRightInd w:val="0"/>
                    <w:snapToGrid w:val="0"/>
                    <w:spacing w:line="360" w:lineRule="auto"/>
                    <w:jc w:val="center"/>
                    <w:rPr>
                      <w:b/>
                      <w:bCs/>
                      <w:color w:val="auto"/>
                      <w:kern w:val="0"/>
                      <w:szCs w:val="21"/>
                    </w:rPr>
                  </w:pPr>
                  <w:r>
                    <w:rPr>
                      <w:rFonts w:hint="eastAsia"/>
                      <w:color w:val="auto"/>
                      <w:szCs w:val="21"/>
                    </w:rPr>
                    <w:t>（B料）</w:t>
                  </w:r>
                </w:p>
              </w:tc>
              <w:tc>
                <w:tcPr>
                  <w:tcW w:w="5522" w:type="dxa"/>
                  <w:vAlign w:val="center"/>
                </w:tcPr>
                <w:p>
                  <w:pPr>
                    <w:adjustRightInd w:val="0"/>
                    <w:snapToGrid w:val="0"/>
                    <w:spacing w:line="360" w:lineRule="auto"/>
                    <w:jc w:val="center"/>
                    <w:rPr>
                      <w:b/>
                      <w:bCs/>
                      <w:color w:val="auto"/>
                      <w:kern w:val="0"/>
                      <w:szCs w:val="21"/>
                    </w:rPr>
                  </w:pPr>
                  <w:r>
                    <w:rPr>
                      <w:color w:val="auto"/>
                      <w:kern w:val="0"/>
                      <w:szCs w:val="21"/>
                    </w:rPr>
                    <w:t>二苯基甲烷二异氰酸酯</w:t>
                  </w:r>
                  <w:r>
                    <w:rPr>
                      <w:rFonts w:hint="eastAsia"/>
                      <w:color w:val="auto"/>
                      <w:kern w:val="0"/>
                      <w:szCs w:val="21"/>
                    </w:rPr>
                    <w:t>（MDI）</w:t>
                  </w:r>
                  <w:r>
                    <w:rPr>
                      <w:color w:val="auto"/>
                      <w:kern w:val="0"/>
                      <w:szCs w:val="21"/>
                    </w:rPr>
                    <w:t>（20-40%）、氨基甲酸酯改性二苯基甲烷二异氰酸酯（50-70%）、多亚甲基多苯基多异氰酸酯（10-30%）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tcBorders>
                    <w:bottom w:val="single" w:color="auto" w:sz="12" w:space="0"/>
                  </w:tcBorders>
                  <w:vAlign w:val="center"/>
                </w:tcPr>
                <w:p>
                  <w:pPr>
                    <w:adjustRightInd w:val="0"/>
                    <w:snapToGrid w:val="0"/>
                    <w:spacing w:line="360" w:lineRule="auto"/>
                    <w:jc w:val="center"/>
                    <w:rPr>
                      <w:b w:val="0"/>
                      <w:bCs w:val="0"/>
                      <w:color w:val="auto"/>
                      <w:kern w:val="0"/>
                      <w:szCs w:val="21"/>
                    </w:rPr>
                  </w:pPr>
                  <w:r>
                    <w:rPr>
                      <w:b w:val="0"/>
                      <w:bCs w:val="0"/>
                      <w:color w:val="auto"/>
                      <w:kern w:val="0"/>
                      <w:szCs w:val="21"/>
                    </w:rPr>
                    <w:t>4</w:t>
                  </w:r>
                </w:p>
              </w:tc>
              <w:tc>
                <w:tcPr>
                  <w:tcW w:w="1627" w:type="dxa"/>
                  <w:tcBorders>
                    <w:bottom w:val="single" w:color="auto" w:sz="12" w:space="0"/>
                  </w:tcBorders>
                  <w:vAlign w:val="center"/>
                </w:tcPr>
                <w:p>
                  <w:pPr>
                    <w:adjustRightInd w:val="0"/>
                    <w:snapToGrid w:val="0"/>
                    <w:spacing w:line="360" w:lineRule="auto"/>
                    <w:jc w:val="center"/>
                    <w:rPr>
                      <w:color w:val="auto"/>
                      <w:szCs w:val="21"/>
                    </w:rPr>
                  </w:pPr>
                  <w:r>
                    <w:rPr>
                      <w:color w:val="auto"/>
                      <w:szCs w:val="21"/>
                    </w:rPr>
                    <w:t>脱模剂</w:t>
                  </w:r>
                </w:p>
              </w:tc>
              <w:tc>
                <w:tcPr>
                  <w:tcW w:w="5522" w:type="dxa"/>
                  <w:tcBorders>
                    <w:bottom w:val="single" w:color="auto" w:sz="12" w:space="0"/>
                  </w:tcBorders>
                  <w:vAlign w:val="center"/>
                </w:tcPr>
                <w:p>
                  <w:pPr>
                    <w:adjustRightInd w:val="0"/>
                    <w:snapToGrid w:val="0"/>
                    <w:spacing w:line="360" w:lineRule="auto"/>
                    <w:jc w:val="center"/>
                    <w:rPr>
                      <w:color w:val="auto"/>
                      <w:kern w:val="0"/>
                      <w:szCs w:val="21"/>
                    </w:rPr>
                  </w:pPr>
                  <w:r>
                    <w:rPr>
                      <w:color w:val="auto"/>
                      <w:kern w:val="0"/>
                      <w:szCs w:val="21"/>
                    </w:rPr>
                    <w:t>蜡（多种）、脱芳烃溶剂、聚氨酯催化剂（根据需要添加）</w:t>
                  </w:r>
                </w:p>
              </w:tc>
            </w:tr>
          </w:tbl>
          <w:p>
            <w:pPr>
              <w:adjustRightInd w:val="0"/>
              <w:snapToGrid w:val="0"/>
              <w:spacing w:line="360" w:lineRule="auto"/>
              <w:ind w:firstLine="480" w:firstLineChars="200"/>
              <w:rPr>
                <w:color w:val="auto"/>
                <w:kern w:val="0"/>
                <w:sz w:val="24"/>
              </w:rPr>
            </w:pPr>
            <w:r>
              <w:rPr>
                <w:color w:val="auto"/>
                <w:kern w:val="0"/>
                <w:sz w:val="24"/>
              </w:rPr>
              <w:t>原辅料成分简述：</w:t>
            </w:r>
          </w:p>
          <w:p>
            <w:pPr>
              <w:adjustRightInd w:val="0"/>
              <w:snapToGrid w:val="0"/>
              <w:spacing w:line="360" w:lineRule="auto"/>
              <w:ind w:firstLine="480" w:firstLineChars="200"/>
              <w:rPr>
                <w:color w:val="auto"/>
                <w:kern w:val="0"/>
                <w:sz w:val="24"/>
              </w:rPr>
            </w:pPr>
            <w:r>
              <w:rPr>
                <w:color w:val="auto"/>
                <w:kern w:val="0"/>
                <w:sz w:val="24"/>
              </w:rPr>
              <w:t>（1）组合聚醚：根据MSDS数据表，该物质为混合物，主要成分有：聚醚多元醇（85-95%）、双(二甲氨基乙基)醚（0.2-2%）、三亚乙基二胺（0.2-2%）、聚硅氧烷环氧丙烷环氧乙烷共聚物（0.2-2%）、扩链剂（0.2-3%）、开孔剂（0.2-5%）、发泡剂</w:t>
            </w:r>
            <w:r>
              <w:rPr>
                <w:rFonts w:hint="eastAsia"/>
                <w:color w:val="auto"/>
                <w:kern w:val="0"/>
                <w:sz w:val="24"/>
                <w:lang w:eastAsia="zh-CN"/>
              </w:rPr>
              <w:t>（</w:t>
            </w:r>
            <w:r>
              <w:rPr>
                <w:color w:val="auto"/>
                <w:kern w:val="0"/>
                <w:sz w:val="24"/>
              </w:rPr>
              <w:t>水</w:t>
            </w:r>
            <w:r>
              <w:rPr>
                <w:rFonts w:hint="eastAsia"/>
                <w:color w:val="auto"/>
                <w:kern w:val="0"/>
                <w:sz w:val="24"/>
                <w:lang w:eastAsia="zh-CN"/>
              </w:rPr>
              <w:t>）</w:t>
            </w:r>
            <w:r>
              <w:rPr>
                <w:color w:val="auto"/>
                <w:kern w:val="0"/>
                <w:sz w:val="24"/>
              </w:rPr>
              <w:t>（1-4%）、色膏（&lt;2.0%）。</w:t>
            </w:r>
          </w:p>
          <w:p>
            <w:pPr>
              <w:adjustRightInd w:val="0"/>
              <w:snapToGrid w:val="0"/>
              <w:spacing w:line="360" w:lineRule="auto"/>
              <w:ind w:firstLine="480" w:firstLineChars="200"/>
              <w:rPr>
                <w:color w:val="auto"/>
                <w:kern w:val="0"/>
                <w:sz w:val="24"/>
              </w:rPr>
            </w:pPr>
            <w:r>
              <w:rPr>
                <w:color w:val="auto"/>
                <w:kern w:val="0"/>
                <w:sz w:val="24"/>
              </w:rPr>
              <w:t>组合聚醚为黑色液体，具有轻微胺味，微溶于水</w:t>
            </w:r>
            <w:r>
              <w:rPr>
                <w:rFonts w:hint="eastAsia"/>
                <w:color w:val="auto"/>
                <w:kern w:val="0"/>
                <w:sz w:val="24"/>
              </w:rPr>
              <w:t>，</w:t>
            </w:r>
            <w:r>
              <w:rPr>
                <w:color w:val="auto"/>
                <w:kern w:val="0"/>
                <w:sz w:val="24"/>
              </w:rPr>
              <w:t>易溶于甲苯等有机溶剂，在常温常压下稳定。</w:t>
            </w:r>
          </w:p>
          <w:p>
            <w:pPr>
              <w:adjustRightInd w:val="0"/>
              <w:snapToGrid w:val="0"/>
              <w:spacing w:line="360" w:lineRule="auto"/>
              <w:ind w:firstLine="480" w:firstLineChars="200"/>
              <w:rPr>
                <w:color w:val="auto"/>
                <w:kern w:val="0"/>
                <w:sz w:val="24"/>
              </w:rPr>
            </w:pPr>
            <w:r>
              <w:rPr>
                <w:color w:val="auto"/>
                <w:kern w:val="0"/>
                <w:sz w:val="24"/>
              </w:rPr>
              <w:t>（2）异氰酸酯：根据MSDS数据表，该物质为混合物，主要成分有：二苯基甲烷二异氰酸酯（20-40%）、氨基甲酸酯改性二苯基甲烷二异氰酸酯（50-70%）、多亚甲基多苯基多异氰酸酯（10-30%）。</w:t>
            </w:r>
          </w:p>
          <w:p>
            <w:pPr>
              <w:adjustRightInd w:val="0"/>
              <w:snapToGrid w:val="0"/>
              <w:spacing w:line="360" w:lineRule="auto"/>
              <w:ind w:firstLine="480" w:firstLineChars="200"/>
              <w:rPr>
                <w:color w:val="auto"/>
                <w:kern w:val="0"/>
                <w:sz w:val="24"/>
              </w:rPr>
            </w:pPr>
            <w:r>
              <w:rPr>
                <w:color w:val="auto"/>
                <w:kern w:val="0"/>
                <w:sz w:val="24"/>
              </w:rPr>
              <w:t>异氰酸酯无色或淡黄色透明液体。具有轻微刺激性气味，不溶于水，与水反应生成 C</w:t>
            </w:r>
            <w:r>
              <w:rPr>
                <w:rFonts w:hint="eastAsia"/>
                <w:color w:val="auto"/>
                <w:kern w:val="0"/>
                <w:sz w:val="24"/>
              </w:rPr>
              <w:t>O</w:t>
            </w:r>
            <w:r>
              <w:rPr>
                <w:rFonts w:hint="eastAsia"/>
                <w:color w:val="auto"/>
                <w:kern w:val="0"/>
                <w:sz w:val="24"/>
                <w:vertAlign w:val="subscript"/>
              </w:rPr>
              <w:t>2</w:t>
            </w:r>
            <w:r>
              <w:rPr>
                <w:rFonts w:hint="eastAsia"/>
                <w:color w:val="auto"/>
                <w:kern w:val="0"/>
                <w:sz w:val="24"/>
              </w:rPr>
              <w:t>，</w:t>
            </w:r>
            <w:r>
              <w:rPr>
                <w:color w:val="auto"/>
                <w:kern w:val="0"/>
                <w:sz w:val="24"/>
              </w:rPr>
              <w:t>溶于丙酮、苯、二氧六环等。在常温常压下稳定。</w:t>
            </w:r>
            <w:r>
              <w:rPr>
                <w:rFonts w:hint="eastAsia"/>
                <w:color w:val="auto"/>
                <w:kern w:val="0"/>
                <w:sz w:val="24"/>
              </w:rPr>
              <w:t>分解温度为150-200℃，生成CO</w:t>
            </w:r>
            <w:r>
              <w:rPr>
                <w:rFonts w:hint="eastAsia"/>
                <w:color w:val="auto"/>
                <w:kern w:val="0"/>
                <w:sz w:val="24"/>
                <w:vertAlign w:val="subscript"/>
              </w:rPr>
              <w:t>2</w:t>
            </w:r>
            <w:r>
              <w:rPr>
                <w:rFonts w:hint="eastAsia"/>
                <w:color w:val="auto"/>
                <w:kern w:val="0"/>
                <w:sz w:val="24"/>
              </w:rPr>
              <w:t>、CO、N</w:t>
            </w:r>
            <w:r>
              <w:rPr>
                <w:rFonts w:hint="eastAsia"/>
                <w:color w:val="auto"/>
                <w:kern w:val="0"/>
                <w:sz w:val="24"/>
                <w:vertAlign w:val="subscript"/>
              </w:rPr>
              <w:t>2</w:t>
            </w:r>
            <w:r>
              <w:rPr>
                <w:rFonts w:hint="eastAsia"/>
                <w:color w:val="auto"/>
                <w:kern w:val="0"/>
                <w:sz w:val="24"/>
              </w:rPr>
              <w:t>等气体。</w:t>
            </w:r>
          </w:p>
          <w:p>
            <w:pPr>
              <w:adjustRightInd w:val="0"/>
              <w:snapToGrid w:val="0"/>
              <w:spacing w:line="360" w:lineRule="auto"/>
              <w:ind w:firstLine="480" w:firstLineChars="200"/>
              <w:rPr>
                <w:color w:val="auto"/>
                <w:kern w:val="0"/>
                <w:sz w:val="24"/>
              </w:rPr>
            </w:pPr>
            <w:r>
              <w:rPr>
                <w:color w:val="auto"/>
                <w:kern w:val="0"/>
                <w:sz w:val="24"/>
              </w:rPr>
              <w:t>危险性类别：皮肤腐蚀/刺激</w:t>
            </w:r>
            <w:r>
              <w:rPr>
                <w:rFonts w:hint="eastAsia"/>
                <w:color w:val="auto"/>
                <w:kern w:val="0"/>
                <w:sz w:val="24"/>
              </w:rPr>
              <w:t>，</w:t>
            </w:r>
            <w:r>
              <w:rPr>
                <w:color w:val="auto"/>
                <w:kern w:val="0"/>
                <w:sz w:val="24"/>
              </w:rPr>
              <w:t>类别 2，严重眼损伤/</w:t>
            </w:r>
            <w:r>
              <w:rPr>
                <w:rFonts w:hint="eastAsia"/>
                <w:color w:val="auto"/>
                <w:kern w:val="0"/>
                <w:sz w:val="24"/>
              </w:rPr>
              <w:t>眼</w:t>
            </w:r>
            <w:r>
              <w:rPr>
                <w:color w:val="auto"/>
                <w:kern w:val="0"/>
                <w:sz w:val="24"/>
              </w:rPr>
              <w:t>刺激</w:t>
            </w:r>
            <w:r>
              <w:rPr>
                <w:rFonts w:hint="eastAsia"/>
                <w:color w:val="auto"/>
                <w:kern w:val="0"/>
                <w:sz w:val="24"/>
              </w:rPr>
              <w:t>，</w:t>
            </w:r>
            <w:r>
              <w:rPr>
                <w:color w:val="auto"/>
                <w:kern w:val="0"/>
                <w:sz w:val="24"/>
              </w:rPr>
              <w:t xml:space="preserve">类别 </w:t>
            </w:r>
            <w:r>
              <w:rPr>
                <w:rFonts w:hint="eastAsia"/>
                <w:color w:val="auto"/>
                <w:kern w:val="0"/>
                <w:sz w:val="24"/>
              </w:rPr>
              <w:t>20</w:t>
            </w:r>
            <w:r>
              <w:rPr>
                <w:color w:val="auto"/>
                <w:kern w:val="0"/>
                <w:sz w:val="24"/>
              </w:rPr>
              <w:t xml:space="preserve"> ，皮肤致敏性</w:t>
            </w:r>
            <w:r>
              <w:rPr>
                <w:rFonts w:hint="eastAsia"/>
                <w:color w:val="auto"/>
                <w:kern w:val="0"/>
                <w:sz w:val="24"/>
              </w:rPr>
              <w:t>，</w:t>
            </w:r>
            <w:r>
              <w:rPr>
                <w:color w:val="auto"/>
                <w:kern w:val="0"/>
                <w:sz w:val="24"/>
              </w:rPr>
              <w:t>类别 1 ，靶器官毒性 (单次接触)</w:t>
            </w:r>
            <w:r>
              <w:rPr>
                <w:rFonts w:hint="eastAsia"/>
                <w:color w:val="auto"/>
                <w:kern w:val="0"/>
                <w:sz w:val="24"/>
              </w:rPr>
              <w:t>，</w:t>
            </w:r>
            <w:r>
              <w:rPr>
                <w:color w:val="auto"/>
                <w:kern w:val="0"/>
                <w:sz w:val="24"/>
              </w:rPr>
              <w:t>类别 3 ，急性毒性</w:t>
            </w:r>
            <w:r>
              <w:rPr>
                <w:rFonts w:hint="eastAsia"/>
                <w:color w:val="auto"/>
                <w:kern w:val="0"/>
                <w:sz w:val="24"/>
              </w:rPr>
              <w:t>，</w:t>
            </w:r>
            <w:r>
              <w:rPr>
                <w:color w:val="auto"/>
                <w:kern w:val="0"/>
                <w:sz w:val="24"/>
              </w:rPr>
              <w:t>口服</w:t>
            </w:r>
            <w:r>
              <w:rPr>
                <w:rFonts w:hint="eastAsia"/>
                <w:color w:val="auto"/>
                <w:kern w:val="0"/>
                <w:sz w:val="24"/>
              </w:rPr>
              <w:t>，</w:t>
            </w:r>
            <w:r>
              <w:rPr>
                <w:color w:val="auto"/>
                <w:kern w:val="0"/>
                <w:sz w:val="24"/>
              </w:rPr>
              <w:t>类别 5 ，急性毒性</w:t>
            </w:r>
            <w:r>
              <w:rPr>
                <w:rFonts w:hint="eastAsia"/>
                <w:color w:val="auto"/>
                <w:kern w:val="0"/>
                <w:sz w:val="24"/>
              </w:rPr>
              <w:t>，</w:t>
            </w:r>
            <w:r>
              <w:rPr>
                <w:color w:val="auto"/>
                <w:kern w:val="0"/>
                <w:sz w:val="24"/>
              </w:rPr>
              <w:t>吸入类别 4。</w:t>
            </w:r>
          </w:p>
          <w:p>
            <w:pPr>
              <w:pStyle w:val="17"/>
              <w:ind w:firstLine="480"/>
              <w:rPr>
                <w:rFonts w:eastAsia="宋体"/>
                <w:color w:val="auto"/>
                <w:sz w:val="24"/>
                <w:szCs w:val="22"/>
              </w:rPr>
            </w:pPr>
            <w:r>
              <w:rPr>
                <w:rFonts w:eastAsia="宋体"/>
                <w:color w:val="auto"/>
                <w:sz w:val="24"/>
                <w:szCs w:val="22"/>
              </w:rPr>
              <w:t>（3）</w:t>
            </w:r>
            <w:r>
              <w:rPr>
                <w:rFonts w:eastAsia="宋体"/>
                <w:color w:val="auto"/>
                <w:kern w:val="0"/>
                <w:sz w:val="24"/>
              </w:rPr>
              <w:t>脱模剂：</w:t>
            </w:r>
            <w:r>
              <w:rPr>
                <w:rFonts w:eastAsia="宋体"/>
                <w:color w:val="auto"/>
                <w:sz w:val="24"/>
                <w:szCs w:val="22"/>
              </w:rPr>
              <w:t>脱模剂为混合物，主要成分有：蜡（多种）、脱芳烃溶剂、聚氨酯催化剂（根据需要添加），为乳白色浑浊液体，具有及微弱溶剂气味。</w:t>
            </w:r>
          </w:p>
          <w:p>
            <w:pPr>
              <w:spacing w:line="360" w:lineRule="auto"/>
              <w:ind w:firstLine="480" w:firstLineChars="200"/>
              <w:rPr>
                <w:color w:val="auto"/>
                <w:kern w:val="0"/>
                <w:sz w:val="24"/>
              </w:rPr>
            </w:pPr>
            <w:r>
              <w:rPr>
                <w:color w:val="auto"/>
                <w:kern w:val="0"/>
                <w:sz w:val="24"/>
              </w:rPr>
              <w:t>（4）P</w:t>
            </w:r>
            <w:r>
              <w:rPr>
                <w:color w:val="auto"/>
                <w:sz w:val="24"/>
                <w:szCs w:val="22"/>
              </w:rPr>
              <w:t>ET：聚对苯二甲酸乙二醇酯，俗称涤纶树脂，难溶于水，在较宽的温度范围内具有优良的物理机械性能，长期使用温度可达120℃，电绝缘性优良，甚至在高温高频下，其电性能仍较好。本项目使用的PET毛毡为固态。</w:t>
            </w:r>
            <w:r>
              <w:rPr>
                <w:rFonts w:hint="eastAsia"/>
                <w:color w:val="auto"/>
                <w:sz w:val="24"/>
                <w:szCs w:val="22"/>
              </w:rPr>
              <w:t>分解温度为400℃。</w:t>
            </w:r>
          </w:p>
          <w:p>
            <w:pPr>
              <w:adjustRightInd w:val="0"/>
              <w:snapToGrid w:val="0"/>
              <w:spacing w:line="360" w:lineRule="auto"/>
              <w:ind w:firstLine="480" w:firstLineChars="200"/>
              <w:rPr>
                <w:color w:val="auto"/>
                <w:kern w:val="0"/>
                <w:sz w:val="24"/>
              </w:rPr>
            </w:pPr>
            <w:r>
              <w:rPr>
                <w:rFonts w:hint="eastAsia"/>
                <w:color w:val="auto"/>
                <w:kern w:val="0"/>
                <w:sz w:val="24"/>
              </w:rPr>
              <w:t>本项目主要原、辅材料理化性质见下表：</w:t>
            </w:r>
          </w:p>
          <w:p>
            <w:pPr>
              <w:adjustRightInd w:val="0"/>
              <w:snapToGrid w:val="0"/>
              <w:spacing w:line="360" w:lineRule="auto"/>
              <w:jc w:val="center"/>
              <w:rPr>
                <w:b/>
                <w:bCs/>
                <w:color w:val="auto"/>
                <w:kern w:val="0"/>
                <w:szCs w:val="21"/>
                <w:lang w:bidi="ar"/>
              </w:rPr>
            </w:pPr>
            <w:r>
              <w:rPr>
                <w:b/>
                <w:bCs/>
                <w:color w:val="auto"/>
                <w:kern w:val="0"/>
                <w:szCs w:val="21"/>
                <w:lang w:bidi="ar"/>
              </w:rPr>
              <w:t>表</w:t>
            </w:r>
            <w:r>
              <w:rPr>
                <w:b/>
                <w:bCs/>
                <w:color w:val="auto"/>
                <w:szCs w:val="21"/>
              </w:rPr>
              <w:t>2-5</w:t>
            </w:r>
            <w:r>
              <w:rPr>
                <w:b/>
                <w:bCs/>
                <w:color w:val="auto"/>
                <w:kern w:val="0"/>
                <w:szCs w:val="21"/>
                <w:lang w:bidi="ar"/>
              </w:rPr>
              <w:t xml:space="preserve"> </w:t>
            </w:r>
            <w:r>
              <w:rPr>
                <w:rFonts w:hint="eastAsia"/>
                <w:b/>
                <w:bCs/>
                <w:color w:val="auto"/>
                <w:kern w:val="0"/>
                <w:szCs w:val="21"/>
                <w:lang w:bidi="ar"/>
              </w:rPr>
              <w:t>组合聚醚</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3203"/>
              <w:gridCol w:w="3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napToGrid w:val="0"/>
                    <w:jc w:val="center"/>
                    <w:rPr>
                      <w:b/>
                      <w:color w:val="auto"/>
                      <w:szCs w:val="21"/>
                    </w:rPr>
                  </w:pPr>
                  <w:bookmarkStart w:id="2" w:name="_Hlk160027061"/>
                  <w:r>
                    <w:rPr>
                      <w:rFonts w:hint="eastAsia"/>
                      <w:b/>
                      <w:color w:val="auto"/>
                      <w:szCs w:val="21"/>
                    </w:rPr>
                    <w:t>主要成分</w:t>
                  </w:r>
                </w:p>
              </w:tc>
              <w:tc>
                <w:tcPr>
                  <w:tcW w:w="6713" w:type="dxa"/>
                  <w:gridSpan w:val="2"/>
                  <w:vAlign w:val="center"/>
                </w:tcPr>
                <w:p>
                  <w:pPr>
                    <w:snapToGrid w:val="0"/>
                    <w:rPr>
                      <w:bCs/>
                      <w:color w:val="auto"/>
                      <w:szCs w:val="21"/>
                    </w:rPr>
                  </w:pPr>
                  <w:r>
                    <w:rPr>
                      <w:color w:val="auto"/>
                      <w:kern w:val="0"/>
                      <w:szCs w:val="21"/>
                    </w:rPr>
                    <w:t>聚醚多元醇（85-95%）、双</w:t>
                  </w:r>
                  <w:r>
                    <w:rPr>
                      <w:rFonts w:hint="eastAsia"/>
                      <w:color w:val="auto"/>
                      <w:kern w:val="0"/>
                      <w:szCs w:val="21"/>
                    </w:rPr>
                    <w:t>（</w:t>
                  </w:r>
                  <w:r>
                    <w:rPr>
                      <w:color w:val="auto"/>
                      <w:kern w:val="0"/>
                      <w:szCs w:val="21"/>
                    </w:rPr>
                    <w:t>二甲氨基乙基</w:t>
                  </w:r>
                  <w:r>
                    <w:rPr>
                      <w:rFonts w:hint="eastAsia"/>
                      <w:color w:val="auto"/>
                      <w:kern w:val="0"/>
                      <w:szCs w:val="21"/>
                    </w:rPr>
                    <w:t>）</w:t>
                  </w:r>
                  <w:r>
                    <w:rPr>
                      <w:color w:val="auto"/>
                      <w:kern w:val="0"/>
                      <w:szCs w:val="21"/>
                    </w:rPr>
                    <w:t>醚（0.2-2%）、三亚乙基二胺（0.2-2%）、聚硅氧烷环氧丙烷环氧乙烷共聚物（0.2-2%）、扩链剂（0.2-3%）、开孔剂（0.2-5%）、发泡剂</w:t>
                  </w:r>
                  <w:r>
                    <w:rPr>
                      <w:rFonts w:hint="eastAsia"/>
                      <w:color w:val="auto"/>
                      <w:kern w:val="0"/>
                      <w:szCs w:val="21"/>
                    </w:rPr>
                    <w:t>（</w:t>
                  </w:r>
                  <w:r>
                    <w:rPr>
                      <w:color w:val="auto"/>
                      <w:kern w:val="0"/>
                      <w:szCs w:val="21"/>
                    </w:rPr>
                    <w:t>水</w:t>
                  </w:r>
                  <w:r>
                    <w:rPr>
                      <w:rFonts w:hint="eastAsia"/>
                      <w:color w:val="auto"/>
                      <w:kern w:val="0"/>
                      <w:szCs w:val="21"/>
                    </w:rPr>
                    <w:t>）</w:t>
                  </w:r>
                  <w:r>
                    <w:rPr>
                      <w:color w:val="auto"/>
                      <w:kern w:val="0"/>
                      <w:szCs w:val="21"/>
                    </w:rPr>
                    <w:t>（1-4%）、色膏（&lt;2.0%）</w:t>
                  </w:r>
                  <w:r>
                    <w:rPr>
                      <w:rFonts w:hint="eastAsia"/>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restart"/>
                  <w:vAlign w:val="center"/>
                </w:tcPr>
                <w:p>
                  <w:pPr>
                    <w:snapToGrid w:val="0"/>
                    <w:jc w:val="center"/>
                    <w:rPr>
                      <w:b/>
                      <w:color w:val="auto"/>
                      <w:szCs w:val="21"/>
                    </w:rPr>
                  </w:pPr>
                  <w:r>
                    <w:rPr>
                      <w:rFonts w:hint="eastAsia"/>
                      <w:b/>
                      <w:color w:val="auto"/>
                      <w:szCs w:val="21"/>
                    </w:rPr>
                    <w:t>理化性质</w:t>
                  </w:r>
                </w:p>
              </w:tc>
              <w:tc>
                <w:tcPr>
                  <w:tcW w:w="6713" w:type="dxa"/>
                  <w:gridSpan w:val="2"/>
                  <w:vAlign w:val="center"/>
                </w:tcPr>
                <w:p>
                  <w:pPr>
                    <w:snapToGrid w:val="0"/>
                    <w:rPr>
                      <w:bCs/>
                      <w:color w:val="auto"/>
                      <w:szCs w:val="21"/>
                    </w:rPr>
                  </w:pPr>
                  <w:r>
                    <w:rPr>
                      <w:rFonts w:hint="eastAsia"/>
                      <w:bCs/>
                      <w:color w:val="auto"/>
                      <w:szCs w:val="21"/>
                    </w:rPr>
                    <w:t>外观与性状：均匀黑色液体。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3356" w:type="dxa"/>
                  <w:vAlign w:val="center"/>
                </w:tcPr>
                <w:p>
                  <w:pPr>
                    <w:snapToGrid w:val="0"/>
                    <w:rPr>
                      <w:bCs/>
                      <w:color w:val="auto"/>
                      <w:szCs w:val="21"/>
                    </w:rPr>
                  </w:pPr>
                  <w:r>
                    <w:rPr>
                      <w:rFonts w:hint="eastAsia"/>
                      <w:bCs/>
                      <w:color w:val="auto"/>
                      <w:szCs w:val="21"/>
                    </w:rPr>
                    <w:t>p</w:t>
                  </w:r>
                  <w:r>
                    <w:rPr>
                      <w:bCs/>
                      <w:color w:val="auto"/>
                      <w:szCs w:val="21"/>
                    </w:rPr>
                    <w:t>H</w:t>
                  </w:r>
                  <w:r>
                    <w:rPr>
                      <w:rFonts w:hint="eastAsia"/>
                      <w:bCs/>
                      <w:color w:val="auto"/>
                      <w:szCs w:val="21"/>
                    </w:rPr>
                    <w:t>值：8.0~10.0</w:t>
                  </w:r>
                </w:p>
              </w:tc>
              <w:tc>
                <w:tcPr>
                  <w:tcW w:w="3357" w:type="dxa"/>
                  <w:vAlign w:val="center"/>
                </w:tcPr>
                <w:p>
                  <w:pPr>
                    <w:snapToGrid w:val="0"/>
                    <w:rPr>
                      <w:bCs/>
                      <w:color w:val="auto"/>
                      <w:szCs w:val="21"/>
                    </w:rPr>
                  </w:pPr>
                  <w:r>
                    <w:rPr>
                      <w:rFonts w:hint="eastAsia"/>
                      <w:bCs/>
                      <w:color w:val="auto"/>
                      <w:szCs w:val="21"/>
                    </w:rPr>
                    <w:t>初沸点：&gt;</w:t>
                  </w:r>
                  <w:r>
                    <w:rPr>
                      <w:bCs/>
                      <w:color w:val="auto"/>
                      <w:szCs w:val="21"/>
                    </w:rPr>
                    <w:t>2</w:t>
                  </w:r>
                  <w:r>
                    <w:rPr>
                      <w:rFonts w:hint="eastAsia"/>
                      <w:bCs/>
                      <w:color w:val="auto"/>
                      <w:szCs w:val="21"/>
                    </w:rPr>
                    <w:t>00</w:t>
                  </w:r>
                  <w:r>
                    <w:rPr>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3356" w:type="dxa"/>
                  <w:vAlign w:val="center"/>
                </w:tcPr>
                <w:p>
                  <w:pPr>
                    <w:snapToGrid w:val="0"/>
                    <w:rPr>
                      <w:bCs/>
                      <w:color w:val="auto"/>
                      <w:szCs w:val="21"/>
                    </w:rPr>
                  </w:pPr>
                  <w:r>
                    <w:rPr>
                      <w:rFonts w:hint="eastAsia"/>
                      <w:bCs/>
                      <w:color w:val="auto"/>
                      <w:szCs w:val="21"/>
                    </w:rPr>
                    <w:t>易燃性：可燃</w:t>
                  </w:r>
                </w:p>
              </w:tc>
              <w:tc>
                <w:tcPr>
                  <w:tcW w:w="3357" w:type="dxa"/>
                  <w:vAlign w:val="center"/>
                </w:tcPr>
                <w:p>
                  <w:pPr>
                    <w:snapToGrid w:val="0"/>
                    <w:rPr>
                      <w:bCs/>
                      <w:color w:val="auto"/>
                      <w:szCs w:val="21"/>
                    </w:rPr>
                  </w:pPr>
                  <w:r>
                    <w:rPr>
                      <w:rFonts w:hint="eastAsia"/>
                      <w:bCs/>
                      <w:color w:val="auto"/>
                      <w:szCs w:val="21"/>
                    </w:rPr>
                    <w:t>溶解性：微溶于水，易溶于甲苯等有机溶剂。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napToGrid w:val="0"/>
                    <w:jc w:val="center"/>
                    <w:rPr>
                      <w:b/>
                      <w:color w:val="auto"/>
                      <w:szCs w:val="21"/>
                    </w:rPr>
                  </w:pPr>
                  <w:r>
                    <w:rPr>
                      <w:rFonts w:hint="eastAsia"/>
                      <w:b/>
                      <w:color w:val="auto"/>
                      <w:szCs w:val="21"/>
                    </w:rPr>
                    <w:t>急救毒性</w:t>
                  </w:r>
                </w:p>
              </w:tc>
              <w:tc>
                <w:tcPr>
                  <w:tcW w:w="6713" w:type="dxa"/>
                  <w:gridSpan w:val="2"/>
                  <w:vAlign w:val="center"/>
                </w:tcPr>
                <w:p>
                  <w:pPr>
                    <w:snapToGrid w:val="0"/>
                    <w:rPr>
                      <w:bCs/>
                      <w:color w:val="auto"/>
                      <w:szCs w:val="21"/>
                    </w:rPr>
                  </w:pPr>
                  <w:r>
                    <w:rPr>
                      <w:rFonts w:hint="eastAsia"/>
                      <w:bCs/>
                      <w:color w:val="auto"/>
                      <w:szCs w:val="21"/>
                    </w:rPr>
                    <w:t>皮肤：对皮肤有轻度的刺激，可能引起皮肤过敏；</w:t>
                  </w:r>
                </w:p>
                <w:p>
                  <w:pPr>
                    <w:snapToGrid w:val="0"/>
                    <w:rPr>
                      <w:bCs/>
                      <w:color w:val="auto"/>
                      <w:szCs w:val="21"/>
                    </w:rPr>
                  </w:pPr>
                  <w:r>
                    <w:rPr>
                      <w:rFonts w:hint="eastAsia"/>
                      <w:bCs/>
                      <w:color w:val="auto"/>
                      <w:szCs w:val="21"/>
                    </w:rPr>
                    <w:t>眼睛：刺激眼。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restart"/>
                  <w:vAlign w:val="center"/>
                </w:tcPr>
                <w:p>
                  <w:pPr>
                    <w:snapToGrid w:val="0"/>
                    <w:jc w:val="center"/>
                    <w:rPr>
                      <w:b/>
                      <w:color w:val="auto"/>
                      <w:szCs w:val="21"/>
                    </w:rPr>
                  </w:pPr>
                  <w:r>
                    <w:rPr>
                      <w:rFonts w:hint="eastAsia"/>
                      <w:b/>
                      <w:color w:val="auto"/>
                      <w:szCs w:val="21"/>
                    </w:rPr>
                    <w:t>急救措施</w:t>
                  </w:r>
                </w:p>
              </w:tc>
              <w:tc>
                <w:tcPr>
                  <w:tcW w:w="6713" w:type="dxa"/>
                  <w:gridSpan w:val="2"/>
                  <w:vAlign w:val="center"/>
                </w:tcPr>
                <w:p>
                  <w:pPr>
                    <w:snapToGrid w:val="0"/>
                    <w:rPr>
                      <w:bCs/>
                      <w:color w:val="auto"/>
                      <w:szCs w:val="21"/>
                    </w:rPr>
                  </w:pPr>
                  <w:r>
                    <w:rPr>
                      <w:rFonts w:hint="eastAsia"/>
                      <w:bCs/>
                      <w:color w:val="auto"/>
                      <w:szCs w:val="21"/>
                    </w:rPr>
                    <w:t>皮肤接触：脱去污染的衣着，用大量流动清水冲洗。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6713" w:type="dxa"/>
                  <w:gridSpan w:val="2"/>
                  <w:vAlign w:val="center"/>
                </w:tcPr>
                <w:p>
                  <w:pPr>
                    <w:snapToGrid w:val="0"/>
                    <w:rPr>
                      <w:bCs/>
                      <w:color w:val="auto"/>
                      <w:szCs w:val="21"/>
                    </w:rPr>
                  </w:pPr>
                  <w:r>
                    <w:rPr>
                      <w:rFonts w:hint="eastAsia"/>
                      <w:bCs/>
                      <w:color w:val="auto"/>
                      <w:szCs w:val="21"/>
                    </w:rPr>
                    <w:t>眼睛接触：立即提起眼睑，用大量流动清水或生理盐水彻底冲洗至少15分钟。就医。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6713" w:type="dxa"/>
                  <w:gridSpan w:val="2"/>
                  <w:vAlign w:val="center"/>
                </w:tcPr>
                <w:p>
                  <w:pPr>
                    <w:snapToGrid w:val="0"/>
                    <w:rPr>
                      <w:bCs/>
                      <w:color w:val="auto"/>
                      <w:szCs w:val="21"/>
                    </w:rPr>
                  </w:pPr>
                  <w:r>
                    <w:rPr>
                      <w:rFonts w:hint="eastAsia"/>
                      <w:bCs/>
                      <w:color w:val="auto"/>
                      <w:szCs w:val="21"/>
                    </w:rPr>
                    <w:t>吸入：迅速脱离现场至空气新鲜处。保持呼吸道通畅。如呼吸困难，给输氧，就医。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6713" w:type="dxa"/>
                  <w:gridSpan w:val="2"/>
                  <w:vAlign w:val="center"/>
                </w:tcPr>
                <w:p>
                  <w:pPr>
                    <w:snapToGrid w:val="0"/>
                    <w:rPr>
                      <w:bCs/>
                      <w:color w:val="auto"/>
                      <w:szCs w:val="21"/>
                    </w:rPr>
                  </w:pPr>
                  <w:r>
                    <w:rPr>
                      <w:rFonts w:hint="eastAsia"/>
                      <w:bCs/>
                      <w:color w:val="auto"/>
                      <w:szCs w:val="21"/>
                    </w:rPr>
                    <w:t>食入：立即用清水清洗口腔，并且饮用大量的水稀释，在诱导呕吐，立即就医。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napToGrid w:val="0"/>
                    <w:jc w:val="center"/>
                    <w:rPr>
                      <w:b/>
                      <w:color w:val="auto"/>
                      <w:szCs w:val="21"/>
                    </w:rPr>
                  </w:pPr>
                  <w:r>
                    <w:rPr>
                      <w:rFonts w:hint="eastAsia"/>
                      <w:b/>
                      <w:color w:val="auto"/>
                      <w:szCs w:val="21"/>
                    </w:rPr>
                    <w:t>储存注意事项</w:t>
                  </w:r>
                </w:p>
              </w:tc>
              <w:tc>
                <w:tcPr>
                  <w:tcW w:w="6713" w:type="dxa"/>
                  <w:gridSpan w:val="2"/>
                  <w:vAlign w:val="center"/>
                </w:tcPr>
                <w:p>
                  <w:pPr>
                    <w:snapToGrid w:val="0"/>
                    <w:rPr>
                      <w:bCs/>
                      <w:color w:val="auto"/>
                      <w:szCs w:val="21"/>
                    </w:rPr>
                  </w:pPr>
                  <w:r>
                    <w:rPr>
                      <w:rFonts w:hint="eastAsia"/>
                      <w:bCs/>
                      <w:color w:val="auto"/>
                      <w:szCs w:val="21"/>
                    </w:rPr>
                    <w:t>储存于阴凉、干燥、通风良好的库房。远离火种、热源。保持容器密封。应与氧化剂、酸类等分开存放，切忌混储。配备相应品种和数量的消防器材。储区应备有泄漏应急处理材料、设备和容器。</w:t>
                  </w:r>
                </w:p>
              </w:tc>
            </w:tr>
            <w:bookmarkEnd w:id="2"/>
          </w:tbl>
          <w:p>
            <w:pPr>
              <w:adjustRightInd w:val="0"/>
              <w:snapToGrid w:val="0"/>
              <w:spacing w:line="360" w:lineRule="auto"/>
              <w:jc w:val="center"/>
              <w:rPr>
                <w:b/>
                <w:bCs/>
                <w:color w:val="auto"/>
                <w:kern w:val="0"/>
                <w:szCs w:val="21"/>
                <w:lang w:bidi="ar"/>
              </w:rPr>
            </w:pPr>
            <w:r>
              <w:rPr>
                <w:b/>
                <w:bCs/>
                <w:color w:val="auto"/>
                <w:kern w:val="0"/>
                <w:szCs w:val="21"/>
                <w:lang w:bidi="ar"/>
              </w:rPr>
              <w:t>表</w:t>
            </w:r>
            <w:r>
              <w:rPr>
                <w:b/>
                <w:bCs/>
                <w:color w:val="auto"/>
                <w:szCs w:val="21"/>
              </w:rPr>
              <w:t>2-</w:t>
            </w:r>
            <w:r>
              <w:rPr>
                <w:rFonts w:hint="eastAsia"/>
                <w:b/>
                <w:bCs/>
                <w:color w:val="auto"/>
                <w:szCs w:val="21"/>
              </w:rPr>
              <w:t>6</w:t>
            </w:r>
            <w:r>
              <w:rPr>
                <w:b/>
                <w:bCs/>
                <w:color w:val="auto"/>
                <w:kern w:val="0"/>
                <w:szCs w:val="21"/>
                <w:lang w:bidi="ar"/>
              </w:rPr>
              <w:t xml:space="preserve"> 异氰酸酯</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3203"/>
              <w:gridCol w:w="3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napToGrid w:val="0"/>
                    <w:jc w:val="center"/>
                    <w:rPr>
                      <w:b/>
                      <w:color w:val="auto"/>
                      <w:szCs w:val="21"/>
                    </w:rPr>
                  </w:pPr>
                  <w:r>
                    <w:rPr>
                      <w:rFonts w:hint="eastAsia"/>
                      <w:b/>
                      <w:color w:val="auto"/>
                      <w:szCs w:val="21"/>
                    </w:rPr>
                    <w:t>主要成分</w:t>
                  </w:r>
                </w:p>
              </w:tc>
              <w:tc>
                <w:tcPr>
                  <w:tcW w:w="6713" w:type="dxa"/>
                  <w:gridSpan w:val="2"/>
                  <w:vAlign w:val="center"/>
                </w:tcPr>
                <w:p>
                  <w:pPr>
                    <w:snapToGrid w:val="0"/>
                    <w:rPr>
                      <w:bCs/>
                      <w:color w:val="auto"/>
                      <w:szCs w:val="21"/>
                    </w:rPr>
                  </w:pPr>
                  <w:r>
                    <w:rPr>
                      <w:color w:val="auto"/>
                      <w:kern w:val="0"/>
                      <w:szCs w:val="21"/>
                    </w:rPr>
                    <w:t>二苯基甲烷二异氰酸酯</w:t>
                  </w:r>
                  <w:r>
                    <w:rPr>
                      <w:rFonts w:hint="eastAsia"/>
                      <w:color w:val="auto"/>
                      <w:kern w:val="0"/>
                      <w:szCs w:val="21"/>
                    </w:rPr>
                    <w:t>（MDI）</w:t>
                  </w:r>
                  <w:r>
                    <w:rPr>
                      <w:color w:val="auto"/>
                      <w:kern w:val="0"/>
                      <w:szCs w:val="21"/>
                    </w:rPr>
                    <w:t>（20-40%）、氨基甲酸酯改性二苯基甲烷二异氰酸酯（50-70%）、多亚甲基多苯基多异氰酸酯（10-30%）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restart"/>
                  <w:vAlign w:val="center"/>
                </w:tcPr>
                <w:p>
                  <w:pPr>
                    <w:snapToGrid w:val="0"/>
                    <w:jc w:val="center"/>
                    <w:rPr>
                      <w:b/>
                      <w:color w:val="auto"/>
                      <w:szCs w:val="21"/>
                    </w:rPr>
                  </w:pPr>
                  <w:r>
                    <w:rPr>
                      <w:rFonts w:hint="eastAsia"/>
                      <w:b/>
                      <w:color w:val="auto"/>
                      <w:szCs w:val="21"/>
                    </w:rPr>
                    <w:t>理化性质</w:t>
                  </w:r>
                </w:p>
              </w:tc>
              <w:tc>
                <w:tcPr>
                  <w:tcW w:w="6713" w:type="dxa"/>
                  <w:gridSpan w:val="2"/>
                  <w:vAlign w:val="center"/>
                </w:tcPr>
                <w:p>
                  <w:pPr>
                    <w:snapToGrid w:val="0"/>
                    <w:rPr>
                      <w:bCs/>
                      <w:color w:val="auto"/>
                      <w:szCs w:val="21"/>
                    </w:rPr>
                  </w:pPr>
                  <w:r>
                    <w:rPr>
                      <w:rFonts w:hint="eastAsia"/>
                      <w:bCs/>
                      <w:color w:val="auto"/>
                      <w:szCs w:val="21"/>
                    </w:rPr>
                    <w:t>外观与性状：无色或淡黄色透明液体。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3356" w:type="dxa"/>
                  <w:vAlign w:val="center"/>
                </w:tcPr>
                <w:p>
                  <w:pPr>
                    <w:snapToGrid w:val="0"/>
                    <w:rPr>
                      <w:bCs/>
                      <w:color w:val="auto"/>
                      <w:szCs w:val="21"/>
                    </w:rPr>
                  </w:pPr>
                  <w:r>
                    <w:rPr>
                      <w:rFonts w:hint="eastAsia"/>
                      <w:bCs/>
                      <w:color w:val="auto"/>
                      <w:szCs w:val="21"/>
                    </w:rPr>
                    <w:t>闪点：&gt;192</w:t>
                  </w:r>
                </w:p>
              </w:tc>
              <w:tc>
                <w:tcPr>
                  <w:tcW w:w="3357" w:type="dxa"/>
                  <w:vAlign w:val="center"/>
                </w:tcPr>
                <w:p>
                  <w:pPr>
                    <w:snapToGrid w:val="0"/>
                    <w:rPr>
                      <w:bCs/>
                      <w:color w:val="auto"/>
                      <w:szCs w:val="21"/>
                    </w:rPr>
                  </w:pPr>
                  <w:r>
                    <w:rPr>
                      <w:rFonts w:hint="eastAsia"/>
                      <w:bCs/>
                      <w:color w:val="auto"/>
                      <w:szCs w:val="21"/>
                    </w:rPr>
                    <w:t>初沸点：300</w:t>
                  </w:r>
                  <w:r>
                    <w:rPr>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3356" w:type="dxa"/>
                  <w:vAlign w:val="center"/>
                </w:tcPr>
                <w:p>
                  <w:pPr>
                    <w:snapToGrid w:val="0"/>
                    <w:rPr>
                      <w:bCs/>
                      <w:color w:val="auto"/>
                      <w:szCs w:val="21"/>
                    </w:rPr>
                  </w:pPr>
                  <w:r>
                    <w:rPr>
                      <w:rFonts w:hint="eastAsia"/>
                      <w:bCs/>
                      <w:color w:val="auto"/>
                      <w:szCs w:val="21"/>
                    </w:rPr>
                    <w:t>稳定性：在常温常压下稳定。</w:t>
                  </w:r>
                </w:p>
              </w:tc>
              <w:tc>
                <w:tcPr>
                  <w:tcW w:w="3357" w:type="dxa"/>
                  <w:vAlign w:val="center"/>
                </w:tcPr>
                <w:p>
                  <w:pPr>
                    <w:snapToGrid w:val="0"/>
                    <w:rPr>
                      <w:bCs/>
                      <w:color w:val="auto"/>
                      <w:szCs w:val="21"/>
                    </w:rPr>
                  </w:pPr>
                  <w:r>
                    <w:rPr>
                      <w:rFonts w:hint="eastAsia"/>
                      <w:bCs/>
                      <w:color w:val="auto"/>
                      <w:szCs w:val="21"/>
                    </w:rPr>
                    <w:t>溶解性：不溶于水，与水反应生成CO</w:t>
                  </w:r>
                  <w:r>
                    <w:rPr>
                      <w:rFonts w:hint="eastAsia"/>
                      <w:bCs/>
                      <w:color w:val="auto"/>
                      <w:szCs w:val="21"/>
                      <w:vertAlign w:val="subscript"/>
                    </w:rPr>
                    <w:t>2</w:t>
                  </w:r>
                  <w:r>
                    <w:rPr>
                      <w:rFonts w:hint="eastAsia"/>
                      <w:bCs/>
                      <w:color w:val="auto"/>
                      <w:szCs w:val="21"/>
                    </w:rPr>
                    <w:t xml:space="preserve">，溶于丙酮、苯、二氧六环等。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napToGrid w:val="0"/>
                    <w:jc w:val="center"/>
                    <w:rPr>
                      <w:b/>
                      <w:color w:val="auto"/>
                      <w:szCs w:val="21"/>
                    </w:rPr>
                  </w:pPr>
                  <w:r>
                    <w:rPr>
                      <w:rFonts w:hint="eastAsia"/>
                      <w:b/>
                      <w:color w:val="auto"/>
                      <w:szCs w:val="21"/>
                    </w:rPr>
                    <w:t>急救毒性</w:t>
                  </w:r>
                </w:p>
              </w:tc>
              <w:tc>
                <w:tcPr>
                  <w:tcW w:w="6713" w:type="dxa"/>
                  <w:gridSpan w:val="2"/>
                  <w:vAlign w:val="center"/>
                </w:tcPr>
                <w:p>
                  <w:pPr>
                    <w:snapToGrid w:val="0"/>
                    <w:rPr>
                      <w:bCs/>
                      <w:color w:val="auto"/>
                      <w:szCs w:val="21"/>
                    </w:rPr>
                  </w:pPr>
                  <w:r>
                    <w:rPr>
                      <w:rFonts w:hint="eastAsia"/>
                      <w:bCs/>
                      <w:color w:val="auto"/>
                      <w:szCs w:val="21"/>
                    </w:rPr>
                    <w:t>皮肤：对皮肤有刺激；</w:t>
                  </w:r>
                </w:p>
                <w:p>
                  <w:pPr>
                    <w:snapToGrid w:val="0"/>
                    <w:rPr>
                      <w:bCs/>
                      <w:color w:val="auto"/>
                      <w:szCs w:val="21"/>
                    </w:rPr>
                  </w:pPr>
                  <w:r>
                    <w:rPr>
                      <w:rFonts w:hint="eastAsia"/>
                      <w:bCs/>
                      <w:color w:val="auto"/>
                      <w:szCs w:val="21"/>
                    </w:rPr>
                    <w:t>呼吸：吸入可能导致过敏；</w:t>
                  </w:r>
                </w:p>
                <w:p>
                  <w:pPr>
                    <w:snapToGrid w:val="0"/>
                    <w:rPr>
                      <w:bCs/>
                      <w:color w:val="auto"/>
                      <w:szCs w:val="21"/>
                    </w:rPr>
                  </w:pPr>
                  <w:r>
                    <w:rPr>
                      <w:rFonts w:hint="eastAsia"/>
                      <w:bCs/>
                      <w:color w:val="auto"/>
                      <w:szCs w:val="21"/>
                    </w:rPr>
                    <w:t>眼睛：刺激眼。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restart"/>
                  <w:vAlign w:val="center"/>
                </w:tcPr>
                <w:p>
                  <w:pPr>
                    <w:snapToGrid w:val="0"/>
                    <w:jc w:val="center"/>
                    <w:rPr>
                      <w:b/>
                      <w:color w:val="auto"/>
                      <w:szCs w:val="21"/>
                    </w:rPr>
                  </w:pPr>
                  <w:r>
                    <w:rPr>
                      <w:rFonts w:hint="eastAsia"/>
                      <w:b/>
                      <w:color w:val="auto"/>
                      <w:szCs w:val="21"/>
                    </w:rPr>
                    <w:t>急救措施</w:t>
                  </w:r>
                </w:p>
              </w:tc>
              <w:tc>
                <w:tcPr>
                  <w:tcW w:w="6713" w:type="dxa"/>
                  <w:gridSpan w:val="2"/>
                  <w:vAlign w:val="center"/>
                </w:tcPr>
                <w:p>
                  <w:pPr>
                    <w:snapToGrid w:val="0"/>
                    <w:rPr>
                      <w:bCs/>
                      <w:color w:val="auto"/>
                      <w:szCs w:val="21"/>
                    </w:rPr>
                  </w:pPr>
                  <w:r>
                    <w:rPr>
                      <w:rFonts w:hint="eastAsia"/>
                      <w:bCs/>
                      <w:color w:val="auto"/>
                      <w:szCs w:val="21"/>
                    </w:rPr>
                    <w:t>皮肤接触：脱去污染的衣着，用大量流动清水冲洗。沾染的衣服清洗后方可重新使用。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6713" w:type="dxa"/>
                  <w:gridSpan w:val="2"/>
                  <w:vAlign w:val="center"/>
                </w:tcPr>
                <w:p>
                  <w:pPr>
                    <w:snapToGrid w:val="0"/>
                    <w:rPr>
                      <w:bCs/>
                      <w:color w:val="auto"/>
                      <w:szCs w:val="21"/>
                    </w:rPr>
                  </w:pPr>
                  <w:r>
                    <w:rPr>
                      <w:rFonts w:hint="eastAsia"/>
                      <w:bCs/>
                      <w:color w:val="auto"/>
                      <w:szCs w:val="21"/>
                    </w:rPr>
                    <w:t>眼睛接触：立即提起眼睑，用大量流动清水或生理盐水彻底冲洗至少15分钟。就医。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6713" w:type="dxa"/>
                  <w:gridSpan w:val="2"/>
                  <w:vAlign w:val="center"/>
                </w:tcPr>
                <w:p>
                  <w:pPr>
                    <w:snapToGrid w:val="0"/>
                    <w:rPr>
                      <w:bCs/>
                      <w:color w:val="auto"/>
                      <w:szCs w:val="21"/>
                    </w:rPr>
                  </w:pPr>
                  <w:r>
                    <w:rPr>
                      <w:rFonts w:hint="eastAsia"/>
                      <w:bCs/>
                      <w:color w:val="auto"/>
                      <w:szCs w:val="21"/>
                    </w:rPr>
                    <w:t>吸入：迅速脱离现场至空气新鲜处。保持呼吸道通畅。如呼吸困难，给输氧，就医。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Merge w:val="continue"/>
                  <w:vAlign w:val="center"/>
                </w:tcPr>
                <w:p>
                  <w:pPr>
                    <w:snapToGrid w:val="0"/>
                    <w:jc w:val="center"/>
                    <w:rPr>
                      <w:b/>
                      <w:color w:val="auto"/>
                      <w:szCs w:val="21"/>
                    </w:rPr>
                  </w:pPr>
                </w:p>
              </w:tc>
              <w:tc>
                <w:tcPr>
                  <w:tcW w:w="6713" w:type="dxa"/>
                  <w:gridSpan w:val="2"/>
                  <w:vAlign w:val="center"/>
                </w:tcPr>
                <w:p>
                  <w:pPr>
                    <w:snapToGrid w:val="0"/>
                    <w:rPr>
                      <w:bCs/>
                      <w:color w:val="auto"/>
                      <w:szCs w:val="21"/>
                    </w:rPr>
                  </w:pPr>
                  <w:r>
                    <w:rPr>
                      <w:rFonts w:hint="eastAsia"/>
                      <w:bCs/>
                      <w:color w:val="auto"/>
                      <w:szCs w:val="21"/>
                    </w:rPr>
                    <w:t>食入：禁止催吐，用水漱口。饮牛奶或蛋清。切勿给失去知觉者喂食。就医。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snapToGrid w:val="0"/>
                    <w:jc w:val="center"/>
                    <w:rPr>
                      <w:b/>
                      <w:color w:val="auto"/>
                      <w:szCs w:val="21"/>
                    </w:rPr>
                  </w:pPr>
                  <w:r>
                    <w:rPr>
                      <w:rFonts w:hint="eastAsia"/>
                      <w:b/>
                      <w:color w:val="auto"/>
                      <w:szCs w:val="21"/>
                    </w:rPr>
                    <w:t>储存注意事项</w:t>
                  </w:r>
                </w:p>
              </w:tc>
              <w:tc>
                <w:tcPr>
                  <w:tcW w:w="6713" w:type="dxa"/>
                  <w:gridSpan w:val="2"/>
                  <w:vAlign w:val="center"/>
                </w:tcPr>
                <w:p>
                  <w:pPr>
                    <w:snapToGrid w:val="0"/>
                    <w:rPr>
                      <w:bCs/>
                      <w:color w:val="auto"/>
                      <w:szCs w:val="21"/>
                    </w:rPr>
                  </w:pPr>
                  <w:r>
                    <w:rPr>
                      <w:rFonts w:hint="eastAsia"/>
                      <w:bCs/>
                      <w:color w:val="auto"/>
                      <w:szCs w:val="21"/>
                    </w:rPr>
                    <w:t>存放在通风良好的地方。保持容器密闭。</w:t>
                  </w:r>
                </w:p>
                <w:p>
                  <w:pPr>
                    <w:snapToGrid w:val="0"/>
                    <w:rPr>
                      <w:bCs/>
                      <w:color w:val="auto"/>
                      <w:szCs w:val="21"/>
                    </w:rPr>
                  </w:pPr>
                  <w:r>
                    <w:rPr>
                      <w:rFonts w:hint="eastAsia"/>
                      <w:bCs/>
                      <w:color w:val="auto"/>
                      <w:szCs w:val="21"/>
                    </w:rPr>
                    <w:t>存放处须加锁。</w:t>
                  </w:r>
                </w:p>
              </w:tc>
            </w:tr>
          </w:tbl>
          <w:p>
            <w:pPr>
              <w:adjustRightInd w:val="0"/>
              <w:snapToGrid w:val="0"/>
              <w:spacing w:line="360" w:lineRule="auto"/>
              <w:jc w:val="center"/>
              <w:rPr>
                <w:b/>
                <w:bCs/>
                <w:color w:val="auto"/>
                <w:kern w:val="0"/>
                <w:szCs w:val="21"/>
                <w:lang w:bidi="ar"/>
              </w:rPr>
            </w:pPr>
            <w:r>
              <w:rPr>
                <w:b/>
                <w:bCs/>
                <w:color w:val="auto"/>
                <w:kern w:val="0"/>
                <w:szCs w:val="21"/>
                <w:lang w:bidi="ar"/>
              </w:rPr>
              <w:t>表</w:t>
            </w:r>
            <w:r>
              <w:rPr>
                <w:b/>
                <w:bCs/>
                <w:color w:val="auto"/>
                <w:szCs w:val="21"/>
              </w:rPr>
              <w:t>2-</w:t>
            </w:r>
            <w:r>
              <w:rPr>
                <w:rFonts w:hint="eastAsia"/>
                <w:b/>
                <w:bCs/>
                <w:color w:val="auto"/>
                <w:szCs w:val="21"/>
              </w:rPr>
              <w:t>7</w:t>
            </w:r>
            <w:r>
              <w:rPr>
                <w:b/>
                <w:bCs/>
                <w:color w:val="auto"/>
                <w:kern w:val="0"/>
                <w:szCs w:val="21"/>
                <w:lang w:bidi="ar"/>
              </w:rPr>
              <w:t xml:space="preserve"> </w:t>
            </w:r>
            <w:r>
              <w:rPr>
                <w:rFonts w:hint="eastAsia"/>
                <w:b/>
                <w:bCs/>
                <w:color w:val="auto"/>
                <w:kern w:val="0"/>
                <w:szCs w:val="21"/>
                <w:lang w:bidi="ar"/>
              </w:rPr>
              <w:t>脱模剂</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3205"/>
              <w:gridCol w:w="32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Align w:val="center"/>
                </w:tcPr>
                <w:p>
                  <w:pPr>
                    <w:snapToGrid w:val="0"/>
                    <w:jc w:val="center"/>
                    <w:rPr>
                      <w:b/>
                      <w:color w:val="auto"/>
                      <w:szCs w:val="21"/>
                    </w:rPr>
                  </w:pPr>
                  <w:r>
                    <w:rPr>
                      <w:rFonts w:hint="eastAsia"/>
                      <w:b/>
                      <w:color w:val="auto"/>
                      <w:szCs w:val="21"/>
                    </w:rPr>
                    <w:t>主要成分</w:t>
                  </w:r>
                </w:p>
              </w:tc>
              <w:tc>
                <w:tcPr>
                  <w:tcW w:w="6411" w:type="dxa"/>
                  <w:gridSpan w:val="2"/>
                  <w:vAlign w:val="center"/>
                </w:tcPr>
                <w:p>
                  <w:pPr>
                    <w:snapToGrid w:val="0"/>
                    <w:rPr>
                      <w:bCs/>
                      <w:color w:val="auto"/>
                      <w:szCs w:val="21"/>
                    </w:rPr>
                  </w:pPr>
                  <w:r>
                    <w:rPr>
                      <w:rFonts w:hint="eastAsia"/>
                      <w:bCs/>
                      <w:color w:val="auto"/>
                      <w:szCs w:val="21"/>
                    </w:rPr>
                    <w:t>蜡（多种）、脱芳烃溶剂、聚氨酯催化剂（根据需要添加）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restart"/>
                  <w:vAlign w:val="center"/>
                </w:tcPr>
                <w:p>
                  <w:pPr>
                    <w:snapToGrid w:val="0"/>
                    <w:jc w:val="center"/>
                    <w:rPr>
                      <w:b/>
                      <w:color w:val="auto"/>
                      <w:szCs w:val="21"/>
                    </w:rPr>
                  </w:pPr>
                  <w:r>
                    <w:rPr>
                      <w:rFonts w:hint="eastAsia"/>
                      <w:b/>
                      <w:color w:val="auto"/>
                      <w:szCs w:val="21"/>
                    </w:rPr>
                    <w:t>理化性质</w:t>
                  </w:r>
                </w:p>
              </w:tc>
              <w:tc>
                <w:tcPr>
                  <w:tcW w:w="6411" w:type="dxa"/>
                  <w:gridSpan w:val="2"/>
                  <w:vAlign w:val="center"/>
                </w:tcPr>
                <w:p>
                  <w:pPr>
                    <w:snapToGrid w:val="0"/>
                    <w:rPr>
                      <w:bCs/>
                      <w:color w:val="auto"/>
                      <w:szCs w:val="21"/>
                    </w:rPr>
                  </w:pPr>
                  <w:r>
                    <w:rPr>
                      <w:rFonts w:hint="eastAsia"/>
                      <w:bCs/>
                      <w:color w:val="auto"/>
                      <w:szCs w:val="21"/>
                    </w:rPr>
                    <w:t>外观与性状：乳白色，浑浊液体。极微弱溶剂气味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continue"/>
                  <w:vAlign w:val="center"/>
                </w:tcPr>
                <w:p>
                  <w:pPr>
                    <w:snapToGrid w:val="0"/>
                    <w:jc w:val="center"/>
                    <w:rPr>
                      <w:b/>
                      <w:color w:val="auto"/>
                      <w:szCs w:val="21"/>
                    </w:rPr>
                  </w:pPr>
                </w:p>
              </w:tc>
              <w:tc>
                <w:tcPr>
                  <w:tcW w:w="3205" w:type="dxa"/>
                  <w:vAlign w:val="center"/>
                </w:tcPr>
                <w:p>
                  <w:pPr>
                    <w:snapToGrid w:val="0"/>
                    <w:rPr>
                      <w:bCs/>
                      <w:color w:val="auto"/>
                      <w:szCs w:val="21"/>
                    </w:rPr>
                  </w:pPr>
                  <w:r>
                    <w:rPr>
                      <w:rFonts w:hint="eastAsia"/>
                      <w:bCs/>
                      <w:color w:val="auto"/>
                      <w:szCs w:val="21"/>
                    </w:rPr>
                    <w:t>闪点：&gt;42</w:t>
                  </w:r>
                </w:p>
              </w:tc>
              <w:tc>
                <w:tcPr>
                  <w:tcW w:w="3206" w:type="dxa"/>
                  <w:vAlign w:val="center"/>
                </w:tcPr>
                <w:p>
                  <w:pPr>
                    <w:snapToGrid w:val="0"/>
                    <w:rPr>
                      <w:bCs/>
                      <w:color w:val="auto"/>
                      <w:szCs w:val="21"/>
                    </w:rPr>
                  </w:pPr>
                  <w:r>
                    <w:rPr>
                      <w:rFonts w:hint="eastAsia"/>
                      <w:bCs/>
                      <w:color w:val="auto"/>
                      <w:szCs w:val="21"/>
                    </w:rPr>
                    <w:t>沸点：142-190</w:t>
                  </w:r>
                  <w:r>
                    <w:rPr>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continue"/>
                  <w:vAlign w:val="center"/>
                </w:tcPr>
                <w:p>
                  <w:pPr>
                    <w:snapToGrid w:val="0"/>
                    <w:jc w:val="center"/>
                    <w:rPr>
                      <w:b/>
                      <w:color w:val="auto"/>
                      <w:szCs w:val="21"/>
                    </w:rPr>
                  </w:pPr>
                </w:p>
              </w:tc>
              <w:tc>
                <w:tcPr>
                  <w:tcW w:w="3205" w:type="dxa"/>
                  <w:vAlign w:val="center"/>
                </w:tcPr>
                <w:p>
                  <w:pPr>
                    <w:snapToGrid w:val="0"/>
                    <w:rPr>
                      <w:bCs/>
                      <w:color w:val="auto"/>
                      <w:szCs w:val="21"/>
                    </w:rPr>
                  </w:pPr>
                  <w:r>
                    <w:rPr>
                      <w:rFonts w:hint="eastAsia"/>
                      <w:bCs/>
                      <w:color w:val="auto"/>
                      <w:szCs w:val="21"/>
                    </w:rPr>
                    <w:t>适应模温：90℃以下</w:t>
                  </w:r>
                </w:p>
              </w:tc>
              <w:tc>
                <w:tcPr>
                  <w:tcW w:w="3206" w:type="dxa"/>
                  <w:vAlign w:val="center"/>
                </w:tcPr>
                <w:p>
                  <w:pPr>
                    <w:snapToGrid w:val="0"/>
                    <w:rPr>
                      <w:bCs/>
                      <w:color w:val="auto"/>
                      <w:szCs w:val="21"/>
                    </w:rPr>
                  </w:pPr>
                  <w:r>
                    <w:rPr>
                      <w:rFonts w:hint="eastAsia"/>
                      <w:bCs/>
                      <w:color w:val="auto"/>
                      <w:szCs w:val="21"/>
                    </w:rPr>
                    <w:t>稳定性：储存和处理妥当无危险分解产物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restart"/>
                  <w:vAlign w:val="center"/>
                </w:tcPr>
                <w:p>
                  <w:pPr>
                    <w:snapToGrid w:val="0"/>
                    <w:jc w:val="center"/>
                    <w:rPr>
                      <w:b/>
                      <w:color w:val="auto"/>
                      <w:szCs w:val="21"/>
                    </w:rPr>
                  </w:pPr>
                  <w:r>
                    <w:rPr>
                      <w:rFonts w:hint="eastAsia"/>
                      <w:b/>
                      <w:color w:val="auto"/>
                      <w:szCs w:val="21"/>
                    </w:rPr>
                    <w:t>急救措施</w:t>
                  </w:r>
                </w:p>
              </w:tc>
              <w:tc>
                <w:tcPr>
                  <w:tcW w:w="6411" w:type="dxa"/>
                  <w:gridSpan w:val="2"/>
                  <w:vAlign w:val="center"/>
                </w:tcPr>
                <w:p>
                  <w:pPr>
                    <w:snapToGrid w:val="0"/>
                    <w:rPr>
                      <w:bCs/>
                      <w:color w:val="auto"/>
                      <w:szCs w:val="21"/>
                    </w:rPr>
                  </w:pPr>
                  <w:r>
                    <w:rPr>
                      <w:rFonts w:hint="eastAsia"/>
                      <w:bCs/>
                      <w:color w:val="auto"/>
                      <w:szCs w:val="21"/>
                    </w:rPr>
                    <w:t>皮肤接触：用肥皂及清水彻底冲洗。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continue"/>
                  <w:vAlign w:val="center"/>
                </w:tcPr>
                <w:p>
                  <w:pPr>
                    <w:snapToGrid w:val="0"/>
                    <w:jc w:val="center"/>
                    <w:rPr>
                      <w:b/>
                      <w:color w:val="auto"/>
                      <w:szCs w:val="21"/>
                    </w:rPr>
                  </w:pPr>
                </w:p>
              </w:tc>
              <w:tc>
                <w:tcPr>
                  <w:tcW w:w="6411" w:type="dxa"/>
                  <w:gridSpan w:val="2"/>
                  <w:vAlign w:val="center"/>
                </w:tcPr>
                <w:p>
                  <w:pPr>
                    <w:snapToGrid w:val="0"/>
                    <w:rPr>
                      <w:bCs/>
                      <w:color w:val="auto"/>
                      <w:szCs w:val="21"/>
                    </w:rPr>
                  </w:pPr>
                  <w:r>
                    <w:rPr>
                      <w:rFonts w:hint="eastAsia"/>
                      <w:bCs/>
                      <w:color w:val="auto"/>
                      <w:szCs w:val="21"/>
                    </w:rPr>
                    <w:t>眼睛接触：用大量水清洗，就医。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continue"/>
                  <w:vAlign w:val="center"/>
                </w:tcPr>
                <w:p>
                  <w:pPr>
                    <w:snapToGrid w:val="0"/>
                    <w:jc w:val="center"/>
                    <w:rPr>
                      <w:b/>
                      <w:color w:val="auto"/>
                      <w:szCs w:val="21"/>
                    </w:rPr>
                  </w:pPr>
                </w:p>
              </w:tc>
              <w:tc>
                <w:tcPr>
                  <w:tcW w:w="6411" w:type="dxa"/>
                  <w:gridSpan w:val="2"/>
                  <w:vAlign w:val="center"/>
                </w:tcPr>
                <w:p>
                  <w:pPr>
                    <w:snapToGrid w:val="0"/>
                    <w:rPr>
                      <w:bCs/>
                      <w:color w:val="auto"/>
                      <w:szCs w:val="21"/>
                    </w:rPr>
                  </w:pPr>
                  <w:r>
                    <w:rPr>
                      <w:rFonts w:hint="eastAsia"/>
                      <w:bCs/>
                      <w:color w:val="auto"/>
                      <w:szCs w:val="21"/>
                    </w:rPr>
                    <w:t>吸入：确保提供足够的新鲜空气。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Merge w:val="continue"/>
                  <w:vAlign w:val="center"/>
                </w:tcPr>
                <w:p>
                  <w:pPr>
                    <w:snapToGrid w:val="0"/>
                    <w:jc w:val="center"/>
                    <w:rPr>
                      <w:b/>
                      <w:color w:val="auto"/>
                      <w:szCs w:val="21"/>
                    </w:rPr>
                  </w:pPr>
                </w:p>
              </w:tc>
              <w:tc>
                <w:tcPr>
                  <w:tcW w:w="6411" w:type="dxa"/>
                  <w:gridSpan w:val="2"/>
                  <w:vAlign w:val="center"/>
                </w:tcPr>
                <w:p>
                  <w:pPr>
                    <w:snapToGrid w:val="0"/>
                    <w:rPr>
                      <w:bCs/>
                      <w:color w:val="auto"/>
                      <w:szCs w:val="21"/>
                    </w:rPr>
                  </w:pPr>
                  <w:r>
                    <w:rPr>
                      <w:rFonts w:hint="eastAsia"/>
                      <w:bCs/>
                      <w:color w:val="auto"/>
                      <w:szCs w:val="21"/>
                    </w:rPr>
                    <w:t>食入：不要催吐，就医。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vAlign w:val="center"/>
                </w:tcPr>
                <w:p>
                  <w:pPr>
                    <w:snapToGrid w:val="0"/>
                    <w:jc w:val="center"/>
                    <w:rPr>
                      <w:b/>
                      <w:color w:val="auto"/>
                      <w:szCs w:val="21"/>
                    </w:rPr>
                  </w:pPr>
                  <w:r>
                    <w:rPr>
                      <w:rFonts w:hint="eastAsia"/>
                      <w:b/>
                      <w:color w:val="auto"/>
                      <w:szCs w:val="21"/>
                    </w:rPr>
                    <w:t>储存注意事项</w:t>
                  </w:r>
                </w:p>
              </w:tc>
              <w:tc>
                <w:tcPr>
                  <w:tcW w:w="6411" w:type="dxa"/>
                  <w:gridSpan w:val="2"/>
                  <w:vAlign w:val="center"/>
                </w:tcPr>
                <w:p>
                  <w:pPr>
                    <w:snapToGrid w:val="0"/>
                    <w:rPr>
                      <w:bCs/>
                      <w:color w:val="auto"/>
                      <w:szCs w:val="21"/>
                    </w:rPr>
                  </w:pPr>
                  <w:r>
                    <w:rPr>
                      <w:rFonts w:hint="eastAsia"/>
                      <w:bCs/>
                      <w:color w:val="auto"/>
                      <w:szCs w:val="21"/>
                    </w:rPr>
                    <w:t>禁止暴晒，置于阴凉处，保持容器密闭</w:t>
                  </w:r>
                </w:p>
              </w:tc>
            </w:tr>
          </w:tbl>
          <w:p>
            <w:pPr>
              <w:ind w:firstLine="482"/>
              <w:rPr>
                <w:color w:val="auto"/>
              </w:rPr>
            </w:pPr>
            <w:r>
              <w:rPr>
                <w:b/>
                <w:bCs/>
                <w:color w:val="auto"/>
                <w:kern w:val="0"/>
                <w:sz w:val="24"/>
              </w:rPr>
              <w:t>5、主要生产设备</w:t>
            </w:r>
          </w:p>
          <w:p>
            <w:pPr>
              <w:spacing w:line="360" w:lineRule="auto"/>
              <w:ind w:firstLine="480" w:firstLineChars="200"/>
              <w:rPr>
                <w:color w:val="auto"/>
                <w:kern w:val="0"/>
                <w:sz w:val="24"/>
              </w:rPr>
            </w:pPr>
            <w:r>
              <w:rPr>
                <w:color w:val="auto"/>
                <w:kern w:val="0"/>
                <w:sz w:val="24"/>
              </w:rPr>
              <w:t>本项目主要生产设备见表2-</w:t>
            </w:r>
            <w:r>
              <w:rPr>
                <w:rFonts w:hint="eastAsia"/>
                <w:color w:val="auto"/>
                <w:kern w:val="0"/>
                <w:sz w:val="24"/>
              </w:rPr>
              <w:t>8</w:t>
            </w:r>
            <w:r>
              <w:rPr>
                <w:color w:val="auto"/>
                <w:kern w:val="0"/>
                <w:sz w:val="24"/>
              </w:rPr>
              <w:t>。</w:t>
            </w:r>
          </w:p>
          <w:p>
            <w:pPr>
              <w:widowControl/>
              <w:ind w:firstLine="480"/>
              <w:jc w:val="center"/>
              <w:rPr>
                <w:rFonts w:eastAsiaTheme="majorEastAsia"/>
                <w:b/>
                <w:bCs/>
                <w:color w:val="auto"/>
              </w:rPr>
            </w:pPr>
            <w:r>
              <w:rPr>
                <w:rFonts w:eastAsiaTheme="majorEastAsia"/>
                <w:b/>
                <w:bCs/>
                <w:color w:val="auto"/>
                <w:kern w:val="0"/>
                <w:szCs w:val="21"/>
                <w:lang w:bidi="ar"/>
              </w:rPr>
              <w:t>表</w:t>
            </w:r>
            <w:r>
              <w:rPr>
                <w:rFonts w:eastAsiaTheme="majorEastAsia"/>
                <w:b/>
                <w:bCs/>
                <w:color w:val="auto"/>
                <w:szCs w:val="21"/>
              </w:rPr>
              <w:t>2-8</w:t>
            </w:r>
            <w:r>
              <w:rPr>
                <w:rFonts w:eastAsiaTheme="majorEastAsia"/>
                <w:b/>
                <w:bCs/>
                <w:color w:val="auto"/>
                <w:kern w:val="0"/>
                <w:szCs w:val="21"/>
                <w:lang w:bidi="ar"/>
              </w:rPr>
              <w:t xml:space="preserve"> 项目主要生产设备一览表</w:t>
            </w:r>
          </w:p>
          <w:tbl>
            <w:tblPr>
              <w:tblStyle w:val="19"/>
              <w:tblW w:w="4996" w:type="pct"/>
              <w:tblInd w:w="15" w:type="dxa"/>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463"/>
              <w:gridCol w:w="1474"/>
              <w:gridCol w:w="1612"/>
              <w:gridCol w:w="1874"/>
            </w:tblGrid>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b/>
                      <w:bCs/>
                      <w:color w:val="auto"/>
                      <w:szCs w:val="21"/>
                    </w:rPr>
                  </w:pPr>
                  <w:r>
                    <w:rPr>
                      <w:b/>
                      <w:bCs/>
                      <w:color w:val="auto"/>
                      <w:szCs w:val="21"/>
                    </w:rPr>
                    <w:t>设备名称</w:t>
                  </w:r>
                </w:p>
              </w:tc>
              <w:tc>
                <w:tcPr>
                  <w:tcW w:w="921" w:type="pct"/>
                  <w:vAlign w:val="center"/>
                </w:tcPr>
                <w:p>
                  <w:pPr>
                    <w:jc w:val="center"/>
                    <w:rPr>
                      <w:b/>
                      <w:bCs/>
                      <w:color w:val="auto"/>
                      <w:szCs w:val="21"/>
                    </w:rPr>
                  </w:pPr>
                  <w:r>
                    <w:rPr>
                      <w:b/>
                      <w:bCs/>
                      <w:color w:val="auto"/>
                      <w:szCs w:val="21"/>
                    </w:rPr>
                    <w:t>数量（台）</w:t>
                  </w:r>
                </w:p>
              </w:tc>
              <w:tc>
                <w:tcPr>
                  <w:tcW w:w="928" w:type="pct"/>
                  <w:vAlign w:val="center"/>
                </w:tcPr>
                <w:p>
                  <w:pPr>
                    <w:jc w:val="center"/>
                    <w:rPr>
                      <w:b/>
                      <w:bCs/>
                      <w:color w:val="auto"/>
                      <w:szCs w:val="21"/>
                    </w:rPr>
                  </w:pPr>
                  <w:r>
                    <w:rPr>
                      <w:b/>
                      <w:bCs/>
                      <w:color w:val="auto"/>
                      <w:szCs w:val="21"/>
                    </w:rPr>
                    <w:t>设备型号</w:t>
                  </w:r>
                </w:p>
              </w:tc>
              <w:tc>
                <w:tcPr>
                  <w:tcW w:w="1015" w:type="pct"/>
                  <w:vAlign w:val="center"/>
                </w:tcPr>
                <w:p>
                  <w:pPr>
                    <w:jc w:val="center"/>
                    <w:rPr>
                      <w:b/>
                      <w:bCs/>
                      <w:color w:val="auto"/>
                      <w:szCs w:val="21"/>
                    </w:rPr>
                  </w:pPr>
                  <w:r>
                    <w:rPr>
                      <w:b/>
                      <w:bCs/>
                      <w:color w:val="auto"/>
                      <w:szCs w:val="21"/>
                    </w:rPr>
                    <w:t>安装位置</w:t>
                  </w:r>
                </w:p>
              </w:tc>
              <w:tc>
                <w:tcPr>
                  <w:tcW w:w="1180" w:type="pct"/>
                  <w:tcBorders>
                    <w:right w:val="nil"/>
                  </w:tcBorders>
                  <w:vAlign w:val="center"/>
                </w:tcPr>
                <w:p>
                  <w:pPr>
                    <w:jc w:val="center"/>
                    <w:rPr>
                      <w:b/>
                      <w:bCs/>
                      <w:color w:val="auto"/>
                      <w:szCs w:val="21"/>
                    </w:rPr>
                  </w:pPr>
                  <w:r>
                    <w:rPr>
                      <w:b/>
                      <w:bCs/>
                      <w:color w:val="auto"/>
                      <w:szCs w:val="21"/>
                    </w:rPr>
                    <w:t>所在生产线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发泡机</w:t>
                  </w:r>
                </w:p>
              </w:tc>
              <w:tc>
                <w:tcPr>
                  <w:tcW w:w="921" w:type="pct"/>
                  <w:vAlign w:val="center"/>
                </w:tcPr>
                <w:p>
                  <w:pPr>
                    <w:jc w:val="center"/>
                    <w:rPr>
                      <w:color w:val="auto"/>
                      <w:szCs w:val="21"/>
                    </w:rPr>
                  </w:pPr>
                  <w:r>
                    <w:rPr>
                      <w:color w:val="auto"/>
                      <w:szCs w:val="21"/>
                    </w:rPr>
                    <w:t>6</w:t>
                  </w:r>
                </w:p>
              </w:tc>
              <w:tc>
                <w:tcPr>
                  <w:tcW w:w="928" w:type="pct"/>
                  <w:vAlign w:val="center"/>
                </w:tcPr>
                <w:p>
                  <w:pPr>
                    <w:jc w:val="center"/>
                    <w:rPr>
                      <w:color w:val="auto"/>
                      <w:szCs w:val="21"/>
                    </w:rPr>
                  </w:pPr>
                  <w:r>
                    <w:rPr>
                      <w:color w:val="auto"/>
                      <w:szCs w:val="21"/>
                    </w:rPr>
                    <w:t>JAD-30</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发泡线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模压机</w:t>
                  </w:r>
                </w:p>
              </w:tc>
              <w:tc>
                <w:tcPr>
                  <w:tcW w:w="921" w:type="pct"/>
                  <w:vAlign w:val="center"/>
                </w:tcPr>
                <w:p>
                  <w:pPr>
                    <w:jc w:val="center"/>
                    <w:rPr>
                      <w:color w:val="auto"/>
                      <w:szCs w:val="21"/>
                    </w:rPr>
                  </w:pPr>
                  <w:r>
                    <w:rPr>
                      <w:color w:val="auto"/>
                      <w:szCs w:val="21"/>
                    </w:rPr>
                    <w:t>9</w:t>
                  </w:r>
                </w:p>
              </w:tc>
              <w:tc>
                <w:tcPr>
                  <w:tcW w:w="928" w:type="pct"/>
                  <w:vAlign w:val="center"/>
                </w:tcPr>
                <w:p>
                  <w:pPr>
                    <w:jc w:val="center"/>
                    <w:rPr>
                      <w:color w:val="auto"/>
                      <w:szCs w:val="21"/>
                    </w:rPr>
                  </w:pPr>
                  <w:r>
                    <w:rPr>
                      <w:color w:val="auto"/>
                      <w:szCs w:val="21"/>
                    </w:rPr>
                    <w:t>350t/215t</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模压线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烘箱</w:t>
                  </w:r>
                </w:p>
              </w:tc>
              <w:tc>
                <w:tcPr>
                  <w:tcW w:w="921" w:type="pct"/>
                  <w:vAlign w:val="center"/>
                </w:tcPr>
                <w:p>
                  <w:pPr>
                    <w:jc w:val="center"/>
                    <w:rPr>
                      <w:color w:val="auto"/>
                      <w:szCs w:val="21"/>
                    </w:rPr>
                  </w:pPr>
                  <w:r>
                    <w:rPr>
                      <w:color w:val="auto"/>
                      <w:szCs w:val="21"/>
                    </w:rPr>
                    <w:t>9</w:t>
                  </w:r>
                </w:p>
              </w:tc>
              <w:tc>
                <w:tcPr>
                  <w:tcW w:w="928" w:type="pct"/>
                  <w:vAlign w:val="center"/>
                </w:tcPr>
                <w:p>
                  <w:pPr>
                    <w:jc w:val="center"/>
                    <w:rPr>
                      <w:color w:val="auto"/>
                      <w:szCs w:val="21"/>
                    </w:rPr>
                  </w:pPr>
                  <w:r>
                    <w:rPr>
                      <w:color w:val="auto"/>
                      <w:szCs w:val="21"/>
                    </w:rPr>
                    <w:t>2m*2m/2m*1m</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模压线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隧道炉</w:t>
                  </w:r>
                </w:p>
              </w:tc>
              <w:tc>
                <w:tcPr>
                  <w:tcW w:w="921" w:type="pct"/>
                  <w:vAlign w:val="center"/>
                </w:tcPr>
                <w:p>
                  <w:pPr>
                    <w:jc w:val="center"/>
                    <w:rPr>
                      <w:color w:val="auto"/>
                      <w:szCs w:val="21"/>
                    </w:rPr>
                  </w:pPr>
                  <w:r>
                    <w:rPr>
                      <w:rFonts w:hint="eastAsia"/>
                      <w:color w:val="auto"/>
                      <w:szCs w:val="21"/>
                    </w:rPr>
                    <w:t>9</w:t>
                  </w:r>
                </w:p>
              </w:tc>
              <w:tc>
                <w:tcPr>
                  <w:tcW w:w="928" w:type="pct"/>
                  <w:vAlign w:val="center"/>
                </w:tcPr>
                <w:p>
                  <w:pPr>
                    <w:jc w:val="center"/>
                    <w:rPr>
                      <w:color w:val="auto"/>
                      <w:szCs w:val="21"/>
                    </w:rPr>
                  </w:pPr>
                  <w:r>
                    <w:rPr>
                      <w:color w:val="auto"/>
                      <w:szCs w:val="21"/>
                    </w:rPr>
                    <w:t>8.5*3m</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模压线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废气处理设施</w:t>
                  </w:r>
                </w:p>
              </w:tc>
              <w:tc>
                <w:tcPr>
                  <w:tcW w:w="921" w:type="pct"/>
                  <w:vAlign w:val="center"/>
                </w:tcPr>
                <w:p>
                  <w:pPr>
                    <w:jc w:val="center"/>
                    <w:rPr>
                      <w:color w:val="auto"/>
                      <w:szCs w:val="21"/>
                    </w:rPr>
                  </w:pPr>
                  <w:r>
                    <w:rPr>
                      <w:rFonts w:hint="eastAsia"/>
                      <w:color w:val="auto"/>
                      <w:szCs w:val="21"/>
                    </w:rPr>
                    <w:t>2</w:t>
                  </w:r>
                </w:p>
              </w:tc>
              <w:tc>
                <w:tcPr>
                  <w:tcW w:w="928" w:type="pct"/>
                  <w:vAlign w:val="center"/>
                </w:tcPr>
                <w:p>
                  <w:pPr>
                    <w:jc w:val="center"/>
                    <w:rPr>
                      <w:color w:val="auto"/>
                      <w:szCs w:val="21"/>
                    </w:rPr>
                  </w:pPr>
                  <w:r>
                    <w:rPr>
                      <w:rFonts w:hint="eastAsia"/>
                      <w:color w:val="auto"/>
                      <w:szCs w:val="21"/>
                    </w:rPr>
                    <w:t>/</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发泡线</w:t>
                  </w:r>
                  <w:r>
                    <w:rPr>
                      <w:rFonts w:hint="eastAsia"/>
                      <w:color w:val="auto"/>
                      <w:szCs w:val="21"/>
                    </w:rPr>
                    <w:t>、模压线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电动叉车</w:t>
                  </w:r>
                </w:p>
              </w:tc>
              <w:tc>
                <w:tcPr>
                  <w:tcW w:w="921" w:type="pct"/>
                  <w:vAlign w:val="center"/>
                </w:tcPr>
                <w:p>
                  <w:pPr>
                    <w:jc w:val="center"/>
                    <w:rPr>
                      <w:color w:val="auto"/>
                      <w:szCs w:val="21"/>
                    </w:rPr>
                  </w:pPr>
                  <w:r>
                    <w:rPr>
                      <w:color w:val="auto"/>
                      <w:szCs w:val="21"/>
                    </w:rPr>
                    <w:t>2</w:t>
                  </w:r>
                </w:p>
              </w:tc>
              <w:tc>
                <w:tcPr>
                  <w:tcW w:w="928" w:type="pct"/>
                  <w:vAlign w:val="center"/>
                </w:tcPr>
                <w:p>
                  <w:pPr>
                    <w:jc w:val="center"/>
                    <w:rPr>
                      <w:color w:val="auto"/>
                      <w:szCs w:val="21"/>
                    </w:rPr>
                  </w:pPr>
                  <w:r>
                    <w:rPr>
                      <w:color w:val="auto"/>
                      <w:szCs w:val="21"/>
                    </w:rPr>
                    <w:t>3.5T</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仓库</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水刀</w:t>
                  </w:r>
                  <w:r>
                    <w:rPr>
                      <w:rFonts w:hint="eastAsia"/>
                      <w:color w:val="auto"/>
                      <w:szCs w:val="21"/>
                    </w:rPr>
                    <w:t>切割机</w:t>
                  </w:r>
                </w:p>
              </w:tc>
              <w:tc>
                <w:tcPr>
                  <w:tcW w:w="921" w:type="pct"/>
                  <w:vAlign w:val="center"/>
                </w:tcPr>
                <w:p>
                  <w:pPr>
                    <w:jc w:val="center"/>
                    <w:rPr>
                      <w:color w:val="auto"/>
                      <w:szCs w:val="21"/>
                    </w:rPr>
                  </w:pPr>
                  <w:r>
                    <w:rPr>
                      <w:color w:val="auto"/>
                      <w:szCs w:val="21"/>
                    </w:rPr>
                    <w:t>2</w:t>
                  </w:r>
                </w:p>
              </w:tc>
              <w:tc>
                <w:tcPr>
                  <w:tcW w:w="928" w:type="pct"/>
                  <w:vAlign w:val="center"/>
                </w:tcPr>
                <w:p>
                  <w:pPr>
                    <w:jc w:val="center"/>
                    <w:rPr>
                      <w:color w:val="auto"/>
                      <w:szCs w:val="21"/>
                    </w:rPr>
                  </w:pPr>
                  <w:r>
                    <w:rPr>
                      <w:color w:val="auto"/>
                      <w:szCs w:val="21"/>
                    </w:rPr>
                    <w:t>3.m*2m</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水刀线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rFonts w:hint="eastAsia"/>
                      <w:color w:val="auto"/>
                      <w:szCs w:val="21"/>
                      <w:lang w:val="en-US" w:eastAsia="zh-CN"/>
                    </w:rPr>
                    <w:t>组合聚醚</w:t>
                  </w:r>
                  <w:r>
                    <w:rPr>
                      <w:color w:val="auto"/>
                      <w:szCs w:val="21"/>
                    </w:rPr>
                    <w:t>储罐</w:t>
                  </w:r>
                </w:p>
              </w:tc>
              <w:tc>
                <w:tcPr>
                  <w:tcW w:w="921" w:type="pct"/>
                  <w:vAlign w:val="center"/>
                </w:tcPr>
                <w:p>
                  <w:pPr>
                    <w:jc w:val="center"/>
                    <w:rPr>
                      <w:color w:val="auto"/>
                      <w:szCs w:val="21"/>
                    </w:rPr>
                  </w:pPr>
                  <w:r>
                    <w:rPr>
                      <w:rFonts w:hint="eastAsia"/>
                      <w:color w:val="auto"/>
                      <w:szCs w:val="21"/>
                    </w:rPr>
                    <w:t>1</w:t>
                  </w:r>
                </w:p>
              </w:tc>
              <w:tc>
                <w:tcPr>
                  <w:tcW w:w="928" w:type="pct"/>
                  <w:vAlign w:val="center"/>
                </w:tcPr>
                <w:p>
                  <w:pPr>
                    <w:jc w:val="center"/>
                    <w:rPr>
                      <w:color w:val="auto"/>
                      <w:szCs w:val="21"/>
                    </w:rPr>
                  </w:pPr>
                  <w:r>
                    <w:rPr>
                      <w:color w:val="auto"/>
                      <w:szCs w:val="21"/>
                    </w:rPr>
                    <w:t>20t</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发泡线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pct"/>
                  <w:vAlign w:val="center"/>
                </w:tcPr>
                <w:p>
                  <w:pPr>
                    <w:jc w:val="center"/>
                    <w:rPr>
                      <w:color w:val="auto"/>
                      <w:szCs w:val="21"/>
                    </w:rPr>
                  </w:pPr>
                  <w:r>
                    <w:rPr>
                      <w:color w:val="auto"/>
                      <w:szCs w:val="21"/>
                    </w:rPr>
                    <w:t>搅拌罐</w:t>
                  </w:r>
                </w:p>
              </w:tc>
              <w:tc>
                <w:tcPr>
                  <w:tcW w:w="921" w:type="pct"/>
                  <w:vAlign w:val="center"/>
                </w:tcPr>
                <w:p>
                  <w:pPr>
                    <w:jc w:val="center"/>
                    <w:rPr>
                      <w:color w:val="auto"/>
                      <w:szCs w:val="21"/>
                    </w:rPr>
                  </w:pPr>
                  <w:r>
                    <w:rPr>
                      <w:color w:val="auto"/>
                      <w:szCs w:val="21"/>
                    </w:rPr>
                    <w:t>2</w:t>
                  </w:r>
                </w:p>
              </w:tc>
              <w:tc>
                <w:tcPr>
                  <w:tcW w:w="928" w:type="pct"/>
                  <w:vAlign w:val="center"/>
                </w:tcPr>
                <w:p>
                  <w:pPr>
                    <w:jc w:val="center"/>
                    <w:rPr>
                      <w:color w:val="auto"/>
                      <w:szCs w:val="21"/>
                    </w:rPr>
                  </w:pPr>
                  <w:r>
                    <w:rPr>
                      <w:color w:val="auto"/>
                      <w:szCs w:val="21"/>
                    </w:rPr>
                    <w:t>2t</w:t>
                  </w:r>
                </w:p>
              </w:tc>
              <w:tc>
                <w:tcPr>
                  <w:tcW w:w="1015" w:type="pct"/>
                  <w:vAlign w:val="center"/>
                </w:tcPr>
                <w:p>
                  <w:pPr>
                    <w:jc w:val="center"/>
                    <w:rPr>
                      <w:color w:val="auto"/>
                      <w:szCs w:val="21"/>
                    </w:rPr>
                  </w:pPr>
                  <w:r>
                    <w:rPr>
                      <w:color w:val="auto"/>
                      <w:szCs w:val="21"/>
                    </w:rPr>
                    <w:t>11#厂房</w:t>
                  </w:r>
                </w:p>
              </w:tc>
              <w:tc>
                <w:tcPr>
                  <w:tcW w:w="1180" w:type="pct"/>
                  <w:tcBorders>
                    <w:right w:val="nil"/>
                  </w:tcBorders>
                  <w:vAlign w:val="center"/>
                </w:tcPr>
                <w:p>
                  <w:pPr>
                    <w:jc w:val="center"/>
                    <w:rPr>
                      <w:color w:val="auto"/>
                      <w:szCs w:val="21"/>
                    </w:rPr>
                  </w:pPr>
                  <w:r>
                    <w:rPr>
                      <w:color w:val="auto"/>
                      <w:szCs w:val="21"/>
                    </w:rPr>
                    <w:t>发泡线</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right w:val="nil"/>
                  </w:tcBorders>
                  <w:vAlign w:val="center"/>
                </w:tcPr>
                <w:p>
                  <w:pPr>
                    <w:rPr>
                      <w:color w:val="auto"/>
                      <w:szCs w:val="21"/>
                    </w:rPr>
                  </w:pPr>
                  <w:r>
                    <w:rPr>
                      <w:color w:val="auto"/>
                      <w:szCs w:val="21"/>
                    </w:rPr>
                    <w:t>注：设备均为本次新增</w:t>
                  </w:r>
                </w:p>
              </w:tc>
            </w:tr>
          </w:tbl>
          <w:p>
            <w:pPr>
              <w:adjustRightInd w:val="0"/>
              <w:snapToGrid w:val="0"/>
              <w:spacing w:line="360" w:lineRule="auto"/>
              <w:ind w:firstLine="482"/>
              <w:rPr>
                <w:b/>
                <w:bCs/>
                <w:color w:val="auto"/>
                <w:kern w:val="0"/>
                <w:sz w:val="24"/>
              </w:rPr>
            </w:pPr>
            <w:r>
              <w:rPr>
                <w:b/>
                <w:bCs/>
                <w:color w:val="auto"/>
                <w:kern w:val="0"/>
                <w:sz w:val="24"/>
              </w:rPr>
              <w:t>6、公用工程</w:t>
            </w:r>
          </w:p>
          <w:p>
            <w:pPr>
              <w:adjustRightInd w:val="0"/>
              <w:snapToGrid w:val="0"/>
              <w:spacing w:line="360" w:lineRule="auto"/>
              <w:ind w:firstLine="480" w:firstLineChars="200"/>
              <w:rPr>
                <w:color w:val="auto"/>
                <w:kern w:val="0"/>
                <w:sz w:val="24"/>
              </w:rPr>
            </w:pPr>
            <w:r>
              <w:rPr>
                <w:color w:val="auto"/>
                <w:kern w:val="0"/>
                <w:sz w:val="24"/>
              </w:rPr>
              <w:t>（1）给排水</w:t>
            </w:r>
          </w:p>
          <w:p>
            <w:pPr>
              <w:adjustRightInd w:val="0"/>
              <w:snapToGrid w:val="0"/>
              <w:spacing w:line="360" w:lineRule="auto"/>
              <w:ind w:firstLine="480" w:firstLineChars="200"/>
              <w:rPr>
                <w:color w:val="auto"/>
                <w:kern w:val="0"/>
                <w:sz w:val="24"/>
              </w:rPr>
            </w:pPr>
            <w:r>
              <w:rPr>
                <w:rFonts w:hint="eastAsia"/>
                <w:color w:val="auto"/>
                <w:kern w:val="0"/>
                <w:sz w:val="24"/>
              </w:rPr>
              <w:t>项目年运行时间300天，厂区给水水源由集贤产业园市政供水管网供给。给水水源符合生产生活水质、水量、水压的要求，可以满足项目用水要求。可满足本项目用水的需求。项目用水主要包括办公生活用水和生产用水。</w:t>
            </w:r>
          </w:p>
          <w:p>
            <w:pPr>
              <w:adjustRightInd w:val="0"/>
              <w:snapToGrid w:val="0"/>
              <w:spacing w:line="360" w:lineRule="auto"/>
              <w:ind w:firstLine="480" w:firstLineChars="200"/>
              <w:rPr>
                <w:color w:val="auto"/>
                <w:kern w:val="0"/>
                <w:sz w:val="24"/>
              </w:rPr>
            </w:pPr>
            <w:r>
              <w:rPr>
                <w:rFonts w:hint="eastAsia"/>
                <w:color w:val="auto"/>
                <w:kern w:val="0"/>
                <w:sz w:val="24"/>
              </w:rPr>
              <w:t>1）给水</w:t>
            </w:r>
          </w:p>
          <w:p>
            <w:pPr>
              <w:adjustRightInd w:val="0"/>
              <w:snapToGrid w:val="0"/>
              <w:spacing w:line="360" w:lineRule="auto"/>
              <w:ind w:firstLine="480" w:firstLineChars="200"/>
              <w:rPr>
                <w:color w:val="auto"/>
                <w:kern w:val="0"/>
                <w:sz w:val="24"/>
              </w:rPr>
            </w:pPr>
            <w:r>
              <w:rPr>
                <w:rFonts w:hint="eastAsia"/>
                <w:color w:val="auto"/>
                <w:kern w:val="0"/>
                <w:sz w:val="24"/>
              </w:rPr>
              <w:t>生活用水：</w:t>
            </w:r>
            <w:r>
              <w:rPr>
                <w:color w:val="auto"/>
                <w:kern w:val="0"/>
                <w:sz w:val="24"/>
              </w:rPr>
              <w:t>项目新增劳动定员约</w:t>
            </w:r>
            <w:r>
              <w:rPr>
                <w:rFonts w:hint="eastAsia"/>
                <w:color w:val="auto"/>
                <w:kern w:val="0"/>
                <w:sz w:val="24"/>
              </w:rPr>
              <w:t>180</w:t>
            </w:r>
            <w:r>
              <w:rPr>
                <w:color w:val="auto"/>
                <w:kern w:val="0"/>
                <w:sz w:val="24"/>
              </w:rPr>
              <w:t>人，</w:t>
            </w:r>
            <w:r>
              <w:rPr>
                <w:rFonts w:hint="eastAsia"/>
                <w:color w:val="auto"/>
                <w:kern w:val="0"/>
                <w:sz w:val="24"/>
              </w:rPr>
              <w:t>项目年运行时间300天，</w:t>
            </w:r>
            <w:r>
              <w:rPr>
                <w:rFonts w:hint="eastAsia"/>
                <w:bCs/>
                <w:color w:val="auto"/>
                <w:sz w:val="24"/>
              </w:rPr>
              <w:t>采用两班制，每班10小时</w:t>
            </w:r>
            <w:r>
              <w:rPr>
                <w:rFonts w:hint="eastAsia"/>
                <w:color w:val="auto"/>
                <w:kern w:val="0"/>
                <w:sz w:val="24"/>
              </w:rPr>
              <w:t>，</w:t>
            </w:r>
            <w:r>
              <w:rPr>
                <w:color w:val="auto"/>
                <w:kern w:val="0"/>
                <w:sz w:val="24"/>
              </w:rPr>
              <w:t>根据《行业用水定额》（DB61/T 943-2020）中</w:t>
            </w:r>
            <w:r>
              <w:rPr>
                <w:rFonts w:hint="eastAsia"/>
                <w:color w:val="auto"/>
                <w:kern w:val="0"/>
                <w:sz w:val="24"/>
              </w:rPr>
              <w:t>“</w:t>
            </w:r>
            <w:r>
              <w:rPr>
                <w:color w:val="auto"/>
                <w:kern w:val="0"/>
                <w:sz w:val="24"/>
              </w:rPr>
              <w:t>表42 居民生活-城镇居民生活-关中-大城市</w:t>
            </w:r>
            <w:r>
              <w:rPr>
                <w:rFonts w:hint="eastAsia"/>
                <w:color w:val="auto"/>
                <w:kern w:val="0"/>
                <w:sz w:val="24"/>
              </w:rPr>
              <w:t>”</w:t>
            </w:r>
            <w:r>
              <w:rPr>
                <w:color w:val="auto"/>
                <w:kern w:val="0"/>
                <w:sz w:val="24"/>
              </w:rPr>
              <w:t>和</w:t>
            </w:r>
            <w:r>
              <w:rPr>
                <w:rFonts w:hint="eastAsia"/>
                <w:color w:val="auto"/>
                <w:kern w:val="0"/>
                <w:sz w:val="24"/>
              </w:rPr>
              <w:t>“</w:t>
            </w:r>
            <w:r>
              <w:rPr>
                <w:color w:val="auto"/>
                <w:kern w:val="0"/>
                <w:sz w:val="24"/>
              </w:rPr>
              <w:t>表48 餐饮业-正餐-非营业性食堂-关中（通用值）</w:t>
            </w:r>
            <w:r>
              <w:rPr>
                <w:rFonts w:hint="eastAsia"/>
                <w:color w:val="auto"/>
                <w:kern w:val="0"/>
                <w:sz w:val="24"/>
              </w:rPr>
              <w:t>”</w:t>
            </w:r>
            <w:r>
              <w:rPr>
                <w:color w:val="auto"/>
                <w:kern w:val="0"/>
                <w:sz w:val="24"/>
              </w:rPr>
              <w:t>，居民生活用水定额按照120L/（人·d），则项目生活用水量为</w:t>
            </w:r>
            <w:r>
              <w:rPr>
                <w:rFonts w:hint="eastAsia"/>
                <w:color w:val="auto"/>
                <w:kern w:val="0"/>
                <w:sz w:val="24"/>
              </w:rPr>
              <w:t>21.6</w:t>
            </w:r>
            <w:r>
              <w:rPr>
                <w:color w:val="auto"/>
                <w:kern w:val="0"/>
                <w:sz w:val="24"/>
              </w:rPr>
              <w:t>m</w:t>
            </w:r>
            <w:r>
              <w:rPr>
                <w:color w:val="auto"/>
                <w:kern w:val="0"/>
                <w:sz w:val="24"/>
                <w:vertAlign w:val="superscript"/>
              </w:rPr>
              <w:t>3</w:t>
            </w:r>
            <w:r>
              <w:rPr>
                <w:color w:val="auto"/>
                <w:kern w:val="0"/>
                <w:sz w:val="24"/>
              </w:rPr>
              <w:t>/d，</w:t>
            </w:r>
            <w:r>
              <w:rPr>
                <w:rFonts w:hint="eastAsia"/>
                <w:color w:val="auto"/>
                <w:kern w:val="0"/>
                <w:sz w:val="24"/>
              </w:rPr>
              <w:t>6480</w:t>
            </w:r>
            <w:r>
              <w:rPr>
                <w:color w:val="auto"/>
                <w:kern w:val="0"/>
                <w:sz w:val="24"/>
              </w:rPr>
              <w:t>m</w:t>
            </w:r>
            <w:r>
              <w:rPr>
                <w:color w:val="auto"/>
                <w:kern w:val="0"/>
                <w:sz w:val="24"/>
                <w:vertAlign w:val="superscript"/>
              </w:rPr>
              <w:t>3</w:t>
            </w:r>
            <w:r>
              <w:rPr>
                <w:color w:val="auto"/>
                <w:kern w:val="0"/>
                <w:sz w:val="24"/>
              </w:rPr>
              <w:t>/a。</w:t>
            </w:r>
          </w:p>
          <w:p>
            <w:pPr>
              <w:adjustRightInd w:val="0"/>
              <w:snapToGrid w:val="0"/>
              <w:spacing w:line="360" w:lineRule="auto"/>
              <w:ind w:firstLine="480" w:firstLineChars="200"/>
              <w:rPr>
                <w:color w:val="auto"/>
                <w:kern w:val="0"/>
                <w:sz w:val="24"/>
              </w:rPr>
            </w:pPr>
            <w:r>
              <w:rPr>
                <w:rFonts w:hint="eastAsia"/>
                <w:color w:val="auto"/>
                <w:kern w:val="0"/>
                <w:sz w:val="24"/>
              </w:rPr>
              <w:t>生产用水：项目生产用水主要为水刀切割设备所供给的自来水以及发泡机自带水箱。根据企业提供资料，水刀切割设备供给自来水每天补充水量1.110</w:t>
            </w:r>
            <w:r>
              <w:rPr>
                <w:color w:val="auto"/>
                <w:kern w:val="0"/>
                <w:sz w:val="24"/>
              </w:rPr>
              <w:t>m</w:t>
            </w:r>
            <w:r>
              <w:rPr>
                <w:color w:val="auto"/>
                <w:kern w:val="0"/>
                <w:sz w:val="24"/>
                <w:vertAlign w:val="superscript"/>
              </w:rPr>
              <w:t>3</w:t>
            </w:r>
            <w:r>
              <w:rPr>
                <w:color w:val="auto"/>
                <w:kern w:val="0"/>
                <w:sz w:val="24"/>
              </w:rPr>
              <w:t>/d</w:t>
            </w:r>
            <w:r>
              <w:rPr>
                <w:rFonts w:hint="eastAsia"/>
                <w:color w:val="auto"/>
                <w:kern w:val="0"/>
                <w:sz w:val="24"/>
              </w:rPr>
              <w:t>；</w:t>
            </w:r>
            <w:r>
              <w:rPr>
                <w:color w:val="auto"/>
                <w:kern w:val="0"/>
                <w:sz w:val="24"/>
              </w:rPr>
              <w:t>发泡机自带的料温机为了维持发泡过程中的温度，使用电对循环水进行加热，起到间接保温的作用</w:t>
            </w:r>
            <w:r>
              <w:rPr>
                <w:rFonts w:hint="eastAsia"/>
                <w:color w:val="auto"/>
                <w:kern w:val="0"/>
                <w:sz w:val="24"/>
              </w:rPr>
              <w:t>，根据企业提供资料，6台发泡机共有6个水箱，每个水箱为0.4m</w:t>
            </w:r>
            <w:r>
              <w:rPr>
                <w:rFonts w:hint="eastAsia"/>
                <w:color w:val="auto"/>
                <w:kern w:val="0"/>
                <w:sz w:val="24"/>
                <w:vertAlign w:val="superscript"/>
              </w:rPr>
              <w:t>3</w:t>
            </w:r>
            <w:r>
              <w:rPr>
                <w:rFonts w:hint="eastAsia"/>
                <w:color w:val="auto"/>
                <w:kern w:val="0"/>
                <w:sz w:val="24"/>
              </w:rPr>
              <w:t>，加热过程中水不断循环使用，仅需补充少量新鲜水，每天补充水量为0.012m</w:t>
            </w:r>
            <w:r>
              <w:rPr>
                <w:rFonts w:hint="eastAsia"/>
                <w:color w:val="auto"/>
                <w:kern w:val="0"/>
                <w:sz w:val="24"/>
                <w:vertAlign w:val="superscript"/>
              </w:rPr>
              <w:t>3</w:t>
            </w:r>
            <w:r>
              <w:rPr>
                <w:rFonts w:hint="eastAsia"/>
                <w:color w:val="auto"/>
                <w:kern w:val="0"/>
                <w:sz w:val="24"/>
              </w:rPr>
              <w:t>，年用水量为3.600m</w:t>
            </w:r>
            <w:r>
              <w:rPr>
                <w:rFonts w:hint="eastAsia"/>
                <w:color w:val="auto"/>
                <w:kern w:val="0"/>
                <w:sz w:val="24"/>
                <w:vertAlign w:val="superscript"/>
              </w:rPr>
              <w:t>3</w:t>
            </w:r>
            <w:r>
              <w:rPr>
                <w:rFonts w:hint="eastAsia"/>
                <w:color w:val="auto"/>
                <w:kern w:val="0"/>
                <w:sz w:val="24"/>
              </w:rPr>
              <w:t>，</w:t>
            </w:r>
            <w:r>
              <w:rPr>
                <w:rFonts w:hint="eastAsia"/>
                <w:bCs/>
                <w:color w:val="auto"/>
                <w:sz w:val="24"/>
              </w:rPr>
              <w:t>一季度更换一次，发泡机水箱总计年用水量13.200</w:t>
            </w:r>
            <w:r>
              <w:rPr>
                <w:rFonts w:hint="eastAsia"/>
                <w:color w:val="auto"/>
                <w:kern w:val="0"/>
                <w:sz w:val="24"/>
              </w:rPr>
              <w:t>m</w:t>
            </w:r>
            <w:r>
              <w:rPr>
                <w:rFonts w:hint="eastAsia"/>
                <w:color w:val="auto"/>
                <w:kern w:val="0"/>
                <w:sz w:val="24"/>
                <w:vertAlign w:val="superscript"/>
              </w:rPr>
              <w:t>3</w:t>
            </w:r>
            <w:r>
              <w:rPr>
                <w:rFonts w:hint="eastAsia"/>
                <w:color w:val="auto"/>
                <w:kern w:val="0"/>
                <w:sz w:val="24"/>
              </w:rPr>
              <w:t>（0.044</w:t>
            </w:r>
            <w:r>
              <w:rPr>
                <w:color w:val="auto"/>
                <w:kern w:val="0"/>
                <w:sz w:val="24"/>
              </w:rPr>
              <w:t>m</w:t>
            </w:r>
            <w:r>
              <w:rPr>
                <w:color w:val="auto"/>
                <w:kern w:val="0"/>
                <w:sz w:val="24"/>
                <w:vertAlign w:val="superscript"/>
              </w:rPr>
              <w:t>3</w:t>
            </w:r>
            <w:r>
              <w:rPr>
                <w:color w:val="auto"/>
                <w:kern w:val="0"/>
                <w:sz w:val="24"/>
              </w:rPr>
              <w:t>/d</w:t>
            </w:r>
            <w:r>
              <w:rPr>
                <w:rFonts w:hint="eastAsia"/>
                <w:color w:val="auto"/>
                <w:kern w:val="0"/>
                <w:sz w:val="24"/>
              </w:rPr>
              <w:t>）。</w:t>
            </w:r>
          </w:p>
          <w:p>
            <w:pPr>
              <w:adjustRightInd w:val="0"/>
              <w:snapToGrid w:val="0"/>
              <w:spacing w:line="360" w:lineRule="auto"/>
              <w:ind w:firstLine="480" w:firstLineChars="200"/>
              <w:rPr>
                <w:color w:val="auto"/>
                <w:kern w:val="0"/>
                <w:sz w:val="24"/>
              </w:rPr>
            </w:pPr>
            <w:r>
              <w:rPr>
                <w:color w:val="auto"/>
                <w:kern w:val="0"/>
                <w:sz w:val="24"/>
              </w:rPr>
              <w:t>2</w:t>
            </w:r>
            <w:r>
              <w:rPr>
                <w:rFonts w:hint="eastAsia"/>
                <w:color w:val="auto"/>
                <w:kern w:val="0"/>
                <w:sz w:val="24"/>
              </w:rPr>
              <w:t>）</w:t>
            </w:r>
            <w:r>
              <w:rPr>
                <w:color w:val="auto"/>
                <w:kern w:val="0"/>
                <w:sz w:val="24"/>
              </w:rPr>
              <w:t>排水</w:t>
            </w:r>
          </w:p>
          <w:p>
            <w:pPr>
              <w:adjustRightInd w:val="0"/>
              <w:snapToGrid w:val="0"/>
              <w:spacing w:line="360" w:lineRule="auto"/>
              <w:ind w:firstLine="480" w:firstLineChars="200"/>
              <w:rPr>
                <w:color w:val="auto"/>
                <w:kern w:val="0"/>
                <w:sz w:val="24"/>
              </w:rPr>
            </w:pPr>
            <w:r>
              <w:rPr>
                <w:rFonts w:hint="eastAsia"/>
                <w:color w:val="auto"/>
                <w:kern w:val="0"/>
                <w:sz w:val="24"/>
              </w:rPr>
              <w:t>本项目运营期废水主要有生活污水和生产废水，其中生产废水主要有水刀切割废水、发泡机水箱废水，项目总废水量4.164m</w:t>
            </w:r>
            <w:r>
              <w:rPr>
                <w:rFonts w:hint="eastAsia"/>
                <w:color w:val="auto"/>
                <w:kern w:val="0"/>
                <w:sz w:val="24"/>
                <w:vertAlign w:val="superscript"/>
              </w:rPr>
              <w:t>3</w:t>
            </w:r>
            <w:r>
              <w:rPr>
                <w:rFonts w:hint="eastAsia"/>
                <w:color w:val="auto"/>
                <w:kern w:val="0"/>
                <w:sz w:val="24"/>
              </w:rPr>
              <w:t>/d。</w:t>
            </w:r>
          </w:p>
          <w:p>
            <w:pPr>
              <w:adjustRightInd w:val="0"/>
              <w:snapToGrid w:val="0"/>
              <w:spacing w:line="360" w:lineRule="auto"/>
              <w:ind w:firstLine="480" w:firstLineChars="200"/>
              <w:rPr>
                <w:bCs/>
                <w:color w:val="auto"/>
                <w:sz w:val="24"/>
              </w:rPr>
            </w:pPr>
            <w:r>
              <w:rPr>
                <w:rFonts w:hint="eastAsia"/>
                <w:color w:val="auto"/>
                <w:kern w:val="0"/>
                <w:sz w:val="24"/>
              </w:rPr>
              <w:t>生活污水：生活污水产污系数按0.8计算，则生活污水排放量为17.280m</w:t>
            </w:r>
            <w:r>
              <w:rPr>
                <w:rFonts w:hint="eastAsia"/>
                <w:color w:val="auto"/>
                <w:kern w:val="0"/>
                <w:sz w:val="24"/>
                <w:vertAlign w:val="superscript"/>
              </w:rPr>
              <w:t>3</w:t>
            </w:r>
            <w:r>
              <w:rPr>
                <w:rFonts w:hint="eastAsia"/>
                <w:color w:val="auto"/>
                <w:kern w:val="0"/>
                <w:sz w:val="24"/>
              </w:rPr>
              <w:t>/d，5184m</w:t>
            </w:r>
            <w:r>
              <w:rPr>
                <w:rFonts w:hint="eastAsia"/>
                <w:color w:val="auto"/>
                <w:kern w:val="0"/>
                <w:sz w:val="24"/>
                <w:vertAlign w:val="superscript"/>
              </w:rPr>
              <w:t>3</w:t>
            </w:r>
            <w:r>
              <w:rPr>
                <w:rFonts w:hint="eastAsia"/>
                <w:color w:val="auto"/>
                <w:kern w:val="0"/>
                <w:sz w:val="24"/>
              </w:rPr>
              <w:t>/a，</w:t>
            </w:r>
            <w:r>
              <w:rPr>
                <w:rFonts w:hint="eastAsia"/>
                <w:bCs/>
                <w:color w:val="auto"/>
                <w:sz w:val="24"/>
              </w:rPr>
              <w:t>经化粪池和隔油池处理后由市政管网排至西安集贤产业园园区污水处理厂。主要污染因子为COD、BOD</w:t>
            </w:r>
            <w:r>
              <w:rPr>
                <w:rFonts w:hint="eastAsia"/>
                <w:bCs/>
                <w:color w:val="auto"/>
                <w:sz w:val="24"/>
                <w:vertAlign w:val="subscript"/>
              </w:rPr>
              <w:t>5</w:t>
            </w:r>
            <w:r>
              <w:rPr>
                <w:rFonts w:hint="eastAsia"/>
                <w:bCs/>
                <w:color w:val="auto"/>
                <w:sz w:val="24"/>
              </w:rPr>
              <w:t>、氨氮、SS</w:t>
            </w:r>
            <w:r>
              <w:rPr>
                <w:rFonts w:hint="eastAsia"/>
                <w:bCs/>
                <w:color w:val="auto"/>
                <w:sz w:val="24"/>
                <w:lang w:eastAsia="zh-CN"/>
              </w:rPr>
              <w:t>、动植物油、总磷、总氮</w:t>
            </w:r>
            <w:r>
              <w:rPr>
                <w:rFonts w:hint="eastAsia"/>
                <w:bCs/>
                <w:color w:val="auto"/>
                <w:sz w:val="24"/>
              </w:rPr>
              <w:t>等。</w:t>
            </w:r>
          </w:p>
          <w:p>
            <w:pPr>
              <w:adjustRightInd w:val="0"/>
              <w:snapToGrid w:val="0"/>
              <w:spacing w:line="360" w:lineRule="auto"/>
              <w:ind w:firstLine="480" w:firstLineChars="200"/>
              <w:rPr>
                <w:bCs/>
                <w:color w:val="auto"/>
                <w:sz w:val="24"/>
              </w:rPr>
            </w:pPr>
            <w:r>
              <w:rPr>
                <w:rFonts w:hint="eastAsia"/>
                <w:bCs/>
                <w:color w:val="auto"/>
                <w:sz w:val="24"/>
              </w:rPr>
              <w:t>生产废水：根据企业提供资料，水刀切割废水排放量为300m</w:t>
            </w:r>
            <w:r>
              <w:rPr>
                <w:rFonts w:hint="eastAsia"/>
                <w:bCs/>
                <w:color w:val="auto"/>
                <w:sz w:val="24"/>
                <w:vertAlign w:val="superscript"/>
              </w:rPr>
              <w:t>3</w:t>
            </w:r>
            <w:r>
              <w:rPr>
                <w:rFonts w:hint="eastAsia"/>
                <w:bCs/>
                <w:color w:val="auto"/>
                <w:sz w:val="24"/>
              </w:rPr>
              <w:t>/a（1</w:t>
            </w:r>
            <w:r>
              <w:rPr>
                <w:rFonts w:hint="eastAsia"/>
                <w:color w:val="auto"/>
                <w:kern w:val="0"/>
                <w:sz w:val="24"/>
              </w:rPr>
              <w:t>m</w:t>
            </w:r>
            <w:r>
              <w:rPr>
                <w:rFonts w:hint="eastAsia"/>
                <w:color w:val="auto"/>
                <w:kern w:val="0"/>
                <w:sz w:val="24"/>
                <w:vertAlign w:val="superscript"/>
              </w:rPr>
              <w:t>3</w:t>
            </w:r>
            <w:r>
              <w:rPr>
                <w:rFonts w:hint="eastAsia"/>
                <w:color w:val="auto"/>
                <w:kern w:val="0"/>
                <w:sz w:val="24"/>
              </w:rPr>
              <w:t>/d</w:t>
            </w:r>
            <w:r>
              <w:rPr>
                <w:rFonts w:hint="eastAsia"/>
                <w:bCs/>
                <w:color w:val="auto"/>
                <w:sz w:val="24"/>
              </w:rPr>
              <w:t>），主要污染因子为SS；发泡机水箱循环使用，定期更换，一季度更换一次，主要污染因子为SS，则发泡机水箱废水的排放量为9.6m</w:t>
            </w:r>
            <w:r>
              <w:rPr>
                <w:rFonts w:hint="eastAsia"/>
                <w:bCs/>
                <w:color w:val="auto"/>
                <w:sz w:val="24"/>
                <w:vertAlign w:val="superscript"/>
              </w:rPr>
              <w:t>3</w:t>
            </w:r>
            <w:r>
              <w:rPr>
                <w:rFonts w:hint="eastAsia"/>
                <w:bCs/>
                <w:color w:val="auto"/>
                <w:sz w:val="24"/>
              </w:rPr>
              <w:t>/a（0.032</w:t>
            </w:r>
            <w:r>
              <w:rPr>
                <w:rFonts w:hint="eastAsia"/>
                <w:color w:val="auto"/>
                <w:kern w:val="0"/>
                <w:sz w:val="24"/>
              </w:rPr>
              <w:t>m</w:t>
            </w:r>
            <w:r>
              <w:rPr>
                <w:rFonts w:hint="eastAsia"/>
                <w:color w:val="auto"/>
                <w:kern w:val="0"/>
                <w:sz w:val="24"/>
                <w:vertAlign w:val="superscript"/>
              </w:rPr>
              <w:t>3</w:t>
            </w:r>
            <w:r>
              <w:rPr>
                <w:rFonts w:hint="eastAsia"/>
                <w:color w:val="auto"/>
                <w:kern w:val="0"/>
                <w:sz w:val="24"/>
              </w:rPr>
              <w:t>/d</w:t>
            </w:r>
            <w:r>
              <w:rPr>
                <w:rFonts w:hint="eastAsia"/>
                <w:bCs/>
                <w:color w:val="auto"/>
                <w:sz w:val="24"/>
              </w:rPr>
              <w:t>）。生产废水经管道输送至项目厂界外南侧360m西安比亚迪汽车零部件有限公司集贤新能源汽车零部件产业园项目厂区污水处理站处理，达到《污水综合排放标准》（GB8978-1996）三级标准后排入西安市集贤产业园园区污水处理厂。</w:t>
            </w:r>
          </w:p>
          <w:p>
            <w:pPr>
              <w:adjustRightInd w:val="0"/>
              <w:snapToGrid w:val="0"/>
              <w:spacing w:line="360" w:lineRule="auto"/>
              <w:ind w:firstLine="480" w:firstLineChars="200"/>
              <w:rPr>
                <w:bCs/>
                <w:color w:val="auto"/>
                <w:sz w:val="24"/>
              </w:rPr>
            </w:pPr>
            <w:r>
              <w:rPr>
                <w:rFonts w:hint="eastAsia"/>
                <w:bCs/>
                <w:color w:val="auto"/>
                <w:sz w:val="24"/>
              </w:rPr>
              <w:t>项目用、排水情况详见表2-9。水平衡图见图2-1。</w:t>
            </w:r>
          </w:p>
          <w:p>
            <w:pPr>
              <w:adjustRightInd w:val="0"/>
              <w:snapToGrid w:val="0"/>
              <w:spacing w:line="360" w:lineRule="auto"/>
              <w:jc w:val="center"/>
              <w:rPr>
                <w:b/>
                <w:bCs/>
                <w:color w:val="auto"/>
                <w:kern w:val="0"/>
                <w:szCs w:val="21"/>
                <w:lang w:bidi="ar"/>
              </w:rPr>
            </w:pPr>
            <w:r>
              <w:rPr>
                <w:rFonts w:hint="eastAsia" w:ascii="宋体" w:hAnsi="宋体" w:cs="宋体"/>
                <w:b/>
                <w:bCs/>
                <w:color w:val="auto"/>
                <w:kern w:val="0"/>
                <w:szCs w:val="21"/>
                <w:lang w:bidi="ar"/>
              </w:rPr>
              <w:t>表</w:t>
            </w:r>
            <w:r>
              <w:rPr>
                <w:b/>
                <w:color w:val="auto"/>
                <w:szCs w:val="21"/>
              </w:rPr>
              <w:t>2-9</w:t>
            </w:r>
            <w:r>
              <w:rPr>
                <w:b/>
                <w:bCs/>
                <w:color w:val="auto"/>
                <w:kern w:val="0"/>
                <w:szCs w:val="21"/>
                <w:lang w:bidi="ar"/>
              </w:rPr>
              <w:t xml:space="preserve"> 项目用、排水情况一览表</w:t>
            </w:r>
          </w:p>
          <w:tbl>
            <w:tblPr>
              <w:tblStyle w:val="19"/>
              <w:tblW w:w="794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6"/>
              <w:gridCol w:w="1986"/>
              <w:gridCol w:w="19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pStyle w:val="7"/>
                    <w:ind w:left="0" w:leftChars="0"/>
                    <w:jc w:val="center"/>
                    <w:rPr>
                      <w:b/>
                      <w:bCs/>
                      <w:color w:val="auto"/>
                      <w:sz w:val="21"/>
                      <w:szCs w:val="21"/>
                    </w:rPr>
                  </w:pPr>
                  <w:r>
                    <w:rPr>
                      <w:b/>
                      <w:bCs/>
                      <w:color w:val="auto"/>
                      <w:sz w:val="21"/>
                      <w:szCs w:val="21"/>
                    </w:rPr>
                    <w:t>类别</w:t>
                  </w:r>
                </w:p>
              </w:tc>
              <w:tc>
                <w:tcPr>
                  <w:tcW w:w="1986" w:type="dxa"/>
                  <w:vAlign w:val="center"/>
                </w:tcPr>
                <w:p>
                  <w:pPr>
                    <w:pStyle w:val="7"/>
                    <w:ind w:left="0" w:leftChars="0"/>
                    <w:jc w:val="center"/>
                    <w:rPr>
                      <w:b/>
                      <w:bCs/>
                      <w:color w:val="auto"/>
                      <w:sz w:val="21"/>
                      <w:szCs w:val="21"/>
                    </w:rPr>
                  </w:pPr>
                  <w:r>
                    <w:rPr>
                      <w:b/>
                      <w:bCs/>
                      <w:color w:val="auto"/>
                      <w:sz w:val="21"/>
                      <w:szCs w:val="21"/>
                    </w:rPr>
                    <w:t>用水量（m</w:t>
                  </w:r>
                  <w:r>
                    <w:rPr>
                      <w:b/>
                      <w:bCs/>
                      <w:color w:val="auto"/>
                      <w:sz w:val="21"/>
                      <w:szCs w:val="21"/>
                      <w:vertAlign w:val="superscript"/>
                    </w:rPr>
                    <w:t>3</w:t>
                  </w:r>
                  <w:r>
                    <w:rPr>
                      <w:b/>
                      <w:bCs/>
                      <w:color w:val="auto"/>
                      <w:sz w:val="21"/>
                      <w:szCs w:val="21"/>
                    </w:rPr>
                    <w:t>/d）</w:t>
                  </w:r>
                </w:p>
              </w:tc>
              <w:tc>
                <w:tcPr>
                  <w:tcW w:w="1986" w:type="dxa"/>
                  <w:vAlign w:val="center"/>
                </w:tcPr>
                <w:p>
                  <w:pPr>
                    <w:pStyle w:val="7"/>
                    <w:ind w:left="0" w:leftChars="0"/>
                    <w:jc w:val="center"/>
                    <w:rPr>
                      <w:b/>
                      <w:bCs/>
                      <w:color w:val="auto"/>
                      <w:sz w:val="21"/>
                      <w:szCs w:val="21"/>
                    </w:rPr>
                  </w:pPr>
                  <w:r>
                    <w:rPr>
                      <w:b/>
                      <w:bCs/>
                      <w:color w:val="auto"/>
                      <w:sz w:val="21"/>
                      <w:szCs w:val="21"/>
                    </w:rPr>
                    <w:t>损耗量（m</w:t>
                  </w:r>
                  <w:r>
                    <w:rPr>
                      <w:b/>
                      <w:bCs/>
                      <w:color w:val="auto"/>
                      <w:sz w:val="21"/>
                      <w:szCs w:val="21"/>
                      <w:vertAlign w:val="superscript"/>
                    </w:rPr>
                    <w:t>3</w:t>
                  </w:r>
                  <w:r>
                    <w:rPr>
                      <w:b/>
                      <w:bCs/>
                      <w:color w:val="auto"/>
                      <w:sz w:val="21"/>
                      <w:szCs w:val="21"/>
                    </w:rPr>
                    <w:t>/d）</w:t>
                  </w:r>
                </w:p>
              </w:tc>
              <w:tc>
                <w:tcPr>
                  <w:tcW w:w="1987" w:type="dxa"/>
                  <w:vAlign w:val="center"/>
                </w:tcPr>
                <w:p>
                  <w:pPr>
                    <w:pStyle w:val="7"/>
                    <w:ind w:left="0" w:leftChars="0"/>
                    <w:jc w:val="center"/>
                    <w:rPr>
                      <w:b/>
                      <w:bCs/>
                      <w:color w:val="auto"/>
                      <w:sz w:val="21"/>
                      <w:szCs w:val="21"/>
                    </w:rPr>
                  </w:pPr>
                  <w:r>
                    <w:rPr>
                      <w:rFonts w:hint="eastAsia"/>
                      <w:b/>
                      <w:bCs/>
                      <w:color w:val="auto"/>
                      <w:sz w:val="21"/>
                      <w:szCs w:val="21"/>
                    </w:rPr>
                    <w:t>排水量</w:t>
                  </w:r>
                  <w:r>
                    <w:rPr>
                      <w:b/>
                      <w:bCs/>
                      <w:color w:val="auto"/>
                      <w:sz w:val="21"/>
                      <w:szCs w:val="21"/>
                    </w:rPr>
                    <w:t>（m</w:t>
                  </w:r>
                  <w:r>
                    <w:rPr>
                      <w:b/>
                      <w:bCs/>
                      <w:color w:val="auto"/>
                      <w:sz w:val="21"/>
                      <w:szCs w:val="21"/>
                      <w:vertAlign w:val="superscript"/>
                    </w:rPr>
                    <w:t>3</w:t>
                  </w:r>
                  <w:r>
                    <w:rPr>
                      <w:b/>
                      <w:bCs/>
                      <w:color w:val="auto"/>
                      <w:sz w:val="21"/>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员工生活用水</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21.600</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4.400</w:t>
                  </w:r>
                </w:p>
              </w:tc>
              <w:tc>
                <w:tcPr>
                  <w:tcW w:w="1987"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17.280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水刀切割废水</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1.110</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0.110</w:t>
                  </w:r>
                </w:p>
              </w:tc>
              <w:tc>
                <w:tcPr>
                  <w:tcW w:w="1987"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发泡机水箱循环废水</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0.044</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0.012</w:t>
                  </w:r>
                </w:p>
              </w:tc>
              <w:tc>
                <w:tcPr>
                  <w:tcW w:w="1987"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0.032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合计</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22.754</w:t>
                  </w:r>
                </w:p>
              </w:tc>
              <w:tc>
                <w:tcPr>
                  <w:tcW w:w="1986"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4.522</w:t>
                  </w:r>
                </w:p>
              </w:tc>
              <w:tc>
                <w:tcPr>
                  <w:tcW w:w="1987" w:type="dxa"/>
                  <w:vAlign w:val="center"/>
                </w:tcPr>
                <w:p>
                  <w:pPr>
                    <w:adjustRightInd w:val="0"/>
                    <w:snapToGrid w:val="0"/>
                    <w:spacing w:line="360" w:lineRule="auto"/>
                    <w:jc w:val="center"/>
                    <w:rPr>
                      <w:color w:val="auto"/>
                      <w:kern w:val="0"/>
                      <w:szCs w:val="21"/>
                      <w:lang w:bidi="ar"/>
                    </w:rPr>
                  </w:pPr>
                  <w:r>
                    <w:rPr>
                      <w:rFonts w:hint="eastAsia"/>
                      <w:color w:val="auto"/>
                      <w:kern w:val="0"/>
                      <w:szCs w:val="21"/>
                      <w:lang w:bidi="ar"/>
                    </w:rPr>
                    <w:t>18.312</w:t>
                  </w:r>
                </w:p>
              </w:tc>
            </w:tr>
          </w:tbl>
          <w:p>
            <w:pPr>
              <w:adjustRightInd w:val="0"/>
              <w:snapToGrid w:val="0"/>
              <w:spacing w:line="360" w:lineRule="auto"/>
              <w:ind w:firstLine="480" w:firstLineChars="200"/>
              <w:rPr>
                <w:bCs/>
                <w:color w:val="auto"/>
                <w:sz w:val="24"/>
              </w:rPr>
            </w:pPr>
            <w:r>
              <w:rPr>
                <w:rFonts w:hint="eastAsia"/>
                <w:bCs/>
                <w:color w:val="auto"/>
                <w:sz w:val="24"/>
              </w:rPr>
              <w:t>项目水平衡见图2-1。</w:t>
            </w:r>
          </w:p>
          <w:p>
            <w:pPr>
              <w:adjustRightInd w:val="0"/>
              <w:snapToGrid w:val="0"/>
              <w:spacing w:line="360" w:lineRule="auto"/>
              <w:ind w:firstLine="480" w:firstLineChars="200"/>
              <w:rPr>
                <w:bCs/>
                <w:color w:val="auto"/>
                <w:sz w:val="24"/>
              </w:rPr>
            </w:pPr>
          </w:p>
          <w:p>
            <w:pPr>
              <w:adjustRightInd w:val="0"/>
              <w:snapToGrid w:val="0"/>
              <w:spacing w:line="360" w:lineRule="auto"/>
              <w:ind w:firstLine="480" w:firstLineChars="200"/>
              <w:rPr>
                <w:bCs/>
                <w:color w:val="auto"/>
                <w:sz w:val="24"/>
              </w:rPr>
            </w:pPr>
          </w:p>
          <w:p>
            <w:pPr>
              <w:adjustRightInd w:val="0"/>
              <w:snapToGrid w:val="0"/>
              <w:spacing w:line="360" w:lineRule="auto"/>
              <w:ind w:firstLine="480" w:firstLineChars="200"/>
              <w:rPr>
                <w:bCs/>
                <w:color w:val="auto"/>
                <w:sz w:val="24"/>
              </w:rPr>
            </w:pPr>
          </w:p>
          <w:p>
            <w:pPr>
              <w:adjustRightInd w:val="0"/>
              <w:snapToGrid w:val="0"/>
              <w:spacing w:line="360" w:lineRule="auto"/>
              <w:rPr>
                <w:b/>
                <w:bCs/>
                <w:color w:val="auto"/>
                <w:kern w:val="0"/>
                <w:szCs w:val="21"/>
                <w:lang w:bidi="ar"/>
              </w:rPr>
            </w:pPr>
            <w:r>
              <w:rPr>
                <w:color w:val="auto"/>
              </w:rPr>
              <w:drawing>
                <wp:inline distT="0" distB="0" distL="114300" distR="114300">
                  <wp:extent cx="5044440" cy="2424430"/>
                  <wp:effectExtent l="0" t="0" r="3810" b="1397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7"/>
                          <a:stretch>
                            <a:fillRect/>
                          </a:stretch>
                        </pic:blipFill>
                        <pic:spPr>
                          <a:xfrm>
                            <a:off x="0" y="0"/>
                            <a:ext cx="5044440" cy="2424430"/>
                          </a:xfrm>
                          <a:prstGeom prst="rect">
                            <a:avLst/>
                          </a:prstGeom>
                          <a:noFill/>
                          <a:ln>
                            <a:noFill/>
                          </a:ln>
                        </pic:spPr>
                      </pic:pic>
                    </a:graphicData>
                  </a:graphic>
                </wp:inline>
              </w:drawing>
            </w:r>
          </w:p>
          <w:p>
            <w:pPr>
              <w:pStyle w:val="17"/>
              <w:ind w:firstLine="0" w:firstLineChars="0"/>
              <w:jc w:val="center"/>
              <w:rPr>
                <w:rFonts w:eastAsia="宋体"/>
                <w:b/>
                <w:bCs/>
                <w:color w:val="auto"/>
                <w:sz w:val="18"/>
                <w:szCs w:val="18"/>
              </w:rPr>
            </w:pPr>
            <w:r>
              <w:rPr>
                <w:rFonts w:eastAsia="宋体"/>
                <w:b/>
                <w:bCs/>
                <w:color w:val="auto"/>
                <w:sz w:val="21"/>
                <w:szCs w:val="21"/>
              </w:rPr>
              <w:t xml:space="preserve">图2-1  </w:t>
            </w:r>
            <w:r>
              <w:rPr>
                <w:rFonts w:hint="eastAsia" w:eastAsia="宋体"/>
                <w:b/>
                <w:bCs/>
                <w:color w:val="auto"/>
                <w:sz w:val="21"/>
                <w:szCs w:val="21"/>
              </w:rPr>
              <w:t>项目水平衡图（单位：m</w:t>
            </w:r>
            <w:r>
              <w:rPr>
                <w:rFonts w:hint="eastAsia" w:eastAsia="宋体"/>
                <w:b/>
                <w:bCs/>
                <w:color w:val="auto"/>
                <w:sz w:val="21"/>
                <w:szCs w:val="21"/>
                <w:vertAlign w:val="superscript"/>
              </w:rPr>
              <w:t>3</w:t>
            </w:r>
            <w:r>
              <w:rPr>
                <w:rFonts w:hint="eastAsia" w:eastAsia="宋体"/>
                <w:b/>
                <w:bCs/>
                <w:color w:val="auto"/>
                <w:sz w:val="21"/>
                <w:szCs w:val="21"/>
              </w:rPr>
              <w:t>/d）</w:t>
            </w:r>
          </w:p>
          <w:p>
            <w:pPr>
              <w:adjustRightInd w:val="0"/>
              <w:snapToGrid w:val="0"/>
              <w:spacing w:line="360" w:lineRule="auto"/>
              <w:ind w:firstLine="482"/>
              <w:rPr>
                <w:b/>
                <w:bCs/>
                <w:color w:val="auto"/>
                <w:kern w:val="0"/>
                <w:sz w:val="24"/>
              </w:rPr>
            </w:pPr>
            <w:r>
              <w:rPr>
                <w:b/>
                <w:bCs/>
                <w:color w:val="auto"/>
                <w:kern w:val="0"/>
                <w:sz w:val="24"/>
              </w:rPr>
              <w:t>7、劳动定员及工作制度</w:t>
            </w:r>
          </w:p>
          <w:p>
            <w:pPr>
              <w:pStyle w:val="17"/>
              <w:ind w:firstLine="480"/>
              <w:rPr>
                <w:color w:val="auto"/>
                <w:sz w:val="24"/>
              </w:rPr>
            </w:pPr>
            <w:r>
              <w:rPr>
                <w:rFonts w:eastAsia="宋体"/>
                <w:color w:val="auto"/>
                <w:kern w:val="0"/>
                <w:sz w:val="24"/>
              </w:rPr>
              <w:t>本项目新增劳动定员</w:t>
            </w:r>
            <w:r>
              <w:rPr>
                <w:rFonts w:hint="eastAsia" w:eastAsia="宋体"/>
                <w:color w:val="auto"/>
                <w:kern w:val="0"/>
                <w:sz w:val="24"/>
              </w:rPr>
              <w:t>180</w:t>
            </w:r>
            <w:r>
              <w:rPr>
                <w:rFonts w:eastAsia="宋体"/>
                <w:color w:val="auto"/>
                <w:kern w:val="0"/>
                <w:sz w:val="24"/>
              </w:rPr>
              <w:t>人，年工作300d，实行两班制，每班工作10小时，均在厂内食宿（依托现有）。</w:t>
            </w:r>
          </w:p>
          <w:p>
            <w:pPr>
              <w:adjustRightInd w:val="0"/>
              <w:snapToGrid w:val="0"/>
              <w:spacing w:line="360" w:lineRule="auto"/>
              <w:ind w:firstLine="482"/>
              <w:rPr>
                <w:b/>
                <w:bCs/>
                <w:color w:val="auto"/>
                <w:kern w:val="0"/>
                <w:sz w:val="24"/>
              </w:rPr>
            </w:pPr>
            <w:r>
              <w:rPr>
                <w:b/>
                <w:bCs/>
                <w:color w:val="auto"/>
                <w:kern w:val="0"/>
                <w:sz w:val="24"/>
              </w:rPr>
              <w:t>8、本项目平面布置</w:t>
            </w:r>
          </w:p>
          <w:p>
            <w:pPr>
              <w:pStyle w:val="17"/>
              <w:ind w:firstLine="480"/>
              <w:rPr>
                <w:rFonts w:eastAsia="宋体"/>
                <w:color w:val="auto"/>
                <w:kern w:val="0"/>
                <w:sz w:val="24"/>
              </w:rPr>
            </w:pPr>
            <w:r>
              <w:rPr>
                <w:rFonts w:eastAsia="宋体"/>
                <w:color w:val="auto"/>
                <w:kern w:val="0"/>
                <w:sz w:val="24"/>
              </w:rPr>
              <w:t>项目主要布置在11#厂房。11#厂房的平面布置图见附图2。</w:t>
            </w:r>
          </w:p>
          <w:p>
            <w:pPr>
              <w:adjustRightInd w:val="0"/>
              <w:snapToGrid w:val="0"/>
              <w:spacing w:line="360" w:lineRule="auto"/>
              <w:ind w:firstLine="480" w:firstLineChars="200"/>
              <w:rPr>
                <w:color w:val="auto"/>
                <w:sz w:val="24"/>
              </w:rPr>
            </w:pPr>
            <w:r>
              <w:rPr>
                <w:color w:val="auto"/>
                <w:sz w:val="24"/>
              </w:rPr>
              <w:t>根据项目产品方案及生产规模、场地现状，本着合理利用土地资源的原则，场地</w:t>
            </w:r>
            <w:r>
              <w:rPr>
                <w:rFonts w:hint="eastAsia"/>
                <w:color w:val="auto"/>
                <w:sz w:val="24"/>
              </w:rPr>
              <w:t>呈规则矩形布置</w:t>
            </w:r>
            <w:r>
              <w:rPr>
                <w:color w:val="auto"/>
                <w:sz w:val="24"/>
              </w:rPr>
              <w:t>，</w:t>
            </w:r>
            <w:r>
              <w:rPr>
                <w:rFonts w:hint="eastAsia"/>
                <w:color w:val="auto"/>
                <w:sz w:val="24"/>
              </w:rPr>
              <w:t>项目占地17407.16m</w:t>
            </w:r>
            <w:r>
              <w:rPr>
                <w:rFonts w:hint="eastAsia"/>
                <w:color w:val="auto"/>
                <w:sz w:val="24"/>
                <w:vertAlign w:val="superscript"/>
              </w:rPr>
              <w:t>2</w:t>
            </w:r>
            <w:r>
              <w:rPr>
                <w:rFonts w:hint="eastAsia"/>
                <w:color w:val="auto"/>
                <w:sz w:val="24"/>
              </w:rPr>
              <w:t>。根据厂区功能需求及生产特点，本项目建设用地划分为四大功能区：生产区、办公生活区、物料堆存区、公用辅助区。总平面布置按照节约用地的方针，远近结合、生产工艺路线合理的原则，环境保护的要求制定。</w:t>
            </w:r>
          </w:p>
          <w:p>
            <w:pPr>
              <w:adjustRightInd w:val="0"/>
              <w:snapToGrid w:val="0"/>
              <w:spacing w:line="360" w:lineRule="auto"/>
              <w:ind w:firstLine="480" w:firstLineChars="200"/>
              <w:rPr>
                <w:color w:val="auto"/>
                <w:kern w:val="0"/>
                <w:sz w:val="24"/>
              </w:rPr>
            </w:pPr>
            <w:r>
              <w:rPr>
                <w:color w:val="auto"/>
                <w:kern w:val="0"/>
                <w:sz w:val="24"/>
              </w:rPr>
              <w:t>本项目北侧为办公室和维修间，南侧为AB料暂存区及搅拌区，西侧为仓库。</w:t>
            </w:r>
          </w:p>
          <w:p>
            <w:pPr>
              <w:adjustRightInd w:val="0"/>
              <w:snapToGrid w:val="0"/>
              <w:spacing w:line="360" w:lineRule="auto"/>
              <w:ind w:firstLine="480" w:firstLineChars="200"/>
              <w:rPr>
                <w:bCs/>
                <w:color w:val="auto"/>
                <w:szCs w:val="21"/>
              </w:rPr>
            </w:pPr>
            <w:r>
              <w:rPr>
                <w:bCs/>
                <w:color w:val="auto"/>
                <w:kern w:val="21"/>
                <w:sz w:val="24"/>
              </w:rPr>
              <w:t>整个生产车间布置整齐，方便管理，能够满足生产调度的需求，总平面布置基本合理，项目厂区平面布置见附图3。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78" w:hRule="atLeast"/>
          <w:jc w:val="center"/>
        </w:trPr>
        <w:tc>
          <w:tcPr>
            <w:tcW w:w="823" w:type="dxa"/>
            <w:vAlign w:val="center"/>
          </w:tcPr>
          <w:p>
            <w:pPr>
              <w:pStyle w:val="13"/>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工艺流程和产排污环节</w:t>
            </w:r>
          </w:p>
        </w:tc>
        <w:tc>
          <w:tcPr>
            <w:tcW w:w="8161" w:type="dxa"/>
          </w:tcPr>
          <w:p>
            <w:pPr>
              <w:adjustRightInd w:val="0"/>
              <w:snapToGrid w:val="0"/>
              <w:spacing w:line="360" w:lineRule="auto"/>
              <w:ind w:firstLine="482"/>
              <w:rPr>
                <w:b/>
                <w:bCs/>
                <w:color w:val="auto"/>
                <w:kern w:val="0"/>
                <w:sz w:val="24"/>
              </w:rPr>
            </w:pPr>
            <w:r>
              <w:rPr>
                <w:b/>
                <w:bCs/>
                <w:color w:val="auto"/>
                <w:kern w:val="0"/>
                <w:sz w:val="24"/>
              </w:rPr>
              <w:t>1、施工期工艺流程及产物分析</w:t>
            </w:r>
          </w:p>
          <w:p>
            <w:pPr>
              <w:adjustRightInd w:val="0"/>
              <w:snapToGrid w:val="0"/>
              <w:spacing w:line="360" w:lineRule="auto"/>
              <w:ind w:firstLine="480" w:firstLineChars="200"/>
              <w:rPr>
                <w:color w:val="auto"/>
                <w:kern w:val="0"/>
                <w:sz w:val="24"/>
              </w:rPr>
            </w:pPr>
            <w:r>
              <w:rPr>
                <w:color w:val="auto"/>
                <w:kern w:val="0"/>
                <w:sz w:val="24"/>
              </w:rPr>
              <w:t>本项目利用已建厂房闲置区域，暂未安装设备，本次施工内容主要包括设备基础及辅助设施施工。施工期间，无土建过程，基础设施主要为设备安装。施工过程中主要</w:t>
            </w:r>
            <w:r>
              <w:rPr>
                <w:rFonts w:hint="eastAsia"/>
                <w:color w:val="auto"/>
                <w:kern w:val="0"/>
                <w:sz w:val="24"/>
              </w:rPr>
              <w:t>产生</w:t>
            </w:r>
            <w:r>
              <w:rPr>
                <w:color w:val="auto"/>
                <w:kern w:val="0"/>
                <w:sz w:val="24"/>
              </w:rPr>
              <w:t>施工人员生活污水、固体废物以及噪声。施工期工艺流程及产污环节图见图2-</w:t>
            </w:r>
            <w:r>
              <w:rPr>
                <w:rFonts w:hint="eastAsia"/>
                <w:color w:val="auto"/>
                <w:kern w:val="0"/>
                <w:sz w:val="24"/>
              </w:rPr>
              <w:t>2</w:t>
            </w:r>
            <w:r>
              <w:rPr>
                <w:color w:val="auto"/>
                <w:kern w:val="0"/>
                <w:sz w:val="24"/>
              </w:rPr>
              <w:t>。</w:t>
            </w:r>
          </w:p>
          <w:p>
            <w:pPr>
              <w:jc w:val="center"/>
              <w:rPr>
                <w:color w:val="auto"/>
              </w:rPr>
            </w:pPr>
            <w:r>
              <w:rPr>
                <w:color w:val="auto"/>
              </w:rPr>
              <w:drawing>
                <wp:inline distT="0" distB="0" distL="114300" distR="114300">
                  <wp:extent cx="2720975" cy="1923415"/>
                  <wp:effectExtent l="0" t="0" r="3175" b="63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8"/>
                          <a:srcRect l="19380" r="4640" b="14381"/>
                          <a:stretch>
                            <a:fillRect/>
                          </a:stretch>
                        </pic:blipFill>
                        <pic:spPr>
                          <a:xfrm>
                            <a:off x="0" y="0"/>
                            <a:ext cx="2720975" cy="1923415"/>
                          </a:xfrm>
                          <a:prstGeom prst="rect">
                            <a:avLst/>
                          </a:prstGeom>
                          <a:noFill/>
                          <a:ln>
                            <a:noFill/>
                          </a:ln>
                        </pic:spPr>
                      </pic:pic>
                    </a:graphicData>
                  </a:graphic>
                </wp:inline>
              </w:drawing>
            </w:r>
          </w:p>
          <w:p>
            <w:pPr>
              <w:pStyle w:val="17"/>
              <w:ind w:firstLine="0" w:firstLineChars="0"/>
              <w:jc w:val="center"/>
              <w:rPr>
                <w:b/>
                <w:bCs/>
                <w:color w:val="auto"/>
                <w:sz w:val="18"/>
                <w:szCs w:val="18"/>
              </w:rPr>
            </w:pPr>
            <w:r>
              <w:rPr>
                <w:rFonts w:eastAsia="宋体"/>
                <w:b/>
                <w:bCs/>
                <w:color w:val="auto"/>
                <w:sz w:val="21"/>
                <w:szCs w:val="21"/>
              </w:rPr>
              <w:t>图2-</w:t>
            </w:r>
            <w:r>
              <w:rPr>
                <w:rFonts w:hint="eastAsia" w:eastAsia="宋体"/>
                <w:b/>
                <w:bCs/>
                <w:color w:val="auto"/>
                <w:sz w:val="21"/>
                <w:szCs w:val="21"/>
              </w:rPr>
              <w:t>2</w:t>
            </w:r>
            <w:r>
              <w:rPr>
                <w:rFonts w:eastAsia="宋体"/>
                <w:b/>
                <w:bCs/>
                <w:color w:val="auto"/>
                <w:sz w:val="21"/>
                <w:szCs w:val="21"/>
              </w:rPr>
              <w:t xml:space="preserve">  施工期工艺流程及产污环节图</w:t>
            </w:r>
          </w:p>
          <w:p>
            <w:pPr>
              <w:adjustRightInd w:val="0"/>
              <w:snapToGrid w:val="0"/>
              <w:spacing w:line="360" w:lineRule="auto"/>
              <w:ind w:firstLine="482"/>
              <w:rPr>
                <w:b/>
                <w:bCs/>
                <w:color w:val="auto"/>
                <w:kern w:val="0"/>
                <w:sz w:val="24"/>
              </w:rPr>
            </w:pPr>
            <w:r>
              <w:rPr>
                <w:b/>
                <w:bCs/>
                <w:color w:val="auto"/>
                <w:kern w:val="0"/>
                <w:sz w:val="24"/>
              </w:rPr>
              <w:t>2、运营期工艺流程和产污分析</w:t>
            </w:r>
          </w:p>
          <w:p>
            <w:pPr>
              <w:pStyle w:val="17"/>
              <w:ind w:firstLine="480"/>
              <w:rPr>
                <w:rFonts w:eastAsia="宋体"/>
                <w:color w:val="auto"/>
                <w:kern w:val="0"/>
                <w:sz w:val="24"/>
              </w:rPr>
            </w:pPr>
            <w:r>
              <w:rPr>
                <w:rFonts w:eastAsia="宋体"/>
                <w:color w:val="auto"/>
                <w:kern w:val="0"/>
                <w:sz w:val="24"/>
              </w:rPr>
              <w:t>A、声学包产品工艺流程简述：</w:t>
            </w:r>
          </w:p>
          <w:p>
            <w:pPr>
              <w:pStyle w:val="17"/>
              <w:ind w:firstLine="480"/>
              <w:rPr>
                <w:rFonts w:eastAsia="宋体"/>
                <w:color w:val="auto"/>
                <w:kern w:val="0"/>
                <w:sz w:val="24"/>
              </w:rPr>
            </w:pPr>
            <w:r>
              <w:rPr>
                <w:rFonts w:eastAsia="宋体"/>
                <w:color w:val="auto"/>
                <w:kern w:val="0"/>
                <w:sz w:val="24"/>
              </w:rPr>
              <w:t>（1）来料检验：对采购的毛毡料品质进行检验。</w:t>
            </w:r>
          </w:p>
          <w:p>
            <w:pPr>
              <w:pStyle w:val="17"/>
              <w:ind w:firstLine="480"/>
              <w:rPr>
                <w:rFonts w:eastAsia="宋体"/>
                <w:color w:val="auto"/>
                <w:kern w:val="0"/>
                <w:sz w:val="24"/>
              </w:rPr>
            </w:pPr>
            <w:r>
              <w:rPr>
                <w:rFonts w:eastAsia="宋体"/>
                <w:color w:val="auto"/>
                <w:kern w:val="0"/>
                <w:sz w:val="24"/>
              </w:rPr>
              <w:t>（2）模具</w:t>
            </w:r>
            <w:r>
              <w:rPr>
                <w:rFonts w:hint="eastAsia" w:eastAsia="宋体"/>
                <w:color w:val="auto"/>
                <w:kern w:val="0"/>
                <w:sz w:val="24"/>
              </w:rPr>
              <w:t>清</w:t>
            </w:r>
            <w:r>
              <w:rPr>
                <w:rFonts w:eastAsia="宋体"/>
                <w:color w:val="auto"/>
                <w:kern w:val="0"/>
                <w:sz w:val="24"/>
              </w:rPr>
              <w:t>理：清理杂物，检查排气孔是否堵塞。此过程产生少量</w:t>
            </w:r>
            <w:r>
              <w:rPr>
                <w:rFonts w:hint="eastAsia" w:eastAsia="宋体"/>
                <w:color w:val="auto"/>
                <w:kern w:val="0"/>
                <w:sz w:val="24"/>
              </w:rPr>
              <w:t>颗粒物。</w:t>
            </w:r>
          </w:p>
          <w:p>
            <w:pPr>
              <w:pStyle w:val="17"/>
              <w:ind w:firstLine="480"/>
              <w:rPr>
                <w:rFonts w:eastAsia="宋体"/>
                <w:color w:val="auto"/>
                <w:kern w:val="0"/>
                <w:sz w:val="24"/>
              </w:rPr>
            </w:pPr>
            <w:r>
              <w:rPr>
                <w:rFonts w:eastAsia="宋体"/>
                <w:color w:val="auto"/>
                <w:kern w:val="0"/>
                <w:sz w:val="24"/>
              </w:rPr>
              <w:t>（3）模压成型：此过程</w:t>
            </w:r>
            <w:r>
              <w:rPr>
                <w:rFonts w:hint="eastAsia" w:eastAsia="宋体"/>
                <w:color w:val="auto"/>
                <w:kern w:val="0"/>
                <w:sz w:val="24"/>
                <w:lang w:val="en-US" w:eastAsia="zh-CN"/>
              </w:rPr>
              <w:t>通过隧道炉</w:t>
            </w:r>
            <w:r>
              <w:rPr>
                <w:rFonts w:eastAsia="宋体"/>
                <w:color w:val="auto"/>
                <w:kern w:val="0"/>
                <w:sz w:val="24"/>
              </w:rPr>
              <w:t>对毛毡料进行加热，加热至180-2</w:t>
            </w:r>
            <w:r>
              <w:rPr>
                <w:rFonts w:hint="eastAsia" w:eastAsia="宋体"/>
                <w:color w:val="auto"/>
                <w:kern w:val="0"/>
                <w:sz w:val="24"/>
              </w:rPr>
              <w:t>45</w:t>
            </w:r>
            <w:r>
              <w:rPr>
                <w:rFonts w:eastAsia="宋体"/>
                <w:color w:val="auto"/>
                <w:kern w:val="0"/>
                <w:sz w:val="24"/>
              </w:rPr>
              <w:t>℃，加热的目的是使毛毡软化，易成型。</w:t>
            </w:r>
          </w:p>
          <w:p>
            <w:pPr>
              <w:pStyle w:val="17"/>
              <w:ind w:firstLine="480"/>
              <w:rPr>
                <w:rFonts w:eastAsia="宋体"/>
                <w:color w:val="auto"/>
                <w:kern w:val="0"/>
                <w:sz w:val="24"/>
              </w:rPr>
            </w:pPr>
            <w:r>
              <w:rPr>
                <w:rFonts w:eastAsia="宋体"/>
                <w:color w:val="auto"/>
                <w:kern w:val="0"/>
                <w:sz w:val="24"/>
              </w:rPr>
              <w:t>加热过程中烘烤产生少量</w:t>
            </w:r>
            <w:r>
              <w:rPr>
                <w:rFonts w:hint="eastAsia" w:eastAsia="宋体"/>
                <w:color w:val="auto"/>
                <w:kern w:val="0"/>
                <w:sz w:val="24"/>
              </w:rPr>
              <w:t>非甲烷总烃</w:t>
            </w:r>
            <w:r>
              <w:rPr>
                <w:rFonts w:eastAsia="宋体"/>
                <w:color w:val="auto"/>
                <w:kern w:val="0"/>
                <w:sz w:val="24"/>
              </w:rPr>
              <w:t>，模压过程中模压机自带修边设备，对产品进行修边，产生</w:t>
            </w:r>
            <w:r>
              <w:rPr>
                <w:rFonts w:hint="eastAsia" w:eastAsia="宋体"/>
                <w:color w:val="auto"/>
                <w:kern w:val="0"/>
                <w:sz w:val="24"/>
              </w:rPr>
              <w:t>模压成型</w:t>
            </w:r>
            <w:r>
              <w:rPr>
                <w:rFonts w:eastAsia="宋体"/>
                <w:color w:val="auto"/>
                <w:kern w:val="0"/>
                <w:sz w:val="24"/>
              </w:rPr>
              <w:t>PET残料。</w:t>
            </w:r>
          </w:p>
          <w:p>
            <w:pPr>
              <w:pStyle w:val="17"/>
              <w:ind w:firstLine="480"/>
              <w:rPr>
                <w:rFonts w:eastAsia="宋体"/>
                <w:color w:val="auto"/>
                <w:kern w:val="0"/>
                <w:sz w:val="24"/>
              </w:rPr>
            </w:pPr>
            <w:r>
              <w:rPr>
                <w:rFonts w:eastAsia="宋体"/>
                <w:color w:val="auto"/>
                <w:kern w:val="0"/>
                <w:sz w:val="24"/>
              </w:rPr>
              <w:t>（4）浇注发泡成型：发泡过程使用的原料为组合聚醚（A料）、异氰酸酯（B料）均为外购产品，发泡过程中无需添加其他辅料。将A料和B料在搅拌罐内时刻搅拌，本项目采用聚氨酯发泡工艺，其主要过程是储罐内搅拌均匀的发泡原料输送至发泡机喷头上，通过高速喷枪浇注在模具内。A料与B料反应形成泡沫，填充模具中间空隙，发泡成型</w:t>
            </w:r>
            <w:r>
              <w:rPr>
                <w:rFonts w:hint="eastAsia" w:eastAsia="宋体"/>
                <w:color w:val="auto"/>
                <w:kern w:val="0"/>
                <w:sz w:val="24"/>
              </w:rPr>
              <w:t>，操作温度130℃</w:t>
            </w:r>
            <w:r>
              <w:rPr>
                <w:rFonts w:eastAsia="宋体"/>
                <w:color w:val="auto"/>
                <w:kern w:val="0"/>
                <w:sz w:val="24"/>
              </w:rPr>
              <w:t>。</w:t>
            </w:r>
          </w:p>
          <w:p>
            <w:pPr>
              <w:pStyle w:val="17"/>
              <w:ind w:firstLine="480"/>
              <w:rPr>
                <w:rFonts w:eastAsia="宋体"/>
                <w:color w:val="auto"/>
                <w:kern w:val="0"/>
                <w:sz w:val="24"/>
              </w:rPr>
            </w:pPr>
            <w:r>
              <w:rPr>
                <w:rFonts w:eastAsia="宋体"/>
                <w:color w:val="auto"/>
                <w:kern w:val="0"/>
                <w:sz w:val="24"/>
              </w:rPr>
              <w:t>本项目的发泡工艺主要为聚氨酯发泡，发泡过程的主要涉及两种反应，一种为异氰酸根（R-NCO）与聚醚多元醇（R'-OH）反应生成氨基甲酸酯基团，该反应主要发生在异氰酸酯与多元醇及其小分子醇之间，是聚氨酯合成的主要反应，反应方程式如下：</w:t>
            </w:r>
          </w:p>
          <w:p>
            <w:pPr>
              <w:pStyle w:val="17"/>
              <w:ind w:firstLine="2400" w:firstLineChars="1000"/>
              <w:rPr>
                <w:rFonts w:eastAsia="宋体"/>
                <w:color w:val="auto"/>
                <w:kern w:val="0"/>
                <w:sz w:val="24"/>
              </w:rPr>
            </w:pPr>
            <w:r>
              <w:rPr>
                <w:rFonts w:eastAsia="宋体"/>
                <w:color w:val="auto"/>
                <w:kern w:val="0"/>
                <w:sz w:val="24"/>
              </w:rPr>
              <mc:AlternateContent>
                <mc:Choice Requires="wps">
                  <w:drawing>
                    <wp:anchor distT="0" distB="0" distL="114300" distR="114300" simplePos="0" relativeHeight="251660288" behindDoc="0" locked="0" layoutInCell="1" allowOverlap="1">
                      <wp:simplePos x="0" y="0"/>
                      <wp:positionH relativeFrom="column">
                        <wp:posOffset>2668270</wp:posOffset>
                      </wp:positionH>
                      <wp:positionV relativeFrom="paragraph">
                        <wp:posOffset>90805</wp:posOffset>
                      </wp:positionV>
                      <wp:extent cx="602615" cy="0"/>
                      <wp:effectExtent l="0" t="38100" r="6985" b="38100"/>
                      <wp:wrapNone/>
                      <wp:docPr id="1" name="自选图形 5"/>
                      <wp:cNvGraphicFramePr/>
                      <a:graphic xmlns:a="http://schemas.openxmlformats.org/drawingml/2006/main">
                        <a:graphicData uri="http://schemas.microsoft.com/office/word/2010/wordprocessingShape">
                          <wps:wsp>
                            <wps:cNvCnPr/>
                            <wps:spPr>
                              <a:xfrm>
                                <a:off x="0" y="0"/>
                                <a:ext cx="6026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210.1pt;margin-top:7.15pt;height:0pt;width:47.45pt;z-index:251660288;mso-width-relative:page;mso-height-relative:page;" filled="f" stroked="t" coordsize="21600,21600" o:gfxdata="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tMEZ2QAAAAkBAAAPAAAAAAAAAAEAIAAAACIAAABkcnMvZG93bnJldi54&#10;bWxQSwECFAAUAAAACACHTuJAIILpqPkBAADmAwAADgAAAAAAAAABACAAAAAoAQAAZHJzL2Uyb0Rv&#10;Yy54bWxQSwUGAAAAAAYABgBZAQAAkwUAAAAA&#10;">
                      <v:fill on="f" focussize="0,0"/>
                      <v:stroke color="#000000" joinstyle="round" endarrow="block"/>
                      <v:imagedata o:title=""/>
                      <o:lock v:ext="edit" aspectratio="f"/>
                    </v:shape>
                  </w:pict>
                </mc:Fallback>
              </mc:AlternateContent>
            </w:r>
            <w:r>
              <w:rPr>
                <w:rFonts w:eastAsia="宋体"/>
                <w:color w:val="auto"/>
                <w:kern w:val="0"/>
                <w:sz w:val="24"/>
              </w:rPr>
              <w:t>R-NCO+R'-OH           R-NHCOO-R'</w:t>
            </w:r>
          </w:p>
          <w:p>
            <w:pPr>
              <w:pStyle w:val="17"/>
              <w:ind w:firstLine="480"/>
              <w:rPr>
                <w:rFonts w:eastAsia="宋体"/>
                <w:color w:val="auto"/>
                <w:kern w:val="0"/>
                <w:sz w:val="24"/>
              </w:rPr>
            </w:pPr>
            <w:r>
              <w:rPr>
                <w:rFonts w:eastAsia="宋体"/>
                <w:color w:val="auto"/>
                <w:kern w:val="0"/>
                <w:sz w:val="24"/>
              </w:rPr>
              <w:t>另一种反应为异氰酸根（R-NCO）与水发生反应生成脲基与二氧化碳，该反应的主要应用是利用生成的二氧化碳给聚氨酯制品进行发泡。根据企业提供资料，本项目异氰酸根（R-NCO）与水的反应过程中不需要额外添加水份，原辅材料中所含水份能够满足该反应所需的水份，反应方程式如下：</w:t>
            </w:r>
          </w:p>
          <w:p>
            <w:pPr>
              <w:pStyle w:val="17"/>
              <w:ind w:firstLine="2400" w:firstLineChars="1000"/>
              <w:rPr>
                <w:rFonts w:eastAsia="宋体"/>
                <w:color w:val="auto"/>
                <w:kern w:val="0"/>
                <w:sz w:val="24"/>
              </w:rPr>
            </w:pPr>
            <w:r>
              <w:rPr>
                <w:rFonts w:eastAsia="宋体"/>
                <w:color w:val="auto"/>
                <w:kern w:val="0"/>
                <w:sz w:val="24"/>
              </w:rPr>
              <mc:AlternateContent>
                <mc:Choice Requires="wps">
                  <w:drawing>
                    <wp:anchor distT="0" distB="0" distL="114300" distR="114300" simplePos="0" relativeHeight="251661312" behindDoc="0" locked="0" layoutInCell="1" allowOverlap="1">
                      <wp:simplePos x="0" y="0"/>
                      <wp:positionH relativeFrom="column">
                        <wp:posOffset>2540635</wp:posOffset>
                      </wp:positionH>
                      <wp:positionV relativeFrom="paragraph">
                        <wp:posOffset>87630</wp:posOffset>
                      </wp:positionV>
                      <wp:extent cx="492760" cy="7620"/>
                      <wp:effectExtent l="0" t="31750" r="2540" b="36830"/>
                      <wp:wrapNone/>
                      <wp:docPr id="2" name="自选图形 7"/>
                      <wp:cNvGraphicFramePr/>
                      <a:graphic xmlns:a="http://schemas.openxmlformats.org/drawingml/2006/main">
                        <a:graphicData uri="http://schemas.microsoft.com/office/word/2010/wordprocessingShape">
                          <wps:wsp>
                            <wps:cNvCnPr/>
                            <wps:spPr>
                              <a:xfrm>
                                <a:off x="0" y="0"/>
                                <a:ext cx="492760" cy="7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margin-left:200.05pt;margin-top:6.9pt;height:0.6pt;width:38.8pt;z-index:251661312;mso-width-relative:page;mso-height-relative:page;" filled="f" stroked="t" coordsize="21600,21600" o:gfxdata="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lBWmzYAAAACQEAAA8AAAAAAAAAAQAgAAAAIgAAAGRycy9kb3du&#10;cmV2LnhtbFBLAQIUABQAAAAIAIdO4kB/S70i/wEAAOkDAAAOAAAAAAAAAAEAIAAAACcBAABkcnMv&#10;ZTJvRG9jLnhtbFBLBQYAAAAABgAGAFkBAACYBQAAAAA=&#10;">
                      <v:fill on="f" focussize="0,0"/>
                      <v:stroke color="#000000" joinstyle="round" endarrow="block"/>
                      <v:imagedata o:title=""/>
                      <o:lock v:ext="edit" aspectratio="f"/>
                    </v:shape>
                  </w:pict>
                </mc:Fallback>
              </mc:AlternateContent>
            </w:r>
            <w:r>
              <w:rPr>
                <w:rFonts w:eastAsia="宋体"/>
                <w:color w:val="auto"/>
                <w:kern w:val="0"/>
                <w:sz w:val="24"/>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635</wp:posOffset>
                      </wp:positionV>
                      <wp:extent cx="5715" cy="168275"/>
                      <wp:effectExtent l="34925" t="0" r="35560" b="3175"/>
                      <wp:wrapNone/>
                      <wp:docPr id="3" name="自选图形 6"/>
                      <wp:cNvGraphicFramePr/>
                      <a:graphic xmlns:a="http://schemas.openxmlformats.org/drawingml/2006/main">
                        <a:graphicData uri="http://schemas.microsoft.com/office/word/2010/wordprocessingShape">
                          <wps:wsp>
                            <wps:cNvCnPr/>
                            <wps:spPr>
                              <a:xfrm flipV="1">
                                <a:off x="0" y="0"/>
                                <a:ext cx="5715" cy="168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flip:y;margin-left:353.25pt;margin-top:0.05pt;height:13.25pt;width:0.45pt;z-index:251662336;mso-width-relative:page;mso-height-relative:page;" filled="f" stroked="t" coordsize="21600,21600" o:gfxdata="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K6Z4zWAAAABwEAAA8AAAAAAAAAAQAgAAAAIgAAAGRycy9k&#10;b3ducmV2LnhtbFBLAQIUABQAAAAIAIdO4kCUxU2nBAIAAPMDAAAOAAAAAAAAAAEAIAAAACUBAABk&#10;cnMvZTJvRG9jLnhtbFBLBQYAAAAABgAGAFkBAACbBQAAAAA=&#10;">
                      <v:fill on="f" focussize="0,0"/>
                      <v:stroke color="#000000" joinstyle="round" endarrow="block"/>
                      <v:imagedata o:title=""/>
                      <o:lock v:ext="edit" aspectratio="f"/>
                    </v:shape>
                  </w:pict>
                </mc:Fallback>
              </mc:AlternateContent>
            </w:r>
            <w:r>
              <w:rPr>
                <w:rFonts w:eastAsia="宋体"/>
                <w:color w:val="auto"/>
                <w:kern w:val="0"/>
                <w:sz w:val="24"/>
              </w:rPr>
              <w:t>2R-NCO+H</w:t>
            </w:r>
            <w:r>
              <w:rPr>
                <w:rFonts w:eastAsia="宋体"/>
                <w:color w:val="auto"/>
                <w:kern w:val="0"/>
                <w:sz w:val="24"/>
                <w:vertAlign w:val="subscript"/>
              </w:rPr>
              <w:t>2</w:t>
            </w:r>
            <w:r>
              <w:rPr>
                <w:rFonts w:eastAsia="宋体"/>
                <w:color w:val="auto"/>
                <w:kern w:val="0"/>
                <w:sz w:val="24"/>
              </w:rPr>
              <w:t>O         R-NHCONH-R+CO</w:t>
            </w:r>
            <w:r>
              <w:rPr>
                <w:rFonts w:eastAsia="宋体"/>
                <w:color w:val="auto"/>
                <w:kern w:val="0"/>
                <w:sz w:val="24"/>
                <w:vertAlign w:val="subscript"/>
              </w:rPr>
              <w:t>2</w:t>
            </w:r>
          </w:p>
          <w:p>
            <w:pPr>
              <w:pStyle w:val="17"/>
              <w:ind w:firstLine="480"/>
              <w:rPr>
                <w:rFonts w:eastAsia="宋体"/>
                <w:color w:val="auto"/>
                <w:kern w:val="0"/>
                <w:sz w:val="24"/>
              </w:rPr>
            </w:pPr>
            <w:r>
              <w:rPr>
                <w:rFonts w:eastAsia="宋体"/>
                <w:color w:val="auto"/>
                <w:kern w:val="0"/>
                <w:sz w:val="24"/>
              </w:rPr>
              <w:t>发泡过程会产生大量的CO</w:t>
            </w:r>
            <w:r>
              <w:rPr>
                <w:rFonts w:eastAsia="宋体"/>
                <w:color w:val="auto"/>
                <w:kern w:val="0"/>
                <w:sz w:val="24"/>
                <w:vertAlign w:val="subscript"/>
              </w:rPr>
              <w:t>2</w:t>
            </w:r>
            <w:r>
              <w:rPr>
                <w:rFonts w:eastAsia="宋体"/>
                <w:color w:val="auto"/>
                <w:kern w:val="0"/>
                <w:sz w:val="24"/>
              </w:rPr>
              <w:t>废气并挥发出有机废气，产生的CO</w:t>
            </w:r>
            <w:r>
              <w:rPr>
                <w:rFonts w:eastAsia="宋体"/>
                <w:color w:val="auto"/>
                <w:kern w:val="0"/>
                <w:sz w:val="24"/>
                <w:vertAlign w:val="subscript"/>
              </w:rPr>
              <w:t>2</w:t>
            </w:r>
            <w:r>
              <w:rPr>
                <w:rFonts w:eastAsia="宋体"/>
                <w:color w:val="auto"/>
                <w:kern w:val="0"/>
                <w:sz w:val="24"/>
              </w:rPr>
              <w:t>气体主要存在于产品内部，根据《排污许可证申请与核发技术规范 汽车制造业》（HJ971-2018）</w:t>
            </w:r>
            <w:r>
              <w:rPr>
                <w:rFonts w:hint="eastAsia" w:eastAsia="宋体"/>
                <w:color w:val="auto"/>
                <w:kern w:val="0"/>
                <w:sz w:val="24"/>
              </w:rPr>
              <w:t>“</w:t>
            </w:r>
            <w:r>
              <w:rPr>
                <w:rFonts w:eastAsia="宋体"/>
                <w:color w:val="auto"/>
                <w:kern w:val="0"/>
                <w:sz w:val="24"/>
              </w:rPr>
              <w:t>表11 汽车整车制造排污单位生产单元产排污环节、废气污染物及对应排放口类型一览表-树脂纤维加工-发泡工序</w:t>
            </w:r>
            <w:r>
              <w:rPr>
                <w:rFonts w:hint="eastAsia" w:eastAsia="宋体"/>
                <w:color w:val="auto"/>
                <w:kern w:val="0"/>
                <w:sz w:val="24"/>
              </w:rPr>
              <w:t>”</w:t>
            </w:r>
            <w:r>
              <w:rPr>
                <w:rFonts w:eastAsia="宋体"/>
                <w:color w:val="auto"/>
                <w:kern w:val="0"/>
                <w:sz w:val="24"/>
              </w:rPr>
              <w:t>产生的污染物为挥发性有机物，本次环评以非甲烷总烃计。</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rPr>
              <w:t>5</w:t>
            </w:r>
            <w:r>
              <w:rPr>
                <w:rFonts w:eastAsia="宋体"/>
                <w:color w:val="auto"/>
                <w:kern w:val="0"/>
                <w:sz w:val="24"/>
              </w:rPr>
              <w:t>）修边：对熟化后的产品进行精细修边，该过程产生少量</w:t>
            </w:r>
            <w:r>
              <w:rPr>
                <w:rFonts w:hint="eastAsia" w:eastAsia="宋体"/>
                <w:color w:val="auto"/>
                <w:kern w:val="0"/>
                <w:sz w:val="24"/>
              </w:rPr>
              <w:t>发泡成型废料</w:t>
            </w:r>
            <w:r>
              <w:rPr>
                <w:rFonts w:eastAsia="宋体"/>
                <w:color w:val="auto"/>
                <w:kern w:val="0"/>
                <w:sz w:val="24"/>
              </w:rPr>
              <w:t>。</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lang w:val="en-US" w:eastAsia="zh-CN"/>
              </w:rPr>
              <w:t>6</w:t>
            </w:r>
            <w:r>
              <w:rPr>
                <w:rFonts w:eastAsia="宋体"/>
                <w:color w:val="auto"/>
                <w:kern w:val="0"/>
                <w:sz w:val="24"/>
              </w:rPr>
              <w:t>）包装：使用纸箱进行包装</w:t>
            </w:r>
            <w:r>
              <w:rPr>
                <w:rFonts w:hint="eastAsia" w:eastAsia="宋体"/>
                <w:color w:val="auto"/>
                <w:kern w:val="0"/>
                <w:sz w:val="24"/>
              </w:rPr>
              <w:t>，该过程产生废包装。</w:t>
            </w:r>
          </w:p>
          <w:p>
            <w:pPr>
              <w:pStyle w:val="17"/>
              <w:ind w:firstLine="480"/>
              <w:rPr>
                <w:rFonts w:eastAsia="宋体"/>
                <w:color w:val="auto"/>
                <w:kern w:val="0"/>
                <w:sz w:val="24"/>
              </w:rPr>
            </w:pPr>
            <w:r>
              <w:rPr>
                <w:rFonts w:eastAsia="宋体"/>
                <w:color w:val="auto"/>
                <w:kern w:val="0"/>
                <w:sz w:val="24"/>
              </w:rPr>
              <w:t>声学包产品</w:t>
            </w:r>
            <w:r>
              <w:rPr>
                <w:rFonts w:hint="eastAsia" w:eastAsia="宋体"/>
                <w:color w:val="auto"/>
                <w:kern w:val="0"/>
                <w:sz w:val="24"/>
              </w:rPr>
              <w:t>具体生产</w:t>
            </w:r>
            <w:r>
              <w:rPr>
                <w:rFonts w:eastAsia="宋体"/>
                <w:color w:val="auto"/>
                <w:kern w:val="0"/>
                <w:sz w:val="24"/>
              </w:rPr>
              <w:t>工艺</w:t>
            </w:r>
            <w:r>
              <w:rPr>
                <w:rFonts w:hint="eastAsia" w:eastAsia="宋体"/>
                <w:color w:val="auto"/>
                <w:kern w:val="0"/>
                <w:sz w:val="24"/>
              </w:rPr>
              <w:t>及产污环节见图2-3：</w:t>
            </w:r>
          </w:p>
          <w:p>
            <w:pPr>
              <w:pStyle w:val="3"/>
              <w:spacing w:before="120"/>
              <w:jc w:val="left"/>
              <w:rPr>
                <w:color w:val="auto"/>
              </w:rPr>
            </w:pPr>
            <w:r>
              <w:rPr>
                <w:color w:val="auto"/>
              </w:rPr>
              <w:drawing>
                <wp:inline distT="0" distB="0" distL="114300" distR="114300">
                  <wp:extent cx="5036185" cy="2518410"/>
                  <wp:effectExtent l="0" t="0" r="12065" b="152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9"/>
                          <a:stretch>
                            <a:fillRect/>
                          </a:stretch>
                        </pic:blipFill>
                        <pic:spPr>
                          <a:xfrm>
                            <a:off x="0" y="0"/>
                            <a:ext cx="5036185" cy="2518410"/>
                          </a:xfrm>
                          <a:prstGeom prst="rect">
                            <a:avLst/>
                          </a:prstGeom>
                          <a:noFill/>
                          <a:ln>
                            <a:noFill/>
                          </a:ln>
                        </pic:spPr>
                      </pic:pic>
                    </a:graphicData>
                  </a:graphic>
                </wp:inline>
              </w:drawing>
            </w:r>
          </w:p>
          <w:p>
            <w:pPr>
              <w:ind w:firstLine="482"/>
              <w:jc w:val="center"/>
              <w:rPr>
                <w:color w:val="auto"/>
                <w:sz w:val="18"/>
                <w:szCs w:val="18"/>
              </w:rPr>
            </w:pPr>
            <w:r>
              <w:rPr>
                <w:b/>
                <w:bCs/>
                <w:color w:val="auto"/>
                <w:szCs w:val="21"/>
              </w:rPr>
              <w:t>图2-</w:t>
            </w:r>
            <w:r>
              <w:rPr>
                <w:rFonts w:hint="eastAsia"/>
                <w:b/>
                <w:bCs/>
                <w:color w:val="auto"/>
                <w:szCs w:val="21"/>
              </w:rPr>
              <w:t>3</w:t>
            </w:r>
            <w:r>
              <w:rPr>
                <w:b/>
                <w:bCs/>
                <w:color w:val="auto"/>
                <w:szCs w:val="21"/>
              </w:rPr>
              <w:t xml:space="preserve">  声学包产品工艺流程及产污节点图</w:t>
            </w:r>
          </w:p>
          <w:p>
            <w:pPr>
              <w:pStyle w:val="17"/>
              <w:ind w:firstLine="480"/>
              <w:rPr>
                <w:rFonts w:eastAsia="宋体"/>
                <w:color w:val="auto"/>
                <w:kern w:val="0"/>
                <w:sz w:val="24"/>
              </w:rPr>
            </w:pPr>
            <w:r>
              <w:rPr>
                <w:rFonts w:eastAsia="宋体"/>
                <w:color w:val="auto"/>
                <w:kern w:val="0"/>
                <w:sz w:val="24"/>
              </w:rPr>
              <w:t>B、搁物架产品工艺流程简述：</w:t>
            </w:r>
          </w:p>
          <w:p>
            <w:pPr>
              <w:pStyle w:val="17"/>
              <w:ind w:firstLine="480"/>
              <w:rPr>
                <w:rFonts w:eastAsia="宋体"/>
                <w:color w:val="auto"/>
                <w:kern w:val="0"/>
                <w:sz w:val="24"/>
              </w:rPr>
            </w:pPr>
            <w:r>
              <w:rPr>
                <w:rFonts w:eastAsia="宋体"/>
                <w:color w:val="auto"/>
                <w:kern w:val="0"/>
                <w:sz w:val="24"/>
              </w:rPr>
              <w:t>（1）来料检验：对采购的毛毡料品质进行检验。</w:t>
            </w:r>
          </w:p>
          <w:p>
            <w:pPr>
              <w:pStyle w:val="17"/>
              <w:ind w:firstLine="480"/>
              <w:rPr>
                <w:rFonts w:eastAsia="宋体"/>
                <w:color w:val="auto"/>
                <w:kern w:val="0"/>
                <w:sz w:val="24"/>
              </w:rPr>
            </w:pPr>
            <w:r>
              <w:rPr>
                <w:rFonts w:eastAsia="宋体"/>
                <w:color w:val="auto"/>
                <w:kern w:val="0"/>
                <w:sz w:val="24"/>
              </w:rPr>
              <w:t>（2）</w:t>
            </w:r>
            <w:r>
              <w:rPr>
                <w:rFonts w:hint="eastAsia" w:eastAsia="宋体"/>
                <w:color w:val="auto"/>
                <w:kern w:val="0"/>
                <w:sz w:val="24"/>
              </w:rPr>
              <w:t>模具清理</w:t>
            </w:r>
            <w:r>
              <w:rPr>
                <w:rFonts w:eastAsia="宋体"/>
                <w:color w:val="auto"/>
                <w:kern w:val="0"/>
                <w:sz w:val="24"/>
              </w:rPr>
              <w:t>：清理杂物，判检查排气孔是否堵塞。此过程产生少量</w:t>
            </w:r>
            <w:r>
              <w:rPr>
                <w:rFonts w:hint="eastAsia" w:eastAsia="宋体"/>
                <w:color w:val="auto"/>
                <w:kern w:val="0"/>
                <w:sz w:val="24"/>
              </w:rPr>
              <w:t>颗粒物。</w:t>
            </w:r>
          </w:p>
          <w:p>
            <w:pPr>
              <w:pStyle w:val="17"/>
              <w:ind w:firstLine="480"/>
              <w:rPr>
                <w:rFonts w:eastAsia="宋体"/>
                <w:color w:val="auto"/>
                <w:kern w:val="0"/>
                <w:sz w:val="24"/>
              </w:rPr>
            </w:pPr>
            <w:r>
              <w:rPr>
                <w:rFonts w:eastAsia="宋体"/>
                <w:color w:val="auto"/>
                <w:kern w:val="0"/>
                <w:sz w:val="24"/>
              </w:rPr>
              <w:t>（3</w:t>
            </w:r>
            <w:r>
              <w:rPr>
                <w:rFonts w:hint="eastAsia" w:eastAsia="宋体"/>
                <w:color w:val="auto"/>
                <w:kern w:val="0"/>
                <w:sz w:val="24"/>
                <w:lang w:eastAsia="zh-CN"/>
              </w:rPr>
              <w:t>）</w:t>
            </w:r>
            <w:r>
              <w:rPr>
                <w:rFonts w:eastAsia="宋体"/>
                <w:color w:val="auto"/>
                <w:kern w:val="0"/>
                <w:sz w:val="24"/>
              </w:rPr>
              <w:t>模压成型：此过程</w:t>
            </w:r>
            <w:r>
              <w:rPr>
                <w:rFonts w:hint="eastAsia" w:eastAsia="宋体"/>
                <w:color w:val="auto"/>
                <w:kern w:val="0"/>
                <w:sz w:val="24"/>
              </w:rPr>
              <w:t>通过隧道炉</w:t>
            </w:r>
            <w:r>
              <w:rPr>
                <w:rFonts w:eastAsia="宋体"/>
                <w:color w:val="auto"/>
                <w:kern w:val="0"/>
                <w:sz w:val="24"/>
              </w:rPr>
              <w:t>对毛毡料进行加热，加热至180-</w:t>
            </w:r>
            <w:r>
              <w:rPr>
                <w:rFonts w:hint="eastAsia" w:eastAsia="宋体"/>
                <w:color w:val="auto"/>
                <w:kern w:val="0"/>
                <w:sz w:val="24"/>
              </w:rPr>
              <w:t>245</w:t>
            </w:r>
            <w:r>
              <w:rPr>
                <w:rFonts w:eastAsia="宋体"/>
                <w:color w:val="auto"/>
                <w:kern w:val="0"/>
                <w:sz w:val="24"/>
              </w:rPr>
              <w:t>℃，加热的目的是使毛毡软化，易成型。</w:t>
            </w:r>
          </w:p>
          <w:p>
            <w:pPr>
              <w:pStyle w:val="17"/>
              <w:ind w:firstLine="480"/>
              <w:rPr>
                <w:rFonts w:eastAsia="宋体"/>
                <w:color w:val="auto"/>
                <w:kern w:val="0"/>
                <w:sz w:val="24"/>
              </w:rPr>
            </w:pPr>
            <w:r>
              <w:rPr>
                <w:rFonts w:eastAsia="宋体"/>
                <w:color w:val="auto"/>
                <w:kern w:val="0"/>
                <w:sz w:val="24"/>
              </w:rPr>
              <w:t>加热过程中烘烤产生少量</w:t>
            </w:r>
            <w:r>
              <w:rPr>
                <w:rFonts w:hint="eastAsia" w:eastAsia="宋体"/>
                <w:color w:val="auto"/>
                <w:kern w:val="0"/>
                <w:sz w:val="24"/>
              </w:rPr>
              <w:t>非甲烷总烃</w:t>
            </w:r>
            <w:r>
              <w:rPr>
                <w:rFonts w:eastAsia="宋体"/>
                <w:color w:val="auto"/>
                <w:kern w:val="0"/>
                <w:sz w:val="24"/>
              </w:rPr>
              <w:t>，模压过程中模压机自带修边设备，对产品进行修边，产生</w:t>
            </w:r>
            <w:r>
              <w:rPr>
                <w:rFonts w:hint="eastAsia" w:eastAsia="宋体"/>
                <w:color w:val="auto"/>
                <w:kern w:val="0"/>
                <w:sz w:val="24"/>
              </w:rPr>
              <w:t>模压成型</w:t>
            </w:r>
            <w:r>
              <w:rPr>
                <w:rFonts w:eastAsia="宋体"/>
                <w:color w:val="auto"/>
                <w:kern w:val="0"/>
                <w:sz w:val="24"/>
              </w:rPr>
              <w:t>PET残料。</w:t>
            </w:r>
          </w:p>
          <w:p>
            <w:pPr>
              <w:pStyle w:val="17"/>
              <w:ind w:firstLine="480"/>
              <w:rPr>
                <w:rFonts w:eastAsia="宋体"/>
                <w:color w:val="auto"/>
                <w:kern w:val="0"/>
                <w:sz w:val="24"/>
              </w:rPr>
            </w:pPr>
            <w:r>
              <w:rPr>
                <w:rFonts w:eastAsia="宋体"/>
                <w:color w:val="auto"/>
                <w:kern w:val="0"/>
                <w:sz w:val="24"/>
              </w:rPr>
              <w:t>（4）装配：将模压成型后的产品与其他零部件按规定的技术要求组装起来。</w:t>
            </w:r>
          </w:p>
          <w:p>
            <w:pPr>
              <w:pStyle w:val="17"/>
              <w:ind w:firstLine="480"/>
              <w:rPr>
                <w:rFonts w:eastAsia="宋体"/>
                <w:color w:val="auto"/>
                <w:kern w:val="0"/>
                <w:sz w:val="24"/>
              </w:rPr>
            </w:pPr>
            <w:r>
              <w:rPr>
                <w:rFonts w:eastAsia="宋体"/>
                <w:color w:val="auto"/>
                <w:kern w:val="0"/>
                <w:sz w:val="24"/>
              </w:rPr>
              <w:t>（5）包装：使用纸箱进行包装</w:t>
            </w:r>
            <w:r>
              <w:rPr>
                <w:rFonts w:hint="eastAsia" w:eastAsia="宋体"/>
                <w:color w:val="auto"/>
                <w:kern w:val="0"/>
                <w:sz w:val="24"/>
              </w:rPr>
              <w:t>，该过程产生废包装。</w:t>
            </w:r>
          </w:p>
          <w:p>
            <w:pPr>
              <w:pStyle w:val="17"/>
              <w:ind w:firstLine="480"/>
              <w:rPr>
                <w:rFonts w:eastAsia="宋体"/>
                <w:color w:val="auto"/>
                <w:kern w:val="0"/>
                <w:sz w:val="24"/>
              </w:rPr>
            </w:pPr>
            <w:r>
              <w:rPr>
                <w:rFonts w:hint="eastAsia" w:eastAsia="宋体"/>
                <w:color w:val="auto"/>
                <w:kern w:val="0"/>
                <w:sz w:val="24"/>
              </w:rPr>
              <w:t>搁物架</w:t>
            </w:r>
            <w:r>
              <w:rPr>
                <w:rFonts w:eastAsia="宋体"/>
                <w:color w:val="auto"/>
                <w:kern w:val="0"/>
                <w:sz w:val="24"/>
              </w:rPr>
              <w:t>产品</w:t>
            </w:r>
            <w:r>
              <w:rPr>
                <w:rFonts w:hint="eastAsia" w:eastAsia="宋体"/>
                <w:color w:val="auto"/>
                <w:kern w:val="0"/>
                <w:sz w:val="24"/>
              </w:rPr>
              <w:t>具体生产</w:t>
            </w:r>
            <w:r>
              <w:rPr>
                <w:rFonts w:eastAsia="宋体"/>
                <w:color w:val="auto"/>
                <w:kern w:val="0"/>
                <w:sz w:val="24"/>
              </w:rPr>
              <w:t>工艺</w:t>
            </w:r>
            <w:r>
              <w:rPr>
                <w:rFonts w:hint="eastAsia" w:eastAsia="宋体"/>
                <w:color w:val="auto"/>
                <w:kern w:val="0"/>
                <w:sz w:val="24"/>
              </w:rPr>
              <w:t>及产污环节见图2-4：</w:t>
            </w:r>
          </w:p>
          <w:p>
            <w:pPr>
              <w:rPr>
                <w:color w:val="auto"/>
              </w:rPr>
            </w:pPr>
            <w:r>
              <w:rPr>
                <w:color w:val="auto"/>
              </w:rPr>
              <w:drawing>
                <wp:inline distT="0" distB="0" distL="114300" distR="114300">
                  <wp:extent cx="5040630" cy="2400300"/>
                  <wp:effectExtent l="0" t="0" r="762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0"/>
                          <a:stretch>
                            <a:fillRect/>
                          </a:stretch>
                        </pic:blipFill>
                        <pic:spPr>
                          <a:xfrm>
                            <a:off x="0" y="0"/>
                            <a:ext cx="5040630" cy="2400300"/>
                          </a:xfrm>
                          <a:prstGeom prst="rect">
                            <a:avLst/>
                          </a:prstGeom>
                          <a:noFill/>
                          <a:ln>
                            <a:noFill/>
                          </a:ln>
                        </pic:spPr>
                      </pic:pic>
                    </a:graphicData>
                  </a:graphic>
                </wp:inline>
              </w:drawing>
            </w:r>
          </w:p>
          <w:p>
            <w:pPr>
              <w:pStyle w:val="17"/>
              <w:ind w:firstLine="0" w:firstLineChars="0"/>
              <w:jc w:val="center"/>
              <w:rPr>
                <w:rFonts w:eastAsia="宋体"/>
                <w:b/>
                <w:bCs/>
                <w:color w:val="auto"/>
                <w:kern w:val="0"/>
                <w:sz w:val="21"/>
                <w:szCs w:val="21"/>
              </w:rPr>
            </w:pPr>
            <w:r>
              <w:rPr>
                <w:rFonts w:eastAsia="宋体"/>
                <w:b/>
                <w:bCs/>
                <w:color w:val="auto"/>
                <w:sz w:val="21"/>
                <w:szCs w:val="21"/>
              </w:rPr>
              <w:t>图2-</w:t>
            </w:r>
            <w:r>
              <w:rPr>
                <w:rFonts w:hint="eastAsia" w:eastAsia="宋体"/>
                <w:b/>
                <w:bCs/>
                <w:color w:val="auto"/>
                <w:sz w:val="21"/>
                <w:szCs w:val="21"/>
              </w:rPr>
              <w:t>4</w:t>
            </w:r>
            <w:r>
              <w:rPr>
                <w:rFonts w:eastAsia="宋体"/>
                <w:b/>
                <w:bCs/>
                <w:color w:val="auto"/>
                <w:sz w:val="21"/>
                <w:szCs w:val="21"/>
              </w:rPr>
              <w:t>搁物架产品工艺流程及产污环节图</w:t>
            </w:r>
          </w:p>
          <w:p>
            <w:pPr>
              <w:pStyle w:val="17"/>
              <w:ind w:firstLine="480"/>
              <w:rPr>
                <w:rFonts w:eastAsia="宋体"/>
                <w:color w:val="auto"/>
                <w:kern w:val="0"/>
                <w:sz w:val="24"/>
              </w:rPr>
            </w:pPr>
            <w:r>
              <w:rPr>
                <w:rFonts w:eastAsia="宋体"/>
                <w:color w:val="auto"/>
                <w:kern w:val="0"/>
                <w:sz w:val="24"/>
              </w:rPr>
              <w:t>C、前围隔热层产品工艺流程简述：</w:t>
            </w:r>
          </w:p>
          <w:p>
            <w:pPr>
              <w:pStyle w:val="17"/>
              <w:ind w:firstLine="480"/>
              <w:rPr>
                <w:rFonts w:eastAsia="宋体"/>
                <w:color w:val="auto"/>
                <w:kern w:val="0"/>
                <w:sz w:val="24"/>
              </w:rPr>
            </w:pPr>
            <w:r>
              <w:rPr>
                <w:rFonts w:eastAsia="宋体"/>
                <w:color w:val="auto"/>
                <w:kern w:val="0"/>
                <w:sz w:val="24"/>
              </w:rPr>
              <w:t>（1）来料检验：对采购的毛毡料品质进行检验。</w:t>
            </w:r>
          </w:p>
          <w:p>
            <w:pPr>
              <w:pStyle w:val="17"/>
              <w:ind w:firstLine="480"/>
              <w:rPr>
                <w:rFonts w:eastAsia="宋体"/>
                <w:color w:val="auto"/>
                <w:kern w:val="0"/>
                <w:sz w:val="24"/>
              </w:rPr>
            </w:pPr>
            <w:r>
              <w:rPr>
                <w:rFonts w:eastAsia="宋体"/>
                <w:color w:val="auto"/>
                <w:kern w:val="0"/>
                <w:sz w:val="24"/>
              </w:rPr>
              <w:t>（2）</w:t>
            </w:r>
            <w:r>
              <w:rPr>
                <w:rFonts w:hint="eastAsia" w:eastAsia="宋体"/>
                <w:color w:val="auto"/>
                <w:kern w:val="0"/>
                <w:sz w:val="24"/>
              </w:rPr>
              <w:t>模具清理</w:t>
            </w:r>
            <w:r>
              <w:rPr>
                <w:rFonts w:eastAsia="宋体"/>
                <w:color w:val="auto"/>
                <w:kern w:val="0"/>
                <w:sz w:val="24"/>
              </w:rPr>
              <w:t>：清理杂物，判检查排气孔是否堵塞。此过程产生少量</w:t>
            </w:r>
            <w:r>
              <w:rPr>
                <w:rFonts w:hint="eastAsia" w:eastAsia="宋体"/>
                <w:color w:val="auto"/>
                <w:kern w:val="0"/>
                <w:sz w:val="24"/>
              </w:rPr>
              <w:t>颗粒物。</w:t>
            </w:r>
          </w:p>
          <w:p>
            <w:pPr>
              <w:pStyle w:val="17"/>
              <w:ind w:firstLine="480"/>
              <w:rPr>
                <w:rFonts w:eastAsia="宋体"/>
                <w:color w:val="auto"/>
                <w:kern w:val="0"/>
                <w:sz w:val="24"/>
              </w:rPr>
            </w:pPr>
            <w:r>
              <w:rPr>
                <w:rFonts w:eastAsia="宋体"/>
                <w:color w:val="auto"/>
                <w:kern w:val="0"/>
                <w:sz w:val="24"/>
              </w:rPr>
              <w:t>（3）模压成型：此过程</w:t>
            </w:r>
            <w:r>
              <w:rPr>
                <w:rFonts w:hint="eastAsia" w:eastAsia="宋体"/>
                <w:color w:val="auto"/>
                <w:kern w:val="0"/>
                <w:sz w:val="24"/>
              </w:rPr>
              <w:t>通过隧道炉</w:t>
            </w:r>
            <w:r>
              <w:rPr>
                <w:rFonts w:eastAsia="宋体"/>
                <w:color w:val="auto"/>
                <w:kern w:val="0"/>
                <w:sz w:val="24"/>
              </w:rPr>
              <w:t>对毛毡料进行加热，加热至180-</w:t>
            </w:r>
            <w:r>
              <w:rPr>
                <w:rFonts w:hint="eastAsia" w:eastAsia="宋体"/>
                <w:color w:val="auto"/>
                <w:kern w:val="0"/>
                <w:sz w:val="24"/>
              </w:rPr>
              <w:t>245</w:t>
            </w:r>
            <w:r>
              <w:rPr>
                <w:rFonts w:eastAsia="宋体"/>
                <w:color w:val="auto"/>
                <w:kern w:val="0"/>
                <w:sz w:val="24"/>
              </w:rPr>
              <w:t>℃，加热的目的是使毛毡软化，易成型。</w:t>
            </w:r>
          </w:p>
          <w:p>
            <w:pPr>
              <w:pStyle w:val="17"/>
              <w:ind w:firstLine="480"/>
              <w:rPr>
                <w:rFonts w:eastAsia="宋体"/>
                <w:color w:val="auto"/>
                <w:kern w:val="0"/>
                <w:sz w:val="24"/>
              </w:rPr>
            </w:pPr>
            <w:r>
              <w:rPr>
                <w:rFonts w:eastAsia="宋体"/>
                <w:color w:val="auto"/>
                <w:kern w:val="0"/>
                <w:sz w:val="24"/>
              </w:rPr>
              <w:t>加热过程中烘烤产生少量</w:t>
            </w:r>
            <w:r>
              <w:rPr>
                <w:rFonts w:hint="eastAsia" w:eastAsia="宋体"/>
                <w:color w:val="auto"/>
                <w:kern w:val="0"/>
                <w:sz w:val="24"/>
              </w:rPr>
              <w:t>非甲烷总烃</w:t>
            </w:r>
            <w:r>
              <w:rPr>
                <w:rFonts w:eastAsia="宋体"/>
                <w:color w:val="auto"/>
                <w:kern w:val="0"/>
                <w:sz w:val="24"/>
              </w:rPr>
              <w:t>，模压过程中模压机自带修边设备，对产品进行修边，产生</w:t>
            </w:r>
            <w:r>
              <w:rPr>
                <w:rFonts w:hint="eastAsia" w:eastAsia="宋体"/>
                <w:color w:val="auto"/>
                <w:kern w:val="0"/>
                <w:sz w:val="24"/>
              </w:rPr>
              <w:t>模压成型</w:t>
            </w:r>
            <w:r>
              <w:rPr>
                <w:rFonts w:eastAsia="宋体"/>
                <w:color w:val="auto"/>
                <w:kern w:val="0"/>
                <w:sz w:val="24"/>
              </w:rPr>
              <w:t>PET残料</w:t>
            </w:r>
          </w:p>
          <w:p>
            <w:pPr>
              <w:pStyle w:val="17"/>
              <w:ind w:firstLine="480"/>
              <w:rPr>
                <w:rFonts w:eastAsia="宋体"/>
                <w:color w:val="auto"/>
                <w:kern w:val="0"/>
                <w:sz w:val="24"/>
              </w:rPr>
            </w:pPr>
            <w:r>
              <w:rPr>
                <w:rFonts w:eastAsia="宋体"/>
                <w:color w:val="auto"/>
                <w:kern w:val="0"/>
                <w:sz w:val="24"/>
              </w:rPr>
              <w:t>（4）发泡成型：发泡过程使用的原料为组合聚醚（A料）、异氰酸酯（B料）均为外购产品，发泡过程中无需添加其他辅料。将A料和B料在搅拌罐内时刻搅拌，</w:t>
            </w:r>
            <w:r>
              <w:rPr>
                <w:rFonts w:hint="eastAsia" w:eastAsia="宋体"/>
                <w:color w:val="auto"/>
                <w:kern w:val="0"/>
                <w:sz w:val="24"/>
              </w:rPr>
              <w:t>该工序</w:t>
            </w:r>
            <w:r>
              <w:rPr>
                <w:rFonts w:eastAsia="宋体"/>
                <w:color w:val="auto"/>
                <w:kern w:val="0"/>
                <w:sz w:val="24"/>
              </w:rPr>
              <w:t>采用聚氨酯发泡工艺，其主要过程是储罐内搅拌均匀的发泡原料输送至发泡机喷头上，通过高速喷枪浇注在模具内。A料与B料反应形成泡沫，填充模具中间空隙，发泡成型。发泡在密闭的模具中进行，此过程产生的废气包括发泡剂挥发废气、脱模剂挥发废气等。发泡机自带工具对产品进行修边，产生少量</w:t>
            </w:r>
            <w:r>
              <w:rPr>
                <w:rFonts w:hint="eastAsia" w:eastAsia="宋体"/>
                <w:color w:val="auto"/>
                <w:kern w:val="0"/>
                <w:sz w:val="24"/>
              </w:rPr>
              <w:t>发泡成型废料</w:t>
            </w:r>
            <w:r>
              <w:rPr>
                <w:rFonts w:eastAsia="宋体"/>
                <w:color w:val="auto"/>
                <w:kern w:val="0"/>
                <w:sz w:val="24"/>
              </w:rPr>
              <w:t>。</w:t>
            </w:r>
          </w:p>
          <w:p>
            <w:pPr>
              <w:pStyle w:val="17"/>
              <w:ind w:firstLine="480"/>
              <w:rPr>
                <w:rFonts w:eastAsia="宋体"/>
                <w:color w:val="auto"/>
                <w:kern w:val="0"/>
                <w:sz w:val="24"/>
              </w:rPr>
            </w:pPr>
            <w:r>
              <w:rPr>
                <w:rFonts w:eastAsia="宋体"/>
                <w:color w:val="auto"/>
                <w:kern w:val="0"/>
                <w:sz w:val="24"/>
              </w:rPr>
              <w:t>（5）装配：将产品与其他零部件按规定的技术要求组装起来。</w:t>
            </w:r>
          </w:p>
          <w:p>
            <w:pPr>
              <w:pStyle w:val="17"/>
              <w:ind w:firstLine="480"/>
              <w:rPr>
                <w:color w:val="auto"/>
              </w:rPr>
            </w:pPr>
            <w:r>
              <w:rPr>
                <w:rFonts w:eastAsia="宋体"/>
                <w:color w:val="auto"/>
                <w:kern w:val="0"/>
                <w:sz w:val="24"/>
              </w:rPr>
              <w:t>（</w:t>
            </w:r>
            <w:r>
              <w:rPr>
                <w:rFonts w:hint="eastAsia" w:eastAsia="宋体"/>
                <w:color w:val="auto"/>
                <w:kern w:val="0"/>
                <w:sz w:val="24"/>
              </w:rPr>
              <w:t>6</w:t>
            </w:r>
            <w:r>
              <w:rPr>
                <w:rFonts w:eastAsia="宋体"/>
                <w:color w:val="auto"/>
                <w:kern w:val="0"/>
                <w:sz w:val="24"/>
              </w:rPr>
              <w:t>）包装：使用纸箱进行包装</w:t>
            </w:r>
            <w:r>
              <w:rPr>
                <w:rFonts w:hint="eastAsia" w:eastAsia="宋体"/>
                <w:color w:val="auto"/>
                <w:kern w:val="0"/>
                <w:sz w:val="24"/>
              </w:rPr>
              <w:t>，该过程产生废包装。</w:t>
            </w:r>
          </w:p>
          <w:p>
            <w:pPr>
              <w:pStyle w:val="17"/>
              <w:ind w:firstLine="480"/>
              <w:rPr>
                <w:rFonts w:eastAsia="宋体"/>
                <w:color w:val="auto"/>
                <w:kern w:val="0"/>
                <w:sz w:val="24"/>
              </w:rPr>
            </w:pPr>
            <w:r>
              <w:rPr>
                <w:rFonts w:hint="eastAsia" w:eastAsia="宋体"/>
                <w:color w:val="auto"/>
                <w:kern w:val="0"/>
                <w:sz w:val="24"/>
              </w:rPr>
              <w:t>前围隔热层</w:t>
            </w:r>
            <w:r>
              <w:rPr>
                <w:rFonts w:eastAsia="宋体"/>
                <w:color w:val="auto"/>
                <w:kern w:val="0"/>
                <w:sz w:val="24"/>
              </w:rPr>
              <w:t>产品</w:t>
            </w:r>
            <w:r>
              <w:rPr>
                <w:rFonts w:hint="eastAsia" w:eastAsia="宋体"/>
                <w:color w:val="auto"/>
                <w:kern w:val="0"/>
                <w:sz w:val="24"/>
              </w:rPr>
              <w:t>具体生产</w:t>
            </w:r>
            <w:r>
              <w:rPr>
                <w:rFonts w:eastAsia="宋体"/>
                <w:color w:val="auto"/>
                <w:kern w:val="0"/>
                <w:sz w:val="24"/>
              </w:rPr>
              <w:t>工艺</w:t>
            </w:r>
            <w:r>
              <w:rPr>
                <w:rFonts w:hint="eastAsia" w:eastAsia="宋体"/>
                <w:color w:val="auto"/>
                <w:kern w:val="0"/>
                <w:sz w:val="24"/>
              </w:rPr>
              <w:t>及产污环节见图2-5：</w:t>
            </w:r>
          </w:p>
          <w:p>
            <w:pPr>
              <w:rPr>
                <w:color w:val="auto"/>
              </w:rPr>
            </w:pPr>
            <w:r>
              <w:rPr>
                <w:color w:val="auto"/>
              </w:rPr>
              <w:drawing>
                <wp:inline distT="0" distB="0" distL="114300" distR="114300">
                  <wp:extent cx="5037455" cy="2527300"/>
                  <wp:effectExtent l="0" t="0" r="10795" b="635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1"/>
                          <a:stretch>
                            <a:fillRect/>
                          </a:stretch>
                        </pic:blipFill>
                        <pic:spPr>
                          <a:xfrm>
                            <a:off x="0" y="0"/>
                            <a:ext cx="5037455" cy="2527300"/>
                          </a:xfrm>
                          <a:prstGeom prst="rect">
                            <a:avLst/>
                          </a:prstGeom>
                          <a:noFill/>
                          <a:ln>
                            <a:noFill/>
                          </a:ln>
                        </pic:spPr>
                      </pic:pic>
                    </a:graphicData>
                  </a:graphic>
                </wp:inline>
              </w:drawing>
            </w:r>
          </w:p>
          <w:p>
            <w:pPr>
              <w:pStyle w:val="17"/>
              <w:ind w:firstLine="0" w:firstLineChars="0"/>
              <w:jc w:val="center"/>
              <w:rPr>
                <w:rFonts w:eastAsia="宋体"/>
                <w:color w:val="auto"/>
                <w:kern w:val="0"/>
                <w:sz w:val="24"/>
              </w:rPr>
            </w:pPr>
            <w:r>
              <w:rPr>
                <w:rFonts w:eastAsia="宋体"/>
                <w:b/>
                <w:bCs/>
                <w:color w:val="auto"/>
                <w:sz w:val="21"/>
                <w:szCs w:val="21"/>
              </w:rPr>
              <w:t>图2-</w:t>
            </w:r>
            <w:r>
              <w:rPr>
                <w:rFonts w:hint="eastAsia" w:eastAsia="宋体"/>
                <w:b/>
                <w:bCs/>
                <w:color w:val="auto"/>
                <w:sz w:val="21"/>
                <w:szCs w:val="21"/>
              </w:rPr>
              <w:t>5</w:t>
            </w:r>
            <w:r>
              <w:rPr>
                <w:rFonts w:eastAsia="宋体"/>
                <w:b/>
                <w:bCs/>
                <w:color w:val="auto"/>
                <w:sz w:val="21"/>
                <w:szCs w:val="21"/>
              </w:rPr>
              <w:t>前围隔热层工艺流程及产污环节图</w:t>
            </w:r>
          </w:p>
          <w:p>
            <w:pPr>
              <w:pStyle w:val="17"/>
              <w:ind w:firstLine="480"/>
              <w:rPr>
                <w:rFonts w:eastAsia="宋体"/>
                <w:color w:val="auto"/>
                <w:kern w:val="0"/>
                <w:sz w:val="24"/>
              </w:rPr>
            </w:pPr>
            <w:r>
              <w:rPr>
                <w:rFonts w:eastAsia="宋体"/>
                <w:color w:val="auto"/>
                <w:kern w:val="0"/>
                <w:sz w:val="24"/>
              </w:rPr>
              <w:t>D、</w:t>
            </w:r>
            <w:r>
              <w:rPr>
                <w:rFonts w:hint="eastAsia" w:eastAsia="宋体"/>
                <w:color w:val="auto"/>
                <w:kern w:val="0"/>
                <w:sz w:val="24"/>
              </w:rPr>
              <w:t>地毯项目</w:t>
            </w:r>
            <w:r>
              <w:rPr>
                <w:rFonts w:eastAsia="宋体"/>
                <w:color w:val="auto"/>
                <w:kern w:val="0"/>
                <w:sz w:val="24"/>
              </w:rPr>
              <w:t>产品工艺流程简述：</w:t>
            </w:r>
          </w:p>
          <w:p>
            <w:pPr>
              <w:pStyle w:val="17"/>
              <w:ind w:firstLine="480"/>
              <w:rPr>
                <w:rFonts w:eastAsia="宋体"/>
                <w:color w:val="auto"/>
                <w:kern w:val="0"/>
                <w:sz w:val="24"/>
              </w:rPr>
            </w:pPr>
            <w:r>
              <w:rPr>
                <w:rFonts w:eastAsia="宋体"/>
                <w:color w:val="auto"/>
                <w:kern w:val="0"/>
                <w:sz w:val="24"/>
              </w:rPr>
              <w:t>（1）来料检验：对采购的毛毡料品质进行检验。</w:t>
            </w:r>
          </w:p>
          <w:p>
            <w:pPr>
              <w:ind w:firstLine="480" w:firstLineChars="200"/>
              <w:rPr>
                <w:color w:val="auto"/>
              </w:rPr>
            </w:pPr>
            <w:r>
              <w:rPr>
                <w:color w:val="auto"/>
                <w:kern w:val="0"/>
                <w:sz w:val="24"/>
              </w:rPr>
              <w:t>（2）</w:t>
            </w:r>
            <w:r>
              <w:rPr>
                <w:rFonts w:hint="eastAsia"/>
                <w:color w:val="auto"/>
                <w:kern w:val="0"/>
                <w:sz w:val="24"/>
              </w:rPr>
              <w:t>模具清理</w:t>
            </w:r>
            <w:r>
              <w:rPr>
                <w:color w:val="auto"/>
                <w:kern w:val="0"/>
                <w:sz w:val="24"/>
              </w:rPr>
              <w:t>：清理杂物，判检查排气孔是否堵塞。此过程产生少量</w:t>
            </w:r>
            <w:r>
              <w:rPr>
                <w:rFonts w:hint="eastAsia"/>
                <w:color w:val="auto"/>
                <w:kern w:val="0"/>
                <w:sz w:val="24"/>
              </w:rPr>
              <w:t>颗粒物。</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rPr>
              <w:t>3</w:t>
            </w:r>
            <w:r>
              <w:rPr>
                <w:rFonts w:eastAsia="宋体"/>
                <w:color w:val="auto"/>
                <w:kern w:val="0"/>
                <w:sz w:val="24"/>
              </w:rPr>
              <w:t>）模压成型：此过程对毛毡料进行加热，加热至180-</w:t>
            </w:r>
            <w:r>
              <w:rPr>
                <w:rFonts w:hint="eastAsia" w:eastAsia="宋体"/>
                <w:color w:val="auto"/>
                <w:kern w:val="0"/>
                <w:sz w:val="24"/>
              </w:rPr>
              <w:t>245</w:t>
            </w:r>
            <w:r>
              <w:rPr>
                <w:rFonts w:eastAsia="宋体"/>
                <w:color w:val="auto"/>
                <w:kern w:val="0"/>
                <w:sz w:val="24"/>
              </w:rPr>
              <w:t>℃，加热的目的是使毛毡软化，易成型。</w:t>
            </w:r>
          </w:p>
          <w:p>
            <w:pPr>
              <w:pStyle w:val="17"/>
              <w:ind w:firstLine="480"/>
              <w:rPr>
                <w:rFonts w:eastAsia="宋体"/>
                <w:color w:val="auto"/>
                <w:kern w:val="0"/>
                <w:sz w:val="24"/>
              </w:rPr>
            </w:pPr>
            <w:r>
              <w:rPr>
                <w:rFonts w:eastAsia="宋体"/>
                <w:color w:val="auto"/>
                <w:kern w:val="0"/>
                <w:sz w:val="24"/>
              </w:rPr>
              <w:t>加热过程中烘烤产生少量有机废气，模压过程中模压机自带修边设备，对产品进行修边，产生固体废物。</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rPr>
              <w:t>4</w:t>
            </w:r>
            <w:r>
              <w:rPr>
                <w:rFonts w:eastAsia="宋体"/>
                <w:color w:val="auto"/>
                <w:kern w:val="0"/>
                <w:sz w:val="24"/>
              </w:rPr>
              <w:t>）发泡成型：发泡过程使用的原料为组合聚醚（A料）、异氰酸酯（B料）均为外购产品，发泡过程中无需添加其他辅料。将A料和B料在搅拌罐内时刻搅拌，本项目采用聚氨酯发泡工艺，其主要过程是储罐内搅拌均匀的发泡原料输送至发泡机喷头上，通过高速喷枪浇注在模具内。A料与B料反应形成泡沫，填充模具中间空隙，发泡成型。发泡在密闭的模具中进行，此过程产生的废气包括发泡剂挥发废气、脱模剂挥发废气等发泡机自带工具对产品进行修边，产生少量固废。</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rPr>
              <w:t>5</w:t>
            </w:r>
            <w:r>
              <w:rPr>
                <w:rFonts w:eastAsia="宋体"/>
                <w:color w:val="auto"/>
                <w:kern w:val="0"/>
                <w:sz w:val="24"/>
              </w:rPr>
              <w:t>）水刀切割：通过对水加压后以水为刀，切割产品。产生少量废水</w:t>
            </w:r>
            <w:r>
              <w:rPr>
                <w:rFonts w:hint="eastAsia" w:eastAsia="宋体"/>
                <w:color w:val="auto"/>
                <w:kern w:val="0"/>
                <w:sz w:val="24"/>
              </w:rPr>
              <w:t>、过滤残渣以及废无纺布</w:t>
            </w:r>
            <w:r>
              <w:rPr>
                <w:rFonts w:eastAsia="宋体"/>
                <w:color w:val="auto"/>
                <w:kern w:val="0"/>
                <w:sz w:val="24"/>
              </w:rPr>
              <w:t>。</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rPr>
              <w:t>6</w:t>
            </w:r>
            <w:r>
              <w:rPr>
                <w:rFonts w:eastAsia="宋体"/>
                <w:color w:val="auto"/>
                <w:kern w:val="0"/>
                <w:sz w:val="24"/>
              </w:rPr>
              <w:t>）装配：将产品与其他零部件按规定的技术要求组装起来。</w:t>
            </w:r>
          </w:p>
          <w:p>
            <w:pPr>
              <w:pStyle w:val="17"/>
              <w:ind w:firstLine="480"/>
              <w:rPr>
                <w:rFonts w:eastAsia="宋体"/>
                <w:color w:val="auto"/>
                <w:kern w:val="0"/>
                <w:sz w:val="24"/>
              </w:rPr>
            </w:pPr>
            <w:r>
              <w:rPr>
                <w:rFonts w:eastAsia="宋体"/>
                <w:color w:val="auto"/>
                <w:kern w:val="0"/>
                <w:sz w:val="24"/>
              </w:rPr>
              <w:t>（</w:t>
            </w:r>
            <w:r>
              <w:rPr>
                <w:rFonts w:hint="eastAsia" w:eastAsia="宋体"/>
                <w:color w:val="auto"/>
                <w:kern w:val="0"/>
                <w:sz w:val="24"/>
              </w:rPr>
              <w:t>7</w:t>
            </w:r>
            <w:r>
              <w:rPr>
                <w:rFonts w:eastAsia="宋体"/>
                <w:color w:val="auto"/>
                <w:kern w:val="0"/>
                <w:sz w:val="24"/>
              </w:rPr>
              <w:t>）包装：使用纸箱进行包装。</w:t>
            </w:r>
          </w:p>
          <w:p>
            <w:pPr>
              <w:ind w:firstLine="480" w:firstLineChars="200"/>
              <w:rPr>
                <w:color w:val="auto"/>
                <w:kern w:val="0"/>
                <w:sz w:val="24"/>
              </w:rPr>
            </w:pPr>
            <w:r>
              <w:rPr>
                <w:rFonts w:hint="eastAsia"/>
                <w:color w:val="auto"/>
                <w:kern w:val="0"/>
                <w:sz w:val="24"/>
              </w:rPr>
              <w:t>地毯项目</w:t>
            </w:r>
            <w:r>
              <w:rPr>
                <w:color w:val="auto"/>
                <w:kern w:val="0"/>
                <w:sz w:val="24"/>
              </w:rPr>
              <w:t>产品</w:t>
            </w:r>
            <w:r>
              <w:rPr>
                <w:rFonts w:hint="eastAsia"/>
                <w:color w:val="auto"/>
                <w:kern w:val="0"/>
                <w:sz w:val="24"/>
              </w:rPr>
              <w:t>具体生产</w:t>
            </w:r>
            <w:r>
              <w:rPr>
                <w:color w:val="auto"/>
                <w:kern w:val="0"/>
                <w:sz w:val="24"/>
              </w:rPr>
              <w:t>工艺</w:t>
            </w:r>
            <w:r>
              <w:rPr>
                <w:rFonts w:hint="eastAsia"/>
                <w:color w:val="auto"/>
                <w:kern w:val="0"/>
                <w:sz w:val="24"/>
              </w:rPr>
              <w:t>及产污环节见图2-6：</w:t>
            </w:r>
          </w:p>
          <w:p>
            <w:pPr>
              <w:rPr>
                <w:color w:val="auto"/>
              </w:rPr>
            </w:pPr>
          </w:p>
          <w:p>
            <w:pPr>
              <w:rPr>
                <w:color w:val="auto"/>
              </w:rPr>
            </w:pPr>
            <w:r>
              <w:rPr>
                <w:color w:val="auto"/>
              </w:rPr>
              <w:drawing>
                <wp:inline distT="0" distB="0" distL="114300" distR="114300">
                  <wp:extent cx="5043170" cy="2409825"/>
                  <wp:effectExtent l="0" t="0" r="5080" b="952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2"/>
                          <a:stretch>
                            <a:fillRect/>
                          </a:stretch>
                        </pic:blipFill>
                        <pic:spPr>
                          <a:xfrm>
                            <a:off x="0" y="0"/>
                            <a:ext cx="5043170" cy="2409825"/>
                          </a:xfrm>
                          <a:prstGeom prst="rect">
                            <a:avLst/>
                          </a:prstGeom>
                          <a:noFill/>
                          <a:ln>
                            <a:noFill/>
                          </a:ln>
                        </pic:spPr>
                      </pic:pic>
                    </a:graphicData>
                  </a:graphic>
                </wp:inline>
              </w:drawing>
            </w:r>
          </w:p>
          <w:p>
            <w:pPr>
              <w:pStyle w:val="17"/>
              <w:ind w:firstLine="0" w:firstLineChars="0"/>
              <w:jc w:val="center"/>
              <w:rPr>
                <w:rFonts w:eastAsia="宋体"/>
                <w:b/>
                <w:bCs/>
                <w:color w:val="auto"/>
                <w:kern w:val="0"/>
                <w:sz w:val="21"/>
                <w:szCs w:val="21"/>
              </w:rPr>
            </w:pPr>
            <w:r>
              <w:rPr>
                <w:rFonts w:eastAsia="宋体"/>
                <w:b/>
                <w:bCs/>
                <w:color w:val="auto"/>
                <w:sz w:val="21"/>
                <w:szCs w:val="21"/>
              </w:rPr>
              <w:t>图2-</w:t>
            </w:r>
            <w:r>
              <w:rPr>
                <w:rFonts w:hint="eastAsia" w:eastAsia="宋体"/>
                <w:b/>
                <w:bCs/>
                <w:color w:val="auto"/>
                <w:sz w:val="21"/>
                <w:szCs w:val="21"/>
              </w:rPr>
              <w:t>6</w:t>
            </w:r>
            <w:r>
              <w:rPr>
                <w:rFonts w:eastAsia="宋体"/>
                <w:b/>
                <w:bCs/>
                <w:color w:val="auto"/>
                <w:sz w:val="21"/>
                <w:szCs w:val="21"/>
              </w:rPr>
              <w:t>地毯工艺流程及产污环节图</w:t>
            </w:r>
          </w:p>
          <w:p>
            <w:pPr>
              <w:pStyle w:val="17"/>
              <w:ind w:firstLine="0" w:firstLineChars="0"/>
              <w:rPr>
                <w:rFonts w:eastAsia="宋体"/>
                <w:b/>
                <w:bCs/>
                <w:color w:val="auto"/>
                <w:kern w:val="0"/>
                <w:sz w:val="24"/>
              </w:rPr>
            </w:pPr>
            <w:r>
              <w:rPr>
                <w:rFonts w:eastAsia="宋体"/>
                <w:b/>
                <w:bCs/>
                <w:color w:val="auto"/>
                <w:kern w:val="0"/>
                <w:sz w:val="24"/>
              </w:rPr>
              <w:t>3、主要产污工序</w:t>
            </w:r>
          </w:p>
          <w:p>
            <w:pPr>
              <w:pStyle w:val="17"/>
              <w:ind w:firstLine="480"/>
              <w:rPr>
                <w:rFonts w:eastAsia="宋体"/>
                <w:color w:val="auto"/>
                <w:kern w:val="0"/>
                <w:sz w:val="24"/>
              </w:rPr>
            </w:pPr>
            <w:r>
              <w:rPr>
                <w:rFonts w:eastAsia="宋体"/>
                <w:color w:val="auto"/>
                <w:kern w:val="0"/>
                <w:sz w:val="24"/>
              </w:rPr>
              <w:t>本项目的产污环节详见下表。</w:t>
            </w:r>
          </w:p>
          <w:p>
            <w:pPr>
              <w:widowControl/>
              <w:ind w:firstLine="480"/>
              <w:jc w:val="center"/>
              <w:rPr>
                <w:rFonts w:eastAsiaTheme="minorEastAsia"/>
                <w:b/>
                <w:bCs/>
                <w:color w:val="auto"/>
                <w:szCs w:val="21"/>
              </w:rPr>
            </w:pPr>
            <w:r>
              <w:rPr>
                <w:rFonts w:eastAsiaTheme="minorEastAsia"/>
                <w:b/>
                <w:bCs/>
                <w:color w:val="auto"/>
                <w:kern w:val="0"/>
                <w:szCs w:val="21"/>
                <w:lang w:bidi="ar"/>
              </w:rPr>
              <w:t>表</w:t>
            </w:r>
            <w:r>
              <w:rPr>
                <w:rFonts w:eastAsiaTheme="minorEastAsia"/>
                <w:b/>
                <w:bCs/>
                <w:color w:val="auto"/>
                <w:szCs w:val="21"/>
              </w:rPr>
              <w:t>2-10</w:t>
            </w:r>
            <w:r>
              <w:rPr>
                <w:rFonts w:eastAsiaTheme="minorEastAsia"/>
                <w:b/>
                <w:bCs/>
                <w:color w:val="auto"/>
                <w:kern w:val="0"/>
                <w:szCs w:val="21"/>
                <w:lang w:bidi="ar"/>
              </w:rPr>
              <w:t xml:space="preserve"> 本项目产污环节一览表</w:t>
            </w:r>
          </w:p>
          <w:tbl>
            <w:tblPr>
              <w:tblStyle w:val="19"/>
              <w:tblW w:w="5000" w:type="pct"/>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728"/>
              <w:gridCol w:w="2703"/>
              <w:gridCol w:w="1599"/>
              <w:gridCol w:w="1602"/>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Align w:val="center"/>
                </w:tcPr>
                <w:p>
                  <w:pPr>
                    <w:jc w:val="center"/>
                    <w:rPr>
                      <w:b/>
                      <w:bCs/>
                      <w:color w:val="auto"/>
                      <w:szCs w:val="21"/>
                    </w:rPr>
                  </w:pPr>
                  <w:r>
                    <w:rPr>
                      <w:b/>
                      <w:bCs/>
                      <w:color w:val="auto"/>
                      <w:szCs w:val="21"/>
                    </w:rPr>
                    <w:t>污染物类别</w:t>
                  </w:r>
                </w:p>
              </w:tc>
              <w:tc>
                <w:tcPr>
                  <w:tcW w:w="458" w:type="pct"/>
                  <w:vAlign w:val="center"/>
                </w:tcPr>
                <w:p>
                  <w:pPr>
                    <w:jc w:val="center"/>
                    <w:rPr>
                      <w:b/>
                      <w:bCs/>
                      <w:color w:val="auto"/>
                      <w:szCs w:val="21"/>
                    </w:rPr>
                  </w:pPr>
                  <w:r>
                    <w:rPr>
                      <w:b/>
                      <w:bCs/>
                      <w:color w:val="auto"/>
                      <w:szCs w:val="21"/>
                    </w:rPr>
                    <w:t>序号</w:t>
                  </w:r>
                </w:p>
              </w:tc>
              <w:tc>
                <w:tcPr>
                  <w:tcW w:w="1701" w:type="pct"/>
                  <w:vAlign w:val="center"/>
                </w:tcPr>
                <w:p>
                  <w:pPr>
                    <w:jc w:val="center"/>
                    <w:rPr>
                      <w:b/>
                      <w:bCs/>
                      <w:color w:val="auto"/>
                      <w:szCs w:val="21"/>
                    </w:rPr>
                  </w:pPr>
                  <w:r>
                    <w:rPr>
                      <w:b/>
                      <w:bCs/>
                      <w:color w:val="auto"/>
                      <w:szCs w:val="21"/>
                    </w:rPr>
                    <w:t>污染源名称</w:t>
                  </w:r>
                </w:p>
              </w:tc>
              <w:tc>
                <w:tcPr>
                  <w:tcW w:w="1006" w:type="pct"/>
                  <w:vAlign w:val="center"/>
                </w:tcPr>
                <w:p>
                  <w:pPr>
                    <w:jc w:val="center"/>
                    <w:rPr>
                      <w:b/>
                      <w:bCs/>
                      <w:color w:val="auto"/>
                      <w:szCs w:val="21"/>
                    </w:rPr>
                  </w:pPr>
                  <w:r>
                    <w:rPr>
                      <w:b/>
                      <w:bCs/>
                      <w:color w:val="auto"/>
                      <w:szCs w:val="21"/>
                    </w:rPr>
                    <w:t>污染物组成</w:t>
                  </w:r>
                </w:p>
              </w:tc>
              <w:tc>
                <w:tcPr>
                  <w:tcW w:w="1006" w:type="pct"/>
                  <w:vAlign w:val="center"/>
                </w:tcPr>
                <w:p>
                  <w:pPr>
                    <w:jc w:val="center"/>
                    <w:rPr>
                      <w:b/>
                      <w:bCs/>
                      <w:color w:val="auto"/>
                      <w:szCs w:val="21"/>
                    </w:rPr>
                  </w:pPr>
                  <w:r>
                    <w:rPr>
                      <w:b/>
                      <w:bCs/>
                      <w:color w:val="auto"/>
                      <w:szCs w:val="21"/>
                    </w:rPr>
                    <w:t>排放规律</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vAlign w:val="center"/>
                </w:tcPr>
                <w:p>
                  <w:pPr>
                    <w:jc w:val="center"/>
                    <w:rPr>
                      <w:color w:val="auto"/>
                      <w:szCs w:val="21"/>
                    </w:rPr>
                  </w:pPr>
                  <w:r>
                    <w:rPr>
                      <w:color w:val="auto"/>
                      <w:szCs w:val="21"/>
                    </w:rPr>
                    <w:t>废气</w:t>
                  </w:r>
                </w:p>
              </w:tc>
              <w:tc>
                <w:tcPr>
                  <w:tcW w:w="4173" w:type="pct"/>
                  <w:gridSpan w:val="4"/>
                  <w:vAlign w:val="center"/>
                </w:tcPr>
                <w:p>
                  <w:pPr>
                    <w:jc w:val="center"/>
                    <w:rPr>
                      <w:color w:val="auto"/>
                      <w:szCs w:val="21"/>
                    </w:rPr>
                  </w:pPr>
                  <w:r>
                    <w:rPr>
                      <w:color w:val="auto"/>
                      <w:szCs w:val="21"/>
                    </w:rPr>
                    <w:t>声学包产品生产线</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1</w:t>
                  </w:r>
                </w:p>
              </w:tc>
              <w:tc>
                <w:tcPr>
                  <w:tcW w:w="1701" w:type="pct"/>
                  <w:vAlign w:val="center"/>
                </w:tcPr>
                <w:p>
                  <w:pPr>
                    <w:jc w:val="center"/>
                    <w:rPr>
                      <w:color w:val="auto"/>
                      <w:szCs w:val="21"/>
                    </w:rPr>
                  </w:pPr>
                  <w:r>
                    <w:rPr>
                      <w:color w:val="auto"/>
                      <w:szCs w:val="21"/>
                    </w:rPr>
                    <w:t>模压成型（加热废气）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2</w:t>
                  </w:r>
                </w:p>
              </w:tc>
              <w:tc>
                <w:tcPr>
                  <w:tcW w:w="1701" w:type="pct"/>
                  <w:vAlign w:val="center"/>
                </w:tcPr>
                <w:p>
                  <w:pPr>
                    <w:jc w:val="center"/>
                    <w:rPr>
                      <w:color w:val="auto"/>
                      <w:szCs w:val="21"/>
                    </w:rPr>
                  </w:pPr>
                  <w:r>
                    <w:rPr>
                      <w:color w:val="auto"/>
                      <w:szCs w:val="21"/>
                    </w:rPr>
                    <w:t>发泡成型（发泡剂挥发废气、脱模剂挥发废气）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3</w:t>
                  </w:r>
                </w:p>
              </w:tc>
              <w:tc>
                <w:tcPr>
                  <w:tcW w:w="1701" w:type="pct"/>
                  <w:vAlign w:val="center"/>
                </w:tcPr>
                <w:p>
                  <w:pPr>
                    <w:jc w:val="center"/>
                    <w:rPr>
                      <w:color w:val="auto"/>
                      <w:szCs w:val="21"/>
                    </w:rPr>
                  </w:pPr>
                  <w:r>
                    <w:rPr>
                      <w:rFonts w:hint="eastAsia"/>
                      <w:color w:val="auto"/>
                      <w:szCs w:val="21"/>
                    </w:rPr>
                    <w:t>模具清理</w:t>
                  </w:r>
                </w:p>
              </w:tc>
              <w:tc>
                <w:tcPr>
                  <w:tcW w:w="1006" w:type="pct"/>
                  <w:vAlign w:val="center"/>
                </w:tcPr>
                <w:p>
                  <w:pPr>
                    <w:jc w:val="center"/>
                    <w:rPr>
                      <w:color w:val="auto"/>
                      <w:szCs w:val="21"/>
                    </w:rPr>
                  </w:pPr>
                  <w:r>
                    <w:rPr>
                      <w:rFonts w:hint="eastAsia"/>
                      <w:color w:val="auto"/>
                      <w:szCs w:val="21"/>
                    </w:rPr>
                    <w:t>颗粒物</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173" w:type="pct"/>
                  <w:gridSpan w:val="4"/>
                  <w:vAlign w:val="center"/>
                </w:tcPr>
                <w:p>
                  <w:pPr>
                    <w:jc w:val="center"/>
                    <w:rPr>
                      <w:color w:val="auto"/>
                      <w:szCs w:val="21"/>
                    </w:rPr>
                  </w:pPr>
                  <w:r>
                    <w:rPr>
                      <w:rFonts w:hint="eastAsia"/>
                      <w:color w:val="auto"/>
                      <w:szCs w:val="21"/>
                    </w:rPr>
                    <w:t>搁物架产品生产线</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4</w:t>
                  </w:r>
                </w:p>
              </w:tc>
              <w:tc>
                <w:tcPr>
                  <w:tcW w:w="1701" w:type="pct"/>
                  <w:vAlign w:val="center"/>
                </w:tcPr>
                <w:p>
                  <w:pPr>
                    <w:jc w:val="center"/>
                    <w:rPr>
                      <w:color w:val="auto"/>
                      <w:szCs w:val="21"/>
                    </w:rPr>
                  </w:pPr>
                  <w:r>
                    <w:rPr>
                      <w:color w:val="auto"/>
                      <w:szCs w:val="21"/>
                    </w:rPr>
                    <w:t>模压成型 （加热废气）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5</w:t>
                  </w:r>
                </w:p>
              </w:tc>
              <w:tc>
                <w:tcPr>
                  <w:tcW w:w="1701" w:type="pct"/>
                  <w:vAlign w:val="center"/>
                </w:tcPr>
                <w:p>
                  <w:pPr>
                    <w:jc w:val="center"/>
                    <w:rPr>
                      <w:color w:val="auto"/>
                      <w:szCs w:val="21"/>
                    </w:rPr>
                  </w:pPr>
                  <w:r>
                    <w:rPr>
                      <w:rFonts w:hint="eastAsia"/>
                      <w:color w:val="auto"/>
                      <w:szCs w:val="21"/>
                    </w:rPr>
                    <w:t>模具清理</w:t>
                  </w:r>
                </w:p>
              </w:tc>
              <w:tc>
                <w:tcPr>
                  <w:tcW w:w="1006" w:type="pct"/>
                  <w:vAlign w:val="center"/>
                </w:tcPr>
                <w:p>
                  <w:pPr>
                    <w:jc w:val="center"/>
                    <w:rPr>
                      <w:color w:val="auto"/>
                      <w:szCs w:val="21"/>
                    </w:rPr>
                  </w:pPr>
                  <w:r>
                    <w:rPr>
                      <w:rFonts w:hint="eastAsia"/>
                      <w:color w:val="auto"/>
                      <w:szCs w:val="21"/>
                    </w:rPr>
                    <w:t>颗粒物</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173" w:type="pct"/>
                  <w:gridSpan w:val="4"/>
                  <w:vAlign w:val="center"/>
                </w:tcPr>
                <w:p>
                  <w:pPr>
                    <w:jc w:val="center"/>
                    <w:rPr>
                      <w:color w:val="auto"/>
                      <w:szCs w:val="21"/>
                    </w:rPr>
                  </w:pPr>
                  <w:r>
                    <w:rPr>
                      <w:rFonts w:hint="eastAsia"/>
                      <w:color w:val="auto"/>
                      <w:szCs w:val="21"/>
                    </w:rPr>
                    <w:t>前围隔热层产品生产线</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6</w:t>
                  </w:r>
                </w:p>
              </w:tc>
              <w:tc>
                <w:tcPr>
                  <w:tcW w:w="1701" w:type="pct"/>
                  <w:vAlign w:val="center"/>
                </w:tcPr>
                <w:p>
                  <w:pPr>
                    <w:jc w:val="center"/>
                    <w:rPr>
                      <w:color w:val="auto"/>
                      <w:szCs w:val="21"/>
                    </w:rPr>
                  </w:pPr>
                  <w:r>
                    <w:rPr>
                      <w:color w:val="auto"/>
                      <w:szCs w:val="21"/>
                    </w:rPr>
                    <w:t>模压成型 （加热废气）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7</w:t>
                  </w:r>
                </w:p>
              </w:tc>
              <w:tc>
                <w:tcPr>
                  <w:tcW w:w="1701" w:type="pct"/>
                  <w:vAlign w:val="center"/>
                </w:tcPr>
                <w:p>
                  <w:pPr>
                    <w:jc w:val="center"/>
                    <w:rPr>
                      <w:color w:val="auto"/>
                      <w:szCs w:val="21"/>
                    </w:rPr>
                  </w:pPr>
                  <w:r>
                    <w:rPr>
                      <w:color w:val="auto"/>
                      <w:szCs w:val="21"/>
                    </w:rPr>
                    <w:t>发泡成型（发泡剂挥发废气、脱模剂挥发废气）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8</w:t>
                  </w:r>
                </w:p>
              </w:tc>
              <w:tc>
                <w:tcPr>
                  <w:tcW w:w="1701" w:type="pct"/>
                  <w:vAlign w:val="center"/>
                </w:tcPr>
                <w:p>
                  <w:pPr>
                    <w:jc w:val="center"/>
                    <w:rPr>
                      <w:color w:val="auto"/>
                      <w:szCs w:val="21"/>
                    </w:rPr>
                  </w:pPr>
                  <w:r>
                    <w:rPr>
                      <w:rFonts w:hint="eastAsia"/>
                      <w:color w:val="auto"/>
                      <w:szCs w:val="21"/>
                    </w:rPr>
                    <w:t>模具清理</w:t>
                  </w:r>
                </w:p>
              </w:tc>
              <w:tc>
                <w:tcPr>
                  <w:tcW w:w="1006" w:type="pct"/>
                  <w:vAlign w:val="center"/>
                </w:tcPr>
                <w:p>
                  <w:pPr>
                    <w:jc w:val="center"/>
                    <w:rPr>
                      <w:color w:val="auto"/>
                      <w:szCs w:val="21"/>
                    </w:rPr>
                  </w:pPr>
                  <w:r>
                    <w:rPr>
                      <w:rFonts w:hint="eastAsia"/>
                      <w:color w:val="auto"/>
                      <w:szCs w:val="21"/>
                    </w:rPr>
                    <w:t>颗粒物</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173" w:type="pct"/>
                  <w:gridSpan w:val="4"/>
                  <w:vAlign w:val="center"/>
                </w:tcPr>
                <w:p>
                  <w:pPr>
                    <w:jc w:val="center"/>
                    <w:rPr>
                      <w:color w:val="auto"/>
                      <w:szCs w:val="21"/>
                    </w:rPr>
                  </w:pPr>
                  <w:r>
                    <w:rPr>
                      <w:rFonts w:hint="eastAsia"/>
                      <w:color w:val="auto"/>
                      <w:szCs w:val="21"/>
                    </w:rPr>
                    <w:t>地毯项目产品生产线</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9</w:t>
                  </w:r>
                </w:p>
              </w:tc>
              <w:tc>
                <w:tcPr>
                  <w:tcW w:w="1701" w:type="pct"/>
                  <w:vAlign w:val="center"/>
                </w:tcPr>
                <w:p>
                  <w:pPr>
                    <w:jc w:val="center"/>
                    <w:rPr>
                      <w:color w:val="auto"/>
                      <w:szCs w:val="21"/>
                    </w:rPr>
                  </w:pPr>
                  <w:r>
                    <w:rPr>
                      <w:color w:val="auto"/>
                      <w:szCs w:val="21"/>
                    </w:rPr>
                    <w:t>模压成型 （加热废气）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10</w:t>
                  </w:r>
                </w:p>
              </w:tc>
              <w:tc>
                <w:tcPr>
                  <w:tcW w:w="1701" w:type="pct"/>
                  <w:vAlign w:val="center"/>
                </w:tcPr>
                <w:p>
                  <w:pPr>
                    <w:jc w:val="center"/>
                    <w:rPr>
                      <w:color w:val="auto"/>
                      <w:szCs w:val="21"/>
                    </w:rPr>
                  </w:pPr>
                  <w:r>
                    <w:rPr>
                      <w:color w:val="auto"/>
                      <w:szCs w:val="21"/>
                    </w:rPr>
                    <w:t>发泡成型（发泡剂挥发废气、脱模剂挥发废气）</w:t>
                  </w:r>
                </w:p>
              </w:tc>
              <w:tc>
                <w:tcPr>
                  <w:tcW w:w="1006" w:type="pct"/>
                  <w:vAlign w:val="center"/>
                </w:tcPr>
                <w:p>
                  <w:pPr>
                    <w:jc w:val="center"/>
                    <w:rPr>
                      <w:color w:val="auto"/>
                      <w:szCs w:val="21"/>
                    </w:rPr>
                  </w:pPr>
                  <w:r>
                    <w:rPr>
                      <w:color w:val="auto"/>
                      <w:szCs w:val="21"/>
                    </w:rPr>
                    <w:t>NMHC</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11</w:t>
                  </w:r>
                </w:p>
              </w:tc>
              <w:tc>
                <w:tcPr>
                  <w:tcW w:w="1701" w:type="pct"/>
                  <w:vAlign w:val="center"/>
                </w:tcPr>
                <w:p>
                  <w:pPr>
                    <w:jc w:val="center"/>
                    <w:rPr>
                      <w:color w:val="auto"/>
                      <w:szCs w:val="21"/>
                    </w:rPr>
                  </w:pPr>
                  <w:r>
                    <w:rPr>
                      <w:rFonts w:hint="eastAsia"/>
                      <w:color w:val="auto"/>
                      <w:szCs w:val="21"/>
                    </w:rPr>
                    <w:t>模具清理</w:t>
                  </w:r>
                </w:p>
              </w:tc>
              <w:tc>
                <w:tcPr>
                  <w:tcW w:w="1006" w:type="pct"/>
                  <w:vAlign w:val="center"/>
                </w:tcPr>
                <w:p>
                  <w:pPr>
                    <w:jc w:val="center"/>
                    <w:rPr>
                      <w:color w:val="auto"/>
                      <w:szCs w:val="21"/>
                    </w:rPr>
                  </w:pPr>
                  <w:r>
                    <w:rPr>
                      <w:rFonts w:hint="eastAsia"/>
                      <w:color w:val="auto"/>
                      <w:szCs w:val="21"/>
                    </w:rPr>
                    <w:t>颗粒物</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173" w:type="pct"/>
                  <w:gridSpan w:val="4"/>
                  <w:vAlign w:val="center"/>
                </w:tcPr>
                <w:p>
                  <w:pPr>
                    <w:jc w:val="center"/>
                    <w:rPr>
                      <w:color w:val="auto"/>
                      <w:szCs w:val="21"/>
                    </w:rPr>
                  </w:pPr>
                  <w:r>
                    <w:rPr>
                      <w:rFonts w:hint="eastAsia"/>
                      <w:color w:val="auto"/>
                      <w:szCs w:val="21"/>
                    </w:rPr>
                    <w:t>无组织排放</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12</w:t>
                  </w:r>
                </w:p>
              </w:tc>
              <w:tc>
                <w:tcPr>
                  <w:tcW w:w="1701" w:type="pct"/>
                  <w:vAlign w:val="center"/>
                </w:tcPr>
                <w:p>
                  <w:pPr>
                    <w:jc w:val="center"/>
                    <w:rPr>
                      <w:color w:val="auto"/>
                      <w:szCs w:val="21"/>
                    </w:rPr>
                  </w:pPr>
                  <w:r>
                    <w:rPr>
                      <w:rFonts w:hint="eastAsia"/>
                      <w:color w:val="auto"/>
                      <w:szCs w:val="21"/>
                    </w:rPr>
                    <w:t>模具清理（未捕集部分）、发泡（未捕集部分）、</w:t>
                  </w:r>
                  <w:r>
                    <w:rPr>
                      <w:rFonts w:hint="eastAsia"/>
                      <w:color w:val="auto"/>
                      <w:szCs w:val="21"/>
                      <w:lang w:eastAsia="zh-CN"/>
                    </w:rPr>
                    <w:t>模压废气</w:t>
                  </w:r>
                  <w:r>
                    <w:rPr>
                      <w:rFonts w:hint="eastAsia"/>
                      <w:color w:val="auto"/>
                      <w:szCs w:val="21"/>
                    </w:rPr>
                    <w:t>（未捕集部分）</w:t>
                  </w:r>
                </w:p>
              </w:tc>
              <w:tc>
                <w:tcPr>
                  <w:tcW w:w="1006" w:type="pct"/>
                  <w:vAlign w:val="center"/>
                </w:tcPr>
                <w:p>
                  <w:pPr>
                    <w:jc w:val="center"/>
                    <w:rPr>
                      <w:color w:val="auto"/>
                      <w:szCs w:val="21"/>
                    </w:rPr>
                  </w:pPr>
                  <w:r>
                    <w:rPr>
                      <w:color w:val="auto"/>
                      <w:szCs w:val="21"/>
                    </w:rPr>
                    <w:t>NMHC、颗粒物</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vAlign w:val="center"/>
                </w:tcPr>
                <w:p>
                  <w:pPr>
                    <w:jc w:val="center"/>
                    <w:rPr>
                      <w:color w:val="auto"/>
                      <w:szCs w:val="21"/>
                    </w:rPr>
                  </w:pPr>
                  <w:r>
                    <w:rPr>
                      <w:color w:val="auto"/>
                      <w:szCs w:val="21"/>
                    </w:rPr>
                    <w:t>废水</w:t>
                  </w:r>
                </w:p>
              </w:tc>
              <w:tc>
                <w:tcPr>
                  <w:tcW w:w="458" w:type="pct"/>
                  <w:vAlign w:val="center"/>
                </w:tcPr>
                <w:p>
                  <w:pPr>
                    <w:jc w:val="center"/>
                    <w:rPr>
                      <w:color w:val="auto"/>
                      <w:szCs w:val="21"/>
                    </w:rPr>
                  </w:pPr>
                  <w:r>
                    <w:rPr>
                      <w:color w:val="auto"/>
                      <w:szCs w:val="21"/>
                    </w:rPr>
                    <w:t>1</w:t>
                  </w:r>
                </w:p>
              </w:tc>
              <w:tc>
                <w:tcPr>
                  <w:tcW w:w="1701" w:type="pct"/>
                  <w:vAlign w:val="center"/>
                </w:tcPr>
                <w:p>
                  <w:pPr>
                    <w:jc w:val="center"/>
                    <w:rPr>
                      <w:color w:val="auto"/>
                      <w:szCs w:val="21"/>
                    </w:rPr>
                  </w:pPr>
                  <w:r>
                    <w:rPr>
                      <w:color w:val="auto"/>
                      <w:szCs w:val="21"/>
                    </w:rPr>
                    <w:t>生活污水</w:t>
                  </w:r>
                </w:p>
              </w:tc>
              <w:tc>
                <w:tcPr>
                  <w:tcW w:w="1006" w:type="pct"/>
                  <w:vAlign w:val="center"/>
                </w:tcPr>
                <w:p>
                  <w:pPr>
                    <w:jc w:val="center"/>
                    <w:rPr>
                      <w:rFonts w:hint="default" w:eastAsia="宋体"/>
                      <w:color w:val="auto"/>
                      <w:szCs w:val="21"/>
                      <w:lang w:val="en-US" w:eastAsia="zh-CN"/>
                    </w:rPr>
                  </w:pPr>
                  <w:r>
                    <w:rPr>
                      <w:color w:val="auto"/>
                      <w:szCs w:val="21"/>
                    </w:rPr>
                    <w:t>SS、COD、BOD</w:t>
                  </w:r>
                  <w:r>
                    <w:rPr>
                      <w:color w:val="auto"/>
                      <w:szCs w:val="21"/>
                      <w:vertAlign w:val="subscript"/>
                    </w:rPr>
                    <w:t>5</w:t>
                  </w:r>
                  <w:r>
                    <w:rPr>
                      <w:rFonts w:hint="eastAsia"/>
                      <w:color w:val="auto"/>
                      <w:szCs w:val="21"/>
                    </w:rPr>
                    <w:t>、氨氮</w:t>
                  </w:r>
                  <w:r>
                    <w:rPr>
                      <w:rFonts w:hint="eastAsia"/>
                      <w:color w:val="auto"/>
                      <w:szCs w:val="21"/>
                      <w:lang w:eastAsia="zh-CN"/>
                    </w:rPr>
                    <w:t>、</w:t>
                  </w:r>
                  <w:r>
                    <w:rPr>
                      <w:rFonts w:hint="eastAsia"/>
                      <w:color w:val="auto"/>
                      <w:szCs w:val="21"/>
                      <w:lang w:val="en-US" w:eastAsia="zh-CN"/>
                    </w:rPr>
                    <w:t>动植物油、TP、TN</w:t>
                  </w: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2</w:t>
                  </w:r>
                </w:p>
              </w:tc>
              <w:tc>
                <w:tcPr>
                  <w:tcW w:w="1701" w:type="pct"/>
                  <w:vAlign w:val="center"/>
                </w:tcPr>
                <w:p>
                  <w:pPr>
                    <w:jc w:val="center"/>
                    <w:rPr>
                      <w:color w:val="auto"/>
                      <w:szCs w:val="21"/>
                    </w:rPr>
                  </w:pPr>
                  <w:r>
                    <w:rPr>
                      <w:rFonts w:hint="eastAsia"/>
                      <w:color w:val="auto"/>
                      <w:szCs w:val="21"/>
                    </w:rPr>
                    <w:t>生产废水（水刀切割废水、发泡机水箱废水）</w:t>
                  </w:r>
                </w:p>
              </w:tc>
              <w:tc>
                <w:tcPr>
                  <w:tcW w:w="1006" w:type="pct"/>
                  <w:vAlign w:val="center"/>
                </w:tcPr>
                <w:p>
                  <w:pPr>
                    <w:jc w:val="center"/>
                    <w:rPr>
                      <w:color w:val="auto"/>
                      <w:szCs w:val="21"/>
                    </w:rPr>
                  </w:pPr>
                  <w:r>
                    <w:rPr>
                      <w:rFonts w:hint="eastAsia"/>
                      <w:color w:val="auto"/>
                      <w:szCs w:val="21"/>
                    </w:rPr>
                    <w:t>SS</w:t>
                  </w:r>
                </w:p>
              </w:tc>
              <w:tc>
                <w:tcPr>
                  <w:tcW w:w="1006" w:type="pct"/>
                  <w:vAlign w:val="center"/>
                </w:tcPr>
                <w:p>
                  <w:pPr>
                    <w:jc w:val="center"/>
                    <w:rPr>
                      <w:color w:val="auto"/>
                      <w:szCs w:val="21"/>
                    </w:rPr>
                  </w:pPr>
                  <w:r>
                    <w:rPr>
                      <w:rFonts w:hint="eastAsia"/>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vAlign w:val="center"/>
                </w:tcPr>
                <w:p>
                  <w:pPr>
                    <w:jc w:val="center"/>
                    <w:rPr>
                      <w:color w:val="auto"/>
                      <w:szCs w:val="21"/>
                    </w:rPr>
                  </w:pPr>
                  <w:r>
                    <w:rPr>
                      <w:color w:val="auto"/>
                      <w:szCs w:val="21"/>
                    </w:rPr>
                    <w:t>噪声</w:t>
                  </w:r>
                </w:p>
              </w:tc>
              <w:tc>
                <w:tcPr>
                  <w:tcW w:w="458" w:type="pct"/>
                  <w:vAlign w:val="center"/>
                </w:tcPr>
                <w:p>
                  <w:pPr>
                    <w:jc w:val="center"/>
                    <w:rPr>
                      <w:color w:val="auto"/>
                      <w:szCs w:val="21"/>
                    </w:rPr>
                  </w:pPr>
                  <w:r>
                    <w:rPr>
                      <w:color w:val="auto"/>
                      <w:szCs w:val="21"/>
                    </w:rPr>
                    <w:t>1</w:t>
                  </w:r>
                </w:p>
              </w:tc>
              <w:tc>
                <w:tcPr>
                  <w:tcW w:w="1701" w:type="pct"/>
                  <w:vAlign w:val="center"/>
                </w:tcPr>
                <w:p>
                  <w:pPr>
                    <w:jc w:val="center"/>
                    <w:rPr>
                      <w:color w:val="auto"/>
                      <w:szCs w:val="21"/>
                    </w:rPr>
                  </w:pPr>
                  <w:r>
                    <w:rPr>
                      <w:color w:val="auto"/>
                      <w:szCs w:val="21"/>
                    </w:rPr>
                    <w:t>发泡机</w:t>
                  </w:r>
                </w:p>
              </w:tc>
              <w:tc>
                <w:tcPr>
                  <w:tcW w:w="1006" w:type="pct"/>
                  <w:vAlign w:val="center"/>
                </w:tcPr>
                <w:p>
                  <w:pPr>
                    <w:jc w:val="center"/>
                    <w:rPr>
                      <w:color w:val="auto"/>
                      <w:szCs w:val="21"/>
                    </w:rPr>
                  </w:pPr>
                  <w:r>
                    <w:rPr>
                      <w:color w:val="auto"/>
                      <w:szCs w:val="21"/>
                    </w:rPr>
                    <w:t>等效连续A声级</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color w:val="auto"/>
                      <w:szCs w:val="21"/>
                    </w:rPr>
                    <w:t>2</w:t>
                  </w:r>
                </w:p>
              </w:tc>
              <w:tc>
                <w:tcPr>
                  <w:tcW w:w="1701" w:type="pct"/>
                  <w:vAlign w:val="center"/>
                </w:tcPr>
                <w:p>
                  <w:pPr>
                    <w:jc w:val="center"/>
                    <w:rPr>
                      <w:color w:val="auto"/>
                      <w:szCs w:val="21"/>
                    </w:rPr>
                  </w:pPr>
                  <w:r>
                    <w:rPr>
                      <w:color w:val="auto"/>
                      <w:szCs w:val="21"/>
                    </w:rPr>
                    <w:t>模压机</w:t>
                  </w:r>
                </w:p>
              </w:tc>
              <w:tc>
                <w:tcPr>
                  <w:tcW w:w="1006" w:type="pct"/>
                  <w:vAlign w:val="center"/>
                </w:tcPr>
                <w:p>
                  <w:pPr>
                    <w:jc w:val="center"/>
                    <w:rPr>
                      <w:color w:val="auto"/>
                      <w:szCs w:val="21"/>
                    </w:rPr>
                  </w:pPr>
                  <w:r>
                    <w:rPr>
                      <w:color w:val="auto"/>
                      <w:szCs w:val="21"/>
                    </w:rPr>
                    <w:t>等效连续A声级</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3</w:t>
                  </w:r>
                </w:p>
              </w:tc>
              <w:tc>
                <w:tcPr>
                  <w:tcW w:w="1701" w:type="pct"/>
                  <w:vAlign w:val="center"/>
                </w:tcPr>
                <w:p>
                  <w:pPr>
                    <w:jc w:val="center"/>
                    <w:rPr>
                      <w:color w:val="auto"/>
                      <w:szCs w:val="21"/>
                    </w:rPr>
                  </w:pPr>
                  <w:r>
                    <w:rPr>
                      <w:color w:val="auto"/>
                      <w:szCs w:val="21"/>
                    </w:rPr>
                    <w:t>水刀</w:t>
                  </w:r>
                  <w:r>
                    <w:rPr>
                      <w:rFonts w:hint="eastAsia"/>
                      <w:color w:val="auto"/>
                      <w:szCs w:val="21"/>
                    </w:rPr>
                    <w:t>切割设备</w:t>
                  </w:r>
                </w:p>
              </w:tc>
              <w:tc>
                <w:tcPr>
                  <w:tcW w:w="1006" w:type="pct"/>
                  <w:vAlign w:val="center"/>
                </w:tcPr>
                <w:p>
                  <w:pPr>
                    <w:jc w:val="center"/>
                    <w:rPr>
                      <w:color w:val="auto"/>
                      <w:szCs w:val="21"/>
                    </w:rPr>
                  </w:pPr>
                  <w:r>
                    <w:rPr>
                      <w:color w:val="auto"/>
                      <w:szCs w:val="21"/>
                    </w:rPr>
                    <w:t>等效连续A声级</w:t>
                  </w:r>
                </w:p>
              </w:tc>
              <w:tc>
                <w:tcPr>
                  <w:tcW w:w="1006" w:type="pct"/>
                  <w:vAlign w:val="center"/>
                </w:tcPr>
                <w:p>
                  <w:pPr>
                    <w:jc w:val="center"/>
                    <w:rPr>
                      <w:color w:val="auto"/>
                      <w:szCs w:val="21"/>
                    </w:rPr>
                  </w:pPr>
                  <w:r>
                    <w:rPr>
                      <w:color w:val="auto"/>
                      <w:szCs w:val="21"/>
                    </w:rPr>
                    <w:t>连续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vAlign w:val="center"/>
                </w:tcPr>
                <w:p>
                  <w:pPr>
                    <w:jc w:val="center"/>
                    <w:rPr>
                      <w:color w:val="auto"/>
                      <w:szCs w:val="21"/>
                    </w:rPr>
                  </w:pPr>
                  <w:r>
                    <w:rPr>
                      <w:color w:val="auto"/>
                      <w:szCs w:val="21"/>
                    </w:rPr>
                    <w:t>固废</w:t>
                  </w:r>
                </w:p>
              </w:tc>
              <w:tc>
                <w:tcPr>
                  <w:tcW w:w="458" w:type="pct"/>
                  <w:vAlign w:val="center"/>
                </w:tcPr>
                <w:p>
                  <w:pPr>
                    <w:jc w:val="center"/>
                    <w:rPr>
                      <w:color w:val="auto"/>
                      <w:szCs w:val="21"/>
                    </w:rPr>
                  </w:pPr>
                  <w:r>
                    <w:rPr>
                      <w:color w:val="auto"/>
                      <w:szCs w:val="21"/>
                    </w:rPr>
                    <w:t>1</w:t>
                  </w:r>
                </w:p>
              </w:tc>
              <w:tc>
                <w:tcPr>
                  <w:tcW w:w="1701" w:type="pct"/>
                  <w:vAlign w:val="center"/>
                </w:tcPr>
                <w:p>
                  <w:pPr>
                    <w:jc w:val="center"/>
                    <w:rPr>
                      <w:color w:val="auto"/>
                      <w:szCs w:val="21"/>
                    </w:rPr>
                  </w:pPr>
                  <w:r>
                    <w:rPr>
                      <w:color w:val="auto"/>
                      <w:szCs w:val="21"/>
                    </w:rPr>
                    <w:t>废AB料</w:t>
                  </w:r>
                </w:p>
              </w:tc>
              <w:tc>
                <w:tcPr>
                  <w:tcW w:w="1006" w:type="pct"/>
                  <w:vMerge w:val="restart"/>
                  <w:vAlign w:val="center"/>
                </w:tcPr>
                <w:p>
                  <w:pPr>
                    <w:jc w:val="center"/>
                    <w:rPr>
                      <w:color w:val="auto"/>
                      <w:szCs w:val="21"/>
                    </w:rPr>
                  </w:pPr>
                  <w:r>
                    <w:rPr>
                      <w:color w:val="auto"/>
                      <w:szCs w:val="21"/>
                    </w:rPr>
                    <w:t>危险废物</w:t>
                  </w: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color w:val="auto"/>
                      <w:szCs w:val="21"/>
                    </w:rPr>
                    <w:t>2</w:t>
                  </w:r>
                </w:p>
              </w:tc>
              <w:tc>
                <w:tcPr>
                  <w:tcW w:w="1701" w:type="pct"/>
                  <w:vAlign w:val="center"/>
                </w:tcPr>
                <w:p>
                  <w:pPr>
                    <w:jc w:val="center"/>
                    <w:rPr>
                      <w:color w:val="auto"/>
                      <w:szCs w:val="21"/>
                    </w:rPr>
                  </w:pPr>
                  <w:r>
                    <w:rPr>
                      <w:color w:val="auto"/>
                      <w:szCs w:val="21"/>
                    </w:rPr>
                    <w:t>废脱模剂</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color w:val="auto"/>
                      <w:szCs w:val="21"/>
                    </w:rPr>
                    <w:t>3</w:t>
                  </w:r>
                </w:p>
              </w:tc>
              <w:tc>
                <w:tcPr>
                  <w:tcW w:w="1701" w:type="pct"/>
                  <w:vAlign w:val="center"/>
                </w:tcPr>
                <w:p>
                  <w:pPr>
                    <w:jc w:val="center"/>
                    <w:rPr>
                      <w:color w:val="auto"/>
                      <w:szCs w:val="21"/>
                    </w:rPr>
                  </w:pPr>
                  <w:r>
                    <w:rPr>
                      <w:color w:val="auto"/>
                      <w:spacing w:val="4"/>
                      <w:szCs w:val="21"/>
                    </w:rPr>
                    <w:t>废</w:t>
                  </w:r>
                  <w:r>
                    <w:rPr>
                      <w:rFonts w:hint="eastAsia"/>
                      <w:color w:val="auto"/>
                      <w:spacing w:val="4"/>
                      <w:szCs w:val="21"/>
                    </w:rPr>
                    <w:t>含油手套、</w:t>
                  </w:r>
                  <w:r>
                    <w:rPr>
                      <w:color w:val="auto"/>
                      <w:spacing w:val="4"/>
                      <w:szCs w:val="21"/>
                    </w:rPr>
                    <w:t>抹布、</w:t>
                  </w:r>
                  <w:r>
                    <w:rPr>
                      <w:color w:val="auto"/>
                      <w:szCs w:val="21"/>
                    </w:rPr>
                    <w:t>废沾染物空桶</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color w:val="auto"/>
                      <w:szCs w:val="21"/>
                    </w:rPr>
                    <w:t>4</w:t>
                  </w:r>
                </w:p>
              </w:tc>
              <w:tc>
                <w:tcPr>
                  <w:tcW w:w="1701" w:type="pct"/>
                  <w:vAlign w:val="center"/>
                </w:tcPr>
                <w:p>
                  <w:pPr>
                    <w:jc w:val="center"/>
                    <w:rPr>
                      <w:color w:val="auto"/>
                      <w:szCs w:val="21"/>
                    </w:rPr>
                  </w:pPr>
                  <w:r>
                    <w:rPr>
                      <w:color w:val="auto"/>
                      <w:szCs w:val="21"/>
                    </w:rPr>
                    <w:t>废活性炭</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5</w:t>
                  </w:r>
                </w:p>
              </w:tc>
              <w:tc>
                <w:tcPr>
                  <w:tcW w:w="1701" w:type="pct"/>
                  <w:vAlign w:val="center"/>
                </w:tcPr>
                <w:p>
                  <w:pPr>
                    <w:jc w:val="center"/>
                    <w:rPr>
                      <w:color w:val="auto"/>
                      <w:szCs w:val="21"/>
                    </w:rPr>
                  </w:pPr>
                  <w:r>
                    <w:rPr>
                      <w:rFonts w:hint="eastAsia"/>
                      <w:color w:val="auto"/>
                      <w:szCs w:val="21"/>
                    </w:rPr>
                    <w:t>废液压油</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6</w:t>
                  </w:r>
                </w:p>
              </w:tc>
              <w:tc>
                <w:tcPr>
                  <w:tcW w:w="1701" w:type="pct"/>
                  <w:vAlign w:val="center"/>
                </w:tcPr>
                <w:p>
                  <w:pPr>
                    <w:jc w:val="center"/>
                    <w:rPr>
                      <w:color w:val="auto"/>
                      <w:szCs w:val="21"/>
                    </w:rPr>
                  </w:pPr>
                  <w:r>
                    <w:rPr>
                      <w:color w:val="auto"/>
                      <w:szCs w:val="21"/>
                    </w:rPr>
                    <w:t>模压成型PET残料</w:t>
                  </w:r>
                </w:p>
              </w:tc>
              <w:tc>
                <w:tcPr>
                  <w:tcW w:w="1006" w:type="pct"/>
                  <w:vMerge w:val="restart"/>
                  <w:vAlign w:val="center"/>
                </w:tcPr>
                <w:p>
                  <w:pPr>
                    <w:jc w:val="center"/>
                    <w:rPr>
                      <w:color w:val="auto"/>
                      <w:szCs w:val="21"/>
                    </w:rPr>
                  </w:pPr>
                  <w:r>
                    <w:rPr>
                      <w:color w:val="auto"/>
                      <w:szCs w:val="21"/>
                    </w:rPr>
                    <w:t>一般固废</w:t>
                  </w: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7</w:t>
                  </w:r>
                </w:p>
              </w:tc>
              <w:tc>
                <w:tcPr>
                  <w:tcW w:w="1701" w:type="pct"/>
                  <w:vAlign w:val="center"/>
                </w:tcPr>
                <w:p>
                  <w:pPr>
                    <w:jc w:val="center"/>
                    <w:rPr>
                      <w:color w:val="auto"/>
                      <w:szCs w:val="21"/>
                    </w:rPr>
                  </w:pPr>
                  <w:r>
                    <w:rPr>
                      <w:color w:val="auto"/>
                      <w:szCs w:val="21"/>
                    </w:rPr>
                    <w:t>发泡成型废料</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8</w:t>
                  </w:r>
                </w:p>
              </w:tc>
              <w:tc>
                <w:tcPr>
                  <w:tcW w:w="1701" w:type="pct"/>
                  <w:vAlign w:val="center"/>
                </w:tcPr>
                <w:p>
                  <w:pPr>
                    <w:jc w:val="center"/>
                    <w:rPr>
                      <w:color w:val="auto"/>
                      <w:szCs w:val="21"/>
                    </w:rPr>
                  </w:pPr>
                  <w:r>
                    <w:rPr>
                      <w:color w:val="auto"/>
                      <w:szCs w:val="21"/>
                    </w:rPr>
                    <w:t>生活垃圾</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9</w:t>
                  </w:r>
                </w:p>
              </w:tc>
              <w:tc>
                <w:tcPr>
                  <w:tcW w:w="1701" w:type="pct"/>
                  <w:vAlign w:val="center"/>
                </w:tcPr>
                <w:p>
                  <w:pPr>
                    <w:jc w:val="center"/>
                    <w:rPr>
                      <w:color w:val="auto"/>
                      <w:szCs w:val="21"/>
                    </w:rPr>
                  </w:pPr>
                  <w:r>
                    <w:rPr>
                      <w:rFonts w:hint="eastAsia"/>
                      <w:color w:val="auto"/>
                      <w:szCs w:val="21"/>
                    </w:rPr>
                    <w:t>废无纺布</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10</w:t>
                  </w:r>
                </w:p>
              </w:tc>
              <w:tc>
                <w:tcPr>
                  <w:tcW w:w="1701" w:type="pct"/>
                  <w:vAlign w:val="center"/>
                </w:tcPr>
                <w:p>
                  <w:pPr>
                    <w:jc w:val="center"/>
                    <w:rPr>
                      <w:color w:val="auto"/>
                      <w:szCs w:val="21"/>
                    </w:rPr>
                  </w:pPr>
                  <w:r>
                    <w:rPr>
                      <w:rFonts w:hint="eastAsia"/>
                      <w:color w:val="auto"/>
                      <w:szCs w:val="21"/>
                    </w:rPr>
                    <w:t>废包装</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vAlign w:val="center"/>
                </w:tcPr>
                <w:p>
                  <w:pPr>
                    <w:jc w:val="center"/>
                    <w:rPr>
                      <w:color w:val="auto"/>
                      <w:szCs w:val="21"/>
                    </w:rPr>
                  </w:pPr>
                </w:p>
              </w:tc>
              <w:tc>
                <w:tcPr>
                  <w:tcW w:w="458" w:type="pct"/>
                  <w:vAlign w:val="center"/>
                </w:tcPr>
                <w:p>
                  <w:pPr>
                    <w:jc w:val="center"/>
                    <w:rPr>
                      <w:color w:val="auto"/>
                      <w:szCs w:val="21"/>
                    </w:rPr>
                  </w:pPr>
                  <w:r>
                    <w:rPr>
                      <w:rFonts w:hint="eastAsia"/>
                      <w:color w:val="auto"/>
                      <w:szCs w:val="21"/>
                    </w:rPr>
                    <w:t>11</w:t>
                  </w:r>
                </w:p>
              </w:tc>
              <w:tc>
                <w:tcPr>
                  <w:tcW w:w="1701" w:type="pct"/>
                  <w:vAlign w:val="center"/>
                </w:tcPr>
                <w:p>
                  <w:pPr>
                    <w:jc w:val="center"/>
                    <w:rPr>
                      <w:color w:val="auto"/>
                      <w:szCs w:val="21"/>
                    </w:rPr>
                  </w:pPr>
                  <w:r>
                    <w:rPr>
                      <w:rFonts w:hint="eastAsia"/>
                      <w:color w:val="auto"/>
                      <w:szCs w:val="21"/>
                    </w:rPr>
                    <w:t>水刀切割滤渣</w:t>
                  </w:r>
                </w:p>
              </w:tc>
              <w:tc>
                <w:tcPr>
                  <w:tcW w:w="1006" w:type="pct"/>
                  <w:vMerge w:val="continue"/>
                  <w:vAlign w:val="center"/>
                </w:tcPr>
                <w:p>
                  <w:pPr>
                    <w:jc w:val="center"/>
                    <w:rPr>
                      <w:color w:val="auto"/>
                      <w:szCs w:val="21"/>
                    </w:rPr>
                  </w:pPr>
                </w:p>
              </w:tc>
              <w:tc>
                <w:tcPr>
                  <w:tcW w:w="1006" w:type="pct"/>
                  <w:vAlign w:val="center"/>
                </w:tcPr>
                <w:p>
                  <w:pPr>
                    <w:jc w:val="center"/>
                    <w:rPr>
                      <w:color w:val="auto"/>
                      <w:szCs w:val="21"/>
                    </w:rPr>
                  </w:pPr>
                  <w:r>
                    <w:rPr>
                      <w:color w:val="auto"/>
                      <w:szCs w:val="21"/>
                    </w:rPr>
                    <w:t>间断</w:t>
                  </w:r>
                </w:p>
              </w:tc>
            </w:tr>
          </w:tbl>
          <w:p>
            <w:pPr>
              <w:ind w:firstLine="48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61" w:hRule="atLeast"/>
          <w:jc w:val="center"/>
        </w:trPr>
        <w:tc>
          <w:tcPr>
            <w:tcW w:w="823" w:type="dxa"/>
            <w:vAlign w:val="center"/>
          </w:tcPr>
          <w:p>
            <w:pPr>
              <w:pStyle w:val="13"/>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kern w:val="2"/>
                <w:szCs w:val="24"/>
              </w:rPr>
              <w:t>与项目有关的原有环境污染问题</w:t>
            </w:r>
          </w:p>
        </w:tc>
        <w:tc>
          <w:tcPr>
            <w:tcW w:w="8161" w:type="dxa"/>
            <w:vAlign w:val="center"/>
          </w:tcPr>
          <w:p>
            <w:pPr>
              <w:pStyle w:val="13"/>
              <w:numPr>
                <w:ilvl w:val="0"/>
                <w:numId w:val="0"/>
              </w:numPr>
              <w:spacing w:before="0" w:beforeAutospacing="0" w:after="0" w:afterAutospacing="0" w:line="360" w:lineRule="auto"/>
              <w:ind w:firstLine="480" w:firstLineChars="200"/>
              <w:rPr>
                <w:rFonts w:hint="eastAsia"/>
                <w:bCs/>
                <w:color w:val="auto"/>
                <w:sz w:val="24"/>
              </w:rPr>
            </w:pPr>
            <w:r>
              <w:rPr>
                <w:rFonts w:hint="eastAsia" w:ascii="宋体" w:hAnsi="宋体" w:eastAsia="宋体" w:cs="Times New Roman"/>
                <w:bCs/>
                <w:color w:val="auto"/>
                <w:kern w:val="0"/>
                <w:sz w:val="24"/>
                <w:szCs w:val="20"/>
                <w:lang w:val="en-US" w:eastAsia="zh-CN" w:bidi="ar-SA"/>
              </w:rPr>
              <w:t>1、</w:t>
            </w:r>
            <w:r>
              <w:rPr>
                <w:rFonts w:hint="eastAsia"/>
                <w:bCs/>
                <w:color w:val="auto"/>
                <w:sz w:val="24"/>
              </w:rPr>
              <w:t>本项目拟建区域现状</w:t>
            </w:r>
          </w:p>
          <w:p>
            <w:pPr>
              <w:pStyle w:val="13"/>
              <w:numPr>
                <w:ilvl w:val="0"/>
                <w:numId w:val="0"/>
              </w:numPr>
              <w:spacing w:before="0" w:beforeAutospacing="0" w:after="0" w:afterAutospacing="0" w:line="360" w:lineRule="auto"/>
              <w:ind w:firstLine="480" w:firstLineChars="200"/>
              <w:rPr>
                <w:rStyle w:val="22"/>
                <w:rFonts w:ascii="Times New Roman" w:hAnsi="Times New Roman"/>
                <w:color w:val="auto"/>
              </w:rPr>
            </w:pPr>
            <w:r>
              <w:rPr>
                <w:rFonts w:ascii="Times New Roman" w:hAnsi="Times New Roman"/>
                <w:color w:val="auto"/>
                <w:szCs w:val="24"/>
              </w:rPr>
              <w:t>本项目利用集贤厂区11#厂房，在此之前，11#厂房属于闲置状态，无与本项目有关的原有环境污染问题。</w:t>
            </w:r>
          </w:p>
          <w:p>
            <w:pPr>
              <w:spacing w:line="360" w:lineRule="auto"/>
              <w:ind w:firstLine="480" w:firstLineChars="200"/>
              <w:rPr>
                <w:color w:val="auto"/>
                <w:sz w:val="24"/>
              </w:rPr>
            </w:pPr>
            <w:r>
              <w:rPr>
                <w:rFonts w:hint="eastAsia"/>
                <w:color w:val="auto"/>
                <w:sz w:val="24"/>
              </w:rPr>
              <w:t>2、本项目与现有工程依托关系</w:t>
            </w:r>
          </w:p>
          <w:p>
            <w:pPr>
              <w:spacing w:line="360" w:lineRule="auto"/>
              <w:ind w:firstLine="480" w:firstLineChars="200"/>
              <w:rPr>
                <w:color w:val="auto"/>
                <w:sz w:val="24"/>
              </w:rPr>
            </w:pPr>
            <w:r>
              <w:rPr>
                <w:rFonts w:hint="eastAsia"/>
                <w:color w:val="auto"/>
                <w:sz w:val="24"/>
              </w:rPr>
              <w:t>（1）项目依托现有工程内容主要包括：</w:t>
            </w:r>
          </w:p>
          <w:p>
            <w:pPr>
              <w:pStyle w:val="13"/>
              <w:numPr>
                <w:ilvl w:val="0"/>
                <w:numId w:val="0"/>
              </w:numPr>
              <w:spacing w:before="0" w:beforeAutospacing="0" w:after="0" w:afterAutospacing="0" w:line="360" w:lineRule="auto"/>
              <w:ind w:firstLine="480" w:firstLineChars="200"/>
              <w:rPr>
                <w:rFonts w:hint="eastAsia"/>
                <w:color w:val="auto"/>
                <w:sz w:val="24"/>
                <w:lang w:eastAsia="zh-CN"/>
              </w:rPr>
            </w:pPr>
            <w:r>
              <w:rPr>
                <w:rFonts w:hint="eastAsia"/>
                <w:color w:val="auto"/>
                <w:sz w:val="24"/>
              </w:rPr>
              <w:t>①供水、供电等基础设施：依托集贤产业园现有已建成的基础设施体系，由于集贤产业园规划时已经留足后备余量，目前园区供水供电管网均未达到满负荷运转，能够满足本项目工程需求</w:t>
            </w:r>
            <w:r>
              <w:rPr>
                <w:rFonts w:hint="eastAsia"/>
                <w:color w:val="auto"/>
                <w:sz w:val="24"/>
                <w:lang w:eastAsia="zh-CN"/>
              </w:rPr>
              <w:t>。</w:t>
            </w:r>
          </w:p>
          <w:p>
            <w:pPr>
              <w:spacing w:line="360" w:lineRule="auto"/>
              <w:ind w:firstLine="480" w:firstLineChars="200"/>
              <w:rPr>
                <w:color w:val="auto"/>
                <w:sz w:val="24"/>
              </w:rPr>
            </w:pPr>
            <w:r>
              <w:rPr>
                <w:rFonts w:hint="eastAsia"/>
                <w:color w:val="auto"/>
                <w:sz w:val="24"/>
              </w:rPr>
              <w:t>②废水处理：本项目生产废水依托厂区南侧60m比亚迪汽车零部件有限公司集贤新能源汽车零部件产业园项目已建成的污水处理站处理，该污水处理站设计处理规模有机废水600m³/d，综合废水1300m³/d。目前，该污水处理站有机废水实际处理规模271.34m³/d，综合废水实际处理规模742.948m³/d。综合废水约有560m³/d的处理余量，本项目在运营期产生的生产废水量较小，新增生产废水</w:t>
            </w:r>
            <w:r>
              <w:rPr>
                <w:rFonts w:hint="eastAsia"/>
                <w:color w:val="auto"/>
                <w:sz w:val="24"/>
                <w:lang w:val="en-US" w:eastAsia="zh-CN"/>
              </w:rPr>
              <w:t>1.032</w:t>
            </w:r>
            <w:r>
              <w:rPr>
                <w:rFonts w:hint="eastAsia"/>
                <w:color w:val="auto"/>
                <w:sz w:val="24"/>
              </w:rPr>
              <w:t>m³/d仍在现有处理设施可收纳范围内。</w:t>
            </w:r>
            <w:r>
              <w:rPr>
                <w:color w:val="auto"/>
                <w:sz w:val="24"/>
              </w:rPr>
              <w:t xml:space="preserve"> </w:t>
            </w:r>
          </w:p>
          <w:p>
            <w:pPr>
              <w:spacing w:line="360" w:lineRule="auto"/>
              <w:ind w:firstLine="480" w:firstLineChars="200"/>
              <w:rPr>
                <w:rFonts w:hint="eastAsia"/>
                <w:color w:val="auto"/>
                <w:sz w:val="24"/>
              </w:rPr>
            </w:pPr>
            <w:r>
              <w:rPr>
                <w:rFonts w:hint="eastAsia"/>
                <w:color w:val="auto"/>
                <w:sz w:val="24"/>
              </w:rPr>
              <w:t>项目依托的比亚迪汽车零部件有限公司集贤新能源汽车零部件产业园污水处理站废水经市政污水管网排入集贤产业园区污水处理厂。集贤产业园污水处理厂位于集贤产业园东北角。污水厂分两期建设，目前一期已经建成运行。一期设计处理规模5000m</w:t>
            </w:r>
            <w:r>
              <w:rPr>
                <w:rFonts w:hint="eastAsia"/>
                <w:color w:val="auto"/>
                <w:sz w:val="24"/>
                <w:vertAlign w:val="superscript"/>
              </w:rPr>
              <w:t>3</w:t>
            </w:r>
            <w:r>
              <w:rPr>
                <w:rFonts w:hint="eastAsia"/>
                <w:color w:val="auto"/>
                <w:sz w:val="24"/>
              </w:rPr>
              <w:t>/d，目前污水处理厂新增一套一体化处理设备，处理规模为2000m</w:t>
            </w:r>
            <w:r>
              <w:rPr>
                <w:rFonts w:hint="eastAsia"/>
                <w:color w:val="auto"/>
                <w:sz w:val="24"/>
                <w:vertAlign w:val="superscript"/>
              </w:rPr>
              <w:t>3</w:t>
            </w:r>
            <w:r>
              <w:rPr>
                <w:rFonts w:hint="eastAsia"/>
                <w:color w:val="auto"/>
                <w:sz w:val="24"/>
              </w:rPr>
              <w:t>/d，目前总处理规模为7000m</w:t>
            </w:r>
            <w:r>
              <w:rPr>
                <w:rFonts w:hint="eastAsia"/>
                <w:color w:val="auto"/>
                <w:sz w:val="24"/>
                <w:vertAlign w:val="superscript"/>
              </w:rPr>
              <w:t>3</w:t>
            </w:r>
            <w:r>
              <w:rPr>
                <w:rFonts w:hint="eastAsia"/>
                <w:color w:val="auto"/>
                <w:sz w:val="24"/>
              </w:rPr>
              <w:t>/d，实际处理水量6000m</w:t>
            </w:r>
            <w:r>
              <w:rPr>
                <w:rFonts w:hint="eastAsia"/>
                <w:color w:val="auto"/>
                <w:sz w:val="24"/>
                <w:vertAlign w:val="superscript"/>
              </w:rPr>
              <w:t>3</w:t>
            </w:r>
            <w:r>
              <w:rPr>
                <w:rFonts w:hint="eastAsia"/>
                <w:color w:val="auto"/>
                <w:sz w:val="24"/>
              </w:rPr>
              <w:t>/d，二期建成后处理规模2万m</w:t>
            </w:r>
            <w:r>
              <w:rPr>
                <w:rFonts w:hint="eastAsia"/>
                <w:color w:val="auto"/>
                <w:sz w:val="24"/>
                <w:vertAlign w:val="superscript"/>
              </w:rPr>
              <w:t>3</w:t>
            </w:r>
            <w:r>
              <w:rPr>
                <w:rFonts w:hint="eastAsia"/>
                <w:color w:val="auto"/>
                <w:sz w:val="24"/>
              </w:rPr>
              <w:t>/d，据调查二期工程年底建成实施。园区污水厂采用粗格栅+细格栅+旋流沉砂池+A</w:t>
            </w:r>
            <w:r>
              <w:rPr>
                <w:rFonts w:hint="eastAsia"/>
                <w:color w:val="auto"/>
                <w:sz w:val="24"/>
                <w:vertAlign w:val="superscript"/>
              </w:rPr>
              <w:t>2</w:t>
            </w:r>
            <w:r>
              <w:rPr>
                <w:rFonts w:hint="eastAsia"/>
                <w:color w:val="auto"/>
                <w:sz w:val="24"/>
              </w:rPr>
              <w:t>/O+絮凝沉淀+纤维转盘过滤+二氧化氯消毒的处理工艺，处理后出水达到《城镇污水厂污染物排放标准》（GB18918-2002）一级A标准后排入耿峪河。</w:t>
            </w:r>
          </w:p>
          <w:p>
            <w:pPr>
              <w:spacing w:line="360" w:lineRule="auto"/>
              <w:ind w:firstLine="480" w:firstLineChars="200"/>
              <w:rPr>
                <w:color w:val="auto"/>
                <w:sz w:val="24"/>
              </w:rPr>
            </w:pPr>
            <w:r>
              <w:rPr>
                <w:rFonts w:hint="eastAsia"/>
                <w:color w:val="auto"/>
                <w:sz w:val="24"/>
              </w:rPr>
              <w:t>综上所述，本项目依托集贤厂区现有设施可行。上述依托工程环保手续履行情况见表2-</w:t>
            </w:r>
            <w:r>
              <w:rPr>
                <w:rFonts w:hint="eastAsia"/>
                <w:color w:val="auto"/>
                <w:sz w:val="24"/>
                <w:lang w:val="en-US" w:eastAsia="zh-CN"/>
              </w:rPr>
              <w:t>11</w:t>
            </w:r>
            <w:r>
              <w:rPr>
                <w:rFonts w:hint="eastAsia"/>
                <w:color w:val="auto"/>
                <w:sz w:val="24"/>
              </w:rPr>
              <w:t>。</w:t>
            </w:r>
          </w:p>
          <w:p>
            <w:pPr>
              <w:pStyle w:val="13"/>
              <w:numPr>
                <w:ilvl w:val="0"/>
                <w:numId w:val="0"/>
              </w:numPr>
              <w:spacing w:before="0" w:beforeAutospacing="0" w:after="0" w:afterAutospacing="0" w:line="360" w:lineRule="auto"/>
              <w:jc w:val="center"/>
              <w:rPr>
                <w:b/>
                <w:bCs/>
                <w:color w:val="auto"/>
                <w:sz w:val="21"/>
                <w:szCs w:val="21"/>
              </w:rPr>
            </w:pPr>
          </w:p>
          <w:p>
            <w:pPr>
              <w:pStyle w:val="13"/>
              <w:numPr>
                <w:ilvl w:val="0"/>
                <w:numId w:val="0"/>
              </w:numPr>
              <w:spacing w:before="0" w:beforeAutospacing="0" w:after="0" w:afterAutospacing="0" w:line="360" w:lineRule="auto"/>
              <w:jc w:val="center"/>
              <w:rPr>
                <w:b/>
                <w:bCs/>
                <w:color w:val="auto"/>
                <w:sz w:val="21"/>
                <w:szCs w:val="21"/>
              </w:rPr>
            </w:pPr>
          </w:p>
          <w:p>
            <w:pPr>
              <w:pStyle w:val="13"/>
              <w:numPr>
                <w:ilvl w:val="0"/>
                <w:numId w:val="0"/>
              </w:numPr>
              <w:spacing w:before="0" w:beforeAutospacing="0" w:after="0" w:afterAutospacing="0" w:line="360" w:lineRule="auto"/>
              <w:jc w:val="center"/>
              <w:rPr>
                <w:b/>
                <w:bCs/>
                <w:color w:val="auto"/>
                <w:sz w:val="21"/>
                <w:szCs w:val="21"/>
              </w:rPr>
            </w:pPr>
          </w:p>
          <w:p>
            <w:pPr>
              <w:pStyle w:val="13"/>
              <w:numPr>
                <w:ilvl w:val="0"/>
                <w:numId w:val="0"/>
              </w:numPr>
              <w:spacing w:before="0" w:beforeAutospacing="0" w:after="0" w:afterAutospacing="0" w:line="360" w:lineRule="auto"/>
              <w:jc w:val="center"/>
              <w:rPr>
                <w:b/>
                <w:bCs/>
                <w:color w:val="auto"/>
                <w:sz w:val="21"/>
                <w:szCs w:val="21"/>
              </w:rPr>
            </w:pPr>
          </w:p>
          <w:p>
            <w:pPr>
              <w:pStyle w:val="13"/>
              <w:numPr>
                <w:ilvl w:val="0"/>
                <w:numId w:val="0"/>
              </w:numPr>
              <w:spacing w:before="0" w:beforeAutospacing="0" w:after="0" w:afterAutospacing="0" w:line="36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表2-</w:t>
            </w:r>
            <w:r>
              <w:rPr>
                <w:rFonts w:hint="eastAsia" w:ascii="Times New Roman" w:hAnsi="Times New Roman" w:cs="Times New Roman"/>
                <w:b/>
                <w:bCs/>
                <w:color w:val="auto"/>
                <w:sz w:val="21"/>
                <w:szCs w:val="21"/>
                <w:lang w:val="en-US" w:eastAsia="zh-CN"/>
              </w:rPr>
              <w:t>11</w:t>
            </w:r>
            <w:r>
              <w:rPr>
                <w:rFonts w:hint="default" w:ascii="Times New Roman" w:hAnsi="Times New Roman" w:cs="Times New Roman"/>
                <w:b/>
                <w:bCs/>
                <w:color w:val="auto"/>
                <w:sz w:val="21"/>
                <w:szCs w:val="21"/>
              </w:rPr>
              <w:t xml:space="preserve">  本项目依托工程环保手续履行情况</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325"/>
              <w:gridCol w:w="1324"/>
              <w:gridCol w:w="1324"/>
              <w:gridCol w:w="1325"/>
              <w:gridCol w:w="1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22" w:type="dxa"/>
                  <w:noWrap w:val="0"/>
                  <w:vAlign w:val="center"/>
                </w:tcPr>
                <w:p>
                  <w:pPr>
                    <w:jc w:val="center"/>
                    <w:rPr>
                      <w:rFonts w:hint="eastAsia"/>
                      <w:b/>
                      <w:bCs/>
                      <w:color w:val="auto"/>
                      <w:szCs w:val="21"/>
                    </w:rPr>
                  </w:pPr>
                  <w:r>
                    <w:rPr>
                      <w:rFonts w:hint="eastAsia"/>
                      <w:b/>
                      <w:bCs/>
                      <w:color w:val="auto"/>
                      <w:szCs w:val="21"/>
                    </w:rPr>
                    <w:t>序号</w:t>
                  </w:r>
                </w:p>
              </w:tc>
              <w:tc>
                <w:tcPr>
                  <w:tcW w:w="1323" w:type="dxa"/>
                  <w:noWrap w:val="0"/>
                  <w:vAlign w:val="center"/>
                </w:tcPr>
                <w:p>
                  <w:pPr>
                    <w:jc w:val="center"/>
                    <w:rPr>
                      <w:rFonts w:hint="eastAsia"/>
                      <w:b/>
                      <w:bCs/>
                      <w:color w:val="auto"/>
                      <w:szCs w:val="21"/>
                    </w:rPr>
                  </w:pPr>
                  <w:r>
                    <w:rPr>
                      <w:rFonts w:hint="eastAsia"/>
                      <w:b/>
                      <w:bCs/>
                      <w:color w:val="auto"/>
                      <w:szCs w:val="21"/>
                    </w:rPr>
                    <w:t>依托设施</w:t>
                  </w:r>
                </w:p>
              </w:tc>
              <w:tc>
                <w:tcPr>
                  <w:tcW w:w="1322" w:type="dxa"/>
                  <w:noWrap w:val="0"/>
                  <w:vAlign w:val="center"/>
                </w:tcPr>
                <w:p>
                  <w:pPr>
                    <w:jc w:val="center"/>
                    <w:rPr>
                      <w:rFonts w:hint="eastAsia"/>
                      <w:b/>
                      <w:bCs/>
                      <w:color w:val="auto"/>
                      <w:szCs w:val="21"/>
                    </w:rPr>
                  </w:pPr>
                  <w:r>
                    <w:rPr>
                      <w:rFonts w:hint="eastAsia"/>
                      <w:b/>
                      <w:bCs/>
                      <w:color w:val="auto"/>
                      <w:szCs w:val="21"/>
                    </w:rPr>
                    <w:t>所属项目</w:t>
                  </w:r>
                </w:p>
              </w:tc>
              <w:tc>
                <w:tcPr>
                  <w:tcW w:w="1322" w:type="dxa"/>
                  <w:noWrap w:val="0"/>
                  <w:vAlign w:val="center"/>
                </w:tcPr>
                <w:p>
                  <w:pPr>
                    <w:jc w:val="center"/>
                    <w:rPr>
                      <w:rFonts w:hint="eastAsia"/>
                      <w:b/>
                      <w:bCs/>
                      <w:color w:val="auto"/>
                      <w:szCs w:val="21"/>
                    </w:rPr>
                  </w:pPr>
                  <w:r>
                    <w:rPr>
                      <w:rFonts w:hint="eastAsia"/>
                      <w:b/>
                      <w:bCs/>
                      <w:color w:val="auto"/>
                      <w:szCs w:val="21"/>
                    </w:rPr>
                    <w:t>环评执行情况</w:t>
                  </w:r>
                </w:p>
              </w:tc>
              <w:tc>
                <w:tcPr>
                  <w:tcW w:w="1323" w:type="dxa"/>
                  <w:noWrap w:val="0"/>
                  <w:vAlign w:val="center"/>
                </w:tcPr>
                <w:p>
                  <w:pPr>
                    <w:jc w:val="center"/>
                    <w:rPr>
                      <w:rFonts w:hint="eastAsia"/>
                      <w:b/>
                      <w:bCs/>
                      <w:color w:val="auto"/>
                      <w:szCs w:val="21"/>
                    </w:rPr>
                  </w:pPr>
                  <w:r>
                    <w:rPr>
                      <w:rFonts w:hint="eastAsia"/>
                      <w:b/>
                      <w:bCs/>
                      <w:color w:val="auto"/>
                      <w:szCs w:val="21"/>
                    </w:rPr>
                    <w:t>环评批复情况</w:t>
                  </w:r>
                </w:p>
              </w:tc>
              <w:tc>
                <w:tcPr>
                  <w:tcW w:w="1323" w:type="dxa"/>
                  <w:noWrap w:val="0"/>
                  <w:vAlign w:val="center"/>
                </w:tcPr>
                <w:p>
                  <w:pPr>
                    <w:jc w:val="center"/>
                    <w:rPr>
                      <w:rFonts w:hint="eastAsia"/>
                      <w:b/>
                      <w:bCs/>
                      <w:color w:val="auto"/>
                      <w:szCs w:val="21"/>
                    </w:rPr>
                  </w:pPr>
                  <w:r>
                    <w:rPr>
                      <w:rFonts w:hint="eastAsia"/>
                      <w:b/>
                      <w:bCs/>
                      <w:color w:val="auto"/>
                      <w:szCs w:val="21"/>
                    </w:rPr>
                    <w:t>环保验收情况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1322" w:type="dxa"/>
                  <w:noWrap w:val="0"/>
                  <w:vAlign w:val="center"/>
                </w:tcPr>
                <w:p>
                  <w:pPr>
                    <w:jc w:val="center"/>
                    <w:rPr>
                      <w:rFonts w:hint="eastAsia"/>
                      <w:color w:val="auto"/>
                      <w:szCs w:val="21"/>
                    </w:rPr>
                  </w:pPr>
                  <w:r>
                    <w:rPr>
                      <w:rFonts w:hint="eastAsia"/>
                      <w:color w:val="auto"/>
                      <w:szCs w:val="21"/>
                    </w:rPr>
                    <w:t>1</w:t>
                  </w:r>
                </w:p>
              </w:tc>
              <w:tc>
                <w:tcPr>
                  <w:tcW w:w="1323" w:type="dxa"/>
                  <w:noWrap w:val="0"/>
                  <w:vAlign w:val="center"/>
                </w:tcPr>
                <w:p>
                  <w:pPr>
                    <w:autoSpaceDE w:val="0"/>
                    <w:autoSpaceDN w:val="0"/>
                    <w:adjustRightInd w:val="0"/>
                    <w:jc w:val="center"/>
                    <w:rPr>
                      <w:rFonts w:hint="eastAsia" w:ascii="宋体" w:hAnsi="等线" w:cs="宋体"/>
                      <w:color w:val="auto"/>
                      <w:kern w:val="0"/>
                      <w:szCs w:val="21"/>
                    </w:rPr>
                  </w:pPr>
                  <w:r>
                    <w:rPr>
                      <w:rFonts w:hint="eastAsia" w:ascii="宋体" w:hAnsi="等线" w:cs="宋体"/>
                      <w:color w:val="auto"/>
                      <w:kern w:val="0"/>
                      <w:szCs w:val="21"/>
                    </w:rPr>
                    <w:t>污水处理站</w:t>
                  </w:r>
                </w:p>
              </w:tc>
              <w:tc>
                <w:tcPr>
                  <w:tcW w:w="1322" w:type="dxa"/>
                  <w:noWrap w:val="0"/>
                  <w:vAlign w:val="center"/>
                </w:tcPr>
                <w:p>
                  <w:pPr>
                    <w:autoSpaceDE w:val="0"/>
                    <w:autoSpaceDN w:val="0"/>
                    <w:adjustRightInd w:val="0"/>
                    <w:jc w:val="center"/>
                    <w:rPr>
                      <w:rFonts w:hint="eastAsia" w:ascii="宋体" w:hAnsi="等线" w:cs="宋体"/>
                      <w:color w:val="auto"/>
                      <w:kern w:val="0"/>
                      <w:szCs w:val="21"/>
                    </w:rPr>
                  </w:pPr>
                  <w:r>
                    <w:rPr>
                      <w:rFonts w:hint="eastAsia" w:ascii="宋体" w:hAnsi="等线" w:cs="宋体"/>
                      <w:color w:val="auto"/>
                      <w:kern w:val="0"/>
                      <w:szCs w:val="21"/>
                    </w:rPr>
                    <w:t>比亚迪汽车零部件有限公司集贤新能源汽车零部件产业园项目</w:t>
                  </w:r>
                </w:p>
              </w:tc>
              <w:tc>
                <w:tcPr>
                  <w:tcW w:w="1322" w:type="dxa"/>
                  <w:noWrap w:val="0"/>
                  <w:vAlign w:val="center"/>
                </w:tcPr>
                <w:p>
                  <w:pPr>
                    <w:jc w:val="center"/>
                    <w:rPr>
                      <w:rFonts w:hint="eastAsia"/>
                      <w:color w:val="auto"/>
                      <w:szCs w:val="21"/>
                    </w:rPr>
                  </w:pPr>
                  <w:r>
                    <w:rPr>
                      <w:rFonts w:hint="eastAsia"/>
                      <w:color w:val="auto"/>
                      <w:szCs w:val="21"/>
                    </w:rPr>
                    <w:t>20</w:t>
                  </w:r>
                  <w:r>
                    <w:rPr>
                      <w:color w:val="auto"/>
                      <w:szCs w:val="21"/>
                    </w:rPr>
                    <w:t>22</w:t>
                  </w:r>
                  <w:r>
                    <w:rPr>
                      <w:rFonts w:hint="eastAsia"/>
                      <w:color w:val="auto"/>
                      <w:szCs w:val="21"/>
                    </w:rPr>
                    <w:t>年</w:t>
                  </w:r>
                  <w:r>
                    <w:rPr>
                      <w:color w:val="auto"/>
                      <w:szCs w:val="21"/>
                    </w:rPr>
                    <w:t>2</w:t>
                  </w:r>
                  <w:r>
                    <w:rPr>
                      <w:rFonts w:hint="eastAsia"/>
                      <w:color w:val="auto"/>
                      <w:szCs w:val="21"/>
                    </w:rPr>
                    <w:t>月，西安中地环境科技有限公司受委托进行环境影响评价工作</w:t>
                  </w:r>
                </w:p>
              </w:tc>
              <w:tc>
                <w:tcPr>
                  <w:tcW w:w="1323" w:type="dxa"/>
                  <w:noWrap w:val="0"/>
                  <w:vAlign w:val="center"/>
                </w:tcPr>
                <w:p>
                  <w:pPr>
                    <w:jc w:val="center"/>
                    <w:rPr>
                      <w:rFonts w:hint="eastAsia"/>
                      <w:color w:val="auto"/>
                      <w:szCs w:val="21"/>
                    </w:rPr>
                  </w:pPr>
                  <w:r>
                    <w:rPr>
                      <w:rFonts w:hint="eastAsia"/>
                      <w:color w:val="auto"/>
                      <w:szCs w:val="21"/>
                    </w:rPr>
                    <w:t>20</w:t>
                  </w:r>
                  <w:r>
                    <w:rPr>
                      <w:color w:val="auto"/>
                      <w:szCs w:val="21"/>
                    </w:rPr>
                    <w:t>22</w:t>
                  </w:r>
                  <w:r>
                    <w:rPr>
                      <w:rFonts w:hint="eastAsia"/>
                      <w:color w:val="auto"/>
                      <w:szCs w:val="21"/>
                    </w:rPr>
                    <w:t>年</w:t>
                  </w:r>
                  <w:r>
                    <w:rPr>
                      <w:color w:val="auto"/>
                      <w:szCs w:val="21"/>
                    </w:rPr>
                    <w:t>12</w:t>
                  </w:r>
                  <w:r>
                    <w:rPr>
                      <w:rFonts w:hint="eastAsia"/>
                      <w:color w:val="auto"/>
                      <w:szCs w:val="21"/>
                    </w:rPr>
                    <w:t>月西安市生态环境局以市环批复[20</w:t>
                  </w:r>
                  <w:r>
                    <w:rPr>
                      <w:color w:val="auto"/>
                      <w:szCs w:val="21"/>
                    </w:rPr>
                    <w:t>22</w:t>
                  </w:r>
                  <w:r>
                    <w:rPr>
                      <w:rFonts w:hint="eastAsia"/>
                      <w:color w:val="auto"/>
                      <w:szCs w:val="21"/>
                    </w:rPr>
                    <w:t>]</w:t>
                  </w:r>
                  <w:r>
                    <w:rPr>
                      <w:color w:val="auto"/>
                      <w:szCs w:val="21"/>
                    </w:rPr>
                    <w:t>161</w:t>
                  </w:r>
                  <w:r>
                    <w:rPr>
                      <w:rFonts w:hint="eastAsia"/>
                      <w:color w:val="auto"/>
                      <w:szCs w:val="21"/>
                    </w:rPr>
                    <w:t>号批复</w:t>
                  </w:r>
                </w:p>
              </w:tc>
              <w:tc>
                <w:tcPr>
                  <w:tcW w:w="1323" w:type="dxa"/>
                  <w:noWrap w:val="0"/>
                  <w:vAlign w:val="center"/>
                </w:tcPr>
                <w:p>
                  <w:pPr>
                    <w:jc w:val="center"/>
                    <w:rPr>
                      <w:rFonts w:hint="eastAsia"/>
                      <w:color w:val="auto"/>
                      <w:szCs w:val="21"/>
                    </w:rPr>
                  </w:pPr>
                  <w:r>
                    <w:rPr>
                      <w:rFonts w:hint="eastAsia"/>
                      <w:color w:val="auto"/>
                      <w:szCs w:val="21"/>
                    </w:rPr>
                    <w:t>已满足验收条件（于2024年5月20日取得排污许可证，证书编号：91610131MA7GDUAW2D001V），正在进行验收</w:t>
                  </w:r>
                </w:p>
              </w:tc>
            </w:tr>
          </w:tbl>
          <w:p>
            <w:pPr>
              <w:spacing w:line="360" w:lineRule="auto"/>
              <w:ind w:firstLine="480" w:firstLineChars="200"/>
              <w:rPr>
                <w:color w:val="auto"/>
                <w:sz w:val="24"/>
              </w:rPr>
            </w:pPr>
            <w:r>
              <w:rPr>
                <w:rFonts w:hint="eastAsia"/>
                <w:color w:val="auto"/>
                <w:sz w:val="24"/>
              </w:rPr>
              <w:t>（2）依托工程环境管理制度执行情况</w:t>
            </w:r>
          </w:p>
          <w:p>
            <w:pPr>
              <w:snapToGrid w:val="0"/>
              <w:spacing w:line="360" w:lineRule="auto"/>
              <w:ind w:firstLine="480" w:firstLineChars="200"/>
              <w:rPr>
                <w:bCs/>
                <w:color w:val="auto"/>
                <w:sz w:val="24"/>
              </w:rPr>
            </w:pPr>
            <w:r>
              <w:rPr>
                <w:bCs/>
                <w:color w:val="auto"/>
                <w:sz w:val="24"/>
              </w:rPr>
              <w:t>比亚迪汽车零部件有限公司集贤新能源汽车零部件产业园项目</w:t>
            </w:r>
            <w:r>
              <w:rPr>
                <w:rFonts w:hint="eastAsia"/>
                <w:bCs/>
                <w:color w:val="auto"/>
                <w:sz w:val="24"/>
              </w:rPr>
              <w:t>目前已履行环评相关手续，已取得排污许可证（证书编号：</w:t>
            </w:r>
            <w:r>
              <w:rPr>
                <w:rFonts w:hint="eastAsia"/>
                <w:color w:val="auto"/>
                <w:sz w:val="24"/>
              </w:rPr>
              <w:t>91610131MA7GDUAW2D001V</w:t>
            </w:r>
            <w:r>
              <w:rPr>
                <w:rFonts w:hint="eastAsia"/>
                <w:bCs/>
                <w:color w:val="auto"/>
                <w:sz w:val="24"/>
              </w:rPr>
              <w:t>）已满足验收条件正在进行验收。环评建议企业，加快环保手续办理速度，在本项目建成前，尽快完成相关手续。</w:t>
            </w:r>
          </w:p>
          <w:p>
            <w:pPr>
              <w:pStyle w:val="13"/>
              <w:numPr>
                <w:ilvl w:val="0"/>
                <w:numId w:val="0"/>
              </w:numPr>
              <w:spacing w:before="0" w:beforeAutospacing="0" w:after="0" w:afterAutospacing="0" w:line="360" w:lineRule="auto"/>
              <w:jc w:val="center"/>
              <w:rPr>
                <w:rFonts w:hint="eastAsia"/>
                <w:b/>
                <w:bCs/>
                <w:color w:val="auto"/>
                <w:sz w:val="21"/>
                <w:szCs w:val="21"/>
                <w:lang w:eastAsia="zh-CN"/>
              </w:rPr>
            </w:pPr>
          </w:p>
        </w:tc>
      </w:tr>
    </w:tbl>
    <w:p>
      <w:pPr>
        <w:pStyle w:val="13"/>
        <w:ind w:firstLine="720"/>
        <w:jc w:val="center"/>
        <w:rPr>
          <w:rFonts w:ascii="黑体" w:hAnsi="黑体" w:eastAsia="黑体"/>
          <w:snapToGrid w:val="0"/>
          <w:sz w:val="36"/>
          <w:szCs w:val="36"/>
        </w:rPr>
        <w:sectPr>
          <w:pgSz w:w="11906" w:h="16838"/>
          <w:pgMar w:top="1701" w:right="1531" w:bottom="1701" w:left="1531" w:header="851" w:footer="851" w:gutter="0"/>
          <w:pgNumType w:fmt="decimal"/>
          <w:cols w:space="720" w:num="1"/>
          <w:docGrid w:linePitch="312" w:charSpace="0"/>
        </w:sectPr>
      </w:pPr>
    </w:p>
    <w:p>
      <w:pPr>
        <w:pStyle w:val="13"/>
        <w:adjustRightInd w:val="0"/>
        <w:snapToGrid w:val="0"/>
        <w:spacing w:before="0" w:beforeAutospacing="0" w:after="0" w:afterAutospacing="0" w:line="14" w:lineRule="auto"/>
        <w:ind w:firstLine="600"/>
        <w:jc w:val="center"/>
        <w:outlineLvl w:val="0"/>
        <w:rPr>
          <w:rFonts w:ascii="黑体" w:hAnsi="黑体" w:eastAsia="黑体"/>
          <w:snapToGrid w:val="0"/>
          <w:sz w:val="30"/>
          <w:szCs w:val="30"/>
        </w:rPr>
      </w:pPr>
    </w:p>
    <w:p>
      <w:pPr>
        <w:pStyle w:val="13"/>
        <w:ind w:firstLine="600"/>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68" w:hRule="atLeast"/>
          <w:jc w:val="center"/>
        </w:trPr>
        <w:tc>
          <w:tcPr>
            <w:tcW w:w="800" w:type="dxa"/>
            <w:vAlign w:val="center"/>
          </w:tcPr>
          <w:p>
            <w:pPr>
              <w:adjustRightInd w:val="0"/>
              <w:snapToGrid w:val="0"/>
              <w:jc w:val="center"/>
              <w:rPr>
                <w:color w:val="auto"/>
                <w:kern w:val="0"/>
                <w:sz w:val="24"/>
              </w:rPr>
            </w:pPr>
            <w:r>
              <w:rPr>
                <w:color w:val="auto"/>
                <w:kern w:val="0"/>
                <w:sz w:val="24"/>
              </w:rPr>
              <w:t>区域</w:t>
            </w:r>
          </w:p>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质量</w:t>
            </w:r>
          </w:p>
          <w:p>
            <w:pPr>
              <w:adjustRightInd w:val="0"/>
              <w:snapToGrid w:val="0"/>
              <w:jc w:val="center"/>
              <w:rPr>
                <w:color w:val="auto"/>
                <w:kern w:val="0"/>
                <w:szCs w:val="21"/>
              </w:rPr>
            </w:pPr>
            <w:r>
              <w:rPr>
                <w:color w:val="auto"/>
                <w:kern w:val="0"/>
                <w:sz w:val="24"/>
              </w:rPr>
              <w:t>现状</w:t>
            </w:r>
          </w:p>
        </w:tc>
        <w:tc>
          <w:tcPr>
            <w:tcW w:w="8190" w:type="dxa"/>
            <w:vAlign w:val="center"/>
          </w:tcPr>
          <w:p>
            <w:pPr>
              <w:adjustRightInd w:val="0"/>
              <w:snapToGrid w:val="0"/>
              <w:spacing w:line="360" w:lineRule="auto"/>
              <w:ind w:firstLine="482"/>
              <w:rPr>
                <w:b/>
                <w:bCs/>
                <w:color w:val="auto"/>
                <w:kern w:val="0"/>
                <w:sz w:val="24"/>
              </w:rPr>
            </w:pPr>
            <w:r>
              <w:rPr>
                <w:b/>
                <w:bCs/>
                <w:color w:val="auto"/>
                <w:kern w:val="0"/>
                <w:sz w:val="24"/>
              </w:rPr>
              <w:t>1、环境空气质量现状</w:t>
            </w:r>
          </w:p>
          <w:p>
            <w:pPr>
              <w:adjustRightInd w:val="0"/>
              <w:snapToGrid w:val="0"/>
              <w:spacing w:line="360" w:lineRule="auto"/>
              <w:ind w:firstLine="480" w:firstLineChars="200"/>
              <w:rPr>
                <w:color w:val="auto"/>
                <w:kern w:val="0"/>
                <w:sz w:val="24"/>
              </w:rPr>
            </w:pPr>
            <w:r>
              <w:rPr>
                <w:color w:val="auto"/>
                <w:kern w:val="0"/>
                <w:sz w:val="24"/>
              </w:rPr>
              <w:t>（1）区域环境空气质量现状</w:t>
            </w:r>
          </w:p>
          <w:p>
            <w:pPr>
              <w:adjustRightInd w:val="0"/>
              <w:snapToGrid w:val="0"/>
              <w:spacing w:line="360" w:lineRule="auto"/>
              <w:ind w:firstLine="480" w:firstLineChars="200"/>
              <w:rPr>
                <w:color w:val="auto"/>
                <w:kern w:val="0"/>
                <w:sz w:val="24"/>
              </w:rPr>
            </w:pPr>
            <w:r>
              <w:rPr>
                <w:color w:val="auto"/>
                <w:kern w:val="0"/>
                <w:sz w:val="24"/>
              </w:rPr>
              <w:t>本项目位于西安市集贤产业园区，地处西安市周至县集贤镇，</w:t>
            </w:r>
            <w:r>
              <w:rPr>
                <w:rFonts w:hint="eastAsia"/>
                <w:color w:val="auto"/>
                <w:kern w:val="0"/>
                <w:sz w:val="24"/>
              </w:rPr>
              <w:t>属于环境空气</w:t>
            </w:r>
            <w:r>
              <w:rPr>
                <w:color w:val="auto"/>
                <w:kern w:val="0"/>
                <w:sz w:val="24"/>
              </w:rPr>
              <w:t>二类功能区，环境空气质量标准执行《环境空气质量标准》（GB3095-2012）二级标准要求。根据周至县人民政府2024年4月18日发布的《周至县2023年国民经济和社会发展统计公报》中周至县 2023 年 1～12 月环境空气质量统计数据判定本项目区域环境空气质量达标情况，见表3-1。</w:t>
            </w:r>
          </w:p>
          <w:p>
            <w:pPr>
              <w:adjustRightInd w:val="0"/>
              <w:snapToGrid w:val="0"/>
              <w:ind w:firstLine="482"/>
              <w:jc w:val="center"/>
              <w:rPr>
                <w:b/>
                <w:bCs/>
                <w:color w:val="auto"/>
                <w:kern w:val="0"/>
                <w:szCs w:val="21"/>
              </w:rPr>
            </w:pPr>
            <w:r>
              <w:rPr>
                <w:b/>
                <w:bCs/>
                <w:color w:val="auto"/>
                <w:kern w:val="0"/>
                <w:szCs w:val="21"/>
              </w:rPr>
              <w:t>表3-1 周至县环境空气质量现状评价表</w:t>
            </w:r>
          </w:p>
          <w:tbl>
            <w:tblPr>
              <w:tblStyle w:val="19"/>
              <w:tblW w:w="7974"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08"/>
              <w:gridCol w:w="1329"/>
              <w:gridCol w:w="1329"/>
              <w:gridCol w:w="1329"/>
              <w:gridCol w:w="13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12" w:space="0"/>
                  </w:tcBorders>
                  <w:vAlign w:val="center"/>
                </w:tcPr>
                <w:p>
                  <w:pPr>
                    <w:adjustRightInd w:val="0"/>
                    <w:snapToGrid w:val="0"/>
                    <w:jc w:val="center"/>
                    <w:rPr>
                      <w:b/>
                      <w:bCs/>
                      <w:color w:val="auto"/>
                      <w:kern w:val="0"/>
                      <w:szCs w:val="21"/>
                    </w:rPr>
                  </w:pPr>
                  <w:r>
                    <w:rPr>
                      <w:b/>
                      <w:bCs/>
                      <w:color w:val="auto"/>
                      <w:kern w:val="0"/>
                      <w:szCs w:val="21"/>
                    </w:rPr>
                    <w:t>污染物</w:t>
                  </w:r>
                </w:p>
              </w:tc>
              <w:tc>
                <w:tcPr>
                  <w:tcW w:w="1808" w:type="dxa"/>
                  <w:tcBorders>
                    <w:top w:val="single" w:color="auto" w:sz="12" w:space="0"/>
                  </w:tcBorders>
                  <w:vAlign w:val="center"/>
                </w:tcPr>
                <w:p>
                  <w:pPr>
                    <w:adjustRightInd w:val="0"/>
                    <w:snapToGrid w:val="0"/>
                    <w:jc w:val="center"/>
                    <w:rPr>
                      <w:b/>
                      <w:bCs/>
                      <w:color w:val="auto"/>
                      <w:kern w:val="0"/>
                      <w:szCs w:val="21"/>
                    </w:rPr>
                  </w:pPr>
                  <w:r>
                    <w:rPr>
                      <w:b/>
                      <w:bCs/>
                      <w:color w:val="auto"/>
                      <w:kern w:val="0"/>
                      <w:szCs w:val="21"/>
                    </w:rPr>
                    <w:t>年评价指标</w:t>
                  </w:r>
                </w:p>
              </w:tc>
              <w:tc>
                <w:tcPr>
                  <w:tcW w:w="1329" w:type="dxa"/>
                  <w:tcBorders>
                    <w:top w:val="single" w:color="auto" w:sz="12" w:space="0"/>
                  </w:tcBorders>
                  <w:vAlign w:val="center"/>
                </w:tcPr>
                <w:p>
                  <w:pPr>
                    <w:adjustRightInd w:val="0"/>
                    <w:snapToGrid w:val="0"/>
                    <w:jc w:val="center"/>
                    <w:rPr>
                      <w:b/>
                      <w:bCs/>
                      <w:color w:val="auto"/>
                      <w:kern w:val="0"/>
                      <w:szCs w:val="21"/>
                    </w:rPr>
                  </w:pPr>
                  <w:r>
                    <w:rPr>
                      <w:b/>
                      <w:bCs/>
                      <w:color w:val="auto"/>
                      <w:kern w:val="0"/>
                      <w:szCs w:val="21"/>
                    </w:rPr>
                    <w:t>现状浓度</w:t>
                  </w:r>
                </w:p>
                <w:p>
                  <w:pPr>
                    <w:adjustRightInd w:val="0"/>
                    <w:snapToGrid w:val="0"/>
                    <w:jc w:val="center"/>
                    <w:rPr>
                      <w:b/>
                      <w:bCs/>
                      <w:color w:val="auto"/>
                      <w:kern w:val="0"/>
                      <w:szCs w:val="21"/>
                    </w:rPr>
                  </w:pPr>
                  <w:r>
                    <w:rPr>
                      <w:b/>
                      <w:bCs/>
                      <w:color w:val="auto"/>
                      <w:kern w:val="0"/>
                      <w:szCs w:val="21"/>
                    </w:rPr>
                    <w:t>（μg/m</w:t>
                  </w:r>
                  <w:r>
                    <w:rPr>
                      <w:b/>
                      <w:bCs/>
                      <w:color w:val="auto"/>
                      <w:kern w:val="0"/>
                      <w:szCs w:val="21"/>
                      <w:vertAlign w:val="superscript"/>
                    </w:rPr>
                    <w:t>3</w:t>
                  </w:r>
                  <w:r>
                    <w:rPr>
                      <w:b/>
                      <w:bCs/>
                      <w:color w:val="auto"/>
                      <w:kern w:val="0"/>
                      <w:szCs w:val="21"/>
                    </w:rPr>
                    <w:t>）</w:t>
                  </w:r>
                </w:p>
              </w:tc>
              <w:tc>
                <w:tcPr>
                  <w:tcW w:w="1329" w:type="dxa"/>
                  <w:tcBorders>
                    <w:top w:val="single" w:color="auto" w:sz="12" w:space="0"/>
                  </w:tcBorders>
                  <w:vAlign w:val="center"/>
                </w:tcPr>
                <w:p>
                  <w:pPr>
                    <w:adjustRightInd w:val="0"/>
                    <w:snapToGrid w:val="0"/>
                    <w:jc w:val="center"/>
                    <w:rPr>
                      <w:b/>
                      <w:bCs/>
                      <w:color w:val="auto"/>
                      <w:kern w:val="0"/>
                      <w:szCs w:val="21"/>
                    </w:rPr>
                  </w:pPr>
                  <w:r>
                    <w:rPr>
                      <w:b/>
                      <w:bCs/>
                      <w:color w:val="auto"/>
                      <w:kern w:val="0"/>
                      <w:szCs w:val="21"/>
                    </w:rPr>
                    <w:t>标准值</w:t>
                  </w:r>
                </w:p>
                <w:p>
                  <w:pPr>
                    <w:adjustRightInd w:val="0"/>
                    <w:snapToGrid w:val="0"/>
                    <w:jc w:val="center"/>
                    <w:rPr>
                      <w:b/>
                      <w:bCs/>
                      <w:color w:val="auto"/>
                      <w:kern w:val="0"/>
                      <w:szCs w:val="21"/>
                    </w:rPr>
                  </w:pPr>
                  <w:r>
                    <w:rPr>
                      <w:b/>
                      <w:bCs/>
                      <w:color w:val="auto"/>
                      <w:kern w:val="0"/>
                      <w:szCs w:val="21"/>
                    </w:rPr>
                    <w:t>（μg/m</w:t>
                  </w:r>
                  <w:r>
                    <w:rPr>
                      <w:b/>
                      <w:bCs/>
                      <w:color w:val="auto"/>
                      <w:kern w:val="0"/>
                      <w:szCs w:val="21"/>
                      <w:vertAlign w:val="superscript"/>
                    </w:rPr>
                    <w:t>3</w:t>
                  </w:r>
                  <w:r>
                    <w:rPr>
                      <w:b/>
                      <w:bCs/>
                      <w:color w:val="auto"/>
                      <w:kern w:val="0"/>
                      <w:szCs w:val="21"/>
                    </w:rPr>
                    <w:t>）</w:t>
                  </w:r>
                </w:p>
              </w:tc>
              <w:tc>
                <w:tcPr>
                  <w:tcW w:w="1329" w:type="dxa"/>
                  <w:tcBorders>
                    <w:top w:val="single" w:color="auto" w:sz="12" w:space="0"/>
                  </w:tcBorders>
                  <w:vAlign w:val="center"/>
                </w:tcPr>
                <w:p>
                  <w:pPr>
                    <w:adjustRightInd w:val="0"/>
                    <w:snapToGrid w:val="0"/>
                    <w:jc w:val="center"/>
                    <w:rPr>
                      <w:b/>
                      <w:bCs/>
                      <w:color w:val="auto"/>
                      <w:kern w:val="0"/>
                      <w:szCs w:val="21"/>
                    </w:rPr>
                  </w:pPr>
                  <w:r>
                    <w:rPr>
                      <w:b/>
                      <w:bCs/>
                      <w:color w:val="auto"/>
                      <w:kern w:val="0"/>
                      <w:szCs w:val="21"/>
                    </w:rPr>
                    <w:t>占标率</w:t>
                  </w:r>
                </w:p>
                <w:p>
                  <w:pPr>
                    <w:adjustRightInd w:val="0"/>
                    <w:snapToGrid w:val="0"/>
                    <w:jc w:val="center"/>
                    <w:rPr>
                      <w:b/>
                      <w:bCs/>
                      <w:color w:val="auto"/>
                      <w:kern w:val="0"/>
                      <w:szCs w:val="21"/>
                    </w:rPr>
                  </w:pPr>
                  <w:r>
                    <w:rPr>
                      <w:b/>
                      <w:bCs/>
                      <w:color w:val="auto"/>
                      <w:kern w:val="0"/>
                      <w:szCs w:val="21"/>
                    </w:rPr>
                    <w:t>（%）</w:t>
                  </w:r>
                </w:p>
              </w:tc>
              <w:tc>
                <w:tcPr>
                  <w:tcW w:w="1329" w:type="dxa"/>
                  <w:tcBorders>
                    <w:top w:val="single" w:color="auto" w:sz="12" w:space="0"/>
                  </w:tcBorders>
                  <w:vAlign w:val="center"/>
                </w:tcPr>
                <w:p>
                  <w:pPr>
                    <w:adjustRightInd w:val="0"/>
                    <w:snapToGrid w:val="0"/>
                    <w:jc w:val="center"/>
                    <w:rPr>
                      <w:b/>
                      <w:bCs/>
                      <w:color w:val="auto"/>
                      <w:kern w:val="0"/>
                      <w:szCs w:val="21"/>
                    </w:rPr>
                  </w:pPr>
                  <w:r>
                    <w:rPr>
                      <w:b/>
                      <w:bCs/>
                      <w:color w:val="auto"/>
                      <w:kern w:val="0"/>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jc w:val="center"/>
                    <w:rPr>
                      <w:color w:val="auto"/>
                      <w:kern w:val="0"/>
                      <w:szCs w:val="21"/>
                    </w:rPr>
                  </w:pPr>
                  <w:r>
                    <w:rPr>
                      <w:color w:val="auto"/>
                      <w:kern w:val="0"/>
                      <w:szCs w:val="21"/>
                    </w:rPr>
                    <w:t>SO</w:t>
                  </w:r>
                  <w:r>
                    <w:rPr>
                      <w:color w:val="auto"/>
                      <w:kern w:val="0"/>
                      <w:szCs w:val="21"/>
                      <w:vertAlign w:val="subscript"/>
                    </w:rPr>
                    <w:t>2</w:t>
                  </w:r>
                </w:p>
              </w:tc>
              <w:tc>
                <w:tcPr>
                  <w:tcW w:w="1808" w:type="dxa"/>
                  <w:vAlign w:val="center"/>
                </w:tcPr>
                <w:p>
                  <w:pPr>
                    <w:adjustRightInd w:val="0"/>
                    <w:snapToGrid w:val="0"/>
                    <w:jc w:val="center"/>
                    <w:rPr>
                      <w:color w:val="auto"/>
                      <w:kern w:val="0"/>
                      <w:szCs w:val="21"/>
                    </w:rPr>
                  </w:pPr>
                  <w:r>
                    <w:rPr>
                      <w:color w:val="auto"/>
                      <w:kern w:val="0"/>
                      <w:szCs w:val="21"/>
                    </w:rPr>
                    <w:t>年平均质量浓度</w:t>
                  </w:r>
                </w:p>
              </w:tc>
              <w:tc>
                <w:tcPr>
                  <w:tcW w:w="1329" w:type="dxa"/>
                  <w:vAlign w:val="center"/>
                </w:tcPr>
                <w:p>
                  <w:pPr>
                    <w:adjustRightInd w:val="0"/>
                    <w:snapToGrid w:val="0"/>
                    <w:jc w:val="center"/>
                    <w:rPr>
                      <w:color w:val="auto"/>
                      <w:kern w:val="0"/>
                      <w:szCs w:val="21"/>
                    </w:rPr>
                  </w:pPr>
                  <w:r>
                    <w:rPr>
                      <w:color w:val="auto"/>
                      <w:kern w:val="0"/>
                      <w:szCs w:val="21"/>
                    </w:rPr>
                    <w:t>9</w:t>
                  </w:r>
                </w:p>
              </w:tc>
              <w:tc>
                <w:tcPr>
                  <w:tcW w:w="1329" w:type="dxa"/>
                  <w:vAlign w:val="center"/>
                </w:tcPr>
                <w:p>
                  <w:pPr>
                    <w:adjustRightInd w:val="0"/>
                    <w:snapToGrid w:val="0"/>
                    <w:jc w:val="center"/>
                    <w:rPr>
                      <w:color w:val="auto"/>
                      <w:kern w:val="0"/>
                      <w:szCs w:val="21"/>
                    </w:rPr>
                  </w:pPr>
                  <w:r>
                    <w:rPr>
                      <w:color w:val="auto"/>
                      <w:kern w:val="0"/>
                      <w:szCs w:val="21"/>
                    </w:rPr>
                    <w:t>60</w:t>
                  </w:r>
                </w:p>
              </w:tc>
              <w:tc>
                <w:tcPr>
                  <w:tcW w:w="1329" w:type="dxa"/>
                  <w:vAlign w:val="center"/>
                </w:tcPr>
                <w:p>
                  <w:pPr>
                    <w:adjustRightInd w:val="0"/>
                    <w:snapToGrid w:val="0"/>
                    <w:jc w:val="center"/>
                    <w:rPr>
                      <w:color w:val="auto"/>
                      <w:kern w:val="0"/>
                      <w:szCs w:val="21"/>
                    </w:rPr>
                  </w:pPr>
                  <w:r>
                    <w:rPr>
                      <w:color w:val="auto"/>
                      <w:kern w:val="0"/>
                      <w:szCs w:val="21"/>
                    </w:rPr>
                    <w:t>15.00</w:t>
                  </w:r>
                </w:p>
              </w:tc>
              <w:tc>
                <w:tcPr>
                  <w:tcW w:w="1329" w:type="dxa"/>
                  <w:vAlign w:val="center"/>
                </w:tcPr>
                <w:p>
                  <w:pPr>
                    <w:adjustRightInd w:val="0"/>
                    <w:snapToGrid w:val="0"/>
                    <w:jc w:val="center"/>
                    <w:rPr>
                      <w:color w:val="auto"/>
                      <w:kern w:val="0"/>
                      <w:szCs w:val="21"/>
                    </w:rPr>
                  </w:pPr>
                  <w:r>
                    <w:rPr>
                      <w:color w:val="auto"/>
                      <w:kern w:val="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jc w:val="center"/>
                    <w:rPr>
                      <w:color w:val="auto"/>
                      <w:kern w:val="0"/>
                      <w:szCs w:val="21"/>
                    </w:rPr>
                  </w:pPr>
                  <w:r>
                    <w:rPr>
                      <w:color w:val="auto"/>
                      <w:kern w:val="0"/>
                      <w:szCs w:val="21"/>
                    </w:rPr>
                    <w:t>NO</w:t>
                  </w:r>
                  <w:r>
                    <w:rPr>
                      <w:color w:val="auto"/>
                      <w:kern w:val="0"/>
                      <w:szCs w:val="21"/>
                      <w:vertAlign w:val="subscript"/>
                    </w:rPr>
                    <w:t>2</w:t>
                  </w:r>
                </w:p>
              </w:tc>
              <w:tc>
                <w:tcPr>
                  <w:tcW w:w="1808" w:type="dxa"/>
                  <w:vAlign w:val="center"/>
                </w:tcPr>
                <w:p>
                  <w:pPr>
                    <w:adjustRightInd w:val="0"/>
                    <w:snapToGrid w:val="0"/>
                    <w:jc w:val="center"/>
                    <w:rPr>
                      <w:color w:val="auto"/>
                      <w:kern w:val="0"/>
                      <w:szCs w:val="21"/>
                    </w:rPr>
                  </w:pPr>
                  <w:r>
                    <w:rPr>
                      <w:color w:val="auto"/>
                      <w:kern w:val="0"/>
                      <w:szCs w:val="21"/>
                    </w:rPr>
                    <w:t>年平均质量浓度</w:t>
                  </w:r>
                </w:p>
              </w:tc>
              <w:tc>
                <w:tcPr>
                  <w:tcW w:w="1329" w:type="dxa"/>
                  <w:vAlign w:val="center"/>
                </w:tcPr>
                <w:p>
                  <w:pPr>
                    <w:adjustRightInd w:val="0"/>
                    <w:snapToGrid w:val="0"/>
                    <w:jc w:val="center"/>
                    <w:rPr>
                      <w:color w:val="auto"/>
                      <w:kern w:val="0"/>
                      <w:szCs w:val="21"/>
                    </w:rPr>
                  </w:pPr>
                  <w:r>
                    <w:rPr>
                      <w:color w:val="auto"/>
                      <w:kern w:val="0"/>
                      <w:szCs w:val="21"/>
                    </w:rPr>
                    <w:t>27</w:t>
                  </w:r>
                </w:p>
              </w:tc>
              <w:tc>
                <w:tcPr>
                  <w:tcW w:w="1329" w:type="dxa"/>
                  <w:vAlign w:val="center"/>
                </w:tcPr>
                <w:p>
                  <w:pPr>
                    <w:adjustRightInd w:val="0"/>
                    <w:snapToGrid w:val="0"/>
                    <w:jc w:val="center"/>
                    <w:rPr>
                      <w:color w:val="auto"/>
                      <w:kern w:val="0"/>
                      <w:szCs w:val="21"/>
                    </w:rPr>
                  </w:pPr>
                  <w:r>
                    <w:rPr>
                      <w:color w:val="auto"/>
                      <w:kern w:val="0"/>
                      <w:szCs w:val="21"/>
                    </w:rPr>
                    <w:t>40</w:t>
                  </w:r>
                </w:p>
              </w:tc>
              <w:tc>
                <w:tcPr>
                  <w:tcW w:w="1329" w:type="dxa"/>
                  <w:vAlign w:val="center"/>
                </w:tcPr>
                <w:p>
                  <w:pPr>
                    <w:adjustRightInd w:val="0"/>
                    <w:snapToGrid w:val="0"/>
                    <w:jc w:val="center"/>
                    <w:rPr>
                      <w:color w:val="auto"/>
                      <w:kern w:val="0"/>
                      <w:szCs w:val="21"/>
                    </w:rPr>
                  </w:pPr>
                  <w:r>
                    <w:rPr>
                      <w:color w:val="auto"/>
                      <w:kern w:val="0"/>
                      <w:szCs w:val="21"/>
                    </w:rPr>
                    <w:t>67.50</w:t>
                  </w:r>
                </w:p>
              </w:tc>
              <w:tc>
                <w:tcPr>
                  <w:tcW w:w="1329" w:type="dxa"/>
                  <w:vAlign w:val="center"/>
                </w:tcPr>
                <w:p>
                  <w:pPr>
                    <w:adjustRightInd w:val="0"/>
                    <w:snapToGrid w:val="0"/>
                    <w:jc w:val="center"/>
                    <w:rPr>
                      <w:color w:val="auto"/>
                      <w:kern w:val="0"/>
                      <w:szCs w:val="21"/>
                    </w:rPr>
                  </w:pPr>
                  <w:r>
                    <w:rPr>
                      <w:color w:val="auto"/>
                      <w:kern w:val="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jc w:val="center"/>
                    <w:rPr>
                      <w:color w:val="auto"/>
                      <w:kern w:val="0"/>
                      <w:szCs w:val="21"/>
                    </w:rPr>
                  </w:pPr>
                  <w:r>
                    <w:rPr>
                      <w:color w:val="auto"/>
                      <w:kern w:val="0"/>
                      <w:szCs w:val="21"/>
                    </w:rPr>
                    <w:t>PM</w:t>
                  </w:r>
                  <w:r>
                    <w:rPr>
                      <w:color w:val="auto"/>
                      <w:kern w:val="0"/>
                      <w:szCs w:val="21"/>
                      <w:vertAlign w:val="subscript"/>
                    </w:rPr>
                    <w:t>10</w:t>
                  </w:r>
                </w:p>
              </w:tc>
              <w:tc>
                <w:tcPr>
                  <w:tcW w:w="1808" w:type="dxa"/>
                  <w:vAlign w:val="center"/>
                </w:tcPr>
                <w:p>
                  <w:pPr>
                    <w:adjustRightInd w:val="0"/>
                    <w:snapToGrid w:val="0"/>
                    <w:jc w:val="center"/>
                    <w:rPr>
                      <w:color w:val="auto"/>
                      <w:kern w:val="0"/>
                      <w:szCs w:val="21"/>
                    </w:rPr>
                  </w:pPr>
                  <w:r>
                    <w:rPr>
                      <w:color w:val="auto"/>
                      <w:kern w:val="0"/>
                      <w:szCs w:val="21"/>
                    </w:rPr>
                    <w:t>年平均质量浓度</w:t>
                  </w:r>
                </w:p>
              </w:tc>
              <w:tc>
                <w:tcPr>
                  <w:tcW w:w="1329" w:type="dxa"/>
                  <w:vAlign w:val="center"/>
                </w:tcPr>
                <w:p>
                  <w:pPr>
                    <w:adjustRightInd w:val="0"/>
                    <w:snapToGrid w:val="0"/>
                    <w:jc w:val="center"/>
                    <w:rPr>
                      <w:color w:val="auto"/>
                      <w:kern w:val="0"/>
                      <w:szCs w:val="21"/>
                    </w:rPr>
                  </w:pPr>
                  <w:r>
                    <w:rPr>
                      <w:color w:val="auto"/>
                      <w:kern w:val="0"/>
                      <w:szCs w:val="21"/>
                    </w:rPr>
                    <w:t>83</w:t>
                  </w:r>
                </w:p>
              </w:tc>
              <w:tc>
                <w:tcPr>
                  <w:tcW w:w="1329" w:type="dxa"/>
                  <w:vAlign w:val="center"/>
                </w:tcPr>
                <w:p>
                  <w:pPr>
                    <w:adjustRightInd w:val="0"/>
                    <w:snapToGrid w:val="0"/>
                    <w:jc w:val="center"/>
                    <w:rPr>
                      <w:color w:val="auto"/>
                      <w:kern w:val="0"/>
                      <w:szCs w:val="21"/>
                    </w:rPr>
                  </w:pPr>
                  <w:r>
                    <w:rPr>
                      <w:color w:val="auto"/>
                      <w:kern w:val="0"/>
                      <w:szCs w:val="21"/>
                    </w:rPr>
                    <w:t>70</w:t>
                  </w:r>
                </w:p>
              </w:tc>
              <w:tc>
                <w:tcPr>
                  <w:tcW w:w="1329" w:type="dxa"/>
                  <w:vAlign w:val="center"/>
                </w:tcPr>
                <w:p>
                  <w:pPr>
                    <w:adjustRightInd w:val="0"/>
                    <w:snapToGrid w:val="0"/>
                    <w:jc w:val="center"/>
                    <w:rPr>
                      <w:color w:val="auto"/>
                      <w:kern w:val="0"/>
                      <w:szCs w:val="21"/>
                    </w:rPr>
                  </w:pPr>
                  <w:r>
                    <w:rPr>
                      <w:color w:val="auto"/>
                      <w:kern w:val="0"/>
                      <w:szCs w:val="21"/>
                    </w:rPr>
                    <w:t>118.57</w:t>
                  </w:r>
                </w:p>
              </w:tc>
              <w:tc>
                <w:tcPr>
                  <w:tcW w:w="1329" w:type="dxa"/>
                  <w:vAlign w:val="center"/>
                </w:tcPr>
                <w:p>
                  <w:pPr>
                    <w:adjustRightInd w:val="0"/>
                    <w:snapToGrid w:val="0"/>
                    <w:jc w:val="center"/>
                    <w:rPr>
                      <w:color w:val="auto"/>
                      <w:kern w:val="0"/>
                      <w:szCs w:val="21"/>
                    </w:rPr>
                  </w:pPr>
                  <w:r>
                    <w:rPr>
                      <w:color w:val="auto"/>
                      <w:kern w:val="0"/>
                      <w:szCs w:val="21"/>
                    </w:rPr>
                    <w:t>不达标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jc w:val="center"/>
                    <w:rPr>
                      <w:color w:val="auto"/>
                      <w:kern w:val="0"/>
                      <w:szCs w:val="21"/>
                    </w:rPr>
                  </w:pPr>
                  <w:r>
                    <w:rPr>
                      <w:color w:val="auto"/>
                      <w:kern w:val="0"/>
                      <w:szCs w:val="21"/>
                    </w:rPr>
                    <w:t>PM</w:t>
                  </w:r>
                  <w:r>
                    <w:rPr>
                      <w:color w:val="auto"/>
                      <w:kern w:val="0"/>
                      <w:szCs w:val="21"/>
                      <w:vertAlign w:val="subscript"/>
                    </w:rPr>
                    <w:t>2.5</w:t>
                  </w:r>
                </w:p>
              </w:tc>
              <w:tc>
                <w:tcPr>
                  <w:tcW w:w="1808" w:type="dxa"/>
                  <w:vAlign w:val="center"/>
                </w:tcPr>
                <w:p>
                  <w:pPr>
                    <w:adjustRightInd w:val="0"/>
                    <w:snapToGrid w:val="0"/>
                    <w:jc w:val="center"/>
                    <w:rPr>
                      <w:color w:val="auto"/>
                      <w:kern w:val="0"/>
                      <w:szCs w:val="21"/>
                    </w:rPr>
                  </w:pPr>
                  <w:r>
                    <w:rPr>
                      <w:color w:val="auto"/>
                      <w:kern w:val="0"/>
                      <w:szCs w:val="21"/>
                    </w:rPr>
                    <w:t>年平均质量浓度</w:t>
                  </w:r>
                </w:p>
              </w:tc>
              <w:tc>
                <w:tcPr>
                  <w:tcW w:w="1329" w:type="dxa"/>
                  <w:vAlign w:val="center"/>
                </w:tcPr>
                <w:p>
                  <w:pPr>
                    <w:adjustRightInd w:val="0"/>
                    <w:snapToGrid w:val="0"/>
                    <w:jc w:val="center"/>
                    <w:rPr>
                      <w:color w:val="auto"/>
                      <w:kern w:val="0"/>
                      <w:szCs w:val="21"/>
                    </w:rPr>
                  </w:pPr>
                  <w:r>
                    <w:rPr>
                      <w:color w:val="auto"/>
                      <w:kern w:val="0"/>
                      <w:szCs w:val="21"/>
                    </w:rPr>
                    <w:t>42</w:t>
                  </w:r>
                </w:p>
              </w:tc>
              <w:tc>
                <w:tcPr>
                  <w:tcW w:w="1329" w:type="dxa"/>
                  <w:vAlign w:val="center"/>
                </w:tcPr>
                <w:p>
                  <w:pPr>
                    <w:adjustRightInd w:val="0"/>
                    <w:snapToGrid w:val="0"/>
                    <w:jc w:val="center"/>
                    <w:rPr>
                      <w:color w:val="auto"/>
                      <w:kern w:val="0"/>
                      <w:szCs w:val="21"/>
                    </w:rPr>
                  </w:pPr>
                  <w:r>
                    <w:rPr>
                      <w:color w:val="auto"/>
                      <w:kern w:val="0"/>
                      <w:szCs w:val="21"/>
                    </w:rPr>
                    <w:t>35</w:t>
                  </w:r>
                </w:p>
              </w:tc>
              <w:tc>
                <w:tcPr>
                  <w:tcW w:w="1329" w:type="dxa"/>
                  <w:vAlign w:val="center"/>
                </w:tcPr>
                <w:p>
                  <w:pPr>
                    <w:adjustRightInd w:val="0"/>
                    <w:snapToGrid w:val="0"/>
                    <w:jc w:val="center"/>
                    <w:rPr>
                      <w:color w:val="auto"/>
                      <w:kern w:val="0"/>
                      <w:szCs w:val="21"/>
                    </w:rPr>
                  </w:pPr>
                  <w:r>
                    <w:rPr>
                      <w:color w:val="auto"/>
                      <w:kern w:val="0"/>
                      <w:szCs w:val="21"/>
                    </w:rPr>
                    <w:t>120.00</w:t>
                  </w:r>
                </w:p>
              </w:tc>
              <w:tc>
                <w:tcPr>
                  <w:tcW w:w="1329" w:type="dxa"/>
                  <w:vAlign w:val="center"/>
                </w:tcPr>
                <w:p>
                  <w:pPr>
                    <w:adjustRightInd w:val="0"/>
                    <w:snapToGrid w:val="0"/>
                    <w:jc w:val="center"/>
                    <w:rPr>
                      <w:color w:val="auto"/>
                      <w:kern w:val="0"/>
                      <w:szCs w:val="21"/>
                    </w:rPr>
                  </w:pPr>
                  <w:r>
                    <w:rPr>
                      <w:color w:val="auto"/>
                      <w:kern w:val="0"/>
                      <w:szCs w:val="21"/>
                    </w:rPr>
                    <w:t>不达标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adjustRightInd w:val="0"/>
                    <w:snapToGrid w:val="0"/>
                    <w:jc w:val="center"/>
                    <w:rPr>
                      <w:color w:val="auto"/>
                      <w:kern w:val="0"/>
                      <w:szCs w:val="21"/>
                    </w:rPr>
                  </w:pPr>
                  <w:r>
                    <w:rPr>
                      <w:color w:val="auto"/>
                      <w:kern w:val="0"/>
                      <w:szCs w:val="21"/>
                    </w:rPr>
                    <w:t>CO</w:t>
                  </w:r>
                </w:p>
              </w:tc>
              <w:tc>
                <w:tcPr>
                  <w:tcW w:w="1808" w:type="dxa"/>
                  <w:vAlign w:val="center"/>
                </w:tcPr>
                <w:p>
                  <w:pPr>
                    <w:adjustRightInd w:val="0"/>
                    <w:snapToGrid w:val="0"/>
                    <w:jc w:val="center"/>
                    <w:rPr>
                      <w:color w:val="auto"/>
                      <w:kern w:val="0"/>
                      <w:szCs w:val="21"/>
                    </w:rPr>
                  </w:pPr>
                  <w:r>
                    <w:rPr>
                      <w:color w:val="auto"/>
                      <w:kern w:val="0"/>
                      <w:szCs w:val="21"/>
                    </w:rPr>
                    <w:t>第95百分位数24h平均浓度</w:t>
                  </w:r>
                </w:p>
              </w:tc>
              <w:tc>
                <w:tcPr>
                  <w:tcW w:w="1329" w:type="dxa"/>
                  <w:vAlign w:val="center"/>
                </w:tcPr>
                <w:p>
                  <w:pPr>
                    <w:adjustRightInd w:val="0"/>
                    <w:snapToGrid w:val="0"/>
                    <w:jc w:val="center"/>
                    <w:rPr>
                      <w:color w:val="auto"/>
                      <w:kern w:val="0"/>
                      <w:szCs w:val="21"/>
                    </w:rPr>
                  </w:pPr>
                  <w:r>
                    <w:rPr>
                      <w:color w:val="auto"/>
                      <w:kern w:val="0"/>
                      <w:szCs w:val="21"/>
                    </w:rPr>
                    <w:t>1600</w:t>
                  </w:r>
                </w:p>
              </w:tc>
              <w:tc>
                <w:tcPr>
                  <w:tcW w:w="1329" w:type="dxa"/>
                  <w:vAlign w:val="center"/>
                </w:tcPr>
                <w:p>
                  <w:pPr>
                    <w:adjustRightInd w:val="0"/>
                    <w:snapToGrid w:val="0"/>
                    <w:jc w:val="center"/>
                    <w:rPr>
                      <w:color w:val="auto"/>
                      <w:kern w:val="0"/>
                      <w:szCs w:val="21"/>
                    </w:rPr>
                  </w:pPr>
                  <w:r>
                    <w:rPr>
                      <w:color w:val="auto"/>
                      <w:kern w:val="0"/>
                      <w:szCs w:val="21"/>
                    </w:rPr>
                    <w:t>4000</w:t>
                  </w:r>
                </w:p>
              </w:tc>
              <w:tc>
                <w:tcPr>
                  <w:tcW w:w="1329" w:type="dxa"/>
                  <w:vAlign w:val="center"/>
                </w:tcPr>
                <w:p>
                  <w:pPr>
                    <w:adjustRightInd w:val="0"/>
                    <w:snapToGrid w:val="0"/>
                    <w:jc w:val="center"/>
                    <w:rPr>
                      <w:color w:val="auto"/>
                      <w:kern w:val="0"/>
                      <w:szCs w:val="21"/>
                    </w:rPr>
                  </w:pPr>
                  <w:r>
                    <w:rPr>
                      <w:color w:val="auto"/>
                      <w:kern w:val="0"/>
                      <w:szCs w:val="21"/>
                    </w:rPr>
                    <w:t>40.00</w:t>
                  </w:r>
                </w:p>
              </w:tc>
              <w:tc>
                <w:tcPr>
                  <w:tcW w:w="1329" w:type="dxa"/>
                  <w:vAlign w:val="center"/>
                </w:tcPr>
                <w:p>
                  <w:pPr>
                    <w:adjustRightInd w:val="0"/>
                    <w:snapToGrid w:val="0"/>
                    <w:jc w:val="center"/>
                    <w:rPr>
                      <w:color w:val="auto"/>
                      <w:kern w:val="0"/>
                      <w:szCs w:val="21"/>
                    </w:rPr>
                  </w:pPr>
                  <w:r>
                    <w:rPr>
                      <w:color w:val="auto"/>
                      <w:kern w:val="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 w:type="dxa"/>
                  <w:tcBorders>
                    <w:bottom w:val="single" w:color="auto" w:sz="12" w:space="0"/>
                  </w:tcBorders>
                  <w:vAlign w:val="center"/>
                </w:tcPr>
                <w:p>
                  <w:pPr>
                    <w:adjustRightInd w:val="0"/>
                    <w:snapToGrid w:val="0"/>
                    <w:jc w:val="center"/>
                    <w:rPr>
                      <w:color w:val="auto"/>
                      <w:kern w:val="0"/>
                      <w:szCs w:val="21"/>
                    </w:rPr>
                  </w:pPr>
                  <w:r>
                    <w:rPr>
                      <w:color w:val="auto"/>
                      <w:kern w:val="0"/>
                      <w:szCs w:val="21"/>
                    </w:rPr>
                    <w:t>O</w:t>
                  </w:r>
                  <w:r>
                    <w:rPr>
                      <w:color w:val="auto"/>
                      <w:kern w:val="0"/>
                      <w:szCs w:val="21"/>
                      <w:vertAlign w:val="subscript"/>
                    </w:rPr>
                    <w:t>3</w:t>
                  </w:r>
                </w:p>
              </w:tc>
              <w:tc>
                <w:tcPr>
                  <w:tcW w:w="1808" w:type="dxa"/>
                  <w:tcBorders>
                    <w:bottom w:val="single" w:color="auto" w:sz="12" w:space="0"/>
                  </w:tcBorders>
                  <w:vAlign w:val="center"/>
                </w:tcPr>
                <w:p>
                  <w:pPr>
                    <w:adjustRightInd w:val="0"/>
                    <w:snapToGrid w:val="0"/>
                    <w:jc w:val="center"/>
                    <w:rPr>
                      <w:color w:val="auto"/>
                      <w:kern w:val="0"/>
                      <w:szCs w:val="21"/>
                    </w:rPr>
                  </w:pPr>
                  <w:r>
                    <w:rPr>
                      <w:color w:val="auto"/>
                      <w:kern w:val="0"/>
                      <w:szCs w:val="21"/>
                    </w:rPr>
                    <w:t>第90百分位数8h平均浓度</w:t>
                  </w:r>
                </w:p>
              </w:tc>
              <w:tc>
                <w:tcPr>
                  <w:tcW w:w="1329" w:type="dxa"/>
                  <w:tcBorders>
                    <w:bottom w:val="single" w:color="auto" w:sz="12" w:space="0"/>
                  </w:tcBorders>
                  <w:vAlign w:val="center"/>
                </w:tcPr>
                <w:p>
                  <w:pPr>
                    <w:adjustRightInd w:val="0"/>
                    <w:snapToGrid w:val="0"/>
                    <w:jc w:val="center"/>
                    <w:rPr>
                      <w:color w:val="auto"/>
                      <w:kern w:val="0"/>
                      <w:szCs w:val="21"/>
                    </w:rPr>
                  </w:pPr>
                  <w:r>
                    <w:rPr>
                      <w:color w:val="auto"/>
                      <w:kern w:val="0"/>
                      <w:szCs w:val="21"/>
                    </w:rPr>
                    <w:t>170</w:t>
                  </w:r>
                </w:p>
              </w:tc>
              <w:tc>
                <w:tcPr>
                  <w:tcW w:w="1329" w:type="dxa"/>
                  <w:tcBorders>
                    <w:bottom w:val="single" w:color="auto" w:sz="12" w:space="0"/>
                  </w:tcBorders>
                  <w:vAlign w:val="center"/>
                </w:tcPr>
                <w:p>
                  <w:pPr>
                    <w:adjustRightInd w:val="0"/>
                    <w:snapToGrid w:val="0"/>
                    <w:jc w:val="center"/>
                    <w:rPr>
                      <w:color w:val="auto"/>
                      <w:kern w:val="0"/>
                      <w:szCs w:val="21"/>
                    </w:rPr>
                  </w:pPr>
                  <w:r>
                    <w:rPr>
                      <w:color w:val="auto"/>
                      <w:kern w:val="0"/>
                      <w:szCs w:val="21"/>
                    </w:rPr>
                    <w:t>160</w:t>
                  </w:r>
                </w:p>
              </w:tc>
              <w:tc>
                <w:tcPr>
                  <w:tcW w:w="1329" w:type="dxa"/>
                  <w:tcBorders>
                    <w:bottom w:val="single" w:color="auto" w:sz="12" w:space="0"/>
                  </w:tcBorders>
                  <w:vAlign w:val="center"/>
                </w:tcPr>
                <w:p>
                  <w:pPr>
                    <w:adjustRightInd w:val="0"/>
                    <w:snapToGrid w:val="0"/>
                    <w:jc w:val="center"/>
                    <w:rPr>
                      <w:color w:val="auto"/>
                      <w:kern w:val="0"/>
                      <w:szCs w:val="21"/>
                    </w:rPr>
                  </w:pPr>
                  <w:r>
                    <w:rPr>
                      <w:color w:val="auto"/>
                      <w:kern w:val="0"/>
                      <w:szCs w:val="21"/>
                    </w:rPr>
                    <w:t>106.25</w:t>
                  </w:r>
                </w:p>
              </w:tc>
              <w:tc>
                <w:tcPr>
                  <w:tcW w:w="1329" w:type="dxa"/>
                  <w:tcBorders>
                    <w:bottom w:val="single" w:color="auto" w:sz="12" w:space="0"/>
                  </w:tcBorders>
                  <w:vAlign w:val="center"/>
                </w:tcPr>
                <w:p>
                  <w:pPr>
                    <w:adjustRightInd w:val="0"/>
                    <w:snapToGrid w:val="0"/>
                    <w:jc w:val="center"/>
                    <w:rPr>
                      <w:color w:val="auto"/>
                      <w:kern w:val="0"/>
                      <w:szCs w:val="21"/>
                    </w:rPr>
                  </w:pPr>
                  <w:r>
                    <w:rPr>
                      <w:color w:val="auto"/>
                      <w:kern w:val="0"/>
                      <w:szCs w:val="21"/>
                    </w:rPr>
                    <w:t>不达标</w:t>
                  </w:r>
                </w:p>
              </w:tc>
            </w:tr>
          </w:tbl>
          <w:p>
            <w:pPr>
              <w:adjustRightInd w:val="0"/>
              <w:snapToGrid w:val="0"/>
              <w:spacing w:line="360" w:lineRule="auto"/>
              <w:ind w:firstLine="480" w:firstLineChars="200"/>
              <w:rPr>
                <w:color w:val="auto"/>
                <w:kern w:val="0"/>
                <w:sz w:val="24"/>
              </w:rPr>
            </w:pPr>
            <w:r>
              <w:rPr>
                <w:color w:val="auto"/>
                <w:kern w:val="0"/>
                <w:sz w:val="24"/>
              </w:rPr>
              <w:t>由上表数据可知，SO</w:t>
            </w:r>
            <w:r>
              <w:rPr>
                <w:color w:val="auto"/>
                <w:kern w:val="0"/>
                <w:sz w:val="24"/>
                <w:vertAlign w:val="subscript"/>
              </w:rPr>
              <w:t>2</w:t>
            </w:r>
            <w:r>
              <w:rPr>
                <w:color w:val="auto"/>
                <w:kern w:val="0"/>
                <w:sz w:val="24"/>
              </w:rPr>
              <w:t>年平均质量浓度、NO</w:t>
            </w:r>
            <w:r>
              <w:rPr>
                <w:color w:val="auto"/>
                <w:kern w:val="0"/>
                <w:sz w:val="24"/>
                <w:vertAlign w:val="subscript"/>
              </w:rPr>
              <w:t>2</w:t>
            </w:r>
            <w:r>
              <w:rPr>
                <w:color w:val="auto"/>
                <w:kern w:val="0"/>
                <w:sz w:val="24"/>
              </w:rPr>
              <w:t>年平均质量浓度、CO第95百分位数24</w:t>
            </w:r>
            <w:r>
              <w:rPr>
                <w:rFonts w:hint="eastAsia"/>
                <w:color w:val="auto"/>
                <w:kern w:val="0"/>
                <w:sz w:val="24"/>
              </w:rPr>
              <w:t xml:space="preserve"> </w:t>
            </w:r>
            <w:r>
              <w:rPr>
                <w:color w:val="auto"/>
                <w:kern w:val="0"/>
                <w:sz w:val="24"/>
              </w:rPr>
              <w:t>h平均浓度均满足《环境空气质量标准》（GB3095-2012）二级标准限值要求；PM</w:t>
            </w:r>
            <w:r>
              <w:rPr>
                <w:color w:val="auto"/>
                <w:kern w:val="0"/>
                <w:sz w:val="24"/>
                <w:vertAlign w:val="subscript"/>
              </w:rPr>
              <w:t>10</w:t>
            </w:r>
            <w:r>
              <w:rPr>
                <w:color w:val="auto"/>
                <w:kern w:val="0"/>
                <w:sz w:val="24"/>
              </w:rPr>
              <w:t>年平均质量浓度、PM</w:t>
            </w:r>
            <w:r>
              <w:rPr>
                <w:color w:val="auto"/>
                <w:kern w:val="0"/>
                <w:sz w:val="24"/>
                <w:vertAlign w:val="subscript"/>
              </w:rPr>
              <w:t>2.5</w:t>
            </w:r>
            <w:r>
              <w:rPr>
                <w:color w:val="auto"/>
                <w:kern w:val="0"/>
                <w:sz w:val="24"/>
              </w:rPr>
              <w:t>年平均质量浓度、O</w:t>
            </w:r>
            <w:r>
              <w:rPr>
                <w:color w:val="auto"/>
                <w:kern w:val="0"/>
                <w:sz w:val="24"/>
                <w:vertAlign w:val="subscript"/>
              </w:rPr>
              <w:t>3</w:t>
            </w:r>
            <w:r>
              <w:rPr>
                <w:color w:val="auto"/>
                <w:kern w:val="0"/>
                <w:sz w:val="24"/>
              </w:rPr>
              <w:t>第90百分位数8h平均浓度高于《环境空气质量标准》（GB3095-2012）二级标准限值要求。因此，项目所在区域为不达标区。</w:t>
            </w:r>
          </w:p>
          <w:p>
            <w:pPr>
              <w:adjustRightInd w:val="0"/>
              <w:snapToGrid w:val="0"/>
              <w:spacing w:line="360" w:lineRule="auto"/>
              <w:ind w:firstLine="480" w:firstLineChars="200"/>
              <w:rPr>
                <w:color w:val="auto"/>
                <w:kern w:val="0"/>
                <w:sz w:val="24"/>
              </w:rPr>
            </w:pPr>
            <w:r>
              <w:rPr>
                <w:color w:val="auto"/>
                <w:kern w:val="0"/>
                <w:sz w:val="24"/>
              </w:rPr>
              <w:t>（2）特征污染物环境质量现状</w:t>
            </w:r>
          </w:p>
          <w:p>
            <w:pPr>
              <w:adjustRightInd w:val="0"/>
              <w:snapToGrid w:val="0"/>
              <w:spacing w:line="360" w:lineRule="auto"/>
              <w:ind w:firstLine="480" w:firstLineChars="200"/>
              <w:rPr>
                <w:color w:val="auto"/>
                <w:kern w:val="0"/>
                <w:sz w:val="24"/>
              </w:rPr>
            </w:pPr>
            <w:r>
              <w:rPr>
                <w:rFonts w:hint="eastAsia"/>
                <w:bCs/>
                <w:color w:val="auto"/>
                <w:sz w:val="24"/>
              </w:rPr>
              <w:t>本项目特征因子为TSP和非甲烷总烃，引用西安比亚迪汽车零部件有限公司《集贤新能源汽车零部件产业园项目环境影响报告书》中的环境质量现状监测数据，监测时间为202</w:t>
            </w:r>
            <w:r>
              <w:rPr>
                <w:bCs/>
                <w:color w:val="auto"/>
                <w:sz w:val="24"/>
              </w:rPr>
              <w:t>2</w:t>
            </w:r>
            <w:r>
              <w:rPr>
                <w:rFonts w:hint="eastAsia"/>
                <w:bCs/>
                <w:color w:val="auto"/>
                <w:sz w:val="24"/>
              </w:rPr>
              <w:t>年</w:t>
            </w:r>
            <w:r>
              <w:rPr>
                <w:bCs/>
                <w:color w:val="auto"/>
                <w:sz w:val="24"/>
              </w:rPr>
              <w:t>6</w:t>
            </w:r>
            <w:r>
              <w:rPr>
                <w:rFonts w:hint="eastAsia"/>
                <w:bCs/>
                <w:color w:val="auto"/>
                <w:sz w:val="24"/>
              </w:rPr>
              <w:t>月</w:t>
            </w:r>
            <w:r>
              <w:rPr>
                <w:bCs/>
                <w:color w:val="auto"/>
                <w:sz w:val="24"/>
              </w:rPr>
              <w:t>12</w:t>
            </w:r>
            <w:r>
              <w:rPr>
                <w:rFonts w:hint="eastAsia"/>
                <w:bCs/>
                <w:color w:val="auto"/>
                <w:sz w:val="24"/>
              </w:rPr>
              <w:t>日~</w:t>
            </w:r>
            <w:r>
              <w:rPr>
                <w:bCs/>
                <w:color w:val="auto"/>
                <w:sz w:val="24"/>
              </w:rPr>
              <w:t>6</w:t>
            </w:r>
            <w:r>
              <w:rPr>
                <w:rFonts w:hint="eastAsia"/>
                <w:bCs/>
                <w:color w:val="auto"/>
                <w:sz w:val="24"/>
              </w:rPr>
              <w:t>月18日，监测地点为集贤镇东村（位于本项目</w:t>
            </w:r>
            <w:r>
              <w:rPr>
                <w:rFonts w:hint="eastAsia"/>
                <w:bCs/>
                <w:color w:val="auto"/>
                <w:sz w:val="24"/>
                <w:lang w:val="en-US" w:eastAsia="zh-CN"/>
              </w:rPr>
              <w:t>西北</w:t>
            </w:r>
            <w:r>
              <w:rPr>
                <w:rFonts w:hint="eastAsia"/>
                <w:bCs/>
                <w:color w:val="auto"/>
                <w:sz w:val="24"/>
              </w:rPr>
              <w:t>方向</w:t>
            </w:r>
            <w:r>
              <w:rPr>
                <w:rFonts w:hint="eastAsia"/>
                <w:bCs/>
                <w:color w:val="auto"/>
                <w:sz w:val="24"/>
                <w:lang w:val="en-US" w:eastAsia="zh-CN"/>
              </w:rPr>
              <w:t>992</w:t>
            </w:r>
            <w:r>
              <w:rPr>
                <w:rFonts w:hint="eastAsia"/>
                <w:bCs/>
                <w:color w:val="auto"/>
                <w:sz w:val="24"/>
              </w:rPr>
              <w:t>m）、九峰镇初级中学（位于本项目东南方向</w:t>
            </w:r>
            <w:r>
              <w:rPr>
                <w:rFonts w:hint="eastAsia"/>
                <w:bCs/>
                <w:color w:val="auto"/>
                <w:sz w:val="24"/>
                <w:lang w:val="en-US" w:eastAsia="zh-CN"/>
              </w:rPr>
              <w:t>1651</w:t>
            </w:r>
            <w:r>
              <w:rPr>
                <w:rFonts w:hint="eastAsia"/>
                <w:bCs/>
                <w:color w:val="auto"/>
                <w:sz w:val="24"/>
              </w:rPr>
              <w:t>m）进行的环境质量现状监测。监测点位</w:t>
            </w:r>
            <w:r>
              <w:rPr>
                <w:color w:val="auto"/>
                <w:kern w:val="0"/>
                <w:sz w:val="24"/>
              </w:rPr>
              <w:t>与本项目位于同一厂区内，距离小于5</w:t>
            </w:r>
            <w:r>
              <w:rPr>
                <w:rFonts w:hint="eastAsia"/>
                <w:color w:val="auto"/>
                <w:kern w:val="0"/>
                <w:sz w:val="24"/>
              </w:rPr>
              <w:t>km，</w:t>
            </w:r>
            <w:r>
              <w:rPr>
                <w:rFonts w:hint="eastAsia"/>
                <w:bCs/>
                <w:color w:val="auto"/>
                <w:sz w:val="24"/>
              </w:rPr>
              <w:t>监测时间为近3年内，引用监测报告符合《建设项目环境影响报告表编制技术指南（污染影响类）》要求。监测结果如下表所示。</w:t>
            </w:r>
          </w:p>
          <w:p>
            <w:pPr>
              <w:pStyle w:val="17"/>
              <w:ind w:firstLine="0" w:firstLineChars="0"/>
              <w:jc w:val="center"/>
              <w:rPr>
                <w:rFonts w:eastAsia="宋体"/>
                <w:b/>
                <w:bCs/>
                <w:color w:val="auto"/>
                <w:kern w:val="0"/>
                <w:sz w:val="21"/>
                <w:szCs w:val="21"/>
              </w:rPr>
            </w:pPr>
            <w:r>
              <w:rPr>
                <w:rFonts w:eastAsia="宋体"/>
                <w:b/>
                <w:bCs/>
                <w:color w:val="auto"/>
                <w:kern w:val="0"/>
                <w:sz w:val="21"/>
                <w:szCs w:val="21"/>
              </w:rPr>
              <w:t>表3-2特征污染物补充监测点位基本信息</w:t>
            </w:r>
          </w:p>
          <w:tbl>
            <w:tblPr>
              <w:tblStyle w:val="1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609"/>
              <w:gridCol w:w="1496"/>
              <w:gridCol w:w="980"/>
              <w:gridCol w:w="2221"/>
              <w:gridCol w:w="426"/>
              <w:gridCol w:w="6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65" w:type="pct"/>
                  <w:vMerge w:val="restart"/>
                  <w:vAlign w:val="center"/>
                </w:tcPr>
                <w:p>
                  <w:pPr>
                    <w:jc w:val="center"/>
                    <w:rPr>
                      <w:b/>
                      <w:bCs/>
                      <w:color w:val="auto"/>
                      <w:szCs w:val="21"/>
                    </w:rPr>
                  </w:pPr>
                  <w:r>
                    <w:rPr>
                      <w:b/>
                      <w:bCs/>
                      <w:color w:val="auto"/>
                      <w:szCs w:val="21"/>
                    </w:rPr>
                    <w:t>监测点名称</w:t>
                  </w:r>
                </w:p>
              </w:tc>
              <w:tc>
                <w:tcPr>
                  <w:tcW w:w="1946" w:type="pct"/>
                  <w:gridSpan w:val="2"/>
                  <w:vAlign w:val="center"/>
                </w:tcPr>
                <w:p>
                  <w:pPr>
                    <w:jc w:val="center"/>
                    <w:rPr>
                      <w:b/>
                      <w:bCs/>
                      <w:color w:val="auto"/>
                      <w:szCs w:val="21"/>
                    </w:rPr>
                  </w:pPr>
                  <w:r>
                    <w:rPr>
                      <w:b/>
                      <w:bCs/>
                      <w:color w:val="auto"/>
                      <w:szCs w:val="21"/>
                    </w:rPr>
                    <w:t>监测点坐标/m</w:t>
                  </w:r>
                </w:p>
              </w:tc>
              <w:tc>
                <w:tcPr>
                  <w:tcW w:w="614" w:type="pct"/>
                  <w:vMerge w:val="restart"/>
                  <w:vAlign w:val="center"/>
                </w:tcPr>
                <w:p>
                  <w:pPr>
                    <w:jc w:val="center"/>
                    <w:rPr>
                      <w:b/>
                      <w:bCs/>
                      <w:color w:val="auto"/>
                      <w:szCs w:val="21"/>
                    </w:rPr>
                  </w:pPr>
                  <w:r>
                    <w:rPr>
                      <w:b/>
                      <w:bCs/>
                      <w:color w:val="auto"/>
                      <w:szCs w:val="21"/>
                    </w:rPr>
                    <w:t>监测因子</w:t>
                  </w:r>
                </w:p>
              </w:tc>
              <w:tc>
                <w:tcPr>
                  <w:tcW w:w="1392" w:type="pct"/>
                  <w:vMerge w:val="restart"/>
                  <w:vAlign w:val="center"/>
                </w:tcPr>
                <w:p>
                  <w:pPr>
                    <w:jc w:val="center"/>
                    <w:rPr>
                      <w:b/>
                      <w:bCs/>
                      <w:color w:val="auto"/>
                      <w:szCs w:val="21"/>
                    </w:rPr>
                  </w:pPr>
                  <w:r>
                    <w:rPr>
                      <w:b/>
                      <w:bCs/>
                      <w:color w:val="auto"/>
                      <w:szCs w:val="21"/>
                    </w:rPr>
                    <w:t>监测时段</w:t>
                  </w:r>
                </w:p>
              </w:tc>
              <w:tc>
                <w:tcPr>
                  <w:tcW w:w="267" w:type="pct"/>
                  <w:vMerge w:val="restart"/>
                  <w:vAlign w:val="center"/>
                </w:tcPr>
                <w:p>
                  <w:pPr>
                    <w:jc w:val="center"/>
                    <w:rPr>
                      <w:b/>
                      <w:bCs/>
                      <w:color w:val="auto"/>
                      <w:szCs w:val="21"/>
                    </w:rPr>
                  </w:pPr>
                  <w:r>
                    <w:rPr>
                      <w:b/>
                      <w:bCs/>
                      <w:color w:val="auto"/>
                      <w:szCs w:val="21"/>
                    </w:rPr>
                    <w:t>相对厂址方向</w:t>
                  </w:r>
                </w:p>
              </w:tc>
              <w:tc>
                <w:tcPr>
                  <w:tcW w:w="413" w:type="pct"/>
                  <w:vMerge w:val="restart"/>
                  <w:vAlign w:val="center"/>
                </w:tcPr>
                <w:p>
                  <w:pPr>
                    <w:jc w:val="center"/>
                    <w:rPr>
                      <w:b/>
                      <w:bCs/>
                      <w:color w:val="auto"/>
                      <w:szCs w:val="21"/>
                    </w:rPr>
                  </w:pPr>
                  <w:r>
                    <w:rPr>
                      <w:b/>
                      <w:bCs/>
                      <w:color w:val="auto"/>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65" w:type="pct"/>
                  <w:vMerge w:val="continue"/>
                  <w:vAlign w:val="center"/>
                </w:tcPr>
                <w:p>
                  <w:pPr>
                    <w:jc w:val="center"/>
                    <w:rPr>
                      <w:color w:val="auto"/>
                    </w:rPr>
                  </w:pPr>
                </w:p>
              </w:tc>
              <w:tc>
                <w:tcPr>
                  <w:tcW w:w="1008" w:type="pct"/>
                  <w:vAlign w:val="center"/>
                </w:tcPr>
                <w:p>
                  <w:pPr>
                    <w:jc w:val="center"/>
                    <w:rPr>
                      <w:rFonts w:hint="eastAsia" w:eastAsia="宋体"/>
                      <w:b/>
                      <w:bCs/>
                      <w:color w:val="auto"/>
                      <w:szCs w:val="21"/>
                      <w:lang w:val="en-US" w:eastAsia="zh-CN"/>
                    </w:rPr>
                  </w:pPr>
                  <w:r>
                    <w:rPr>
                      <w:rFonts w:hint="eastAsia"/>
                      <w:b/>
                      <w:bCs/>
                      <w:color w:val="auto"/>
                      <w:szCs w:val="21"/>
                      <w:lang w:val="en-US" w:eastAsia="zh-CN"/>
                    </w:rPr>
                    <w:t>E</w:t>
                  </w:r>
                </w:p>
              </w:tc>
              <w:tc>
                <w:tcPr>
                  <w:tcW w:w="938" w:type="pct"/>
                  <w:vAlign w:val="center"/>
                </w:tcPr>
                <w:p>
                  <w:pPr>
                    <w:jc w:val="center"/>
                    <w:rPr>
                      <w:rFonts w:hint="eastAsia" w:eastAsia="宋体"/>
                      <w:b/>
                      <w:bCs/>
                      <w:color w:val="auto"/>
                      <w:szCs w:val="21"/>
                      <w:lang w:val="en-US" w:eastAsia="zh-CN"/>
                    </w:rPr>
                  </w:pPr>
                  <w:r>
                    <w:rPr>
                      <w:rFonts w:hint="eastAsia"/>
                      <w:b/>
                      <w:bCs/>
                      <w:color w:val="auto"/>
                      <w:szCs w:val="21"/>
                      <w:lang w:val="en-US" w:eastAsia="zh-CN"/>
                    </w:rPr>
                    <w:t>N</w:t>
                  </w:r>
                </w:p>
              </w:tc>
              <w:tc>
                <w:tcPr>
                  <w:tcW w:w="614" w:type="pct"/>
                  <w:vMerge w:val="continue"/>
                  <w:vAlign w:val="center"/>
                </w:tcPr>
                <w:p>
                  <w:pPr>
                    <w:jc w:val="center"/>
                    <w:rPr>
                      <w:b/>
                      <w:bCs/>
                      <w:color w:val="auto"/>
                      <w:szCs w:val="21"/>
                    </w:rPr>
                  </w:pPr>
                </w:p>
              </w:tc>
              <w:tc>
                <w:tcPr>
                  <w:tcW w:w="1392" w:type="pct"/>
                  <w:vMerge w:val="continue"/>
                  <w:vAlign w:val="center"/>
                </w:tcPr>
                <w:p>
                  <w:pPr>
                    <w:jc w:val="center"/>
                    <w:rPr>
                      <w:b/>
                      <w:bCs/>
                      <w:color w:val="auto"/>
                      <w:szCs w:val="21"/>
                    </w:rPr>
                  </w:pPr>
                </w:p>
              </w:tc>
              <w:tc>
                <w:tcPr>
                  <w:tcW w:w="267" w:type="pct"/>
                  <w:vMerge w:val="continue"/>
                  <w:vAlign w:val="center"/>
                </w:tcPr>
                <w:p>
                  <w:pPr>
                    <w:jc w:val="center"/>
                    <w:rPr>
                      <w:b/>
                      <w:bCs/>
                      <w:color w:val="auto"/>
                      <w:szCs w:val="21"/>
                    </w:rPr>
                  </w:pPr>
                </w:p>
              </w:tc>
              <w:tc>
                <w:tcPr>
                  <w:tcW w:w="413" w:type="pct"/>
                  <w:vMerge w:val="continue"/>
                  <w:vAlign w:val="center"/>
                </w:tcPr>
                <w:p>
                  <w:pPr>
                    <w:jc w:val="center"/>
                    <w:rPr>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jc w:val="center"/>
                    <w:rPr>
                      <w:color w:val="auto"/>
                      <w:szCs w:val="21"/>
                    </w:rPr>
                  </w:pPr>
                  <w:r>
                    <w:rPr>
                      <w:color w:val="auto"/>
                      <w:szCs w:val="21"/>
                    </w:rPr>
                    <w:t>1#集贤镇东村</w:t>
                  </w:r>
                </w:p>
              </w:tc>
              <w:tc>
                <w:tcPr>
                  <w:tcW w:w="1008" w:type="pct"/>
                  <w:vAlign w:val="center"/>
                </w:tcPr>
                <w:p>
                  <w:pPr>
                    <w:jc w:val="center"/>
                    <w:rPr>
                      <w:rFonts w:hint="default" w:eastAsia="宋体"/>
                      <w:color w:val="auto"/>
                      <w:szCs w:val="21"/>
                      <w:lang w:val="en-US" w:eastAsia="zh-CN"/>
                    </w:rPr>
                  </w:pPr>
                  <w:r>
                    <w:rPr>
                      <w:bCs/>
                      <w:color w:val="auto"/>
                      <w:szCs w:val="21"/>
                    </w:rPr>
                    <w:t>108°24′</w:t>
                  </w:r>
                  <w:r>
                    <w:rPr>
                      <w:rFonts w:hint="eastAsia"/>
                      <w:bCs/>
                      <w:color w:val="auto"/>
                      <w:szCs w:val="21"/>
                      <w:lang w:val="en-US" w:eastAsia="zh-CN"/>
                    </w:rPr>
                    <w:t>15.99</w:t>
                  </w:r>
                  <w:r>
                    <w:rPr>
                      <w:bCs/>
                      <w:color w:val="auto"/>
                      <w:szCs w:val="21"/>
                    </w:rPr>
                    <w:t>"</w:t>
                  </w:r>
                </w:p>
              </w:tc>
              <w:tc>
                <w:tcPr>
                  <w:tcW w:w="938" w:type="pct"/>
                  <w:vAlign w:val="center"/>
                </w:tcPr>
                <w:p>
                  <w:pPr>
                    <w:jc w:val="center"/>
                    <w:rPr>
                      <w:color w:val="auto"/>
                      <w:szCs w:val="21"/>
                    </w:rPr>
                  </w:pPr>
                  <w:r>
                    <w:rPr>
                      <w:rFonts w:hint="eastAsia"/>
                      <w:bCs/>
                      <w:color w:val="auto"/>
                      <w:szCs w:val="21"/>
                      <w:lang w:val="en-US" w:eastAsia="zh-CN"/>
                    </w:rPr>
                    <w:t>34</w:t>
                  </w:r>
                  <w:r>
                    <w:rPr>
                      <w:bCs/>
                      <w:color w:val="auto"/>
                      <w:szCs w:val="21"/>
                    </w:rPr>
                    <w:t>°</w:t>
                  </w:r>
                  <w:r>
                    <w:rPr>
                      <w:rFonts w:hint="eastAsia"/>
                      <w:bCs/>
                      <w:color w:val="auto"/>
                      <w:szCs w:val="21"/>
                      <w:lang w:val="en-US" w:eastAsia="zh-CN"/>
                    </w:rPr>
                    <w:t>0</w:t>
                  </w:r>
                  <w:r>
                    <w:rPr>
                      <w:bCs/>
                      <w:color w:val="auto"/>
                      <w:szCs w:val="21"/>
                    </w:rPr>
                    <w:t>4′</w:t>
                  </w:r>
                  <w:r>
                    <w:rPr>
                      <w:rFonts w:hint="eastAsia"/>
                      <w:bCs/>
                      <w:color w:val="auto"/>
                      <w:szCs w:val="21"/>
                      <w:lang w:val="en-US" w:eastAsia="zh-CN"/>
                    </w:rPr>
                    <w:t>58.18</w:t>
                  </w:r>
                  <w:r>
                    <w:rPr>
                      <w:bCs/>
                      <w:color w:val="auto"/>
                      <w:szCs w:val="21"/>
                    </w:rPr>
                    <w:t>"</w:t>
                  </w:r>
                </w:p>
              </w:tc>
              <w:tc>
                <w:tcPr>
                  <w:tcW w:w="614" w:type="pct"/>
                  <w:vAlign w:val="center"/>
                </w:tcPr>
                <w:p>
                  <w:pPr>
                    <w:jc w:val="center"/>
                    <w:rPr>
                      <w:color w:val="auto"/>
                      <w:szCs w:val="21"/>
                    </w:rPr>
                  </w:pPr>
                  <w:r>
                    <w:rPr>
                      <w:color w:val="auto"/>
                      <w:szCs w:val="21"/>
                    </w:rPr>
                    <w:t>TSP、NMHC</w:t>
                  </w:r>
                </w:p>
              </w:tc>
              <w:tc>
                <w:tcPr>
                  <w:tcW w:w="1392" w:type="pct"/>
                  <w:vAlign w:val="center"/>
                </w:tcPr>
                <w:p>
                  <w:pPr>
                    <w:jc w:val="center"/>
                    <w:rPr>
                      <w:color w:val="auto"/>
                      <w:szCs w:val="21"/>
                    </w:rPr>
                  </w:pPr>
                  <w:r>
                    <w:rPr>
                      <w:rFonts w:hint="eastAsia"/>
                      <w:color w:val="auto"/>
                      <w:szCs w:val="21"/>
                    </w:rPr>
                    <w:t>202</w:t>
                  </w:r>
                  <w:r>
                    <w:rPr>
                      <w:color w:val="auto"/>
                      <w:szCs w:val="21"/>
                    </w:rPr>
                    <w:t>2</w:t>
                  </w:r>
                  <w:r>
                    <w:rPr>
                      <w:rFonts w:hint="eastAsia"/>
                      <w:color w:val="auto"/>
                      <w:szCs w:val="21"/>
                      <w:lang w:val="en-US" w:eastAsia="zh-CN"/>
                    </w:rPr>
                    <w:t>.</w:t>
                  </w:r>
                  <w:r>
                    <w:rPr>
                      <w:color w:val="auto"/>
                      <w:szCs w:val="21"/>
                    </w:rPr>
                    <w:t>6</w:t>
                  </w:r>
                  <w:r>
                    <w:rPr>
                      <w:rFonts w:hint="eastAsia"/>
                      <w:color w:val="auto"/>
                      <w:szCs w:val="21"/>
                      <w:lang w:val="en-US" w:eastAsia="zh-CN"/>
                    </w:rPr>
                    <w:t>.</w:t>
                  </w:r>
                  <w:r>
                    <w:rPr>
                      <w:color w:val="auto"/>
                      <w:szCs w:val="21"/>
                    </w:rPr>
                    <w:t>12</w:t>
                  </w:r>
                  <w:r>
                    <w:rPr>
                      <w:rFonts w:hint="eastAsia"/>
                      <w:color w:val="auto"/>
                      <w:szCs w:val="21"/>
                    </w:rPr>
                    <w:t>~</w:t>
                  </w:r>
                  <w:r>
                    <w:rPr>
                      <w:color w:val="auto"/>
                      <w:szCs w:val="21"/>
                    </w:rPr>
                    <w:t>6</w:t>
                  </w:r>
                  <w:r>
                    <w:rPr>
                      <w:rFonts w:hint="eastAsia"/>
                      <w:color w:val="auto"/>
                      <w:szCs w:val="21"/>
                      <w:lang w:val="en-US" w:eastAsia="zh-CN"/>
                    </w:rPr>
                    <w:t>.</w:t>
                  </w:r>
                  <w:r>
                    <w:rPr>
                      <w:rFonts w:hint="eastAsia"/>
                      <w:color w:val="auto"/>
                      <w:szCs w:val="21"/>
                    </w:rPr>
                    <w:t>18</w:t>
                  </w:r>
                </w:p>
              </w:tc>
              <w:tc>
                <w:tcPr>
                  <w:tcW w:w="267" w:type="pct"/>
                  <w:vAlign w:val="center"/>
                </w:tcPr>
                <w:p>
                  <w:pPr>
                    <w:jc w:val="center"/>
                    <w:rPr>
                      <w:color w:val="auto"/>
                      <w:szCs w:val="21"/>
                    </w:rPr>
                  </w:pPr>
                  <w:r>
                    <w:rPr>
                      <w:rFonts w:hint="eastAsia"/>
                      <w:color w:val="auto"/>
                      <w:szCs w:val="21"/>
                      <w:lang w:val="en-US" w:eastAsia="zh-CN"/>
                    </w:rPr>
                    <w:t>西</w:t>
                  </w:r>
                  <w:r>
                    <w:rPr>
                      <w:color w:val="auto"/>
                      <w:szCs w:val="21"/>
                    </w:rPr>
                    <w:t>北</w:t>
                  </w:r>
                </w:p>
              </w:tc>
              <w:tc>
                <w:tcPr>
                  <w:tcW w:w="413" w:type="pct"/>
                  <w:vAlign w:val="center"/>
                </w:tcPr>
                <w:p>
                  <w:pPr>
                    <w:jc w:val="center"/>
                    <w:rPr>
                      <w:rFonts w:hint="default" w:eastAsia="宋体"/>
                      <w:color w:val="auto"/>
                      <w:szCs w:val="21"/>
                      <w:lang w:val="en-US" w:eastAsia="zh-CN"/>
                    </w:rPr>
                  </w:pPr>
                  <w:r>
                    <w:rPr>
                      <w:rFonts w:hint="eastAsia"/>
                      <w:color w:val="auto"/>
                      <w:szCs w:val="21"/>
                      <w:lang w:val="en-US" w:eastAsia="zh-CN"/>
                    </w:rPr>
                    <w:t>992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jc w:val="center"/>
                    <w:rPr>
                      <w:color w:val="auto"/>
                      <w:szCs w:val="21"/>
                    </w:rPr>
                  </w:pPr>
                  <w:r>
                    <w:rPr>
                      <w:color w:val="auto"/>
                      <w:szCs w:val="21"/>
                    </w:rPr>
                    <w:t>2#</w:t>
                  </w:r>
                  <w:r>
                    <w:rPr>
                      <w:rFonts w:hint="eastAsia"/>
                      <w:color w:val="auto"/>
                      <w:szCs w:val="21"/>
                    </w:rPr>
                    <w:t>九峰镇初级中学</w:t>
                  </w:r>
                </w:p>
              </w:tc>
              <w:tc>
                <w:tcPr>
                  <w:tcW w:w="1008" w:type="pct"/>
                  <w:vAlign w:val="center"/>
                </w:tcPr>
                <w:p>
                  <w:pPr>
                    <w:rPr>
                      <w:color w:val="auto"/>
                    </w:rPr>
                  </w:pPr>
                  <w:r>
                    <w:rPr>
                      <w:bCs/>
                      <w:color w:val="auto"/>
                      <w:szCs w:val="21"/>
                    </w:rPr>
                    <w:t>108°2</w:t>
                  </w:r>
                  <w:r>
                    <w:rPr>
                      <w:rFonts w:hint="eastAsia"/>
                      <w:bCs/>
                      <w:color w:val="auto"/>
                      <w:szCs w:val="21"/>
                      <w:lang w:val="en-US" w:eastAsia="zh-CN"/>
                    </w:rPr>
                    <w:t>5</w:t>
                  </w:r>
                  <w:r>
                    <w:rPr>
                      <w:bCs/>
                      <w:color w:val="auto"/>
                      <w:szCs w:val="21"/>
                    </w:rPr>
                    <w:t>′</w:t>
                  </w:r>
                  <w:r>
                    <w:rPr>
                      <w:rFonts w:hint="eastAsia"/>
                      <w:bCs/>
                      <w:color w:val="auto"/>
                      <w:szCs w:val="21"/>
                      <w:lang w:val="en-US" w:eastAsia="zh-CN"/>
                    </w:rPr>
                    <w:t>43.72</w:t>
                  </w:r>
                  <w:r>
                    <w:rPr>
                      <w:bCs/>
                      <w:color w:val="auto"/>
                      <w:szCs w:val="21"/>
                    </w:rPr>
                    <w:t>"</w:t>
                  </w:r>
                </w:p>
              </w:tc>
              <w:tc>
                <w:tcPr>
                  <w:tcW w:w="938" w:type="pct"/>
                  <w:vAlign w:val="center"/>
                </w:tcPr>
                <w:p>
                  <w:pPr>
                    <w:jc w:val="center"/>
                    <w:rPr>
                      <w:color w:val="auto"/>
                      <w:szCs w:val="21"/>
                    </w:rPr>
                  </w:pPr>
                  <w:r>
                    <w:rPr>
                      <w:rFonts w:hint="eastAsia"/>
                      <w:bCs/>
                      <w:color w:val="auto"/>
                      <w:szCs w:val="21"/>
                      <w:lang w:val="en-US" w:eastAsia="zh-CN"/>
                    </w:rPr>
                    <w:t>34</w:t>
                  </w:r>
                  <w:r>
                    <w:rPr>
                      <w:bCs/>
                      <w:color w:val="auto"/>
                      <w:szCs w:val="21"/>
                    </w:rPr>
                    <w:t>°</w:t>
                  </w:r>
                  <w:r>
                    <w:rPr>
                      <w:rFonts w:hint="eastAsia"/>
                      <w:bCs/>
                      <w:color w:val="auto"/>
                      <w:szCs w:val="21"/>
                      <w:lang w:val="en-US" w:eastAsia="zh-CN"/>
                    </w:rPr>
                    <w:t>04</w:t>
                  </w:r>
                  <w:r>
                    <w:rPr>
                      <w:bCs/>
                      <w:color w:val="auto"/>
                      <w:szCs w:val="21"/>
                    </w:rPr>
                    <w:t>′</w:t>
                  </w:r>
                  <w:r>
                    <w:rPr>
                      <w:rFonts w:hint="eastAsia"/>
                      <w:bCs/>
                      <w:color w:val="auto"/>
                      <w:szCs w:val="21"/>
                      <w:lang w:val="en-US" w:eastAsia="zh-CN"/>
                    </w:rPr>
                    <w:t>54.35</w:t>
                  </w:r>
                  <w:r>
                    <w:rPr>
                      <w:bCs/>
                      <w:color w:val="auto"/>
                      <w:szCs w:val="21"/>
                    </w:rPr>
                    <w:t>"</w:t>
                  </w:r>
                </w:p>
              </w:tc>
              <w:tc>
                <w:tcPr>
                  <w:tcW w:w="614" w:type="pct"/>
                  <w:vAlign w:val="center"/>
                </w:tcPr>
                <w:p>
                  <w:pPr>
                    <w:jc w:val="center"/>
                    <w:rPr>
                      <w:color w:val="auto"/>
                      <w:szCs w:val="21"/>
                    </w:rPr>
                  </w:pPr>
                  <w:r>
                    <w:rPr>
                      <w:color w:val="auto"/>
                      <w:szCs w:val="21"/>
                    </w:rPr>
                    <w:t>TSP、NMHC</w:t>
                  </w:r>
                </w:p>
              </w:tc>
              <w:tc>
                <w:tcPr>
                  <w:tcW w:w="1392" w:type="pct"/>
                  <w:vAlign w:val="center"/>
                </w:tcPr>
                <w:p>
                  <w:pPr>
                    <w:jc w:val="center"/>
                    <w:rPr>
                      <w:color w:val="auto"/>
                      <w:szCs w:val="21"/>
                    </w:rPr>
                  </w:pPr>
                  <w:r>
                    <w:rPr>
                      <w:rFonts w:hint="eastAsia"/>
                      <w:color w:val="auto"/>
                      <w:szCs w:val="21"/>
                    </w:rPr>
                    <w:t>202</w:t>
                  </w:r>
                  <w:r>
                    <w:rPr>
                      <w:color w:val="auto"/>
                      <w:szCs w:val="21"/>
                    </w:rPr>
                    <w:t>2</w:t>
                  </w:r>
                  <w:r>
                    <w:rPr>
                      <w:rFonts w:hint="eastAsia"/>
                      <w:color w:val="auto"/>
                      <w:szCs w:val="21"/>
                      <w:lang w:val="en-US" w:eastAsia="zh-CN"/>
                    </w:rPr>
                    <w:t>.</w:t>
                  </w:r>
                  <w:r>
                    <w:rPr>
                      <w:color w:val="auto"/>
                      <w:szCs w:val="21"/>
                    </w:rPr>
                    <w:t>6</w:t>
                  </w:r>
                  <w:r>
                    <w:rPr>
                      <w:rFonts w:hint="eastAsia"/>
                      <w:color w:val="auto"/>
                      <w:szCs w:val="21"/>
                      <w:lang w:val="en-US" w:eastAsia="zh-CN"/>
                    </w:rPr>
                    <w:t>.</w:t>
                  </w:r>
                  <w:r>
                    <w:rPr>
                      <w:color w:val="auto"/>
                      <w:szCs w:val="21"/>
                    </w:rPr>
                    <w:t>12</w:t>
                  </w:r>
                  <w:r>
                    <w:rPr>
                      <w:rFonts w:hint="eastAsia"/>
                      <w:color w:val="auto"/>
                      <w:szCs w:val="21"/>
                    </w:rPr>
                    <w:t>~</w:t>
                  </w:r>
                  <w:r>
                    <w:rPr>
                      <w:color w:val="auto"/>
                      <w:szCs w:val="21"/>
                    </w:rPr>
                    <w:t>6</w:t>
                  </w:r>
                  <w:r>
                    <w:rPr>
                      <w:rFonts w:hint="eastAsia"/>
                      <w:color w:val="auto"/>
                      <w:szCs w:val="21"/>
                      <w:lang w:val="en-US" w:eastAsia="zh-CN"/>
                    </w:rPr>
                    <w:t>.</w:t>
                  </w:r>
                  <w:r>
                    <w:rPr>
                      <w:rFonts w:hint="eastAsia"/>
                      <w:color w:val="auto"/>
                      <w:szCs w:val="21"/>
                    </w:rPr>
                    <w:t>18</w:t>
                  </w:r>
                </w:p>
              </w:tc>
              <w:tc>
                <w:tcPr>
                  <w:tcW w:w="267" w:type="pct"/>
                  <w:vAlign w:val="center"/>
                </w:tcPr>
                <w:p>
                  <w:pPr>
                    <w:jc w:val="center"/>
                    <w:rPr>
                      <w:color w:val="auto"/>
                      <w:szCs w:val="21"/>
                    </w:rPr>
                  </w:pPr>
                  <w:r>
                    <w:rPr>
                      <w:color w:val="auto"/>
                      <w:szCs w:val="21"/>
                    </w:rPr>
                    <w:t>东</w:t>
                  </w:r>
                </w:p>
              </w:tc>
              <w:tc>
                <w:tcPr>
                  <w:tcW w:w="413" w:type="pct"/>
                  <w:vAlign w:val="center"/>
                </w:tcPr>
                <w:p>
                  <w:pPr>
                    <w:jc w:val="center"/>
                    <w:rPr>
                      <w:rFonts w:hint="default" w:eastAsia="宋体"/>
                      <w:color w:val="auto"/>
                      <w:szCs w:val="21"/>
                      <w:lang w:val="en-US" w:eastAsia="zh-CN"/>
                    </w:rPr>
                  </w:pPr>
                  <w:r>
                    <w:rPr>
                      <w:rFonts w:hint="eastAsia"/>
                      <w:color w:val="auto"/>
                      <w:szCs w:val="21"/>
                      <w:lang w:val="en-US" w:eastAsia="zh-CN"/>
                    </w:rPr>
                    <w:t>1651</w:t>
                  </w:r>
                </w:p>
              </w:tc>
            </w:tr>
          </w:tbl>
          <w:p>
            <w:pPr>
              <w:pStyle w:val="17"/>
              <w:ind w:firstLine="0" w:firstLineChars="0"/>
              <w:jc w:val="center"/>
              <w:rPr>
                <w:rFonts w:eastAsia="宋体"/>
                <w:b/>
                <w:bCs/>
                <w:color w:val="auto"/>
                <w:kern w:val="0"/>
                <w:sz w:val="21"/>
                <w:szCs w:val="21"/>
              </w:rPr>
            </w:pPr>
            <w:r>
              <w:rPr>
                <w:rFonts w:eastAsia="宋体"/>
                <w:b/>
                <w:bCs/>
                <w:color w:val="auto"/>
                <w:kern w:val="0"/>
                <w:sz w:val="21"/>
                <w:szCs w:val="21"/>
              </w:rPr>
              <w:t>表3-3特征污染物环境质量现状（检测结果）表</w:t>
            </w:r>
          </w:p>
          <w:tbl>
            <w:tblPr>
              <w:tblStyle w:val="19"/>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58"/>
              <w:gridCol w:w="919"/>
              <w:gridCol w:w="1022"/>
              <w:gridCol w:w="1390"/>
              <w:gridCol w:w="1047"/>
              <w:gridCol w:w="986"/>
              <w:gridCol w:w="6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1" w:type="pct"/>
                  <w:vAlign w:val="center"/>
                </w:tcPr>
                <w:p>
                  <w:pPr>
                    <w:jc w:val="center"/>
                    <w:rPr>
                      <w:b/>
                      <w:bCs/>
                      <w:color w:val="auto"/>
                      <w:szCs w:val="21"/>
                    </w:rPr>
                  </w:pPr>
                  <w:r>
                    <w:rPr>
                      <w:b/>
                      <w:bCs/>
                      <w:color w:val="auto"/>
                      <w:szCs w:val="21"/>
                    </w:rPr>
                    <w:t>监测点位名称</w:t>
                  </w:r>
                </w:p>
              </w:tc>
              <w:tc>
                <w:tcPr>
                  <w:tcW w:w="601" w:type="pct"/>
                  <w:vAlign w:val="center"/>
                </w:tcPr>
                <w:p>
                  <w:pPr>
                    <w:jc w:val="center"/>
                    <w:rPr>
                      <w:b/>
                      <w:bCs/>
                      <w:color w:val="auto"/>
                      <w:szCs w:val="21"/>
                    </w:rPr>
                  </w:pPr>
                  <w:r>
                    <w:rPr>
                      <w:b/>
                      <w:bCs/>
                      <w:color w:val="auto"/>
                      <w:szCs w:val="21"/>
                    </w:rPr>
                    <w:t>监测项目</w:t>
                  </w:r>
                </w:p>
              </w:tc>
              <w:tc>
                <w:tcPr>
                  <w:tcW w:w="576" w:type="pct"/>
                  <w:vAlign w:val="center"/>
                </w:tcPr>
                <w:p>
                  <w:pPr>
                    <w:jc w:val="center"/>
                    <w:rPr>
                      <w:b/>
                      <w:bCs/>
                      <w:color w:val="auto"/>
                      <w:szCs w:val="21"/>
                    </w:rPr>
                  </w:pPr>
                  <w:r>
                    <w:rPr>
                      <w:b/>
                      <w:bCs/>
                      <w:color w:val="auto"/>
                      <w:szCs w:val="21"/>
                    </w:rPr>
                    <w:t>平均时间</w:t>
                  </w:r>
                </w:p>
              </w:tc>
              <w:tc>
                <w:tcPr>
                  <w:tcW w:w="641" w:type="pct"/>
                  <w:vAlign w:val="center"/>
                </w:tcPr>
                <w:p>
                  <w:pPr>
                    <w:jc w:val="center"/>
                    <w:rPr>
                      <w:b/>
                      <w:bCs/>
                      <w:color w:val="auto"/>
                      <w:szCs w:val="21"/>
                    </w:rPr>
                  </w:pPr>
                  <w:r>
                    <w:rPr>
                      <w:b/>
                      <w:bCs/>
                      <w:color w:val="auto"/>
                      <w:szCs w:val="21"/>
                    </w:rPr>
                    <w:t>评价标准/mg/m</w:t>
                  </w:r>
                  <w:r>
                    <w:rPr>
                      <w:b/>
                      <w:bCs/>
                      <w:color w:val="auto"/>
                      <w:szCs w:val="21"/>
                      <w:vertAlign w:val="superscript"/>
                    </w:rPr>
                    <w:t>3</w:t>
                  </w:r>
                </w:p>
              </w:tc>
              <w:tc>
                <w:tcPr>
                  <w:tcW w:w="872" w:type="pct"/>
                  <w:vAlign w:val="center"/>
                </w:tcPr>
                <w:p>
                  <w:pPr>
                    <w:jc w:val="center"/>
                    <w:rPr>
                      <w:b/>
                      <w:bCs/>
                      <w:color w:val="auto"/>
                      <w:szCs w:val="21"/>
                    </w:rPr>
                  </w:pPr>
                  <w:r>
                    <w:rPr>
                      <w:b/>
                      <w:bCs/>
                      <w:color w:val="auto"/>
                      <w:szCs w:val="21"/>
                    </w:rPr>
                    <w:t>检测浓度范围/mg/m</w:t>
                  </w:r>
                  <w:r>
                    <w:rPr>
                      <w:b/>
                      <w:bCs/>
                      <w:color w:val="auto"/>
                      <w:szCs w:val="21"/>
                      <w:vertAlign w:val="superscript"/>
                    </w:rPr>
                    <w:t>3</w:t>
                  </w:r>
                </w:p>
              </w:tc>
              <w:tc>
                <w:tcPr>
                  <w:tcW w:w="657" w:type="pct"/>
                  <w:vAlign w:val="center"/>
                </w:tcPr>
                <w:p>
                  <w:pPr>
                    <w:jc w:val="center"/>
                    <w:rPr>
                      <w:b/>
                      <w:bCs/>
                      <w:color w:val="auto"/>
                      <w:szCs w:val="21"/>
                    </w:rPr>
                  </w:pPr>
                  <w:r>
                    <w:rPr>
                      <w:b/>
                      <w:bCs/>
                      <w:color w:val="auto"/>
                      <w:szCs w:val="21"/>
                    </w:rPr>
                    <w:t>最大浓度占标率/%</w:t>
                  </w:r>
                </w:p>
              </w:tc>
              <w:tc>
                <w:tcPr>
                  <w:tcW w:w="618" w:type="pct"/>
                  <w:vAlign w:val="center"/>
                </w:tcPr>
                <w:p>
                  <w:pPr>
                    <w:jc w:val="center"/>
                    <w:rPr>
                      <w:b/>
                      <w:bCs/>
                      <w:color w:val="auto"/>
                      <w:szCs w:val="21"/>
                    </w:rPr>
                  </w:pPr>
                  <w:r>
                    <w:rPr>
                      <w:b/>
                      <w:bCs/>
                      <w:color w:val="auto"/>
                      <w:szCs w:val="21"/>
                    </w:rPr>
                    <w:t>超标率/%</w:t>
                  </w:r>
                </w:p>
              </w:tc>
              <w:tc>
                <w:tcPr>
                  <w:tcW w:w="411" w:type="pct"/>
                  <w:vAlign w:val="center"/>
                </w:tcPr>
                <w:p>
                  <w:pPr>
                    <w:jc w:val="center"/>
                    <w:rPr>
                      <w:b/>
                      <w:bCs/>
                      <w:color w:val="auto"/>
                      <w:szCs w:val="21"/>
                    </w:rPr>
                  </w:pPr>
                  <w:r>
                    <w:rPr>
                      <w:b/>
                      <w:bCs/>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1" w:type="pct"/>
                  <w:vMerge w:val="restart"/>
                  <w:vAlign w:val="center"/>
                </w:tcPr>
                <w:p>
                  <w:pPr>
                    <w:jc w:val="center"/>
                    <w:rPr>
                      <w:color w:val="auto"/>
                      <w:szCs w:val="21"/>
                    </w:rPr>
                  </w:pPr>
                  <w:r>
                    <w:rPr>
                      <w:color w:val="auto"/>
                      <w:szCs w:val="21"/>
                    </w:rPr>
                    <w:t>1#集贤镇东村</w:t>
                  </w:r>
                </w:p>
              </w:tc>
              <w:tc>
                <w:tcPr>
                  <w:tcW w:w="601" w:type="pct"/>
                  <w:vAlign w:val="center"/>
                </w:tcPr>
                <w:p>
                  <w:pPr>
                    <w:jc w:val="center"/>
                    <w:rPr>
                      <w:color w:val="auto"/>
                      <w:szCs w:val="21"/>
                    </w:rPr>
                  </w:pPr>
                  <w:r>
                    <w:rPr>
                      <w:color w:val="auto"/>
                      <w:szCs w:val="21"/>
                    </w:rPr>
                    <w:t>NMHC</w:t>
                  </w:r>
                </w:p>
              </w:tc>
              <w:tc>
                <w:tcPr>
                  <w:tcW w:w="576" w:type="pct"/>
                  <w:vAlign w:val="center"/>
                </w:tcPr>
                <w:p>
                  <w:pPr>
                    <w:jc w:val="center"/>
                    <w:rPr>
                      <w:color w:val="auto"/>
                      <w:szCs w:val="21"/>
                    </w:rPr>
                  </w:pPr>
                  <w:r>
                    <w:rPr>
                      <w:color w:val="auto"/>
                      <w:szCs w:val="21"/>
                    </w:rPr>
                    <w:t>1h</w:t>
                  </w:r>
                </w:p>
              </w:tc>
              <w:tc>
                <w:tcPr>
                  <w:tcW w:w="641" w:type="pct"/>
                  <w:vAlign w:val="center"/>
                </w:tcPr>
                <w:p>
                  <w:pPr>
                    <w:jc w:val="center"/>
                    <w:rPr>
                      <w:color w:val="auto"/>
                      <w:szCs w:val="21"/>
                    </w:rPr>
                  </w:pPr>
                  <w:r>
                    <w:rPr>
                      <w:color w:val="auto"/>
                      <w:szCs w:val="21"/>
                    </w:rPr>
                    <w:t>2.0</w:t>
                  </w:r>
                </w:p>
              </w:tc>
              <w:tc>
                <w:tcPr>
                  <w:tcW w:w="872" w:type="pct"/>
                  <w:vAlign w:val="center"/>
                </w:tcPr>
                <w:p>
                  <w:pPr>
                    <w:jc w:val="center"/>
                    <w:rPr>
                      <w:rFonts w:hint="default" w:eastAsia="宋体"/>
                      <w:color w:val="auto"/>
                      <w:szCs w:val="21"/>
                      <w:lang w:val="en-US" w:eastAsia="zh-CN"/>
                    </w:rPr>
                  </w:pPr>
                  <w:r>
                    <w:rPr>
                      <w:rFonts w:hint="eastAsia"/>
                      <w:color w:val="auto"/>
                      <w:szCs w:val="21"/>
                      <w:lang w:val="en-US" w:eastAsia="zh-CN"/>
                    </w:rPr>
                    <w:t>0.93~1.05</w:t>
                  </w:r>
                </w:p>
              </w:tc>
              <w:tc>
                <w:tcPr>
                  <w:tcW w:w="657" w:type="pct"/>
                  <w:vAlign w:val="center"/>
                </w:tcPr>
                <w:p>
                  <w:pPr>
                    <w:jc w:val="center"/>
                    <w:rPr>
                      <w:rFonts w:hint="default" w:eastAsia="宋体"/>
                      <w:color w:val="auto"/>
                      <w:szCs w:val="21"/>
                      <w:lang w:val="en-US" w:eastAsia="zh-CN"/>
                    </w:rPr>
                  </w:pPr>
                  <w:r>
                    <w:rPr>
                      <w:rFonts w:hint="eastAsia"/>
                      <w:color w:val="auto"/>
                      <w:szCs w:val="21"/>
                      <w:lang w:val="en-US" w:eastAsia="zh-CN"/>
                    </w:rPr>
                    <w:t>52.5</w:t>
                  </w:r>
                </w:p>
              </w:tc>
              <w:tc>
                <w:tcPr>
                  <w:tcW w:w="618" w:type="pct"/>
                  <w:vAlign w:val="center"/>
                </w:tcPr>
                <w:p>
                  <w:pPr>
                    <w:jc w:val="center"/>
                    <w:rPr>
                      <w:color w:val="auto"/>
                      <w:szCs w:val="21"/>
                    </w:rPr>
                  </w:pPr>
                  <w:r>
                    <w:rPr>
                      <w:color w:val="auto"/>
                      <w:szCs w:val="21"/>
                    </w:rPr>
                    <w:t>0</w:t>
                  </w:r>
                </w:p>
              </w:tc>
              <w:tc>
                <w:tcPr>
                  <w:tcW w:w="411" w:type="pct"/>
                  <w:vAlign w:val="center"/>
                </w:tcPr>
                <w:p>
                  <w:pPr>
                    <w:jc w:val="center"/>
                    <w:rPr>
                      <w:color w:val="auto"/>
                      <w:szCs w:val="21"/>
                    </w:rPr>
                  </w:pPr>
                  <w:r>
                    <w:rPr>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1" w:type="pct"/>
                  <w:vMerge w:val="continue"/>
                  <w:vAlign w:val="center"/>
                </w:tcPr>
                <w:p>
                  <w:pPr>
                    <w:jc w:val="center"/>
                    <w:rPr>
                      <w:color w:val="auto"/>
                      <w:szCs w:val="21"/>
                    </w:rPr>
                  </w:pPr>
                </w:p>
              </w:tc>
              <w:tc>
                <w:tcPr>
                  <w:tcW w:w="601" w:type="pct"/>
                  <w:vAlign w:val="center"/>
                </w:tcPr>
                <w:p>
                  <w:pPr>
                    <w:jc w:val="center"/>
                    <w:rPr>
                      <w:color w:val="auto"/>
                      <w:szCs w:val="21"/>
                    </w:rPr>
                  </w:pPr>
                  <w:r>
                    <w:rPr>
                      <w:color w:val="auto"/>
                      <w:szCs w:val="21"/>
                    </w:rPr>
                    <w:t>TSP</w:t>
                  </w:r>
                </w:p>
              </w:tc>
              <w:tc>
                <w:tcPr>
                  <w:tcW w:w="576" w:type="pct"/>
                  <w:vAlign w:val="center"/>
                </w:tcPr>
                <w:p>
                  <w:pPr>
                    <w:jc w:val="center"/>
                    <w:rPr>
                      <w:color w:val="auto"/>
                      <w:szCs w:val="21"/>
                    </w:rPr>
                  </w:pPr>
                  <w:r>
                    <w:rPr>
                      <w:rFonts w:hint="eastAsia"/>
                      <w:color w:val="auto"/>
                      <w:szCs w:val="21"/>
                      <w:lang w:val="en-US" w:eastAsia="zh-CN"/>
                    </w:rPr>
                    <w:t>24</w:t>
                  </w:r>
                  <w:r>
                    <w:rPr>
                      <w:color w:val="auto"/>
                      <w:szCs w:val="21"/>
                    </w:rPr>
                    <w:t>h</w:t>
                  </w:r>
                </w:p>
              </w:tc>
              <w:tc>
                <w:tcPr>
                  <w:tcW w:w="641" w:type="pct"/>
                  <w:vAlign w:val="center"/>
                </w:tcPr>
                <w:p>
                  <w:pPr>
                    <w:jc w:val="center"/>
                    <w:rPr>
                      <w:color w:val="auto"/>
                      <w:szCs w:val="21"/>
                    </w:rPr>
                  </w:pPr>
                  <w:r>
                    <w:rPr>
                      <w:color w:val="auto"/>
                      <w:szCs w:val="21"/>
                    </w:rPr>
                    <w:t>0.3</w:t>
                  </w:r>
                </w:p>
              </w:tc>
              <w:tc>
                <w:tcPr>
                  <w:tcW w:w="872" w:type="pct"/>
                  <w:vAlign w:val="center"/>
                </w:tcPr>
                <w:p>
                  <w:pPr>
                    <w:jc w:val="center"/>
                    <w:rPr>
                      <w:rFonts w:hint="default" w:eastAsia="宋体"/>
                      <w:color w:val="auto"/>
                      <w:szCs w:val="21"/>
                      <w:lang w:val="en-US" w:eastAsia="zh-CN"/>
                    </w:rPr>
                  </w:pPr>
                  <w:r>
                    <w:rPr>
                      <w:rFonts w:hint="eastAsia"/>
                      <w:color w:val="auto"/>
                      <w:szCs w:val="21"/>
                      <w:lang w:val="en-US" w:eastAsia="zh-CN"/>
                    </w:rPr>
                    <w:t>0.223~0.228</w:t>
                  </w:r>
                </w:p>
              </w:tc>
              <w:tc>
                <w:tcPr>
                  <w:tcW w:w="657" w:type="pct"/>
                  <w:vAlign w:val="center"/>
                </w:tcPr>
                <w:p>
                  <w:pPr>
                    <w:jc w:val="center"/>
                    <w:rPr>
                      <w:rFonts w:hint="default" w:eastAsia="宋体"/>
                      <w:color w:val="auto"/>
                      <w:szCs w:val="21"/>
                      <w:lang w:val="en-US" w:eastAsia="zh-CN"/>
                    </w:rPr>
                  </w:pPr>
                  <w:r>
                    <w:rPr>
                      <w:rFonts w:hint="eastAsia"/>
                      <w:color w:val="auto"/>
                      <w:szCs w:val="21"/>
                      <w:lang w:val="en-US" w:eastAsia="zh-CN"/>
                    </w:rPr>
                    <w:t>76</w:t>
                  </w:r>
                </w:p>
              </w:tc>
              <w:tc>
                <w:tcPr>
                  <w:tcW w:w="618" w:type="pct"/>
                  <w:vAlign w:val="center"/>
                </w:tcPr>
                <w:p>
                  <w:pPr>
                    <w:jc w:val="center"/>
                    <w:rPr>
                      <w:color w:val="auto"/>
                      <w:szCs w:val="21"/>
                    </w:rPr>
                  </w:pPr>
                  <w:r>
                    <w:rPr>
                      <w:color w:val="auto"/>
                      <w:szCs w:val="21"/>
                    </w:rPr>
                    <w:t>0</w:t>
                  </w:r>
                </w:p>
              </w:tc>
              <w:tc>
                <w:tcPr>
                  <w:tcW w:w="411" w:type="pct"/>
                  <w:vAlign w:val="center"/>
                </w:tcPr>
                <w:p>
                  <w:pPr>
                    <w:jc w:val="center"/>
                    <w:rPr>
                      <w:color w:val="auto"/>
                      <w:szCs w:val="21"/>
                    </w:rPr>
                  </w:pPr>
                  <w:r>
                    <w:rPr>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1" w:type="pct"/>
                  <w:vMerge w:val="restart"/>
                  <w:vAlign w:val="center"/>
                </w:tcPr>
                <w:p>
                  <w:pPr>
                    <w:jc w:val="center"/>
                    <w:rPr>
                      <w:color w:val="auto"/>
                      <w:szCs w:val="21"/>
                    </w:rPr>
                  </w:pPr>
                  <w:r>
                    <w:rPr>
                      <w:color w:val="auto"/>
                      <w:szCs w:val="21"/>
                    </w:rPr>
                    <w:t>2#</w:t>
                  </w:r>
                  <w:r>
                    <w:rPr>
                      <w:rFonts w:hint="eastAsia"/>
                      <w:color w:val="auto"/>
                      <w:szCs w:val="21"/>
                    </w:rPr>
                    <w:t>九峰镇初级中学</w:t>
                  </w:r>
                </w:p>
              </w:tc>
              <w:tc>
                <w:tcPr>
                  <w:tcW w:w="601" w:type="pct"/>
                  <w:vAlign w:val="center"/>
                </w:tcPr>
                <w:p>
                  <w:pPr>
                    <w:jc w:val="center"/>
                    <w:rPr>
                      <w:color w:val="auto"/>
                      <w:szCs w:val="21"/>
                    </w:rPr>
                  </w:pPr>
                  <w:r>
                    <w:rPr>
                      <w:color w:val="auto"/>
                      <w:szCs w:val="21"/>
                    </w:rPr>
                    <w:t>NMHC</w:t>
                  </w:r>
                </w:p>
              </w:tc>
              <w:tc>
                <w:tcPr>
                  <w:tcW w:w="576" w:type="pct"/>
                  <w:vAlign w:val="center"/>
                </w:tcPr>
                <w:p>
                  <w:pPr>
                    <w:jc w:val="center"/>
                    <w:rPr>
                      <w:color w:val="auto"/>
                      <w:szCs w:val="21"/>
                    </w:rPr>
                  </w:pPr>
                  <w:r>
                    <w:rPr>
                      <w:color w:val="auto"/>
                      <w:szCs w:val="21"/>
                    </w:rPr>
                    <w:t>1h</w:t>
                  </w:r>
                </w:p>
              </w:tc>
              <w:tc>
                <w:tcPr>
                  <w:tcW w:w="641" w:type="pct"/>
                  <w:vAlign w:val="center"/>
                </w:tcPr>
                <w:p>
                  <w:pPr>
                    <w:jc w:val="center"/>
                    <w:rPr>
                      <w:color w:val="auto"/>
                      <w:szCs w:val="21"/>
                    </w:rPr>
                  </w:pPr>
                  <w:r>
                    <w:rPr>
                      <w:color w:val="auto"/>
                      <w:szCs w:val="21"/>
                    </w:rPr>
                    <w:t>2.0</w:t>
                  </w:r>
                </w:p>
              </w:tc>
              <w:tc>
                <w:tcPr>
                  <w:tcW w:w="872" w:type="pct"/>
                  <w:vAlign w:val="center"/>
                </w:tcPr>
                <w:p>
                  <w:pPr>
                    <w:jc w:val="center"/>
                    <w:rPr>
                      <w:rFonts w:hint="default" w:eastAsia="宋体"/>
                      <w:color w:val="auto"/>
                      <w:szCs w:val="21"/>
                      <w:lang w:val="en-US" w:eastAsia="zh-CN"/>
                    </w:rPr>
                  </w:pPr>
                  <w:r>
                    <w:rPr>
                      <w:rFonts w:hint="eastAsia"/>
                      <w:color w:val="auto"/>
                      <w:szCs w:val="21"/>
                      <w:lang w:val="en-US" w:eastAsia="zh-CN"/>
                    </w:rPr>
                    <w:t>0.95~1.05</w:t>
                  </w:r>
                </w:p>
              </w:tc>
              <w:tc>
                <w:tcPr>
                  <w:tcW w:w="657" w:type="pct"/>
                  <w:vAlign w:val="center"/>
                </w:tcPr>
                <w:p>
                  <w:pPr>
                    <w:jc w:val="center"/>
                    <w:rPr>
                      <w:rFonts w:hint="default" w:eastAsia="宋体"/>
                      <w:color w:val="auto"/>
                      <w:szCs w:val="21"/>
                      <w:lang w:val="en-US" w:eastAsia="zh-CN"/>
                    </w:rPr>
                  </w:pPr>
                  <w:r>
                    <w:rPr>
                      <w:rFonts w:hint="eastAsia"/>
                      <w:color w:val="auto"/>
                      <w:szCs w:val="21"/>
                      <w:lang w:val="en-US" w:eastAsia="zh-CN"/>
                    </w:rPr>
                    <w:t>52.5</w:t>
                  </w:r>
                </w:p>
              </w:tc>
              <w:tc>
                <w:tcPr>
                  <w:tcW w:w="618" w:type="pct"/>
                  <w:vAlign w:val="center"/>
                </w:tcPr>
                <w:p>
                  <w:pPr>
                    <w:jc w:val="center"/>
                    <w:rPr>
                      <w:color w:val="auto"/>
                      <w:szCs w:val="21"/>
                    </w:rPr>
                  </w:pPr>
                  <w:r>
                    <w:rPr>
                      <w:color w:val="auto"/>
                      <w:szCs w:val="21"/>
                    </w:rPr>
                    <w:t>0</w:t>
                  </w:r>
                </w:p>
              </w:tc>
              <w:tc>
                <w:tcPr>
                  <w:tcW w:w="411" w:type="pct"/>
                  <w:vAlign w:val="center"/>
                </w:tcPr>
                <w:p>
                  <w:pPr>
                    <w:jc w:val="center"/>
                    <w:rPr>
                      <w:color w:val="auto"/>
                      <w:szCs w:val="21"/>
                    </w:rPr>
                  </w:pPr>
                  <w:r>
                    <w:rPr>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1" w:type="pct"/>
                  <w:vMerge w:val="continue"/>
                  <w:vAlign w:val="center"/>
                </w:tcPr>
                <w:p>
                  <w:pPr>
                    <w:jc w:val="center"/>
                    <w:rPr>
                      <w:color w:val="auto"/>
                      <w:szCs w:val="21"/>
                    </w:rPr>
                  </w:pPr>
                </w:p>
              </w:tc>
              <w:tc>
                <w:tcPr>
                  <w:tcW w:w="601" w:type="pct"/>
                  <w:vAlign w:val="center"/>
                </w:tcPr>
                <w:p>
                  <w:pPr>
                    <w:jc w:val="center"/>
                    <w:rPr>
                      <w:color w:val="auto"/>
                      <w:szCs w:val="21"/>
                    </w:rPr>
                  </w:pPr>
                  <w:r>
                    <w:rPr>
                      <w:color w:val="auto"/>
                      <w:szCs w:val="21"/>
                    </w:rPr>
                    <w:t>TSP</w:t>
                  </w:r>
                </w:p>
              </w:tc>
              <w:tc>
                <w:tcPr>
                  <w:tcW w:w="576" w:type="pct"/>
                  <w:vAlign w:val="center"/>
                </w:tcPr>
                <w:p>
                  <w:pPr>
                    <w:jc w:val="center"/>
                    <w:rPr>
                      <w:color w:val="auto"/>
                      <w:szCs w:val="21"/>
                    </w:rPr>
                  </w:pPr>
                  <w:r>
                    <w:rPr>
                      <w:rFonts w:hint="eastAsia"/>
                      <w:color w:val="auto"/>
                      <w:szCs w:val="21"/>
                      <w:lang w:val="en-US" w:eastAsia="zh-CN"/>
                    </w:rPr>
                    <w:t>24</w:t>
                  </w:r>
                  <w:r>
                    <w:rPr>
                      <w:color w:val="auto"/>
                      <w:szCs w:val="21"/>
                    </w:rPr>
                    <w:t>h</w:t>
                  </w:r>
                </w:p>
              </w:tc>
              <w:tc>
                <w:tcPr>
                  <w:tcW w:w="641" w:type="pct"/>
                  <w:vAlign w:val="center"/>
                </w:tcPr>
                <w:p>
                  <w:pPr>
                    <w:jc w:val="center"/>
                    <w:rPr>
                      <w:color w:val="auto"/>
                      <w:szCs w:val="21"/>
                    </w:rPr>
                  </w:pPr>
                  <w:r>
                    <w:rPr>
                      <w:color w:val="auto"/>
                      <w:szCs w:val="21"/>
                    </w:rPr>
                    <w:t>0.3</w:t>
                  </w:r>
                </w:p>
              </w:tc>
              <w:tc>
                <w:tcPr>
                  <w:tcW w:w="872" w:type="pct"/>
                  <w:vAlign w:val="center"/>
                </w:tcPr>
                <w:p>
                  <w:pPr>
                    <w:jc w:val="center"/>
                    <w:rPr>
                      <w:rFonts w:hint="default" w:eastAsia="宋体"/>
                      <w:color w:val="auto"/>
                      <w:szCs w:val="21"/>
                      <w:lang w:val="en-US" w:eastAsia="zh-CN"/>
                    </w:rPr>
                  </w:pPr>
                  <w:r>
                    <w:rPr>
                      <w:rFonts w:hint="eastAsia"/>
                      <w:color w:val="auto"/>
                      <w:szCs w:val="21"/>
                      <w:lang w:val="en-US" w:eastAsia="zh-CN"/>
                    </w:rPr>
                    <w:t>0.222~0.228</w:t>
                  </w:r>
                </w:p>
              </w:tc>
              <w:tc>
                <w:tcPr>
                  <w:tcW w:w="657" w:type="pct"/>
                  <w:vAlign w:val="center"/>
                </w:tcPr>
                <w:p>
                  <w:pPr>
                    <w:jc w:val="center"/>
                    <w:rPr>
                      <w:rFonts w:hint="default" w:eastAsia="宋体"/>
                      <w:color w:val="auto"/>
                      <w:szCs w:val="21"/>
                      <w:lang w:val="en-US" w:eastAsia="zh-CN"/>
                    </w:rPr>
                  </w:pPr>
                  <w:r>
                    <w:rPr>
                      <w:rFonts w:hint="eastAsia"/>
                      <w:color w:val="auto"/>
                      <w:szCs w:val="21"/>
                      <w:lang w:val="en-US" w:eastAsia="zh-CN"/>
                    </w:rPr>
                    <w:t>76</w:t>
                  </w:r>
                </w:p>
              </w:tc>
              <w:tc>
                <w:tcPr>
                  <w:tcW w:w="618" w:type="pct"/>
                  <w:vAlign w:val="center"/>
                </w:tcPr>
                <w:p>
                  <w:pPr>
                    <w:jc w:val="center"/>
                    <w:rPr>
                      <w:color w:val="auto"/>
                      <w:szCs w:val="21"/>
                    </w:rPr>
                  </w:pPr>
                  <w:r>
                    <w:rPr>
                      <w:color w:val="auto"/>
                      <w:szCs w:val="21"/>
                    </w:rPr>
                    <w:t>0</w:t>
                  </w:r>
                </w:p>
              </w:tc>
              <w:tc>
                <w:tcPr>
                  <w:tcW w:w="411" w:type="pct"/>
                  <w:vAlign w:val="center"/>
                </w:tcPr>
                <w:p>
                  <w:pPr>
                    <w:jc w:val="center"/>
                    <w:rPr>
                      <w:color w:val="auto"/>
                      <w:szCs w:val="21"/>
                    </w:rPr>
                  </w:pPr>
                  <w:r>
                    <w:rPr>
                      <w:color w:val="auto"/>
                      <w:szCs w:val="21"/>
                    </w:rPr>
                    <w:t>达标</w:t>
                  </w:r>
                </w:p>
              </w:tc>
            </w:tr>
          </w:tbl>
          <w:p>
            <w:pPr>
              <w:adjustRightInd w:val="0"/>
              <w:snapToGrid w:val="0"/>
              <w:spacing w:line="360" w:lineRule="auto"/>
              <w:ind w:firstLine="480" w:firstLineChars="200"/>
              <w:rPr>
                <w:color w:val="auto"/>
                <w:sz w:val="24"/>
              </w:rPr>
            </w:pPr>
            <w:r>
              <w:rPr>
                <w:color w:val="auto"/>
                <w:kern w:val="0"/>
                <w:sz w:val="24"/>
              </w:rPr>
              <w:t>由上表数据可知，项目所在区域NMHC监测浓度值符合《大气污染物综合排放标准详解》中标准限值要求、TSP监测浓度值符合《环境空气质量标准》（GB 3095-2012）二级标准限值要求。</w:t>
            </w:r>
          </w:p>
          <w:p>
            <w:pPr>
              <w:adjustRightInd w:val="0"/>
              <w:snapToGrid w:val="0"/>
              <w:spacing w:line="360" w:lineRule="auto"/>
              <w:ind w:firstLine="482"/>
              <w:rPr>
                <w:b/>
                <w:bCs/>
                <w:color w:val="auto"/>
                <w:kern w:val="0"/>
                <w:sz w:val="24"/>
              </w:rPr>
            </w:pPr>
            <w:r>
              <w:rPr>
                <w:b/>
                <w:bCs/>
                <w:color w:val="auto"/>
                <w:kern w:val="0"/>
                <w:sz w:val="24"/>
              </w:rPr>
              <w:t>2、声环境质量现状</w:t>
            </w:r>
          </w:p>
          <w:p>
            <w:pPr>
              <w:adjustRightInd w:val="0"/>
              <w:snapToGrid w:val="0"/>
              <w:spacing w:line="360" w:lineRule="auto"/>
              <w:ind w:firstLine="480" w:firstLineChars="200"/>
              <w:rPr>
                <w:color w:val="auto"/>
                <w:kern w:val="0"/>
                <w:sz w:val="24"/>
              </w:rPr>
            </w:pPr>
            <w:r>
              <w:rPr>
                <w:color w:val="auto"/>
                <w:kern w:val="0"/>
                <w:sz w:val="24"/>
              </w:rPr>
              <w:t>为了解项目所在地的声环境质量现状，本项目50m范围内存在环境保护目标，本次评价委托中检西北生态技术（陕西）有限公司于</w:t>
            </w:r>
            <w:r>
              <w:rPr>
                <w:rFonts w:hint="eastAsia"/>
                <w:color w:val="auto"/>
                <w:kern w:val="0"/>
                <w:sz w:val="24"/>
              </w:rPr>
              <w:t>2024年5月29日</w:t>
            </w:r>
            <w:r>
              <w:rPr>
                <w:rFonts w:hint="eastAsia"/>
                <w:color w:val="auto"/>
                <w:kern w:val="0"/>
                <w:sz w:val="24"/>
                <w:lang w:val="en-US" w:eastAsia="zh-CN"/>
              </w:rPr>
              <w:t>~</w:t>
            </w:r>
            <w:r>
              <w:rPr>
                <w:rFonts w:hint="eastAsia"/>
                <w:color w:val="auto"/>
                <w:kern w:val="0"/>
                <w:sz w:val="24"/>
              </w:rPr>
              <w:t>2024年5月30日</w:t>
            </w:r>
            <w:r>
              <w:rPr>
                <w:color w:val="auto"/>
                <w:kern w:val="0"/>
                <w:sz w:val="24"/>
              </w:rPr>
              <w:t>对项目区域声环境质量现状进行监测，具体监测结果见表3-4。监测点位图见附图</w:t>
            </w:r>
            <w:r>
              <w:rPr>
                <w:rFonts w:hint="eastAsia"/>
                <w:color w:val="auto"/>
                <w:kern w:val="0"/>
                <w:sz w:val="24"/>
              </w:rPr>
              <w:t>6。</w:t>
            </w:r>
          </w:p>
          <w:p>
            <w:pPr>
              <w:adjustRightInd w:val="0"/>
              <w:snapToGrid w:val="0"/>
              <w:spacing w:line="360" w:lineRule="auto"/>
              <w:ind w:firstLine="482"/>
              <w:jc w:val="center"/>
              <w:rPr>
                <w:b/>
                <w:bCs/>
                <w:color w:val="auto"/>
                <w:kern w:val="0"/>
                <w:szCs w:val="21"/>
              </w:rPr>
            </w:pPr>
            <w:r>
              <w:rPr>
                <w:b/>
                <w:bCs/>
                <w:color w:val="auto"/>
                <w:kern w:val="0"/>
                <w:szCs w:val="21"/>
              </w:rPr>
              <w:t>表3-4  声环境质量现状监测结果</w:t>
            </w:r>
          </w:p>
          <w:tbl>
            <w:tblPr>
              <w:tblStyle w:val="18"/>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76"/>
              <w:gridCol w:w="1022"/>
              <w:gridCol w:w="951"/>
              <w:gridCol w:w="955"/>
              <w:gridCol w:w="1040"/>
              <w:gridCol w:w="1043"/>
              <w:gridCol w:w="1041"/>
              <w:gridCol w:w="10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blHeader/>
              </w:trPr>
              <w:tc>
                <w:tcPr>
                  <w:tcW w:w="549" w:type="pct"/>
                  <w:vMerge w:val="restart"/>
                  <w:vAlign w:val="center"/>
                </w:tcPr>
                <w:p>
                  <w:pPr>
                    <w:pStyle w:val="52"/>
                    <w:autoSpaceDE w:val="0"/>
                    <w:autoSpaceDN w:val="0"/>
                    <w:rPr>
                      <w:b/>
                      <w:bCs/>
                      <w:color w:val="auto"/>
                      <w:lang w:eastAsia="en-US"/>
                    </w:rPr>
                  </w:pPr>
                  <w:r>
                    <w:rPr>
                      <w:b/>
                      <w:bCs/>
                      <w:color w:val="auto"/>
                      <w:lang w:eastAsia="en-US"/>
                    </w:rPr>
                    <w:t>监测日期</w:t>
                  </w:r>
                </w:p>
              </w:tc>
              <w:tc>
                <w:tcPr>
                  <w:tcW w:w="641" w:type="pct"/>
                  <w:vMerge w:val="restart"/>
                  <w:vAlign w:val="center"/>
                </w:tcPr>
                <w:p>
                  <w:pPr>
                    <w:pStyle w:val="52"/>
                    <w:autoSpaceDE w:val="0"/>
                    <w:autoSpaceDN w:val="0"/>
                    <w:rPr>
                      <w:b/>
                      <w:bCs/>
                      <w:color w:val="auto"/>
                      <w:lang w:eastAsia="en-US"/>
                    </w:rPr>
                  </w:pPr>
                  <w:r>
                    <w:rPr>
                      <w:b/>
                      <w:bCs/>
                      <w:color w:val="auto"/>
                      <w:lang w:eastAsia="en-US"/>
                    </w:rPr>
                    <w:t>监测点位</w:t>
                  </w:r>
                </w:p>
              </w:tc>
              <w:tc>
                <w:tcPr>
                  <w:tcW w:w="1195" w:type="pct"/>
                  <w:gridSpan w:val="2"/>
                  <w:vAlign w:val="center"/>
                </w:tcPr>
                <w:p>
                  <w:pPr>
                    <w:pStyle w:val="52"/>
                    <w:autoSpaceDE w:val="0"/>
                    <w:autoSpaceDN w:val="0"/>
                    <w:rPr>
                      <w:b/>
                      <w:bCs/>
                      <w:color w:val="auto"/>
                      <w:lang w:eastAsia="en-US"/>
                    </w:rPr>
                  </w:pPr>
                  <w:r>
                    <w:rPr>
                      <w:rFonts w:hint="eastAsia"/>
                      <w:b/>
                      <w:bCs/>
                      <w:color w:val="auto"/>
                    </w:rPr>
                    <w:t>监测结果</w:t>
                  </w:r>
                  <w:r>
                    <w:rPr>
                      <w:b/>
                      <w:bCs/>
                      <w:color w:val="auto"/>
                      <w:lang w:eastAsia="en-US"/>
                    </w:rPr>
                    <w:t>dB(A)</w:t>
                  </w:r>
                </w:p>
              </w:tc>
              <w:tc>
                <w:tcPr>
                  <w:tcW w:w="1306" w:type="pct"/>
                  <w:gridSpan w:val="2"/>
                  <w:vAlign w:val="center"/>
                </w:tcPr>
                <w:p>
                  <w:pPr>
                    <w:pStyle w:val="52"/>
                    <w:autoSpaceDE w:val="0"/>
                    <w:autoSpaceDN w:val="0"/>
                    <w:rPr>
                      <w:b/>
                      <w:bCs/>
                      <w:color w:val="auto"/>
                      <w:lang w:eastAsia="en-US"/>
                    </w:rPr>
                  </w:pPr>
                  <w:r>
                    <w:rPr>
                      <w:rFonts w:hint="eastAsia"/>
                      <w:b/>
                      <w:bCs/>
                      <w:color w:val="auto"/>
                      <w:lang w:eastAsia="en-US"/>
                    </w:rPr>
                    <w:t>标准值</w:t>
                  </w:r>
                </w:p>
              </w:tc>
              <w:tc>
                <w:tcPr>
                  <w:tcW w:w="1307" w:type="pct"/>
                  <w:gridSpan w:val="2"/>
                  <w:vAlign w:val="center"/>
                </w:tcPr>
                <w:p>
                  <w:pPr>
                    <w:pStyle w:val="52"/>
                    <w:autoSpaceDE w:val="0"/>
                    <w:autoSpaceDN w:val="0"/>
                    <w:rPr>
                      <w:b/>
                      <w:bCs/>
                      <w:color w:val="auto"/>
                      <w:lang w:eastAsia="en-US"/>
                    </w:rPr>
                  </w:pPr>
                  <w:r>
                    <w:rPr>
                      <w:rFonts w:hint="eastAsia"/>
                      <w:b/>
                      <w:bCs/>
                      <w:color w:val="auto"/>
                    </w:rPr>
                    <w:t>达</w:t>
                  </w:r>
                  <w:r>
                    <w:rPr>
                      <w:rFonts w:hint="eastAsia"/>
                      <w:b/>
                      <w:bCs/>
                      <w:color w:val="auto"/>
                      <w:lang w:eastAsia="en-US"/>
                    </w:rPr>
                    <w:t>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549" w:type="pct"/>
                  <w:vMerge w:val="continue"/>
                  <w:vAlign w:val="center"/>
                </w:tcPr>
                <w:p>
                  <w:pPr>
                    <w:pStyle w:val="52"/>
                    <w:autoSpaceDE w:val="0"/>
                    <w:autoSpaceDN w:val="0"/>
                    <w:rPr>
                      <w:b/>
                      <w:bCs/>
                      <w:color w:val="auto"/>
                      <w:lang w:eastAsia="en-US"/>
                    </w:rPr>
                  </w:pPr>
                </w:p>
              </w:tc>
              <w:tc>
                <w:tcPr>
                  <w:tcW w:w="641" w:type="pct"/>
                  <w:vMerge w:val="continue"/>
                  <w:vAlign w:val="center"/>
                </w:tcPr>
                <w:p>
                  <w:pPr>
                    <w:pStyle w:val="52"/>
                    <w:autoSpaceDE w:val="0"/>
                    <w:autoSpaceDN w:val="0"/>
                    <w:rPr>
                      <w:b/>
                      <w:bCs/>
                      <w:color w:val="auto"/>
                      <w:lang w:eastAsia="en-US"/>
                    </w:rPr>
                  </w:pPr>
                </w:p>
              </w:tc>
              <w:tc>
                <w:tcPr>
                  <w:tcW w:w="596" w:type="pct"/>
                  <w:vAlign w:val="center"/>
                </w:tcPr>
                <w:p>
                  <w:pPr>
                    <w:pStyle w:val="52"/>
                    <w:autoSpaceDE w:val="0"/>
                    <w:autoSpaceDN w:val="0"/>
                    <w:rPr>
                      <w:b/>
                      <w:bCs/>
                      <w:color w:val="auto"/>
                      <w:lang w:eastAsia="en-US"/>
                    </w:rPr>
                  </w:pPr>
                  <w:r>
                    <w:rPr>
                      <w:b/>
                      <w:bCs/>
                      <w:color w:val="auto"/>
                      <w:lang w:eastAsia="en-US"/>
                    </w:rPr>
                    <w:t>昼间</w:t>
                  </w:r>
                </w:p>
              </w:tc>
              <w:tc>
                <w:tcPr>
                  <w:tcW w:w="598" w:type="pct"/>
                  <w:vAlign w:val="center"/>
                </w:tcPr>
                <w:p>
                  <w:pPr>
                    <w:pStyle w:val="52"/>
                    <w:autoSpaceDE w:val="0"/>
                    <w:autoSpaceDN w:val="0"/>
                    <w:rPr>
                      <w:b/>
                      <w:bCs/>
                      <w:color w:val="auto"/>
                      <w:lang w:eastAsia="en-US"/>
                    </w:rPr>
                  </w:pPr>
                  <w:r>
                    <w:rPr>
                      <w:b/>
                      <w:bCs/>
                      <w:color w:val="auto"/>
                      <w:lang w:eastAsia="en-US"/>
                    </w:rPr>
                    <w:t>夜间</w:t>
                  </w:r>
                </w:p>
              </w:tc>
              <w:tc>
                <w:tcPr>
                  <w:tcW w:w="652" w:type="pct"/>
                  <w:vAlign w:val="center"/>
                </w:tcPr>
                <w:p>
                  <w:pPr>
                    <w:pStyle w:val="52"/>
                    <w:autoSpaceDE w:val="0"/>
                    <w:autoSpaceDN w:val="0"/>
                    <w:rPr>
                      <w:b/>
                      <w:bCs/>
                      <w:color w:val="auto"/>
                      <w:lang w:eastAsia="en-US"/>
                    </w:rPr>
                  </w:pPr>
                  <w:r>
                    <w:rPr>
                      <w:b/>
                      <w:bCs/>
                      <w:color w:val="auto"/>
                      <w:lang w:eastAsia="en-US"/>
                    </w:rPr>
                    <w:t>昼间</w:t>
                  </w:r>
                </w:p>
              </w:tc>
              <w:tc>
                <w:tcPr>
                  <w:tcW w:w="653" w:type="pct"/>
                  <w:vAlign w:val="center"/>
                </w:tcPr>
                <w:p>
                  <w:pPr>
                    <w:pStyle w:val="52"/>
                    <w:autoSpaceDE w:val="0"/>
                    <w:autoSpaceDN w:val="0"/>
                    <w:rPr>
                      <w:b/>
                      <w:bCs/>
                      <w:color w:val="auto"/>
                      <w:lang w:eastAsia="en-US"/>
                    </w:rPr>
                  </w:pPr>
                  <w:r>
                    <w:rPr>
                      <w:b/>
                      <w:bCs/>
                      <w:color w:val="auto"/>
                      <w:lang w:eastAsia="en-US"/>
                    </w:rPr>
                    <w:t>夜间</w:t>
                  </w:r>
                </w:p>
              </w:tc>
              <w:tc>
                <w:tcPr>
                  <w:tcW w:w="653" w:type="pct"/>
                  <w:vAlign w:val="center"/>
                </w:tcPr>
                <w:p>
                  <w:pPr>
                    <w:pStyle w:val="52"/>
                    <w:autoSpaceDE w:val="0"/>
                    <w:autoSpaceDN w:val="0"/>
                    <w:rPr>
                      <w:b/>
                      <w:bCs/>
                      <w:color w:val="auto"/>
                      <w:lang w:eastAsia="en-US"/>
                    </w:rPr>
                  </w:pPr>
                  <w:r>
                    <w:rPr>
                      <w:b/>
                      <w:bCs/>
                      <w:color w:val="auto"/>
                      <w:lang w:eastAsia="en-US"/>
                    </w:rPr>
                    <w:t>昼间</w:t>
                  </w:r>
                </w:p>
              </w:tc>
              <w:tc>
                <w:tcPr>
                  <w:tcW w:w="653" w:type="pct"/>
                  <w:vAlign w:val="center"/>
                </w:tcPr>
                <w:p>
                  <w:pPr>
                    <w:pStyle w:val="52"/>
                    <w:autoSpaceDE w:val="0"/>
                    <w:autoSpaceDN w:val="0"/>
                    <w:rPr>
                      <w:b/>
                      <w:bCs/>
                      <w:color w:val="auto"/>
                      <w:lang w:eastAsia="en-US"/>
                    </w:rPr>
                  </w:pPr>
                  <w:r>
                    <w:rPr>
                      <w:b/>
                      <w:bCs/>
                      <w:color w:val="auto"/>
                      <w:lang w:eastAsia="en-US"/>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9" w:type="pct"/>
                  <w:vMerge w:val="restart"/>
                  <w:vAlign w:val="center"/>
                </w:tcPr>
                <w:p>
                  <w:pPr>
                    <w:pStyle w:val="52"/>
                    <w:autoSpaceDE w:val="0"/>
                    <w:autoSpaceDN w:val="0"/>
                    <w:rPr>
                      <w:color w:val="auto"/>
                    </w:rPr>
                  </w:pPr>
                  <w:r>
                    <w:rPr>
                      <w:rFonts w:hint="eastAsia"/>
                      <w:color w:val="auto"/>
                    </w:rPr>
                    <w:t>2024年05月29日</w:t>
                  </w:r>
                </w:p>
              </w:tc>
              <w:tc>
                <w:tcPr>
                  <w:tcW w:w="641" w:type="pct"/>
                  <w:vAlign w:val="center"/>
                </w:tcPr>
                <w:p>
                  <w:pPr>
                    <w:pStyle w:val="52"/>
                    <w:autoSpaceDE w:val="0"/>
                    <w:autoSpaceDN w:val="0"/>
                    <w:rPr>
                      <w:color w:val="auto"/>
                    </w:rPr>
                  </w:pPr>
                  <w:r>
                    <w:rPr>
                      <w:rFonts w:hint="eastAsia"/>
                      <w:color w:val="auto"/>
                    </w:rPr>
                    <w:t>N1南厂界</w:t>
                  </w:r>
                </w:p>
              </w:tc>
              <w:tc>
                <w:tcPr>
                  <w:tcW w:w="596" w:type="pct"/>
                  <w:vAlign w:val="center"/>
                </w:tcPr>
                <w:p>
                  <w:pPr>
                    <w:pStyle w:val="52"/>
                    <w:autoSpaceDE w:val="0"/>
                    <w:autoSpaceDN w:val="0"/>
                    <w:rPr>
                      <w:color w:val="auto"/>
                    </w:rPr>
                  </w:pPr>
                  <w:r>
                    <w:rPr>
                      <w:rFonts w:hint="eastAsia"/>
                      <w:color w:val="auto"/>
                    </w:rPr>
                    <w:t>52</w:t>
                  </w:r>
                </w:p>
              </w:tc>
              <w:tc>
                <w:tcPr>
                  <w:tcW w:w="598" w:type="pct"/>
                  <w:vAlign w:val="center"/>
                </w:tcPr>
                <w:p>
                  <w:pPr>
                    <w:pStyle w:val="52"/>
                    <w:autoSpaceDE w:val="0"/>
                    <w:autoSpaceDN w:val="0"/>
                    <w:rPr>
                      <w:color w:val="auto"/>
                    </w:rPr>
                  </w:pPr>
                  <w:r>
                    <w:rPr>
                      <w:rFonts w:hint="eastAsia"/>
                      <w:color w:val="auto"/>
                    </w:rPr>
                    <w:t>46</w:t>
                  </w:r>
                </w:p>
              </w:tc>
              <w:tc>
                <w:tcPr>
                  <w:tcW w:w="652" w:type="pct"/>
                  <w:vAlign w:val="center"/>
                </w:tcPr>
                <w:p>
                  <w:pPr>
                    <w:pStyle w:val="52"/>
                    <w:autoSpaceDE w:val="0"/>
                    <w:autoSpaceDN w:val="0"/>
                    <w:rPr>
                      <w:color w:val="auto"/>
                    </w:rPr>
                  </w:pPr>
                  <w:r>
                    <w:rPr>
                      <w:rFonts w:hint="eastAsia"/>
                      <w:color w:val="auto"/>
                    </w:rPr>
                    <w:t>65</w:t>
                  </w:r>
                </w:p>
              </w:tc>
              <w:tc>
                <w:tcPr>
                  <w:tcW w:w="653" w:type="pct"/>
                  <w:vAlign w:val="center"/>
                </w:tcPr>
                <w:p>
                  <w:pPr>
                    <w:pStyle w:val="52"/>
                    <w:autoSpaceDE w:val="0"/>
                    <w:autoSpaceDN w:val="0"/>
                    <w:rPr>
                      <w:color w:val="auto"/>
                    </w:rPr>
                  </w:pPr>
                  <w:r>
                    <w:rPr>
                      <w:rFonts w:hint="eastAsia"/>
                      <w:color w:val="auto"/>
                    </w:rPr>
                    <w:t>55</w:t>
                  </w:r>
                </w:p>
              </w:tc>
              <w:tc>
                <w:tcPr>
                  <w:tcW w:w="653" w:type="pct"/>
                  <w:vAlign w:val="center"/>
                </w:tcPr>
                <w:p>
                  <w:pPr>
                    <w:pStyle w:val="52"/>
                    <w:autoSpaceDE w:val="0"/>
                    <w:autoSpaceDN w:val="0"/>
                    <w:rPr>
                      <w:color w:val="auto"/>
                    </w:rPr>
                  </w:pPr>
                  <w:r>
                    <w:rPr>
                      <w:rFonts w:hint="eastAsia"/>
                      <w:color w:val="auto"/>
                    </w:rPr>
                    <w:t>达标</w:t>
                  </w:r>
                </w:p>
              </w:tc>
              <w:tc>
                <w:tcPr>
                  <w:tcW w:w="653" w:type="pct"/>
                  <w:vAlign w:val="center"/>
                </w:tcPr>
                <w:p>
                  <w:pPr>
                    <w:pStyle w:val="52"/>
                    <w:autoSpaceDE w:val="0"/>
                    <w:autoSpaceDN w:val="0"/>
                    <w:rPr>
                      <w:color w:val="auto"/>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rPr>
                  </w:pPr>
                  <w:r>
                    <w:rPr>
                      <w:rFonts w:hint="eastAsia"/>
                      <w:color w:val="auto"/>
                    </w:rPr>
                    <w:t>N2东厂界</w:t>
                  </w:r>
                </w:p>
              </w:tc>
              <w:tc>
                <w:tcPr>
                  <w:tcW w:w="596" w:type="pct"/>
                  <w:vAlign w:val="center"/>
                </w:tcPr>
                <w:p>
                  <w:pPr>
                    <w:pStyle w:val="52"/>
                    <w:autoSpaceDE w:val="0"/>
                    <w:autoSpaceDN w:val="0"/>
                    <w:rPr>
                      <w:color w:val="auto"/>
                    </w:rPr>
                  </w:pPr>
                  <w:r>
                    <w:rPr>
                      <w:rFonts w:hint="eastAsia"/>
                      <w:color w:val="auto"/>
                    </w:rPr>
                    <w:t>52</w:t>
                  </w:r>
                </w:p>
              </w:tc>
              <w:tc>
                <w:tcPr>
                  <w:tcW w:w="598" w:type="pct"/>
                  <w:vAlign w:val="center"/>
                </w:tcPr>
                <w:p>
                  <w:pPr>
                    <w:pStyle w:val="52"/>
                    <w:autoSpaceDE w:val="0"/>
                    <w:autoSpaceDN w:val="0"/>
                    <w:rPr>
                      <w:color w:val="auto"/>
                    </w:rPr>
                  </w:pPr>
                  <w:r>
                    <w:rPr>
                      <w:rFonts w:hint="eastAsia"/>
                      <w:color w:val="auto"/>
                    </w:rPr>
                    <w:t>47</w:t>
                  </w:r>
                </w:p>
              </w:tc>
              <w:tc>
                <w:tcPr>
                  <w:tcW w:w="652" w:type="pct"/>
                  <w:vAlign w:val="center"/>
                </w:tcPr>
                <w:p>
                  <w:pPr>
                    <w:pStyle w:val="52"/>
                    <w:autoSpaceDE w:val="0"/>
                    <w:autoSpaceDN w:val="0"/>
                    <w:rPr>
                      <w:color w:val="auto"/>
                    </w:rPr>
                  </w:pPr>
                  <w:r>
                    <w:rPr>
                      <w:rFonts w:hint="eastAsia"/>
                      <w:color w:val="auto"/>
                    </w:rPr>
                    <w:t>65</w:t>
                  </w:r>
                </w:p>
              </w:tc>
              <w:tc>
                <w:tcPr>
                  <w:tcW w:w="653" w:type="pct"/>
                  <w:vAlign w:val="center"/>
                </w:tcPr>
                <w:p>
                  <w:pPr>
                    <w:pStyle w:val="52"/>
                    <w:autoSpaceDE w:val="0"/>
                    <w:autoSpaceDN w:val="0"/>
                    <w:rPr>
                      <w:color w:val="auto"/>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rPr>
                  </w:pPr>
                  <w:r>
                    <w:rPr>
                      <w:rFonts w:hint="eastAsia"/>
                      <w:color w:val="auto"/>
                    </w:rPr>
                    <w:t>N3北厂界</w:t>
                  </w:r>
                </w:p>
              </w:tc>
              <w:tc>
                <w:tcPr>
                  <w:tcW w:w="596" w:type="pct"/>
                  <w:vAlign w:val="center"/>
                </w:tcPr>
                <w:p>
                  <w:pPr>
                    <w:pStyle w:val="52"/>
                    <w:autoSpaceDE w:val="0"/>
                    <w:autoSpaceDN w:val="0"/>
                    <w:rPr>
                      <w:color w:val="auto"/>
                    </w:rPr>
                  </w:pPr>
                  <w:r>
                    <w:rPr>
                      <w:rFonts w:hint="eastAsia"/>
                      <w:color w:val="auto"/>
                    </w:rPr>
                    <w:t>54</w:t>
                  </w:r>
                </w:p>
              </w:tc>
              <w:tc>
                <w:tcPr>
                  <w:tcW w:w="598" w:type="pct"/>
                  <w:vAlign w:val="center"/>
                </w:tcPr>
                <w:p>
                  <w:pPr>
                    <w:pStyle w:val="52"/>
                    <w:autoSpaceDE w:val="0"/>
                    <w:autoSpaceDN w:val="0"/>
                    <w:rPr>
                      <w:color w:val="auto"/>
                    </w:rPr>
                  </w:pPr>
                  <w:r>
                    <w:rPr>
                      <w:rFonts w:hint="eastAsia"/>
                      <w:color w:val="auto"/>
                    </w:rPr>
                    <w:t>47</w:t>
                  </w:r>
                </w:p>
              </w:tc>
              <w:tc>
                <w:tcPr>
                  <w:tcW w:w="652" w:type="pct"/>
                  <w:vAlign w:val="center"/>
                </w:tcPr>
                <w:p>
                  <w:pPr>
                    <w:pStyle w:val="52"/>
                    <w:autoSpaceDE w:val="0"/>
                    <w:autoSpaceDN w:val="0"/>
                    <w:rPr>
                      <w:color w:val="auto"/>
                    </w:rPr>
                  </w:pPr>
                  <w:r>
                    <w:rPr>
                      <w:rFonts w:hint="eastAsia"/>
                      <w:color w:val="auto"/>
                    </w:rPr>
                    <w:t>65</w:t>
                  </w:r>
                </w:p>
              </w:tc>
              <w:tc>
                <w:tcPr>
                  <w:tcW w:w="653" w:type="pct"/>
                  <w:vAlign w:val="center"/>
                </w:tcPr>
                <w:p>
                  <w:pPr>
                    <w:pStyle w:val="52"/>
                    <w:autoSpaceDE w:val="0"/>
                    <w:autoSpaceDN w:val="0"/>
                    <w:rPr>
                      <w:color w:val="auto"/>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rPr>
                  </w:pPr>
                  <w:r>
                    <w:rPr>
                      <w:rFonts w:hint="eastAsia"/>
                      <w:color w:val="auto"/>
                    </w:rPr>
                    <w:t>N4北厂界</w:t>
                  </w:r>
                </w:p>
              </w:tc>
              <w:tc>
                <w:tcPr>
                  <w:tcW w:w="596" w:type="pct"/>
                  <w:vAlign w:val="center"/>
                </w:tcPr>
                <w:p>
                  <w:pPr>
                    <w:pStyle w:val="52"/>
                    <w:autoSpaceDE w:val="0"/>
                    <w:autoSpaceDN w:val="0"/>
                    <w:rPr>
                      <w:color w:val="auto"/>
                    </w:rPr>
                  </w:pPr>
                  <w:r>
                    <w:rPr>
                      <w:rFonts w:hint="eastAsia"/>
                      <w:color w:val="auto"/>
                    </w:rPr>
                    <w:t>55</w:t>
                  </w:r>
                </w:p>
              </w:tc>
              <w:tc>
                <w:tcPr>
                  <w:tcW w:w="598" w:type="pct"/>
                  <w:vAlign w:val="center"/>
                </w:tcPr>
                <w:p>
                  <w:pPr>
                    <w:pStyle w:val="52"/>
                    <w:autoSpaceDE w:val="0"/>
                    <w:autoSpaceDN w:val="0"/>
                    <w:rPr>
                      <w:color w:val="auto"/>
                    </w:rPr>
                  </w:pPr>
                  <w:r>
                    <w:rPr>
                      <w:rFonts w:hint="eastAsia"/>
                      <w:color w:val="auto"/>
                    </w:rPr>
                    <w:t>44</w:t>
                  </w:r>
                </w:p>
              </w:tc>
              <w:tc>
                <w:tcPr>
                  <w:tcW w:w="652" w:type="pct"/>
                  <w:vAlign w:val="center"/>
                </w:tcPr>
                <w:p>
                  <w:pPr>
                    <w:pStyle w:val="52"/>
                    <w:autoSpaceDE w:val="0"/>
                    <w:autoSpaceDN w:val="0"/>
                    <w:rPr>
                      <w:color w:val="auto"/>
                    </w:rPr>
                  </w:pPr>
                  <w:r>
                    <w:rPr>
                      <w:rFonts w:hint="eastAsia"/>
                      <w:color w:val="auto"/>
                    </w:rPr>
                    <w:t>65</w:t>
                  </w:r>
                </w:p>
              </w:tc>
              <w:tc>
                <w:tcPr>
                  <w:tcW w:w="653" w:type="pct"/>
                  <w:vAlign w:val="center"/>
                </w:tcPr>
                <w:p>
                  <w:pPr>
                    <w:pStyle w:val="52"/>
                    <w:autoSpaceDE w:val="0"/>
                    <w:autoSpaceDN w:val="0"/>
                    <w:rPr>
                      <w:color w:val="auto"/>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rPr>
                  </w:pPr>
                  <w:r>
                    <w:rPr>
                      <w:rFonts w:hint="eastAsia"/>
                      <w:color w:val="auto"/>
                    </w:rPr>
                    <w:t>N5西厂界</w:t>
                  </w:r>
                </w:p>
              </w:tc>
              <w:tc>
                <w:tcPr>
                  <w:tcW w:w="596" w:type="pct"/>
                  <w:vAlign w:val="center"/>
                </w:tcPr>
                <w:p>
                  <w:pPr>
                    <w:pStyle w:val="52"/>
                    <w:autoSpaceDE w:val="0"/>
                    <w:autoSpaceDN w:val="0"/>
                    <w:rPr>
                      <w:color w:val="auto"/>
                    </w:rPr>
                  </w:pPr>
                  <w:r>
                    <w:rPr>
                      <w:rFonts w:hint="eastAsia"/>
                      <w:color w:val="auto"/>
                    </w:rPr>
                    <w:t>53</w:t>
                  </w:r>
                </w:p>
              </w:tc>
              <w:tc>
                <w:tcPr>
                  <w:tcW w:w="598" w:type="pct"/>
                  <w:vAlign w:val="center"/>
                </w:tcPr>
                <w:p>
                  <w:pPr>
                    <w:pStyle w:val="52"/>
                    <w:autoSpaceDE w:val="0"/>
                    <w:autoSpaceDN w:val="0"/>
                    <w:rPr>
                      <w:color w:val="auto"/>
                    </w:rPr>
                  </w:pPr>
                  <w:r>
                    <w:rPr>
                      <w:rFonts w:hint="eastAsia"/>
                      <w:color w:val="auto"/>
                    </w:rPr>
                    <w:t>43</w:t>
                  </w:r>
                </w:p>
              </w:tc>
              <w:tc>
                <w:tcPr>
                  <w:tcW w:w="652" w:type="pct"/>
                  <w:vAlign w:val="center"/>
                </w:tcPr>
                <w:p>
                  <w:pPr>
                    <w:pStyle w:val="52"/>
                    <w:autoSpaceDE w:val="0"/>
                    <w:autoSpaceDN w:val="0"/>
                    <w:rPr>
                      <w:color w:val="auto"/>
                    </w:rPr>
                  </w:pPr>
                  <w:r>
                    <w:rPr>
                      <w:rFonts w:hint="eastAsia"/>
                      <w:color w:val="auto"/>
                    </w:rPr>
                    <w:t>65</w:t>
                  </w:r>
                </w:p>
              </w:tc>
              <w:tc>
                <w:tcPr>
                  <w:tcW w:w="653" w:type="pct"/>
                  <w:vAlign w:val="center"/>
                </w:tcPr>
                <w:p>
                  <w:pPr>
                    <w:pStyle w:val="52"/>
                    <w:autoSpaceDE w:val="0"/>
                    <w:autoSpaceDN w:val="0"/>
                    <w:rPr>
                      <w:color w:val="auto"/>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9" w:type="pct"/>
                  <w:vMerge w:val="restart"/>
                  <w:vAlign w:val="center"/>
                </w:tcPr>
                <w:p>
                  <w:pPr>
                    <w:pStyle w:val="52"/>
                    <w:autoSpaceDE w:val="0"/>
                    <w:autoSpaceDN w:val="0"/>
                    <w:rPr>
                      <w:color w:val="auto"/>
                    </w:rPr>
                  </w:pPr>
                  <w:r>
                    <w:rPr>
                      <w:rFonts w:hint="eastAsia"/>
                      <w:color w:val="auto"/>
                    </w:rPr>
                    <w:t>2024年05月30日</w:t>
                  </w:r>
                </w:p>
              </w:tc>
              <w:tc>
                <w:tcPr>
                  <w:tcW w:w="641" w:type="pct"/>
                  <w:vAlign w:val="center"/>
                </w:tcPr>
                <w:p>
                  <w:pPr>
                    <w:pStyle w:val="52"/>
                    <w:autoSpaceDE w:val="0"/>
                    <w:autoSpaceDN w:val="0"/>
                    <w:rPr>
                      <w:color w:val="auto"/>
                      <w:lang w:eastAsia="en-US"/>
                    </w:rPr>
                  </w:pPr>
                  <w:r>
                    <w:rPr>
                      <w:rFonts w:hint="eastAsia"/>
                      <w:color w:val="auto"/>
                    </w:rPr>
                    <w:t>N1南厂界</w:t>
                  </w:r>
                </w:p>
              </w:tc>
              <w:tc>
                <w:tcPr>
                  <w:tcW w:w="596" w:type="pct"/>
                  <w:vAlign w:val="center"/>
                </w:tcPr>
                <w:p>
                  <w:pPr>
                    <w:pStyle w:val="52"/>
                    <w:autoSpaceDE w:val="0"/>
                    <w:autoSpaceDN w:val="0"/>
                    <w:rPr>
                      <w:color w:val="auto"/>
                    </w:rPr>
                  </w:pPr>
                  <w:r>
                    <w:rPr>
                      <w:rFonts w:hint="eastAsia"/>
                      <w:color w:val="auto"/>
                    </w:rPr>
                    <w:t>51</w:t>
                  </w:r>
                </w:p>
              </w:tc>
              <w:tc>
                <w:tcPr>
                  <w:tcW w:w="598" w:type="pct"/>
                  <w:vAlign w:val="center"/>
                </w:tcPr>
                <w:p>
                  <w:pPr>
                    <w:pStyle w:val="52"/>
                    <w:autoSpaceDE w:val="0"/>
                    <w:autoSpaceDN w:val="0"/>
                    <w:rPr>
                      <w:color w:val="auto"/>
                    </w:rPr>
                  </w:pPr>
                  <w:r>
                    <w:rPr>
                      <w:rFonts w:hint="eastAsia"/>
                      <w:color w:val="auto"/>
                    </w:rPr>
                    <w:t>47</w:t>
                  </w:r>
                </w:p>
              </w:tc>
              <w:tc>
                <w:tcPr>
                  <w:tcW w:w="652" w:type="pct"/>
                  <w:vAlign w:val="center"/>
                </w:tcPr>
                <w:p>
                  <w:pPr>
                    <w:pStyle w:val="52"/>
                    <w:autoSpaceDE w:val="0"/>
                    <w:autoSpaceDN w:val="0"/>
                    <w:rPr>
                      <w:color w:val="auto"/>
                      <w:lang w:eastAsia="en-US"/>
                    </w:rPr>
                  </w:pPr>
                  <w:r>
                    <w:rPr>
                      <w:rFonts w:hint="eastAsia"/>
                      <w:color w:val="auto"/>
                    </w:rPr>
                    <w:t>65</w:t>
                  </w:r>
                </w:p>
              </w:tc>
              <w:tc>
                <w:tcPr>
                  <w:tcW w:w="653" w:type="pct"/>
                  <w:vAlign w:val="center"/>
                </w:tcPr>
                <w:p>
                  <w:pPr>
                    <w:pStyle w:val="52"/>
                    <w:autoSpaceDE w:val="0"/>
                    <w:autoSpaceDN w:val="0"/>
                    <w:rPr>
                      <w:color w:val="auto"/>
                      <w:lang w:eastAsia="en-US"/>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lang w:eastAsia="en-US"/>
                    </w:rPr>
                  </w:pPr>
                  <w:r>
                    <w:rPr>
                      <w:rFonts w:hint="eastAsia"/>
                      <w:color w:val="auto"/>
                    </w:rPr>
                    <w:t>N2东厂界</w:t>
                  </w:r>
                </w:p>
              </w:tc>
              <w:tc>
                <w:tcPr>
                  <w:tcW w:w="596" w:type="pct"/>
                  <w:vAlign w:val="center"/>
                </w:tcPr>
                <w:p>
                  <w:pPr>
                    <w:pStyle w:val="52"/>
                    <w:autoSpaceDE w:val="0"/>
                    <w:autoSpaceDN w:val="0"/>
                    <w:rPr>
                      <w:color w:val="auto"/>
                    </w:rPr>
                  </w:pPr>
                  <w:r>
                    <w:rPr>
                      <w:rFonts w:hint="eastAsia"/>
                      <w:color w:val="auto"/>
                    </w:rPr>
                    <w:t>53</w:t>
                  </w:r>
                </w:p>
              </w:tc>
              <w:tc>
                <w:tcPr>
                  <w:tcW w:w="598" w:type="pct"/>
                  <w:vAlign w:val="center"/>
                </w:tcPr>
                <w:p>
                  <w:pPr>
                    <w:pStyle w:val="52"/>
                    <w:autoSpaceDE w:val="0"/>
                    <w:autoSpaceDN w:val="0"/>
                    <w:rPr>
                      <w:color w:val="auto"/>
                    </w:rPr>
                  </w:pPr>
                  <w:r>
                    <w:rPr>
                      <w:rFonts w:hint="eastAsia"/>
                      <w:color w:val="auto"/>
                    </w:rPr>
                    <w:t>47</w:t>
                  </w:r>
                </w:p>
              </w:tc>
              <w:tc>
                <w:tcPr>
                  <w:tcW w:w="652" w:type="pct"/>
                  <w:vAlign w:val="center"/>
                </w:tcPr>
                <w:p>
                  <w:pPr>
                    <w:pStyle w:val="52"/>
                    <w:autoSpaceDE w:val="0"/>
                    <w:autoSpaceDN w:val="0"/>
                    <w:rPr>
                      <w:color w:val="auto"/>
                      <w:lang w:eastAsia="en-US"/>
                    </w:rPr>
                  </w:pPr>
                  <w:r>
                    <w:rPr>
                      <w:rFonts w:hint="eastAsia"/>
                      <w:color w:val="auto"/>
                    </w:rPr>
                    <w:t>65</w:t>
                  </w:r>
                </w:p>
              </w:tc>
              <w:tc>
                <w:tcPr>
                  <w:tcW w:w="653" w:type="pct"/>
                  <w:vAlign w:val="center"/>
                </w:tcPr>
                <w:p>
                  <w:pPr>
                    <w:pStyle w:val="52"/>
                    <w:autoSpaceDE w:val="0"/>
                    <w:autoSpaceDN w:val="0"/>
                    <w:rPr>
                      <w:color w:val="auto"/>
                      <w:lang w:eastAsia="en-US"/>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lang w:eastAsia="en-US"/>
                    </w:rPr>
                  </w:pPr>
                  <w:r>
                    <w:rPr>
                      <w:rFonts w:hint="eastAsia"/>
                      <w:color w:val="auto"/>
                    </w:rPr>
                    <w:t>N3北厂界</w:t>
                  </w:r>
                </w:p>
              </w:tc>
              <w:tc>
                <w:tcPr>
                  <w:tcW w:w="596" w:type="pct"/>
                  <w:vAlign w:val="center"/>
                </w:tcPr>
                <w:p>
                  <w:pPr>
                    <w:pStyle w:val="52"/>
                    <w:autoSpaceDE w:val="0"/>
                    <w:autoSpaceDN w:val="0"/>
                    <w:rPr>
                      <w:color w:val="auto"/>
                    </w:rPr>
                  </w:pPr>
                  <w:r>
                    <w:rPr>
                      <w:rFonts w:hint="eastAsia"/>
                      <w:color w:val="auto"/>
                    </w:rPr>
                    <w:t>52</w:t>
                  </w:r>
                </w:p>
              </w:tc>
              <w:tc>
                <w:tcPr>
                  <w:tcW w:w="598" w:type="pct"/>
                  <w:vAlign w:val="center"/>
                </w:tcPr>
                <w:p>
                  <w:pPr>
                    <w:pStyle w:val="52"/>
                    <w:autoSpaceDE w:val="0"/>
                    <w:autoSpaceDN w:val="0"/>
                    <w:rPr>
                      <w:color w:val="auto"/>
                    </w:rPr>
                  </w:pPr>
                  <w:r>
                    <w:rPr>
                      <w:rFonts w:hint="eastAsia"/>
                      <w:color w:val="auto"/>
                    </w:rPr>
                    <w:t>46</w:t>
                  </w:r>
                </w:p>
              </w:tc>
              <w:tc>
                <w:tcPr>
                  <w:tcW w:w="652" w:type="pct"/>
                  <w:vAlign w:val="center"/>
                </w:tcPr>
                <w:p>
                  <w:pPr>
                    <w:pStyle w:val="52"/>
                    <w:autoSpaceDE w:val="0"/>
                    <w:autoSpaceDN w:val="0"/>
                    <w:rPr>
                      <w:color w:val="auto"/>
                      <w:lang w:eastAsia="en-US"/>
                    </w:rPr>
                  </w:pPr>
                  <w:r>
                    <w:rPr>
                      <w:rFonts w:hint="eastAsia"/>
                      <w:color w:val="auto"/>
                    </w:rPr>
                    <w:t>65</w:t>
                  </w:r>
                </w:p>
              </w:tc>
              <w:tc>
                <w:tcPr>
                  <w:tcW w:w="653" w:type="pct"/>
                  <w:vAlign w:val="center"/>
                </w:tcPr>
                <w:p>
                  <w:pPr>
                    <w:pStyle w:val="52"/>
                    <w:autoSpaceDE w:val="0"/>
                    <w:autoSpaceDN w:val="0"/>
                    <w:rPr>
                      <w:color w:val="auto"/>
                      <w:lang w:eastAsia="en-US"/>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lang w:eastAsia="en-US"/>
                    </w:rPr>
                  </w:pPr>
                  <w:r>
                    <w:rPr>
                      <w:rFonts w:hint="eastAsia"/>
                      <w:color w:val="auto"/>
                    </w:rPr>
                    <w:t>N4北厂界</w:t>
                  </w:r>
                </w:p>
              </w:tc>
              <w:tc>
                <w:tcPr>
                  <w:tcW w:w="596" w:type="pct"/>
                  <w:vAlign w:val="center"/>
                </w:tcPr>
                <w:p>
                  <w:pPr>
                    <w:pStyle w:val="52"/>
                    <w:autoSpaceDE w:val="0"/>
                    <w:autoSpaceDN w:val="0"/>
                    <w:rPr>
                      <w:color w:val="auto"/>
                    </w:rPr>
                  </w:pPr>
                  <w:r>
                    <w:rPr>
                      <w:rFonts w:hint="eastAsia"/>
                      <w:color w:val="auto"/>
                    </w:rPr>
                    <w:t>52</w:t>
                  </w:r>
                </w:p>
              </w:tc>
              <w:tc>
                <w:tcPr>
                  <w:tcW w:w="598" w:type="pct"/>
                  <w:vAlign w:val="center"/>
                </w:tcPr>
                <w:p>
                  <w:pPr>
                    <w:pStyle w:val="52"/>
                    <w:autoSpaceDE w:val="0"/>
                    <w:autoSpaceDN w:val="0"/>
                    <w:rPr>
                      <w:color w:val="auto"/>
                    </w:rPr>
                  </w:pPr>
                  <w:r>
                    <w:rPr>
                      <w:rFonts w:hint="eastAsia"/>
                      <w:color w:val="auto"/>
                    </w:rPr>
                    <w:t>46</w:t>
                  </w:r>
                </w:p>
              </w:tc>
              <w:tc>
                <w:tcPr>
                  <w:tcW w:w="652" w:type="pct"/>
                  <w:vAlign w:val="center"/>
                </w:tcPr>
                <w:p>
                  <w:pPr>
                    <w:pStyle w:val="52"/>
                    <w:autoSpaceDE w:val="0"/>
                    <w:autoSpaceDN w:val="0"/>
                    <w:rPr>
                      <w:color w:val="auto"/>
                      <w:lang w:eastAsia="en-US"/>
                    </w:rPr>
                  </w:pPr>
                  <w:r>
                    <w:rPr>
                      <w:rFonts w:hint="eastAsia"/>
                      <w:color w:val="auto"/>
                    </w:rPr>
                    <w:t>65</w:t>
                  </w:r>
                </w:p>
              </w:tc>
              <w:tc>
                <w:tcPr>
                  <w:tcW w:w="653" w:type="pct"/>
                  <w:vAlign w:val="center"/>
                </w:tcPr>
                <w:p>
                  <w:pPr>
                    <w:pStyle w:val="52"/>
                    <w:autoSpaceDE w:val="0"/>
                    <w:autoSpaceDN w:val="0"/>
                    <w:rPr>
                      <w:color w:val="auto"/>
                      <w:lang w:eastAsia="en-US"/>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lang w:eastAsia="en-US"/>
                    </w:rPr>
                  </w:pPr>
                  <w:r>
                    <w:rPr>
                      <w:rFonts w:hint="eastAsia"/>
                      <w:color w:val="auto"/>
                    </w:rPr>
                    <w:t>N5西厂界</w:t>
                  </w:r>
                </w:p>
              </w:tc>
              <w:tc>
                <w:tcPr>
                  <w:tcW w:w="596" w:type="pct"/>
                  <w:vAlign w:val="center"/>
                </w:tcPr>
                <w:p>
                  <w:pPr>
                    <w:pStyle w:val="52"/>
                    <w:autoSpaceDE w:val="0"/>
                    <w:autoSpaceDN w:val="0"/>
                    <w:rPr>
                      <w:color w:val="auto"/>
                    </w:rPr>
                  </w:pPr>
                  <w:r>
                    <w:rPr>
                      <w:rFonts w:hint="eastAsia"/>
                      <w:color w:val="auto"/>
                    </w:rPr>
                    <w:t>51</w:t>
                  </w:r>
                </w:p>
              </w:tc>
              <w:tc>
                <w:tcPr>
                  <w:tcW w:w="598" w:type="pct"/>
                  <w:vAlign w:val="center"/>
                </w:tcPr>
                <w:p>
                  <w:pPr>
                    <w:pStyle w:val="52"/>
                    <w:autoSpaceDE w:val="0"/>
                    <w:autoSpaceDN w:val="0"/>
                    <w:rPr>
                      <w:color w:val="auto"/>
                    </w:rPr>
                  </w:pPr>
                  <w:r>
                    <w:rPr>
                      <w:rFonts w:hint="eastAsia"/>
                      <w:color w:val="auto"/>
                    </w:rPr>
                    <w:t>46</w:t>
                  </w:r>
                </w:p>
              </w:tc>
              <w:tc>
                <w:tcPr>
                  <w:tcW w:w="652" w:type="pct"/>
                  <w:vAlign w:val="center"/>
                </w:tcPr>
                <w:p>
                  <w:pPr>
                    <w:pStyle w:val="52"/>
                    <w:autoSpaceDE w:val="0"/>
                    <w:autoSpaceDN w:val="0"/>
                    <w:rPr>
                      <w:color w:val="auto"/>
                      <w:lang w:eastAsia="en-US"/>
                    </w:rPr>
                  </w:pPr>
                  <w:r>
                    <w:rPr>
                      <w:rFonts w:hint="eastAsia"/>
                      <w:color w:val="auto"/>
                    </w:rPr>
                    <w:t>65</w:t>
                  </w:r>
                </w:p>
              </w:tc>
              <w:tc>
                <w:tcPr>
                  <w:tcW w:w="653" w:type="pct"/>
                  <w:vAlign w:val="center"/>
                </w:tcPr>
                <w:p>
                  <w:pPr>
                    <w:pStyle w:val="52"/>
                    <w:autoSpaceDE w:val="0"/>
                    <w:autoSpaceDN w:val="0"/>
                    <w:rPr>
                      <w:color w:val="auto"/>
                      <w:lang w:eastAsia="en-US"/>
                    </w:rPr>
                  </w:pPr>
                  <w:r>
                    <w:rPr>
                      <w:rFonts w:hint="eastAsia"/>
                      <w:color w:val="auto"/>
                    </w:rPr>
                    <w:t>55</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8" w:hRule="atLeast"/>
              </w:trPr>
              <w:tc>
                <w:tcPr>
                  <w:tcW w:w="549" w:type="pct"/>
                  <w:vMerge w:val="restart"/>
                  <w:vAlign w:val="center"/>
                </w:tcPr>
                <w:p>
                  <w:pPr>
                    <w:pStyle w:val="52"/>
                    <w:autoSpaceDE w:val="0"/>
                    <w:autoSpaceDN w:val="0"/>
                    <w:rPr>
                      <w:color w:val="auto"/>
                      <w:lang w:eastAsia="en-US"/>
                    </w:rPr>
                  </w:pPr>
                  <w:r>
                    <w:rPr>
                      <w:rFonts w:hint="eastAsia"/>
                      <w:color w:val="auto"/>
                    </w:rPr>
                    <w:t>2024年05月29日</w:t>
                  </w:r>
                </w:p>
              </w:tc>
              <w:tc>
                <w:tcPr>
                  <w:tcW w:w="641" w:type="pct"/>
                  <w:vAlign w:val="center"/>
                </w:tcPr>
                <w:p>
                  <w:pPr>
                    <w:pStyle w:val="52"/>
                    <w:autoSpaceDE w:val="0"/>
                    <w:autoSpaceDN w:val="0"/>
                    <w:rPr>
                      <w:color w:val="auto"/>
                    </w:rPr>
                  </w:pPr>
                  <w:r>
                    <w:rPr>
                      <w:rFonts w:hint="eastAsia"/>
                      <w:color w:val="auto"/>
                    </w:rPr>
                    <w:t>N6高新区第五高级中学</w:t>
                  </w:r>
                </w:p>
              </w:tc>
              <w:tc>
                <w:tcPr>
                  <w:tcW w:w="596" w:type="pct"/>
                  <w:vAlign w:val="center"/>
                </w:tcPr>
                <w:p>
                  <w:pPr>
                    <w:pStyle w:val="52"/>
                    <w:autoSpaceDE w:val="0"/>
                    <w:autoSpaceDN w:val="0"/>
                    <w:rPr>
                      <w:color w:val="auto"/>
                    </w:rPr>
                  </w:pPr>
                  <w:r>
                    <w:rPr>
                      <w:rFonts w:hint="eastAsia"/>
                      <w:color w:val="auto"/>
                    </w:rPr>
                    <w:t>51</w:t>
                  </w:r>
                </w:p>
              </w:tc>
              <w:tc>
                <w:tcPr>
                  <w:tcW w:w="598" w:type="pct"/>
                  <w:vAlign w:val="center"/>
                </w:tcPr>
                <w:p>
                  <w:pPr>
                    <w:pStyle w:val="52"/>
                    <w:autoSpaceDE w:val="0"/>
                    <w:autoSpaceDN w:val="0"/>
                    <w:rPr>
                      <w:color w:val="auto"/>
                    </w:rPr>
                  </w:pPr>
                  <w:r>
                    <w:rPr>
                      <w:rFonts w:hint="eastAsia"/>
                      <w:color w:val="auto"/>
                    </w:rPr>
                    <w:t>40</w:t>
                  </w:r>
                </w:p>
              </w:tc>
              <w:tc>
                <w:tcPr>
                  <w:tcW w:w="652" w:type="pct"/>
                  <w:vAlign w:val="center"/>
                </w:tcPr>
                <w:p>
                  <w:pPr>
                    <w:pStyle w:val="52"/>
                    <w:autoSpaceDE w:val="0"/>
                    <w:autoSpaceDN w:val="0"/>
                    <w:rPr>
                      <w:color w:val="auto"/>
                    </w:rPr>
                  </w:pPr>
                  <w:r>
                    <w:rPr>
                      <w:rFonts w:hint="eastAsia"/>
                      <w:color w:val="auto"/>
                    </w:rPr>
                    <w:t>60</w:t>
                  </w:r>
                </w:p>
              </w:tc>
              <w:tc>
                <w:tcPr>
                  <w:tcW w:w="653" w:type="pct"/>
                  <w:vAlign w:val="center"/>
                </w:tcPr>
                <w:p>
                  <w:pPr>
                    <w:pStyle w:val="52"/>
                    <w:autoSpaceDE w:val="0"/>
                    <w:autoSpaceDN w:val="0"/>
                    <w:rPr>
                      <w:color w:val="auto"/>
                    </w:rPr>
                  </w:pPr>
                  <w:r>
                    <w:rPr>
                      <w:rFonts w:hint="eastAsia"/>
                      <w:color w:val="auto"/>
                    </w:rPr>
                    <w:t>50</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8" w:hRule="atLeast"/>
              </w:trPr>
              <w:tc>
                <w:tcPr>
                  <w:tcW w:w="549" w:type="pct"/>
                  <w:vMerge w:val="continue"/>
                  <w:vAlign w:val="center"/>
                </w:tcPr>
                <w:p>
                  <w:pPr>
                    <w:pStyle w:val="52"/>
                    <w:autoSpaceDE w:val="0"/>
                    <w:autoSpaceDN w:val="0"/>
                    <w:rPr>
                      <w:color w:val="auto"/>
                    </w:rPr>
                  </w:pPr>
                </w:p>
              </w:tc>
              <w:tc>
                <w:tcPr>
                  <w:tcW w:w="641" w:type="pct"/>
                  <w:vAlign w:val="center"/>
                </w:tcPr>
                <w:p>
                  <w:pPr>
                    <w:pStyle w:val="52"/>
                    <w:autoSpaceDE w:val="0"/>
                    <w:autoSpaceDN w:val="0"/>
                    <w:rPr>
                      <w:color w:val="auto"/>
                    </w:rPr>
                  </w:pPr>
                  <w:r>
                    <w:rPr>
                      <w:rFonts w:hint="eastAsia"/>
                      <w:color w:val="auto"/>
                    </w:rPr>
                    <w:t>N7集贤镇东村</w:t>
                  </w:r>
                </w:p>
              </w:tc>
              <w:tc>
                <w:tcPr>
                  <w:tcW w:w="596" w:type="pct"/>
                  <w:vAlign w:val="center"/>
                </w:tcPr>
                <w:p>
                  <w:pPr>
                    <w:pStyle w:val="52"/>
                    <w:autoSpaceDE w:val="0"/>
                    <w:autoSpaceDN w:val="0"/>
                    <w:rPr>
                      <w:color w:val="auto"/>
                    </w:rPr>
                  </w:pPr>
                  <w:r>
                    <w:rPr>
                      <w:rFonts w:hint="eastAsia"/>
                      <w:color w:val="auto"/>
                    </w:rPr>
                    <w:t>50</w:t>
                  </w:r>
                </w:p>
              </w:tc>
              <w:tc>
                <w:tcPr>
                  <w:tcW w:w="598" w:type="pct"/>
                  <w:vAlign w:val="center"/>
                </w:tcPr>
                <w:p>
                  <w:pPr>
                    <w:pStyle w:val="52"/>
                    <w:autoSpaceDE w:val="0"/>
                    <w:autoSpaceDN w:val="0"/>
                    <w:rPr>
                      <w:color w:val="auto"/>
                    </w:rPr>
                  </w:pPr>
                  <w:r>
                    <w:rPr>
                      <w:rFonts w:hint="eastAsia"/>
                      <w:color w:val="auto"/>
                    </w:rPr>
                    <w:t>41</w:t>
                  </w:r>
                </w:p>
              </w:tc>
              <w:tc>
                <w:tcPr>
                  <w:tcW w:w="652" w:type="pct"/>
                  <w:vAlign w:val="center"/>
                </w:tcPr>
                <w:p>
                  <w:pPr>
                    <w:pStyle w:val="52"/>
                    <w:autoSpaceDE w:val="0"/>
                    <w:autoSpaceDN w:val="0"/>
                    <w:rPr>
                      <w:color w:val="auto"/>
                      <w:lang w:eastAsia="en-US"/>
                    </w:rPr>
                  </w:pPr>
                  <w:r>
                    <w:rPr>
                      <w:rFonts w:hint="eastAsia"/>
                      <w:color w:val="auto"/>
                    </w:rPr>
                    <w:t>60</w:t>
                  </w:r>
                </w:p>
              </w:tc>
              <w:tc>
                <w:tcPr>
                  <w:tcW w:w="653" w:type="pct"/>
                  <w:vAlign w:val="center"/>
                </w:tcPr>
                <w:p>
                  <w:pPr>
                    <w:pStyle w:val="52"/>
                    <w:autoSpaceDE w:val="0"/>
                    <w:autoSpaceDN w:val="0"/>
                    <w:rPr>
                      <w:color w:val="auto"/>
                      <w:lang w:eastAsia="en-US"/>
                    </w:rPr>
                  </w:pPr>
                  <w:r>
                    <w:rPr>
                      <w:rFonts w:hint="eastAsia"/>
                      <w:color w:val="auto"/>
                    </w:rPr>
                    <w:t>50</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8"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rPr>
                  </w:pPr>
                  <w:r>
                    <w:rPr>
                      <w:rFonts w:hint="eastAsia"/>
                      <w:color w:val="auto"/>
                    </w:rPr>
                    <w:t>N8耿西村</w:t>
                  </w:r>
                </w:p>
              </w:tc>
              <w:tc>
                <w:tcPr>
                  <w:tcW w:w="596" w:type="pct"/>
                  <w:vAlign w:val="center"/>
                </w:tcPr>
                <w:p>
                  <w:pPr>
                    <w:pStyle w:val="52"/>
                    <w:autoSpaceDE w:val="0"/>
                    <w:autoSpaceDN w:val="0"/>
                    <w:rPr>
                      <w:color w:val="auto"/>
                    </w:rPr>
                  </w:pPr>
                  <w:r>
                    <w:rPr>
                      <w:rFonts w:hint="eastAsia"/>
                      <w:color w:val="auto"/>
                    </w:rPr>
                    <w:t>52</w:t>
                  </w:r>
                </w:p>
              </w:tc>
              <w:tc>
                <w:tcPr>
                  <w:tcW w:w="598" w:type="pct"/>
                  <w:vAlign w:val="center"/>
                </w:tcPr>
                <w:p>
                  <w:pPr>
                    <w:pStyle w:val="52"/>
                    <w:autoSpaceDE w:val="0"/>
                    <w:autoSpaceDN w:val="0"/>
                    <w:rPr>
                      <w:color w:val="auto"/>
                    </w:rPr>
                  </w:pPr>
                  <w:r>
                    <w:rPr>
                      <w:rFonts w:hint="eastAsia"/>
                      <w:color w:val="auto"/>
                    </w:rPr>
                    <w:t>40</w:t>
                  </w:r>
                </w:p>
              </w:tc>
              <w:tc>
                <w:tcPr>
                  <w:tcW w:w="652" w:type="pct"/>
                  <w:vAlign w:val="center"/>
                </w:tcPr>
                <w:p>
                  <w:pPr>
                    <w:pStyle w:val="52"/>
                    <w:autoSpaceDE w:val="0"/>
                    <w:autoSpaceDN w:val="0"/>
                    <w:rPr>
                      <w:color w:val="auto"/>
                      <w:lang w:eastAsia="en-US"/>
                    </w:rPr>
                  </w:pPr>
                  <w:r>
                    <w:rPr>
                      <w:rFonts w:hint="eastAsia"/>
                      <w:color w:val="auto"/>
                    </w:rPr>
                    <w:t>60</w:t>
                  </w:r>
                </w:p>
              </w:tc>
              <w:tc>
                <w:tcPr>
                  <w:tcW w:w="653" w:type="pct"/>
                  <w:vAlign w:val="center"/>
                </w:tcPr>
                <w:p>
                  <w:pPr>
                    <w:pStyle w:val="52"/>
                    <w:autoSpaceDE w:val="0"/>
                    <w:autoSpaceDN w:val="0"/>
                    <w:rPr>
                      <w:color w:val="auto"/>
                      <w:lang w:eastAsia="en-US"/>
                    </w:rPr>
                  </w:pPr>
                  <w:r>
                    <w:rPr>
                      <w:rFonts w:hint="eastAsia"/>
                      <w:color w:val="auto"/>
                    </w:rPr>
                    <w:t>50</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8" w:hRule="atLeast"/>
              </w:trPr>
              <w:tc>
                <w:tcPr>
                  <w:tcW w:w="549" w:type="pct"/>
                  <w:vMerge w:val="continue"/>
                  <w:vAlign w:val="center"/>
                </w:tcPr>
                <w:p>
                  <w:pPr>
                    <w:pStyle w:val="52"/>
                    <w:autoSpaceDE w:val="0"/>
                    <w:autoSpaceDN w:val="0"/>
                    <w:rPr>
                      <w:color w:val="auto"/>
                      <w:lang w:eastAsia="en-US"/>
                    </w:rPr>
                  </w:pPr>
                </w:p>
              </w:tc>
              <w:tc>
                <w:tcPr>
                  <w:tcW w:w="641" w:type="pct"/>
                  <w:vAlign w:val="center"/>
                </w:tcPr>
                <w:p>
                  <w:pPr>
                    <w:pStyle w:val="52"/>
                    <w:autoSpaceDE w:val="0"/>
                    <w:autoSpaceDN w:val="0"/>
                    <w:rPr>
                      <w:color w:val="auto"/>
                    </w:rPr>
                  </w:pPr>
                  <w:r>
                    <w:rPr>
                      <w:rFonts w:hint="eastAsia"/>
                      <w:color w:val="auto"/>
                    </w:rPr>
                    <w:t>N9何家寨村</w:t>
                  </w:r>
                </w:p>
              </w:tc>
              <w:tc>
                <w:tcPr>
                  <w:tcW w:w="596" w:type="pct"/>
                  <w:vAlign w:val="center"/>
                </w:tcPr>
                <w:p>
                  <w:pPr>
                    <w:pStyle w:val="52"/>
                    <w:autoSpaceDE w:val="0"/>
                    <w:autoSpaceDN w:val="0"/>
                    <w:rPr>
                      <w:color w:val="auto"/>
                    </w:rPr>
                  </w:pPr>
                  <w:r>
                    <w:rPr>
                      <w:rFonts w:hint="eastAsia"/>
                      <w:color w:val="auto"/>
                    </w:rPr>
                    <w:t>50</w:t>
                  </w:r>
                </w:p>
              </w:tc>
              <w:tc>
                <w:tcPr>
                  <w:tcW w:w="598" w:type="pct"/>
                  <w:vAlign w:val="center"/>
                </w:tcPr>
                <w:p>
                  <w:pPr>
                    <w:pStyle w:val="52"/>
                    <w:autoSpaceDE w:val="0"/>
                    <w:autoSpaceDN w:val="0"/>
                    <w:rPr>
                      <w:color w:val="auto"/>
                    </w:rPr>
                  </w:pPr>
                  <w:r>
                    <w:rPr>
                      <w:rFonts w:hint="eastAsia"/>
                      <w:color w:val="auto"/>
                    </w:rPr>
                    <w:t>38</w:t>
                  </w:r>
                </w:p>
              </w:tc>
              <w:tc>
                <w:tcPr>
                  <w:tcW w:w="652" w:type="pct"/>
                  <w:vAlign w:val="center"/>
                </w:tcPr>
                <w:p>
                  <w:pPr>
                    <w:pStyle w:val="52"/>
                    <w:autoSpaceDE w:val="0"/>
                    <w:autoSpaceDN w:val="0"/>
                    <w:rPr>
                      <w:color w:val="auto"/>
                      <w:lang w:eastAsia="en-US"/>
                    </w:rPr>
                  </w:pPr>
                  <w:r>
                    <w:rPr>
                      <w:rFonts w:hint="eastAsia"/>
                      <w:color w:val="auto"/>
                    </w:rPr>
                    <w:t>60</w:t>
                  </w:r>
                </w:p>
              </w:tc>
              <w:tc>
                <w:tcPr>
                  <w:tcW w:w="653" w:type="pct"/>
                  <w:vAlign w:val="center"/>
                </w:tcPr>
                <w:p>
                  <w:pPr>
                    <w:pStyle w:val="52"/>
                    <w:autoSpaceDE w:val="0"/>
                    <w:autoSpaceDN w:val="0"/>
                    <w:rPr>
                      <w:color w:val="auto"/>
                      <w:lang w:eastAsia="en-US"/>
                    </w:rPr>
                  </w:pPr>
                  <w:r>
                    <w:rPr>
                      <w:rFonts w:hint="eastAsia"/>
                      <w:color w:val="auto"/>
                    </w:rPr>
                    <w:t>50</w:t>
                  </w:r>
                </w:p>
              </w:tc>
              <w:tc>
                <w:tcPr>
                  <w:tcW w:w="653" w:type="pct"/>
                  <w:vAlign w:val="center"/>
                </w:tcPr>
                <w:p>
                  <w:pPr>
                    <w:pStyle w:val="52"/>
                    <w:autoSpaceDE w:val="0"/>
                    <w:autoSpaceDN w:val="0"/>
                    <w:rPr>
                      <w:color w:val="auto"/>
                      <w:lang w:eastAsia="en-US"/>
                    </w:rPr>
                  </w:pPr>
                  <w:r>
                    <w:rPr>
                      <w:rFonts w:hint="eastAsia"/>
                      <w:color w:val="auto"/>
                    </w:rPr>
                    <w:t>达标</w:t>
                  </w:r>
                </w:p>
              </w:tc>
              <w:tc>
                <w:tcPr>
                  <w:tcW w:w="653" w:type="pct"/>
                  <w:vAlign w:val="center"/>
                </w:tcPr>
                <w:p>
                  <w:pPr>
                    <w:pStyle w:val="52"/>
                    <w:autoSpaceDE w:val="0"/>
                    <w:autoSpaceDN w:val="0"/>
                    <w:rPr>
                      <w:color w:val="auto"/>
                      <w:lang w:eastAsia="en-US"/>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1" w:hRule="atLeast"/>
              </w:trPr>
              <w:tc>
                <w:tcPr>
                  <w:tcW w:w="549" w:type="pct"/>
                  <w:vMerge w:val="restart"/>
                  <w:vAlign w:val="center"/>
                </w:tcPr>
                <w:p>
                  <w:pPr>
                    <w:pStyle w:val="52"/>
                    <w:autoSpaceDE w:val="0"/>
                    <w:autoSpaceDN w:val="0"/>
                    <w:rPr>
                      <w:color w:val="auto"/>
                      <w:lang w:eastAsia="en-US"/>
                    </w:rPr>
                  </w:pPr>
                  <w:r>
                    <w:rPr>
                      <w:rFonts w:hint="eastAsia"/>
                      <w:color w:val="auto"/>
                    </w:rPr>
                    <w:t>2024年05月30日</w:t>
                  </w:r>
                </w:p>
              </w:tc>
              <w:tc>
                <w:tcPr>
                  <w:tcW w:w="641" w:type="pct"/>
                  <w:vAlign w:val="center"/>
                </w:tcPr>
                <w:p>
                  <w:pPr>
                    <w:pStyle w:val="52"/>
                    <w:autoSpaceDE w:val="0"/>
                    <w:autoSpaceDN w:val="0"/>
                    <w:rPr>
                      <w:color w:val="auto"/>
                    </w:rPr>
                  </w:pPr>
                  <w:r>
                    <w:rPr>
                      <w:rFonts w:hint="eastAsia"/>
                      <w:color w:val="auto"/>
                    </w:rPr>
                    <w:t>N6高新区第五高级中学</w:t>
                  </w:r>
                </w:p>
              </w:tc>
              <w:tc>
                <w:tcPr>
                  <w:tcW w:w="596" w:type="pct"/>
                  <w:vAlign w:val="center"/>
                </w:tcPr>
                <w:p>
                  <w:pPr>
                    <w:pStyle w:val="52"/>
                    <w:autoSpaceDE w:val="0"/>
                    <w:autoSpaceDN w:val="0"/>
                    <w:rPr>
                      <w:color w:val="auto"/>
                    </w:rPr>
                  </w:pPr>
                  <w:r>
                    <w:rPr>
                      <w:rFonts w:hint="eastAsia"/>
                      <w:color w:val="auto"/>
                    </w:rPr>
                    <w:t>53</w:t>
                  </w:r>
                </w:p>
              </w:tc>
              <w:tc>
                <w:tcPr>
                  <w:tcW w:w="598" w:type="pct"/>
                  <w:vAlign w:val="center"/>
                </w:tcPr>
                <w:p>
                  <w:pPr>
                    <w:pStyle w:val="52"/>
                    <w:autoSpaceDE w:val="0"/>
                    <w:autoSpaceDN w:val="0"/>
                    <w:rPr>
                      <w:color w:val="auto"/>
                    </w:rPr>
                  </w:pPr>
                  <w:r>
                    <w:rPr>
                      <w:rFonts w:hint="eastAsia"/>
                      <w:color w:val="auto"/>
                    </w:rPr>
                    <w:t>44</w:t>
                  </w:r>
                </w:p>
              </w:tc>
              <w:tc>
                <w:tcPr>
                  <w:tcW w:w="652" w:type="pct"/>
                  <w:vAlign w:val="center"/>
                </w:tcPr>
                <w:p>
                  <w:pPr>
                    <w:pStyle w:val="52"/>
                    <w:autoSpaceDE w:val="0"/>
                    <w:autoSpaceDN w:val="0"/>
                    <w:rPr>
                      <w:color w:val="auto"/>
                    </w:rPr>
                  </w:pPr>
                  <w:r>
                    <w:rPr>
                      <w:rFonts w:hint="eastAsia"/>
                      <w:color w:val="auto"/>
                    </w:rPr>
                    <w:t>60</w:t>
                  </w:r>
                </w:p>
              </w:tc>
              <w:tc>
                <w:tcPr>
                  <w:tcW w:w="653" w:type="pct"/>
                  <w:vAlign w:val="center"/>
                </w:tcPr>
                <w:p>
                  <w:pPr>
                    <w:pStyle w:val="52"/>
                    <w:autoSpaceDE w:val="0"/>
                    <w:autoSpaceDN w:val="0"/>
                    <w:rPr>
                      <w:color w:val="auto"/>
                    </w:rPr>
                  </w:pPr>
                  <w:r>
                    <w:rPr>
                      <w:rFonts w:hint="eastAsia"/>
                      <w:color w:val="auto"/>
                    </w:rPr>
                    <w:t>50</w:t>
                  </w:r>
                </w:p>
              </w:tc>
              <w:tc>
                <w:tcPr>
                  <w:tcW w:w="653" w:type="pct"/>
                  <w:vAlign w:val="center"/>
                </w:tcPr>
                <w:p>
                  <w:pPr>
                    <w:pStyle w:val="52"/>
                    <w:autoSpaceDE w:val="0"/>
                    <w:autoSpaceDN w:val="0"/>
                    <w:rPr>
                      <w:color w:val="auto"/>
                    </w:rPr>
                  </w:pPr>
                  <w:r>
                    <w:rPr>
                      <w:rFonts w:hint="eastAsia"/>
                      <w:color w:val="auto"/>
                    </w:rPr>
                    <w:t>达标</w:t>
                  </w:r>
                </w:p>
              </w:tc>
              <w:tc>
                <w:tcPr>
                  <w:tcW w:w="653" w:type="pct"/>
                  <w:vAlign w:val="center"/>
                </w:tcPr>
                <w:p>
                  <w:pPr>
                    <w:pStyle w:val="52"/>
                    <w:autoSpaceDE w:val="0"/>
                    <w:autoSpaceDN w:val="0"/>
                    <w:rPr>
                      <w:color w:val="auto"/>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1" w:hRule="atLeast"/>
              </w:trPr>
              <w:tc>
                <w:tcPr>
                  <w:tcW w:w="549" w:type="pct"/>
                  <w:vMerge w:val="continue"/>
                  <w:vAlign w:val="center"/>
                </w:tcPr>
                <w:p>
                  <w:pPr>
                    <w:pStyle w:val="52"/>
                    <w:autoSpaceDE w:val="0"/>
                    <w:autoSpaceDN w:val="0"/>
                    <w:rPr>
                      <w:color w:val="auto"/>
                    </w:rPr>
                  </w:pPr>
                </w:p>
              </w:tc>
              <w:tc>
                <w:tcPr>
                  <w:tcW w:w="641" w:type="pct"/>
                  <w:vAlign w:val="center"/>
                </w:tcPr>
                <w:p>
                  <w:pPr>
                    <w:pStyle w:val="52"/>
                    <w:autoSpaceDE w:val="0"/>
                    <w:autoSpaceDN w:val="0"/>
                    <w:rPr>
                      <w:color w:val="auto"/>
                    </w:rPr>
                  </w:pPr>
                  <w:r>
                    <w:rPr>
                      <w:rFonts w:hint="eastAsia"/>
                      <w:color w:val="auto"/>
                    </w:rPr>
                    <w:t>N7集贤镇东村</w:t>
                  </w:r>
                </w:p>
              </w:tc>
              <w:tc>
                <w:tcPr>
                  <w:tcW w:w="596" w:type="pct"/>
                  <w:vAlign w:val="center"/>
                </w:tcPr>
                <w:p>
                  <w:pPr>
                    <w:pStyle w:val="52"/>
                    <w:autoSpaceDE w:val="0"/>
                    <w:autoSpaceDN w:val="0"/>
                    <w:rPr>
                      <w:color w:val="auto"/>
                    </w:rPr>
                  </w:pPr>
                  <w:r>
                    <w:rPr>
                      <w:rFonts w:hint="eastAsia"/>
                      <w:color w:val="auto"/>
                    </w:rPr>
                    <w:t>56</w:t>
                  </w:r>
                </w:p>
              </w:tc>
              <w:tc>
                <w:tcPr>
                  <w:tcW w:w="598" w:type="pct"/>
                  <w:vAlign w:val="center"/>
                </w:tcPr>
                <w:p>
                  <w:pPr>
                    <w:pStyle w:val="52"/>
                    <w:autoSpaceDE w:val="0"/>
                    <w:autoSpaceDN w:val="0"/>
                    <w:rPr>
                      <w:color w:val="auto"/>
                    </w:rPr>
                  </w:pPr>
                  <w:r>
                    <w:rPr>
                      <w:rFonts w:hint="eastAsia"/>
                      <w:color w:val="auto"/>
                    </w:rPr>
                    <w:t>41</w:t>
                  </w:r>
                </w:p>
              </w:tc>
              <w:tc>
                <w:tcPr>
                  <w:tcW w:w="652" w:type="pct"/>
                  <w:vAlign w:val="center"/>
                </w:tcPr>
                <w:p>
                  <w:pPr>
                    <w:pStyle w:val="52"/>
                    <w:autoSpaceDE w:val="0"/>
                    <w:autoSpaceDN w:val="0"/>
                    <w:rPr>
                      <w:color w:val="auto"/>
                    </w:rPr>
                  </w:pPr>
                  <w:r>
                    <w:rPr>
                      <w:rFonts w:hint="eastAsia"/>
                      <w:color w:val="auto"/>
                    </w:rPr>
                    <w:t>60</w:t>
                  </w:r>
                </w:p>
              </w:tc>
              <w:tc>
                <w:tcPr>
                  <w:tcW w:w="653" w:type="pct"/>
                  <w:vAlign w:val="center"/>
                </w:tcPr>
                <w:p>
                  <w:pPr>
                    <w:pStyle w:val="52"/>
                    <w:autoSpaceDE w:val="0"/>
                    <w:autoSpaceDN w:val="0"/>
                    <w:rPr>
                      <w:color w:val="auto"/>
                    </w:rPr>
                  </w:pPr>
                  <w:r>
                    <w:rPr>
                      <w:rFonts w:hint="eastAsia"/>
                      <w:color w:val="auto"/>
                    </w:rPr>
                    <w:t>50</w:t>
                  </w:r>
                </w:p>
              </w:tc>
              <w:tc>
                <w:tcPr>
                  <w:tcW w:w="653" w:type="pct"/>
                  <w:vAlign w:val="center"/>
                </w:tcPr>
                <w:p>
                  <w:pPr>
                    <w:pStyle w:val="52"/>
                    <w:autoSpaceDE w:val="0"/>
                    <w:autoSpaceDN w:val="0"/>
                    <w:rPr>
                      <w:color w:val="auto"/>
                    </w:rPr>
                  </w:pPr>
                  <w:r>
                    <w:rPr>
                      <w:rFonts w:hint="eastAsia"/>
                      <w:color w:val="auto"/>
                    </w:rPr>
                    <w:t>达标</w:t>
                  </w:r>
                </w:p>
              </w:tc>
              <w:tc>
                <w:tcPr>
                  <w:tcW w:w="653" w:type="pct"/>
                  <w:vAlign w:val="center"/>
                </w:tcPr>
                <w:p>
                  <w:pPr>
                    <w:pStyle w:val="52"/>
                    <w:autoSpaceDE w:val="0"/>
                    <w:autoSpaceDN w:val="0"/>
                    <w:rPr>
                      <w:color w:val="auto"/>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1" w:hRule="atLeast"/>
              </w:trPr>
              <w:tc>
                <w:tcPr>
                  <w:tcW w:w="549" w:type="pct"/>
                  <w:vMerge w:val="continue"/>
                  <w:vAlign w:val="center"/>
                </w:tcPr>
                <w:p>
                  <w:pPr>
                    <w:pStyle w:val="52"/>
                    <w:autoSpaceDE w:val="0"/>
                    <w:autoSpaceDN w:val="0"/>
                    <w:rPr>
                      <w:color w:val="auto"/>
                    </w:rPr>
                  </w:pPr>
                </w:p>
              </w:tc>
              <w:tc>
                <w:tcPr>
                  <w:tcW w:w="641" w:type="pct"/>
                  <w:vAlign w:val="center"/>
                </w:tcPr>
                <w:p>
                  <w:pPr>
                    <w:pStyle w:val="52"/>
                    <w:autoSpaceDE w:val="0"/>
                    <w:autoSpaceDN w:val="0"/>
                    <w:rPr>
                      <w:color w:val="auto"/>
                    </w:rPr>
                  </w:pPr>
                  <w:r>
                    <w:rPr>
                      <w:rFonts w:hint="eastAsia"/>
                      <w:color w:val="auto"/>
                    </w:rPr>
                    <w:t>N8耿西村</w:t>
                  </w:r>
                </w:p>
              </w:tc>
              <w:tc>
                <w:tcPr>
                  <w:tcW w:w="596" w:type="pct"/>
                  <w:vAlign w:val="center"/>
                </w:tcPr>
                <w:p>
                  <w:pPr>
                    <w:pStyle w:val="52"/>
                    <w:autoSpaceDE w:val="0"/>
                    <w:autoSpaceDN w:val="0"/>
                    <w:rPr>
                      <w:color w:val="auto"/>
                    </w:rPr>
                  </w:pPr>
                  <w:r>
                    <w:rPr>
                      <w:rFonts w:hint="eastAsia"/>
                      <w:color w:val="auto"/>
                    </w:rPr>
                    <w:t>54</w:t>
                  </w:r>
                </w:p>
              </w:tc>
              <w:tc>
                <w:tcPr>
                  <w:tcW w:w="598" w:type="pct"/>
                  <w:vAlign w:val="center"/>
                </w:tcPr>
                <w:p>
                  <w:pPr>
                    <w:pStyle w:val="52"/>
                    <w:autoSpaceDE w:val="0"/>
                    <w:autoSpaceDN w:val="0"/>
                    <w:rPr>
                      <w:color w:val="auto"/>
                    </w:rPr>
                  </w:pPr>
                  <w:r>
                    <w:rPr>
                      <w:rFonts w:hint="eastAsia"/>
                      <w:color w:val="auto"/>
                    </w:rPr>
                    <w:t>41</w:t>
                  </w:r>
                </w:p>
              </w:tc>
              <w:tc>
                <w:tcPr>
                  <w:tcW w:w="652" w:type="pct"/>
                  <w:vAlign w:val="center"/>
                </w:tcPr>
                <w:p>
                  <w:pPr>
                    <w:pStyle w:val="52"/>
                    <w:autoSpaceDE w:val="0"/>
                    <w:autoSpaceDN w:val="0"/>
                    <w:rPr>
                      <w:color w:val="auto"/>
                    </w:rPr>
                  </w:pPr>
                  <w:r>
                    <w:rPr>
                      <w:rFonts w:hint="eastAsia"/>
                      <w:color w:val="auto"/>
                    </w:rPr>
                    <w:t>60</w:t>
                  </w:r>
                </w:p>
              </w:tc>
              <w:tc>
                <w:tcPr>
                  <w:tcW w:w="653" w:type="pct"/>
                  <w:vAlign w:val="center"/>
                </w:tcPr>
                <w:p>
                  <w:pPr>
                    <w:pStyle w:val="52"/>
                    <w:autoSpaceDE w:val="0"/>
                    <w:autoSpaceDN w:val="0"/>
                    <w:rPr>
                      <w:color w:val="auto"/>
                    </w:rPr>
                  </w:pPr>
                  <w:r>
                    <w:rPr>
                      <w:rFonts w:hint="eastAsia"/>
                      <w:color w:val="auto"/>
                    </w:rPr>
                    <w:t>50</w:t>
                  </w:r>
                </w:p>
              </w:tc>
              <w:tc>
                <w:tcPr>
                  <w:tcW w:w="653" w:type="pct"/>
                  <w:vAlign w:val="center"/>
                </w:tcPr>
                <w:p>
                  <w:pPr>
                    <w:pStyle w:val="52"/>
                    <w:autoSpaceDE w:val="0"/>
                    <w:autoSpaceDN w:val="0"/>
                    <w:rPr>
                      <w:color w:val="auto"/>
                    </w:rPr>
                  </w:pPr>
                  <w:r>
                    <w:rPr>
                      <w:rFonts w:hint="eastAsia"/>
                      <w:color w:val="auto"/>
                    </w:rPr>
                    <w:t>达标</w:t>
                  </w:r>
                </w:p>
              </w:tc>
              <w:tc>
                <w:tcPr>
                  <w:tcW w:w="653" w:type="pct"/>
                  <w:vAlign w:val="center"/>
                </w:tcPr>
                <w:p>
                  <w:pPr>
                    <w:pStyle w:val="52"/>
                    <w:autoSpaceDE w:val="0"/>
                    <w:autoSpaceDN w:val="0"/>
                    <w:rPr>
                      <w:color w:val="auto"/>
                    </w:rPr>
                  </w:pPr>
                  <w:r>
                    <w:rPr>
                      <w:rFonts w:hint="eastAsia"/>
                      <w:color w:val="auto"/>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1" w:hRule="atLeast"/>
              </w:trPr>
              <w:tc>
                <w:tcPr>
                  <w:tcW w:w="549" w:type="pct"/>
                  <w:vMerge w:val="continue"/>
                  <w:vAlign w:val="center"/>
                </w:tcPr>
                <w:p>
                  <w:pPr>
                    <w:pStyle w:val="52"/>
                    <w:autoSpaceDE w:val="0"/>
                    <w:autoSpaceDN w:val="0"/>
                    <w:rPr>
                      <w:color w:val="auto"/>
                    </w:rPr>
                  </w:pPr>
                </w:p>
              </w:tc>
              <w:tc>
                <w:tcPr>
                  <w:tcW w:w="641" w:type="pct"/>
                  <w:vAlign w:val="center"/>
                </w:tcPr>
                <w:p>
                  <w:pPr>
                    <w:pStyle w:val="52"/>
                    <w:autoSpaceDE w:val="0"/>
                    <w:autoSpaceDN w:val="0"/>
                    <w:rPr>
                      <w:color w:val="auto"/>
                    </w:rPr>
                  </w:pPr>
                  <w:r>
                    <w:rPr>
                      <w:rFonts w:hint="eastAsia"/>
                      <w:color w:val="auto"/>
                    </w:rPr>
                    <w:t>N9何家寨村</w:t>
                  </w:r>
                </w:p>
              </w:tc>
              <w:tc>
                <w:tcPr>
                  <w:tcW w:w="596" w:type="pct"/>
                  <w:vAlign w:val="center"/>
                </w:tcPr>
                <w:p>
                  <w:pPr>
                    <w:pStyle w:val="52"/>
                    <w:autoSpaceDE w:val="0"/>
                    <w:autoSpaceDN w:val="0"/>
                    <w:rPr>
                      <w:color w:val="auto"/>
                    </w:rPr>
                  </w:pPr>
                  <w:r>
                    <w:rPr>
                      <w:rFonts w:hint="eastAsia"/>
                      <w:color w:val="auto"/>
                    </w:rPr>
                    <w:t>50</w:t>
                  </w:r>
                </w:p>
              </w:tc>
              <w:tc>
                <w:tcPr>
                  <w:tcW w:w="598" w:type="pct"/>
                  <w:vAlign w:val="center"/>
                </w:tcPr>
                <w:p>
                  <w:pPr>
                    <w:pStyle w:val="52"/>
                    <w:autoSpaceDE w:val="0"/>
                    <w:autoSpaceDN w:val="0"/>
                    <w:rPr>
                      <w:color w:val="auto"/>
                    </w:rPr>
                  </w:pPr>
                  <w:r>
                    <w:rPr>
                      <w:rFonts w:hint="eastAsia"/>
                      <w:color w:val="auto"/>
                    </w:rPr>
                    <w:t>40</w:t>
                  </w:r>
                </w:p>
              </w:tc>
              <w:tc>
                <w:tcPr>
                  <w:tcW w:w="652" w:type="pct"/>
                  <w:vAlign w:val="center"/>
                </w:tcPr>
                <w:p>
                  <w:pPr>
                    <w:pStyle w:val="52"/>
                    <w:autoSpaceDE w:val="0"/>
                    <w:autoSpaceDN w:val="0"/>
                    <w:rPr>
                      <w:color w:val="auto"/>
                    </w:rPr>
                  </w:pPr>
                  <w:r>
                    <w:rPr>
                      <w:rFonts w:hint="eastAsia"/>
                      <w:color w:val="auto"/>
                    </w:rPr>
                    <w:t>60</w:t>
                  </w:r>
                </w:p>
              </w:tc>
              <w:tc>
                <w:tcPr>
                  <w:tcW w:w="653" w:type="pct"/>
                  <w:vAlign w:val="center"/>
                </w:tcPr>
                <w:p>
                  <w:pPr>
                    <w:pStyle w:val="52"/>
                    <w:autoSpaceDE w:val="0"/>
                    <w:autoSpaceDN w:val="0"/>
                    <w:rPr>
                      <w:color w:val="auto"/>
                    </w:rPr>
                  </w:pPr>
                  <w:r>
                    <w:rPr>
                      <w:rFonts w:hint="eastAsia"/>
                      <w:color w:val="auto"/>
                    </w:rPr>
                    <w:t>50</w:t>
                  </w:r>
                </w:p>
              </w:tc>
              <w:tc>
                <w:tcPr>
                  <w:tcW w:w="653" w:type="pct"/>
                  <w:vAlign w:val="center"/>
                </w:tcPr>
                <w:p>
                  <w:pPr>
                    <w:pStyle w:val="52"/>
                    <w:autoSpaceDE w:val="0"/>
                    <w:autoSpaceDN w:val="0"/>
                    <w:rPr>
                      <w:color w:val="auto"/>
                    </w:rPr>
                  </w:pPr>
                  <w:r>
                    <w:rPr>
                      <w:rFonts w:hint="eastAsia"/>
                      <w:color w:val="auto"/>
                    </w:rPr>
                    <w:t>达标</w:t>
                  </w:r>
                </w:p>
              </w:tc>
              <w:tc>
                <w:tcPr>
                  <w:tcW w:w="653" w:type="pct"/>
                  <w:vAlign w:val="center"/>
                </w:tcPr>
                <w:p>
                  <w:pPr>
                    <w:pStyle w:val="52"/>
                    <w:autoSpaceDE w:val="0"/>
                    <w:autoSpaceDN w:val="0"/>
                    <w:rPr>
                      <w:color w:val="auto"/>
                    </w:rPr>
                  </w:pPr>
                  <w:r>
                    <w:rPr>
                      <w:rFonts w:hint="eastAsia"/>
                      <w:color w:val="auto"/>
                    </w:rPr>
                    <w:t>达标</w:t>
                  </w:r>
                </w:p>
              </w:tc>
            </w:tr>
          </w:tbl>
          <w:p>
            <w:pPr>
              <w:adjustRightInd w:val="0"/>
              <w:snapToGrid w:val="0"/>
              <w:spacing w:line="360" w:lineRule="auto"/>
              <w:ind w:firstLine="480" w:firstLineChars="200"/>
              <w:rPr>
                <w:color w:val="auto"/>
                <w:kern w:val="0"/>
                <w:sz w:val="24"/>
              </w:rPr>
            </w:pPr>
            <w:r>
              <w:rPr>
                <w:color w:val="auto"/>
                <w:kern w:val="0"/>
                <w:sz w:val="24"/>
              </w:rPr>
              <w:t>由上表数据可知，</w:t>
            </w:r>
            <w:r>
              <w:rPr>
                <w:rFonts w:hint="eastAsia"/>
                <w:color w:val="auto"/>
                <w:kern w:val="0"/>
                <w:sz w:val="24"/>
              </w:rPr>
              <w:t>项目</w:t>
            </w:r>
            <w:r>
              <w:rPr>
                <w:color w:val="auto"/>
                <w:kern w:val="0"/>
                <w:sz w:val="24"/>
              </w:rPr>
              <w:t>运营期厂界噪声执行《</w:t>
            </w:r>
            <w:r>
              <w:rPr>
                <w:rFonts w:hint="eastAsia"/>
                <w:color w:val="auto"/>
                <w:kern w:val="0"/>
                <w:sz w:val="24"/>
              </w:rPr>
              <w:t>工业企业厂界环境噪声排放标准</w:t>
            </w:r>
            <w:r>
              <w:rPr>
                <w:color w:val="auto"/>
                <w:kern w:val="0"/>
                <w:sz w:val="24"/>
              </w:rPr>
              <w:t>》（</w:t>
            </w:r>
            <w:r>
              <w:rPr>
                <w:rFonts w:hint="eastAsia"/>
                <w:color w:val="auto"/>
                <w:kern w:val="0"/>
                <w:sz w:val="24"/>
              </w:rPr>
              <w:t>GB 12348—2008</w:t>
            </w:r>
            <w:r>
              <w:rPr>
                <w:color w:val="auto"/>
                <w:kern w:val="0"/>
                <w:sz w:val="24"/>
              </w:rPr>
              <w:t>）</w:t>
            </w:r>
            <w:r>
              <w:rPr>
                <w:rFonts w:hint="eastAsia"/>
                <w:color w:val="auto"/>
                <w:kern w:val="0"/>
                <w:sz w:val="24"/>
              </w:rPr>
              <w:t>表1</w:t>
            </w:r>
            <w:r>
              <w:rPr>
                <w:color w:val="auto"/>
                <w:kern w:val="0"/>
                <w:sz w:val="24"/>
              </w:rPr>
              <w:t>中</w:t>
            </w:r>
            <w:r>
              <w:rPr>
                <w:rFonts w:hint="eastAsia"/>
                <w:color w:val="auto"/>
                <w:kern w:val="0"/>
                <w:sz w:val="24"/>
              </w:rPr>
              <w:t>3类功能区的排放限制，</w:t>
            </w:r>
            <w:r>
              <w:rPr>
                <w:color w:val="auto"/>
                <w:kern w:val="0"/>
                <w:sz w:val="24"/>
              </w:rPr>
              <w:t>周边敏感点昼、夜间声环境均满足《声环境质量标准》（GB3096-2008）中2类标准值</w:t>
            </w:r>
            <w:r>
              <w:rPr>
                <w:rFonts w:hint="eastAsia" w:ascii="宋体" w:hAnsi="宋体" w:cs="宋体"/>
                <w:color w:val="auto"/>
                <w:kern w:val="0"/>
                <w:sz w:val="24"/>
              </w:rPr>
              <w:t>。</w:t>
            </w:r>
          </w:p>
          <w:p>
            <w:pPr>
              <w:numPr>
                <w:ilvl w:val="0"/>
                <w:numId w:val="0"/>
              </w:numPr>
              <w:adjustRightInd w:val="0"/>
              <w:snapToGrid w:val="0"/>
              <w:spacing w:line="360" w:lineRule="auto"/>
              <w:ind w:firstLine="482" w:firstLineChars="0"/>
              <w:rPr>
                <w:b/>
                <w:bCs/>
                <w:color w:val="auto"/>
                <w:kern w:val="0"/>
                <w:sz w:val="24"/>
              </w:rPr>
            </w:pPr>
            <w:r>
              <w:rPr>
                <w:rFonts w:hint="eastAsia" w:cs="Times New Roman"/>
                <w:b/>
                <w:bCs/>
                <w:color w:val="auto"/>
                <w:kern w:val="0"/>
                <w:sz w:val="24"/>
                <w:szCs w:val="24"/>
                <w:lang w:val="en-US" w:eastAsia="zh-CN" w:bidi="ar-SA"/>
              </w:rPr>
              <w:t>3</w:t>
            </w:r>
            <w:r>
              <w:rPr>
                <w:rFonts w:ascii="Times New Roman" w:hAnsi="Times New Roman" w:eastAsia="宋体" w:cs="Times New Roman"/>
                <w:b/>
                <w:bCs/>
                <w:color w:val="auto"/>
                <w:kern w:val="0"/>
                <w:sz w:val="24"/>
                <w:szCs w:val="24"/>
                <w:lang w:val="en-US" w:eastAsia="zh-CN" w:bidi="ar-SA"/>
              </w:rPr>
              <w:t>、</w:t>
            </w:r>
            <w:r>
              <w:rPr>
                <w:b/>
                <w:bCs/>
                <w:color w:val="auto"/>
                <w:kern w:val="0"/>
                <w:sz w:val="24"/>
              </w:rPr>
              <w:t>土壤环境质量现状</w:t>
            </w:r>
          </w:p>
          <w:p>
            <w:pPr>
              <w:adjustRightInd w:val="0"/>
              <w:snapToGrid w:val="0"/>
              <w:spacing w:line="360" w:lineRule="auto"/>
              <w:ind w:firstLine="480" w:firstLineChars="200"/>
              <w:rPr>
                <w:bCs/>
                <w:color w:val="auto"/>
                <w:sz w:val="24"/>
              </w:rPr>
            </w:pPr>
            <w:r>
              <w:rPr>
                <w:rFonts w:hint="eastAsia"/>
                <w:bCs/>
                <w:color w:val="auto"/>
                <w:sz w:val="24"/>
                <w:lang w:val="en-US" w:eastAsia="zh-CN"/>
              </w:rPr>
              <w:t>本</w:t>
            </w:r>
            <w:r>
              <w:rPr>
                <w:rFonts w:hint="eastAsia"/>
                <w:bCs/>
                <w:color w:val="auto"/>
                <w:sz w:val="24"/>
              </w:rPr>
              <w:t>次土壤环境质量现状引用土壤环境质量现状引用西安比亚迪汽车零部件有限公司《集贤新能源汽车零部件产业园项目环境影响报告书》中对本项目厂址</w:t>
            </w:r>
            <w:r>
              <w:rPr>
                <w:rFonts w:hint="eastAsia"/>
                <w:bCs/>
                <w:color w:val="auto"/>
                <w:sz w:val="24"/>
                <w:lang w:val="en-US" w:eastAsia="zh-CN"/>
              </w:rPr>
              <w:t>东</w:t>
            </w:r>
            <w:r>
              <w:rPr>
                <w:rFonts w:hint="eastAsia"/>
                <w:bCs/>
                <w:color w:val="auto"/>
                <w:sz w:val="24"/>
              </w:rPr>
              <w:t>南侧</w:t>
            </w:r>
            <w:r>
              <w:rPr>
                <w:rFonts w:hint="eastAsia"/>
                <w:bCs/>
                <w:color w:val="auto"/>
                <w:sz w:val="24"/>
                <w:lang w:val="en-US" w:eastAsia="zh-CN"/>
              </w:rPr>
              <w:t>737</w:t>
            </w:r>
            <w:r>
              <w:rPr>
                <w:rFonts w:hint="eastAsia"/>
                <w:bCs/>
                <w:color w:val="auto"/>
                <w:sz w:val="24"/>
              </w:rPr>
              <w:t>m处土壤表层样的监测结果以留作背景值，监测时间为2022年</w:t>
            </w:r>
            <w:r>
              <w:rPr>
                <w:bCs/>
                <w:color w:val="auto"/>
                <w:sz w:val="24"/>
              </w:rPr>
              <w:t>6</w:t>
            </w:r>
            <w:r>
              <w:rPr>
                <w:rFonts w:hint="eastAsia"/>
                <w:bCs/>
                <w:color w:val="auto"/>
                <w:sz w:val="24"/>
              </w:rPr>
              <w:t>月</w:t>
            </w:r>
            <w:r>
              <w:rPr>
                <w:bCs/>
                <w:color w:val="auto"/>
                <w:sz w:val="24"/>
              </w:rPr>
              <w:t>13</w:t>
            </w:r>
            <w:r>
              <w:rPr>
                <w:rFonts w:hint="eastAsia"/>
                <w:bCs/>
                <w:color w:val="auto"/>
                <w:sz w:val="24"/>
              </w:rPr>
              <w:t>日，监测结果见表3-</w:t>
            </w:r>
            <w:r>
              <w:rPr>
                <w:rFonts w:hint="eastAsia"/>
                <w:bCs/>
                <w:color w:val="auto"/>
                <w:sz w:val="24"/>
                <w:lang w:val="en-US" w:eastAsia="zh-CN"/>
              </w:rPr>
              <w:t>5</w:t>
            </w:r>
            <w:r>
              <w:rPr>
                <w:rFonts w:hint="eastAsia"/>
                <w:bCs/>
                <w:color w:val="auto"/>
                <w:sz w:val="24"/>
              </w:rPr>
              <w:t>。</w:t>
            </w:r>
          </w:p>
          <w:p>
            <w:pPr>
              <w:pStyle w:val="17"/>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color w:val="auto"/>
                <w:kern w:val="0"/>
                <w:sz w:val="21"/>
                <w:szCs w:val="21"/>
              </w:rPr>
              <w:t>表3-</w:t>
            </w:r>
            <w:r>
              <w:rPr>
                <w:rFonts w:hint="eastAsia" w:ascii="Times New Roman" w:hAnsi="Times New Roman" w:eastAsia="宋体" w:cs="Times New Roman"/>
                <w:b/>
                <w:color w:val="auto"/>
                <w:kern w:val="0"/>
                <w:sz w:val="21"/>
                <w:szCs w:val="21"/>
                <w:lang w:val="en-US" w:eastAsia="zh-CN"/>
              </w:rPr>
              <w:t>5</w:t>
            </w:r>
            <w:r>
              <w:rPr>
                <w:rFonts w:hint="default" w:ascii="Times New Roman" w:hAnsi="Times New Roman" w:eastAsia="宋体" w:cs="Times New Roman"/>
                <w:b/>
                <w:color w:val="auto"/>
                <w:kern w:val="0"/>
                <w:sz w:val="21"/>
                <w:szCs w:val="21"/>
              </w:rPr>
              <w:t xml:space="preserve">  土壤监测结果汇总表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735"/>
              <w:gridCol w:w="1111"/>
              <w:gridCol w:w="1286"/>
              <w:gridCol w:w="20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3" w:type="dxa"/>
                  <w:gridSpan w:val="4"/>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监测指标</w:t>
                  </w:r>
                </w:p>
              </w:tc>
              <w:tc>
                <w:tcPr>
                  <w:tcW w:w="2082" w:type="dxa"/>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监测点位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序号</w:t>
                  </w:r>
                </w:p>
              </w:tc>
              <w:tc>
                <w:tcPr>
                  <w:tcW w:w="2784" w:type="dxa"/>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指标名称</w:t>
                  </w:r>
                </w:p>
              </w:tc>
              <w:tc>
                <w:tcPr>
                  <w:tcW w:w="1128" w:type="dxa"/>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单位</w:t>
                  </w:r>
                </w:p>
              </w:tc>
              <w:tc>
                <w:tcPr>
                  <w:tcW w:w="1306" w:type="dxa"/>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标准</w:t>
                  </w:r>
                </w:p>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限值</w:t>
                  </w:r>
                </w:p>
              </w:tc>
              <w:tc>
                <w:tcPr>
                  <w:tcW w:w="2082" w:type="dxa"/>
                  <w:noWrap w:val="0"/>
                  <w:vAlign w:val="center"/>
                </w:tcPr>
                <w:p>
                  <w:pPr>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 xml:space="preserve">TR6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widowControl/>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1</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无量纲</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镉</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铬（六价）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5.7</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铜</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18000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铅</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汞</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38</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0.391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镍</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900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9</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硝基苯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76</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苯胺</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260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11</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2-氯酚</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2256</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12</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四氯化碳</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ND1.3×10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13</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氯仿</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0.9</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ND1.1×10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14</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1,1-二氯乙烷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1,2-二氯乙烷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ND1.3×10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16</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1,1-二氯乙烯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66</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ND1.0×10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17</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顺-1,2-二氯乙烯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596</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ND1.3×10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反-1,2-二氯乙烯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54</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ND1.4×10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19</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二氯甲烷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616</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ND1.5×10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1,2-二氯丙烷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ND1.1×10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21</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1,1,1,2-四氯乙烷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22</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1,1,2,2-四氯乙烷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6.8</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23</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四氯乙烯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53</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ND1.4×10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24</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1,1,1 -三氯乙烷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840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ND1.3×10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1,1,2 -三氯乙烷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26</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27</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1,2,3 -三氯丙烷</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28</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0.43</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ND1.0×10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29</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ND1.9×10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氯苯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270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31</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1,2-二氯苯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560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ND1.5×10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32</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1,4-二氯苯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ND1.5×10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33</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乙苯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34</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苯乙烯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1290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ND1.1×10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甲苯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1200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ND1.3×10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36</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间二甲苯+对二甲苯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570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37</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邻二甲苯</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640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ND1.2×10</w:t>
                  </w:r>
                  <w:r>
                    <w:rPr>
                      <w:rFonts w:hint="default" w:ascii="Times New Roman" w:hAnsi="Times New Roman" w:eastAsia="宋体" w:cs="Times New Roman"/>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38</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苯并[a]蒽</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39</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苯并[a]芘</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苯并[b]荧蒽</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41</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苯并[k]荧蒽</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151</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42</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䓛</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1293</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widowControl/>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43</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二苯并[a,h]蒽</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44</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茚并[1,2,2-cd]芘</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45</w:t>
                  </w:r>
                </w:p>
              </w:tc>
              <w:tc>
                <w:tcPr>
                  <w:tcW w:w="2784"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石油烃（C</w:t>
                  </w:r>
                  <w:r>
                    <w:rPr>
                      <w:rFonts w:hint="default" w:ascii="Times New Roman" w:hAnsi="Times New Roman" w:eastAsia="宋体" w:cs="Times New Roman"/>
                      <w:color w:val="auto"/>
                      <w:sz w:val="21"/>
                      <w:szCs w:val="21"/>
                      <w:vertAlign w:val="subscript"/>
                    </w:rPr>
                    <w:t>10</w:t>
                  </w: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vertAlign w:val="subscript"/>
                    </w:rPr>
                    <w:t>40</w:t>
                  </w:r>
                  <w:r>
                    <w:rPr>
                      <w:rFonts w:hint="default" w:ascii="Times New Roman" w:hAnsi="Times New Roman" w:eastAsia="宋体" w:cs="Times New Roman"/>
                      <w:color w:val="auto"/>
                      <w:sz w:val="21"/>
                      <w:szCs w:val="21"/>
                    </w:rPr>
                    <w:t>）</w:t>
                  </w:r>
                </w:p>
              </w:tc>
              <w:tc>
                <w:tcPr>
                  <w:tcW w:w="1128"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mg/kg</w:t>
                  </w:r>
                </w:p>
              </w:tc>
              <w:tc>
                <w:tcPr>
                  <w:tcW w:w="1306"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4500</w:t>
                  </w:r>
                </w:p>
              </w:tc>
              <w:tc>
                <w:tcPr>
                  <w:tcW w:w="2082" w:type="dxa"/>
                  <w:noWrap w:val="0"/>
                  <w:vAlign w:val="center"/>
                </w:tcPr>
                <w:p>
                  <w:pPr>
                    <w:pStyle w:val="44"/>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ND6</w:t>
                  </w:r>
                </w:p>
              </w:tc>
            </w:tr>
          </w:tbl>
          <w:p>
            <w:pPr>
              <w:pStyle w:val="17"/>
              <w:ind w:left="0" w:leftChars="0" w:firstLine="480" w:firstLineChars="200"/>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由监测结果可知，各监测点土壤监测项目均符合《土壤环境质量 建设用地土壤污染风险管控标准》（GB36600-2018）中的第二类用地筛选值标准。</w:t>
            </w:r>
          </w:p>
          <w:p>
            <w:pPr>
              <w:numPr>
                <w:ilvl w:val="0"/>
                <w:numId w:val="0"/>
              </w:numPr>
              <w:adjustRightInd w:val="0"/>
              <w:snapToGrid w:val="0"/>
              <w:spacing w:line="360" w:lineRule="auto"/>
              <w:ind w:firstLine="482" w:firstLineChars="0"/>
              <w:rPr>
                <w:rFonts w:hint="eastAsia" w:cs="Times New Roman"/>
                <w:b/>
                <w:bCs/>
                <w:color w:val="auto"/>
                <w:kern w:val="0"/>
                <w:sz w:val="24"/>
                <w:szCs w:val="24"/>
                <w:lang w:val="en-US" w:eastAsia="zh-CN" w:bidi="ar-SA"/>
              </w:rPr>
            </w:pPr>
            <w:r>
              <w:rPr>
                <w:rFonts w:hint="eastAsia" w:cs="Times New Roman"/>
                <w:b/>
                <w:bCs/>
                <w:color w:val="auto"/>
                <w:kern w:val="0"/>
                <w:sz w:val="24"/>
                <w:szCs w:val="24"/>
                <w:lang w:val="en-US" w:eastAsia="zh-CN" w:bidi="ar-SA"/>
              </w:rPr>
              <w:t>4、地下水环境质量现状</w:t>
            </w:r>
          </w:p>
          <w:p>
            <w:pPr>
              <w:pStyle w:val="17"/>
              <w:ind w:left="0" w:leftChars="0" w:firstLine="480" w:firstLineChars="200"/>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由于项目存在物料、生产设施在事故工况下泄露污染表层土壤和地下水的污染途径，因此开展土壤和地下水现状监测以留作背景值，本次地下水环境质量现状引用西安比亚迪汽车零部件有限公司《集贤新能源汽车零部件产业园项目环境影响报告书》中对距本项目厂址南侧</w:t>
            </w:r>
            <w:r>
              <w:rPr>
                <w:rFonts w:hint="eastAsia" w:eastAsia="宋体" w:cs="Times New Roman"/>
                <w:bCs/>
                <w:color w:val="auto"/>
                <w:kern w:val="2"/>
                <w:sz w:val="24"/>
                <w:szCs w:val="24"/>
                <w:lang w:val="en-US" w:eastAsia="zh-CN" w:bidi="ar-SA"/>
              </w:rPr>
              <w:t>1358</w:t>
            </w:r>
            <w:r>
              <w:rPr>
                <w:rFonts w:hint="eastAsia" w:ascii="Times New Roman" w:hAnsi="Times New Roman" w:eastAsia="宋体" w:cs="Times New Roman"/>
                <w:bCs/>
                <w:color w:val="auto"/>
                <w:kern w:val="2"/>
                <w:sz w:val="24"/>
                <w:szCs w:val="24"/>
                <w:lang w:val="en-US" w:eastAsia="zh-CN" w:bidi="ar-SA"/>
              </w:rPr>
              <w:t>m处的水质监测结果，监测时间为2022年6月</w:t>
            </w:r>
            <w:r>
              <w:rPr>
                <w:rFonts w:hint="eastAsia" w:eastAsia="宋体" w:cs="Times New Roman"/>
                <w:bCs/>
                <w:color w:val="auto"/>
                <w:kern w:val="2"/>
                <w:sz w:val="24"/>
                <w:szCs w:val="24"/>
                <w:lang w:val="en-US" w:eastAsia="zh-CN" w:bidi="ar-SA"/>
              </w:rPr>
              <w:t>1</w:t>
            </w:r>
            <w:r>
              <w:rPr>
                <w:rFonts w:hint="eastAsia" w:ascii="Times New Roman" w:hAnsi="Times New Roman" w:eastAsia="宋体" w:cs="Times New Roman"/>
                <w:bCs/>
                <w:color w:val="auto"/>
                <w:kern w:val="2"/>
                <w:sz w:val="24"/>
                <w:szCs w:val="24"/>
                <w:lang w:val="en-US" w:eastAsia="zh-CN" w:bidi="ar-SA"/>
              </w:rPr>
              <w:t>4日，地下水现状监测结果见表3-6。</w:t>
            </w:r>
          </w:p>
          <w:p>
            <w:pPr>
              <w:pStyle w:val="17"/>
              <w:ind w:left="0" w:leftChars="0"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color w:val="auto"/>
                <w:kern w:val="0"/>
                <w:sz w:val="21"/>
                <w:szCs w:val="21"/>
              </w:rPr>
              <w:t>表3-</w:t>
            </w:r>
            <w:r>
              <w:rPr>
                <w:rFonts w:hint="eastAsia" w:eastAsia="宋体" w:cs="Times New Roman"/>
                <w:b/>
                <w:color w:val="auto"/>
                <w:kern w:val="0"/>
                <w:sz w:val="21"/>
                <w:szCs w:val="21"/>
                <w:lang w:val="en-US" w:eastAsia="zh-CN"/>
              </w:rPr>
              <w:t>6</w:t>
            </w:r>
            <w:r>
              <w:rPr>
                <w:rFonts w:hint="default" w:ascii="Times New Roman" w:hAnsi="Times New Roman" w:eastAsia="宋体" w:cs="Times New Roman"/>
                <w:b/>
                <w:color w:val="auto"/>
                <w:kern w:val="0"/>
                <w:sz w:val="21"/>
                <w:szCs w:val="21"/>
              </w:rPr>
              <w:t xml:space="preserve">  </w:t>
            </w:r>
            <w:r>
              <w:rPr>
                <w:rFonts w:hint="eastAsia" w:eastAsia="宋体" w:cs="Times New Roman"/>
                <w:b/>
                <w:color w:val="auto"/>
                <w:kern w:val="0"/>
                <w:sz w:val="21"/>
                <w:szCs w:val="21"/>
                <w:lang w:val="en-US" w:eastAsia="zh-CN"/>
              </w:rPr>
              <w:t>地下水</w:t>
            </w:r>
            <w:r>
              <w:rPr>
                <w:rFonts w:hint="default" w:ascii="Times New Roman" w:hAnsi="Times New Roman" w:eastAsia="宋体" w:cs="Times New Roman"/>
                <w:b/>
                <w:color w:val="auto"/>
                <w:kern w:val="0"/>
                <w:sz w:val="21"/>
                <w:szCs w:val="21"/>
              </w:rPr>
              <w:t>监测结果汇总表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350"/>
              <w:gridCol w:w="38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6" w:hRule="atLeast"/>
                <w:tblHeader/>
                <w:jc w:val="center"/>
              </w:trPr>
              <w:tc>
                <w:tcPr>
                  <w:tcW w:w="512" w:type="pct"/>
                  <w:vMerge w:val="restart"/>
                  <w:noWrap w:val="0"/>
                  <w:vAlign w:val="center"/>
                </w:tcPr>
                <w:p>
                  <w:pPr>
                    <w:pStyle w:val="53"/>
                    <w:rPr>
                      <w:b/>
                      <w:color w:val="auto"/>
                    </w:rPr>
                  </w:pPr>
                  <w:r>
                    <w:rPr>
                      <w:b/>
                      <w:color w:val="auto"/>
                    </w:rPr>
                    <w:t>序号</w:t>
                  </w:r>
                </w:p>
              </w:tc>
              <w:tc>
                <w:tcPr>
                  <w:tcW w:w="2100" w:type="pct"/>
                  <w:vMerge w:val="restart"/>
                  <w:noWrap w:val="0"/>
                  <w:vAlign w:val="center"/>
                </w:tcPr>
                <w:p>
                  <w:pPr>
                    <w:pStyle w:val="53"/>
                    <w:rPr>
                      <w:b/>
                      <w:color w:val="auto"/>
                    </w:rPr>
                  </w:pPr>
                  <w:r>
                    <w:rPr>
                      <w:b/>
                      <w:color w:val="auto"/>
                    </w:rPr>
                    <w:t>测试项目</w:t>
                  </w:r>
                </w:p>
              </w:tc>
              <w:tc>
                <w:tcPr>
                  <w:tcW w:w="2386" w:type="pct"/>
                  <w:noWrap w:val="0"/>
                  <w:vAlign w:val="center"/>
                </w:tcPr>
                <w:p>
                  <w:pPr>
                    <w:pStyle w:val="53"/>
                    <w:rPr>
                      <w:b/>
                      <w:color w:val="auto"/>
                    </w:rPr>
                  </w:pPr>
                  <w:r>
                    <w:rPr>
                      <w:b/>
                      <w:color w:val="auto"/>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8" w:hRule="atLeast"/>
                <w:tblHeader/>
                <w:jc w:val="center"/>
              </w:trPr>
              <w:tc>
                <w:tcPr>
                  <w:tcW w:w="512" w:type="pct"/>
                  <w:vMerge w:val="continue"/>
                  <w:noWrap w:val="0"/>
                  <w:vAlign w:val="center"/>
                </w:tcPr>
                <w:p>
                  <w:pPr>
                    <w:pStyle w:val="53"/>
                    <w:rPr>
                      <w:b/>
                      <w:color w:val="auto"/>
                    </w:rPr>
                  </w:pPr>
                </w:p>
              </w:tc>
              <w:tc>
                <w:tcPr>
                  <w:tcW w:w="2100" w:type="pct"/>
                  <w:vMerge w:val="continue"/>
                  <w:noWrap w:val="0"/>
                  <w:vAlign w:val="center"/>
                </w:tcPr>
                <w:p>
                  <w:pPr>
                    <w:pStyle w:val="53"/>
                    <w:rPr>
                      <w:b/>
                      <w:color w:val="auto"/>
                    </w:rPr>
                  </w:pPr>
                </w:p>
              </w:tc>
              <w:tc>
                <w:tcPr>
                  <w:tcW w:w="2386" w:type="pct"/>
                  <w:noWrap w:val="0"/>
                  <w:vAlign w:val="center"/>
                </w:tcPr>
                <w:p>
                  <w:pPr>
                    <w:pStyle w:val="53"/>
                    <w:rPr>
                      <w:b/>
                      <w:color w:val="auto"/>
                    </w:rPr>
                  </w:pPr>
                  <w:r>
                    <w:rPr>
                      <w:b/>
                      <w:color w:val="auto"/>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w:t>
                  </w:r>
                </w:p>
              </w:tc>
              <w:tc>
                <w:tcPr>
                  <w:tcW w:w="2100" w:type="pct"/>
                  <w:noWrap w:val="0"/>
                  <w:vAlign w:val="center"/>
                </w:tcPr>
                <w:p>
                  <w:pPr>
                    <w:pStyle w:val="53"/>
                    <w:rPr>
                      <w:color w:val="auto"/>
                    </w:rPr>
                  </w:pPr>
                  <w:r>
                    <w:rPr>
                      <w:color w:val="auto"/>
                    </w:rPr>
                    <w:t>pH值</w:t>
                  </w:r>
                </w:p>
              </w:tc>
              <w:tc>
                <w:tcPr>
                  <w:tcW w:w="2386" w:type="pct"/>
                  <w:noWrap w:val="0"/>
                  <w:vAlign w:val="center"/>
                </w:tcPr>
                <w:p>
                  <w:pPr>
                    <w:pStyle w:val="53"/>
                    <w:rPr>
                      <w:color w:val="auto"/>
                    </w:rPr>
                  </w:pPr>
                  <w:r>
                    <w:rPr>
                      <w:color w:val="auto"/>
                    </w:rPr>
                    <w:t>7.</w:t>
                  </w:r>
                  <w:r>
                    <w:rPr>
                      <w:rFonts w:hint="eastAsia"/>
                      <w:color w:val="auto"/>
                    </w:rPr>
                    <w:t>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2</w:t>
                  </w:r>
                </w:p>
              </w:tc>
              <w:tc>
                <w:tcPr>
                  <w:tcW w:w="2100" w:type="pct"/>
                  <w:noWrap w:val="0"/>
                  <w:vAlign w:val="center"/>
                </w:tcPr>
                <w:p>
                  <w:pPr>
                    <w:pStyle w:val="53"/>
                    <w:rPr>
                      <w:color w:val="auto"/>
                    </w:rPr>
                  </w:pPr>
                  <w:r>
                    <w:rPr>
                      <w:color w:val="auto"/>
                    </w:rPr>
                    <w:t>氨氮</w:t>
                  </w:r>
                </w:p>
              </w:tc>
              <w:tc>
                <w:tcPr>
                  <w:tcW w:w="2386" w:type="pct"/>
                  <w:noWrap w:val="0"/>
                  <w:vAlign w:val="center"/>
                </w:tcPr>
                <w:p>
                  <w:pPr>
                    <w:pStyle w:val="53"/>
                    <w:rPr>
                      <w:color w:val="auto"/>
                    </w:rPr>
                  </w:pPr>
                  <w:r>
                    <w:rPr>
                      <w:rFonts w:hint="eastAsia"/>
                      <w:color w:val="auto"/>
                    </w:rPr>
                    <w:t>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3</w:t>
                  </w:r>
                </w:p>
              </w:tc>
              <w:tc>
                <w:tcPr>
                  <w:tcW w:w="2100" w:type="pct"/>
                  <w:noWrap w:val="0"/>
                  <w:vAlign w:val="center"/>
                </w:tcPr>
                <w:p>
                  <w:pPr>
                    <w:pStyle w:val="53"/>
                    <w:rPr>
                      <w:color w:val="auto"/>
                    </w:rPr>
                  </w:pPr>
                  <w:r>
                    <w:rPr>
                      <w:color w:val="auto"/>
                    </w:rPr>
                    <w:t>亚硝酸盐氮</w:t>
                  </w:r>
                </w:p>
              </w:tc>
              <w:tc>
                <w:tcPr>
                  <w:tcW w:w="2386" w:type="pct"/>
                  <w:noWrap w:val="0"/>
                  <w:vAlign w:val="center"/>
                </w:tcPr>
                <w:p>
                  <w:pPr>
                    <w:pStyle w:val="53"/>
                    <w:rPr>
                      <w:rFonts w:hint="eastAsia"/>
                      <w:color w:val="auto"/>
                    </w:rPr>
                  </w:pPr>
                  <w:r>
                    <w:rPr>
                      <w:rFonts w:hint="eastAsia"/>
                      <w:color w:val="auto"/>
                    </w:rPr>
                    <w:t>ND</w:t>
                  </w:r>
                  <w:r>
                    <w:rPr>
                      <w:color w:val="auto"/>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4</w:t>
                  </w:r>
                </w:p>
              </w:tc>
              <w:tc>
                <w:tcPr>
                  <w:tcW w:w="2100" w:type="pct"/>
                  <w:noWrap w:val="0"/>
                  <w:vAlign w:val="center"/>
                </w:tcPr>
                <w:p>
                  <w:pPr>
                    <w:pStyle w:val="53"/>
                    <w:rPr>
                      <w:color w:val="auto"/>
                    </w:rPr>
                  </w:pPr>
                  <w:r>
                    <w:rPr>
                      <w:color w:val="auto"/>
                    </w:rPr>
                    <w:t>硝酸盐氮</w:t>
                  </w:r>
                </w:p>
              </w:tc>
              <w:tc>
                <w:tcPr>
                  <w:tcW w:w="2386" w:type="pct"/>
                  <w:noWrap w:val="0"/>
                  <w:vAlign w:val="center"/>
                </w:tcPr>
                <w:p>
                  <w:pPr>
                    <w:pStyle w:val="53"/>
                    <w:rPr>
                      <w:color w:val="auto"/>
                    </w:rPr>
                  </w:pPr>
                  <w:r>
                    <w:rPr>
                      <w:rFonts w:hint="eastAsia"/>
                      <w:color w:val="auto"/>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5</w:t>
                  </w:r>
                </w:p>
              </w:tc>
              <w:tc>
                <w:tcPr>
                  <w:tcW w:w="2100" w:type="pct"/>
                  <w:noWrap w:val="0"/>
                  <w:vAlign w:val="center"/>
                </w:tcPr>
                <w:p>
                  <w:pPr>
                    <w:pStyle w:val="53"/>
                    <w:rPr>
                      <w:color w:val="auto"/>
                    </w:rPr>
                  </w:pPr>
                  <w:r>
                    <w:rPr>
                      <w:rFonts w:hint="eastAsia"/>
                      <w:color w:val="auto"/>
                    </w:rPr>
                    <w:t>氰化物</w:t>
                  </w:r>
                </w:p>
              </w:tc>
              <w:tc>
                <w:tcPr>
                  <w:tcW w:w="2386" w:type="pct"/>
                  <w:noWrap w:val="0"/>
                  <w:vAlign w:val="center"/>
                </w:tcPr>
                <w:p>
                  <w:pPr>
                    <w:pStyle w:val="53"/>
                    <w:rPr>
                      <w:rFonts w:hint="eastAsia"/>
                      <w:color w:val="auto"/>
                    </w:rPr>
                  </w:pPr>
                  <w:r>
                    <w:rPr>
                      <w:rFonts w:hint="eastAsia"/>
                      <w:color w:val="auto"/>
                    </w:rPr>
                    <w:t>ND</w:t>
                  </w:r>
                  <w:r>
                    <w:rPr>
                      <w:color w:val="auto"/>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6</w:t>
                  </w:r>
                </w:p>
              </w:tc>
              <w:tc>
                <w:tcPr>
                  <w:tcW w:w="2100" w:type="pct"/>
                  <w:noWrap w:val="0"/>
                  <w:vAlign w:val="center"/>
                </w:tcPr>
                <w:p>
                  <w:pPr>
                    <w:pStyle w:val="53"/>
                    <w:rPr>
                      <w:color w:val="auto"/>
                    </w:rPr>
                  </w:pPr>
                  <w:r>
                    <w:rPr>
                      <w:rFonts w:hint="eastAsia"/>
                      <w:color w:val="auto"/>
                    </w:rPr>
                    <w:t>铬</w:t>
                  </w:r>
                  <w:r>
                    <w:rPr>
                      <w:color w:val="auto"/>
                    </w:rPr>
                    <w:t>（六价）</w:t>
                  </w:r>
                </w:p>
              </w:tc>
              <w:tc>
                <w:tcPr>
                  <w:tcW w:w="2386" w:type="pct"/>
                  <w:noWrap w:val="0"/>
                  <w:vAlign w:val="center"/>
                </w:tcPr>
                <w:p>
                  <w:pPr>
                    <w:pStyle w:val="53"/>
                    <w:rPr>
                      <w:color w:val="auto"/>
                    </w:rPr>
                  </w:pPr>
                  <w:r>
                    <w:rPr>
                      <w:rFonts w:hint="eastAsia"/>
                      <w:color w:val="auto"/>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7</w:t>
                  </w:r>
                </w:p>
              </w:tc>
              <w:tc>
                <w:tcPr>
                  <w:tcW w:w="2100" w:type="pct"/>
                  <w:noWrap w:val="0"/>
                  <w:vAlign w:val="center"/>
                </w:tcPr>
                <w:p>
                  <w:pPr>
                    <w:pStyle w:val="53"/>
                    <w:rPr>
                      <w:color w:val="auto"/>
                    </w:rPr>
                  </w:pPr>
                  <w:r>
                    <w:rPr>
                      <w:rFonts w:hint="eastAsia"/>
                      <w:color w:val="auto"/>
                    </w:rPr>
                    <w:t>氟化物</w:t>
                  </w:r>
                </w:p>
              </w:tc>
              <w:tc>
                <w:tcPr>
                  <w:tcW w:w="2386" w:type="pct"/>
                  <w:noWrap w:val="0"/>
                  <w:vAlign w:val="center"/>
                </w:tcPr>
                <w:p>
                  <w:pPr>
                    <w:pStyle w:val="53"/>
                    <w:rPr>
                      <w:color w:val="auto"/>
                    </w:rPr>
                  </w:pPr>
                  <w:r>
                    <w:rPr>
                      <w:rFonts w:hint="eastAsia"/>
                      <w:color w:val="auto"/>
                    </w:rPr>
                    <w:t>ND</w:t>
                  </w:r>
                  <w:r>
                    <w:rPr>
                      <w:color w:val="auto"/>
                    </w:rPr>
                    <w:t>0. 2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8</w:t>
                  </w:r>
                </w:p>
              </w:tc>
              <w:tc>
                <w:tcPr>
                  <w:tcW w:w="2100" w:type="pct"/>
                  <w:noWrap w:val="0"/>
                  <w:vAlign w:val="center"/>
                </w:tcPr>
                <w:p>
                  <w:pPr>
                    <w:pStyle w:val="53"/>
                    <w:rPr>
                      <w:color w:val="auto"/>
                    </w:rPr>
                  </w:pPr>
                  <w:r>
                    <w:rPr>
                      <w:color w:val="auto"/>
                    </w:rPr>
                    <w:t>挥发酚</w:t>
                  </w:r>
                </w:p>
              </w:tc>
              <w:tc>
                <w:tcPr>
                  <w:tcW w:w="2386" w:type="pct"/>
                  <w:noWrap w:val="0"/>
                  <w:vAlign w:val="center"/>
                </w:tcPr>
                <w:p>
                  <w:pPr>
                    <w:pStyle w:val="53"/>
                    <w:rPr>
                      <w:rFonts w:hint="eastAsia"/>
                      <w:color w:val="auto"/>
                    </w:rPr>
                  </w:pPr>
                  <w:r>
                    <w:rPr>
                      <w:rFonts w:hint="eastAsia"/>
                      <w:color w:val="auto"/>
                    </w:rPr>
                    <w:t>ND</w:t>
                  </w:r>
                  <w:r>
                    <w:rPr>
                      <w:color w:val="auto"/>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9</w:t>
                  </w:r>
                </w:p>
              </w:tc>
              <w:tc>
                <w:tcPr>
                  <w:tcW w:w="2100" w:type="pct"/>
                  <w:noWrap w:val="0"/>
                  <w:vAlign w:val="center"/>
                </w:tcPr>
                <w:p>
                  <w:pPr>
                    <w:pStyle w:val="53"/>
                    <w:rPr>
                      <w:color w:val="auto"/>
                    </w:rPr>
                  </w:pPr>
                  <w:r>
                    <w:rPr>
                      <w:color w:val="auto"/>
                    </w:rPr>
                    <w:t>硫酸盐</w:t>
                  </w:r>
                </w:p>
              </w:tc>
              <w:tc>
                <w:tcPr>
                  <w:tcW w:w="2386" w:type="pct"/>
                  <w:noWrap w:val="0"/>
                  <w:vAlign w:val="center"/>
                </w:tcPr>
                <w:p>
                  <w:pPr>
                    <w:pStyle w:val="53"/>
                    <w:rPr>
                      <w:color w:val="auto"/>
                    </w:rPr>
                  </w:pPr>
                  <w:r>
                    <w:rPr>
                      <w:rFonts w:hint="eastAsia"/>
                      <w:color w:val="auto"/>
                    </w:rPr>
                    <w:t>42.9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10</w:t>
                  </w:r>
                </w:p>
              </w:tc>
              <w:tc>
                <w:tcPr>
                  <w:tcW w:w="2100" w:type="pct"/>
                  <w:noWrap w:val="0"/>
                  <w:vAlign w:val="center"/>
                </w:tcPr>
                <w:p>
                  <w:pPr>
                    <w:pStyle w:val="53"/>
                    <w:rPr>
                      <w:color w:val="auto"/>
                    </w:rPr>
                  </w:pPr>
                  <w:r>
                    <w:rPr>
                      <w:color w:val="auto"/>
                    </w:rPr>
                    <w:t>阴离子表面活性剂</w:t>
                  </w:r>
                </w:p>
              </w:tc>
              <w:tc>
                <w:tcPr>
                  <w:tcW w:w="2386" w:type="pct"/>
                  <w:noWrap w:val="0"/>
                  <w:vAlign w:val="center"/>
                </w:tcPr>
                <w:p>
                  <w:pPr>
                    <w:pStyle w:val="53"/>
                    <w:rPr>
                      <w:color w:val="auto"/>
                    </w:rPr>
                  </w:pPr>
                  <w:r>
                    <w:rPr>
                      <w:rFonts w:hint="eastAsia"/>
                      <w:color w:val="auto"/>
                    </w:rPr>
                    <w:t>ND</w:t>
                  </w:r>
                  <w:r>
                    <w:rPr>
                      <w:color w:val="auto"/>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11</w:t>
                  </w:r>
                </w:p>
              </w:tc>
              <w:tc>
                <w:tcPr>
                  <w:tcW w:w="2100" w:type="pct"/>
                  <w:noWrap w:val="0"/>
                  <w:vAlign w:val="center"/>
                </w:tcPr>
                <w:p>
                  <w:pPr>
                    <w:pStyle w:val="53"/>
                    <w:rPr>
                      <w:color w:val="auto"/>
                    </w:rPr>
                  </w:pPr>
                  <w:r>
                    <w:rPr>
                      <w:color w:val="auto"/>
                    </w:rPr>
                    <w:t>氯化物</w:t>
                  </w:r>
                </w:p>
              </w:tc>
              <w:tc>
                <w:tcPr>
                  <w:tcW w:w="2386" w:type="pct"/>
                  <w:noWrap w:val="0"/>
                  <w:vAlign w:val="center"/>
                </w:tcPr>
                <w:p>
                  <w:pPr>
                    <w:pStyle w:val="53"/>
                    <w:rPr>
                      <w:rFonts w:hint="eastAsia"/>
                      <w:color w:val="auto"/>
                    </w:rPr>
                  </w:pPr>
                  <w:r>
                    <w:rPr>
                      <w:rFonts w:hint="eastAsia"/>
                      <w:color w:val="auto"/>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12</w:t>
                  </w:r>
                </w:p>
              </w:tc>
              <w:tc>
                <w:tcPr>
                  <w:tcW w:w="2100" w:type="pct"/>
                  <w:noWrap w:val="0"/>
                  <w:vAlign w:val="center"/>
                </w:tcPr>
                <w:p>
                  <w:pPr>
                    <w:pStyle w:val="53"/>
                    <w:rPr>
                      <w:color w:val="auto"/>
                    </w:rPr>
                  </w:pPr>
                  <w:r>
                    <w:rPr>
                      <w:color w:val="auto"/>
                    </w:rPr>
                    <w:t>耗氧</w:t>
                  </w:r>
                  <w:r>
                    <w:rPr>
                      <w:rFonts w:hint="eastAsia"/>
                      <w:color w:val="auto"/>
                    </w:rPr>
                    <w:t>量</w:t>
                  </w:r>
                </w:p>
              </w:tc>
              <w:tc>
                <w:tcPr>
                  <w:tcW w:w="2386" w:type="pct"/>
                  <w:noWrap w:val="0"/>
                  <w:vAlign w:val="center"/>
                </w:tcPr>
                <w:p>
                  <w:pPr>
                    <w:pStyle w:val="53"/>
                    <w:rPr>
                      <w:color w:val="auto"/>
                    </w:rPr>
                  </w:pPr>
                  <w:r>
                    <w:rPr>
                      <w:rFonts w:hint="eastAsia"/>
                      <w:color w:val="auto"/>
                    </w:rPr>
                    <w:t>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13</w:t>
                  </w:r>
                </w:p>
              </w:tc>
              <w:tc>
                <w:tcPr>
                  <w:tcW w:w="2100" w:type="pct"/>
                  <w:noWrap w:val="0"/>
                  <w:vAlign w:val="center"/>
                </w:tcPr>
                <w:p>
                  <w:pPr>
                    <w:pStyle w:val="53"/>
                    <w:rPr>
                      <w:color w:val="auto"/>
                    </w:rPr>
                  </w:pPr>
                  <w:r>
                    <w:rPr>
                      <w:color w:val="auto"/>
                    </w:rPr>
                    <w:t>溶解性总固体</w:t>
                  </w:r>
                </w:p>
              </w:tc>
              <w:tc>
                <w:tcPr>
                  <w:tcW w:w="2386" w:type="pct"/>
                  <w:noWrap w:val="0"/>
                  <w:vAlign w:val="center"/>
                </w:tcPr>
                <w:p>
                  <w:pPr>
                    <w:pStyle w:val="53"/>
                    <w:rPr>
                      <w:rFonts w:hint="eastAsia"/>
                      <w:color w:val="auto"/>
                    </w:rPr>
                  </w:pPr>
                  <w:r>
                    <w:rPr>
                      <w:rFonts w:hint="eastAsia"/>
                      <w:color w:val="auto"/>
                    </w:rPr>
                    <w:t>405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14</w:t>
                  </w:r>
                </w:p>
              </w:tc>
              <w:tc>
                <w:tcPr>
                  <w:tcW w:w="2100" w:type="pct"/>
                  <w:noWrap w:val="0"/>
                  <w:vAlign w:val="center"/>
                </w:tcPr>
                <w:p>
                  <w:pPr>
                    <w:pStyle w:val="53"/>
                    <w:rPr>
                      <w:color w:val="auto"/>
                    </w:rPr>
                  </w:pPr>
                  <w:r>
                    <w:rPr>
                      <w:color w:val="auto"/>
                    </w:rPr>
                    <w:t>钠</w:t>
                  </w:r>
                </w:p>
              </w:tc>
              <w:tc>
                <w:tcPr>
                  <w:tcW w:w="2386" w:type="pct"/>
                  <w:noWrap w:val="0"/>
                  <w:vAlign w:val="center"/>
                </w:tcPr>
                <w:p>
                  <w:pPr>
                    <w:pStyle w:val="53"/>
                    <w:rPr>
                      <w:rFonts w:hint="eastAsia"/>
                      <w:color w:val="auto"/>
                    </w:rPr>
                  </w:pPr>
                  <w:r>
                    <w:rPr>
                      <w:rFonts w:hint="eastAsia"/>
                      <w:color w:val="auto"/>
                    </w:rPr>
                    <w:t>11.7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15</w:t>
                  </w:r>
                </w:p>
              </w:tc>
              <w:tc>
                <w:tcPr>
                  <w:tcW w:w="2100" w:type="pct"/>
                  <w:noWrap w:val="0"/>
                  <w:vAlign w:val="center"/>
                </w:tcPr>
                <w:p>
                  <w:pPr>
                    <w:pStyle w:val="53"/>
                    <w:rPr>
                      <w:color w:val="auto"/>
                    </w:rPr>
                  </w:pPr>
                  <w:r>
                    <w:rPr>
                      <w:rFonts w:hint="eastAsia"/>
                      <w:color w:val="auto"/>
                    </w:rPr>
                    <w:t>砷</w:t>
                  </w:r>
                </w:p>
              </w:tc>
              <w:tc>
                <w:tcPr>
                  <w:tcW w:w="2386" w:type="pct"/>
                  <w:noWrap w:val="0"/>
                  <w:vAlign w:val="center"/>
                </w:tcPr>
                <w:p>
                  <w:pPr>
                    <w:pStyle w:val="53"/>
                    <w:rPr>
                      <w:color w:val="auto"/>
                    </w:rPr>
                  </w:pPr>
                  <w:r>
                    <w:rPr>
                      <w:rFonts w:hint="eastAsia"/>
                      <w:color w:val="auto"/>
                    </w:rPr>
                    <w:t>ND0.0003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16</w:t>
                  </w:r>
                </w:p>
              </w:tc>
              <w:tc>
                <w:tcPr>
                  <w:tcW w:w="2100" w:type="pct"/>
                  <w:noWrap w:val="0"/>
                  <w:vAlign w:val="center"/>
                </w:tcPr>
                <w:p>
                  <w:pPr>
                    <w:pStyle w:val="53"/>
                    <w:rPr>
                      <w:color w:val="auto"/>
                    </w:rPr>
                  </w:pPr>
                  <w:r>
                    <w:rPr>
                      <w:rFonts w:hint="eastAsia"/>
                      <w:color w:val="auto"/>
                    </w:rPr>
                    <w:t>镍</w:t>
                  </w:r>
                </w:p>
              </w:tc>
              <w:tc>
                <w:tcPr>
                  <w:tcW w:w="2386" w:type="pct"/>
                  <w:noWrap w:val="0"/>
                  <w:vAlign w:val="center"/>
                </w:tcPr>
                <w:p>
                  <w:pPr>
                    <w:pStyle w:val="53"/>
                    <w:rPr>
                      <w:rFonts w:hint="eastAsia"/>
                      <w:color w:val="auto"/>
                    </w:rPr>
                  </w:pPr>
                  <w:r>
                    <w:rPr>
                      <w:rFonts w:hint="eastAsia"/>
                      <w:color w:val="auto"/>
                    </w:rPr>
                    <w:t>ND0.005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17</w:t>
                  </w:r>
                </w:p>
              </w:tc>
              <w:tc>
                <w:tcPr>
                  <w:tcW w:w="2100" w:type="pct"/>
                  <w:noWrap w:val="0"/>
                  <w:vAlign w:val="center"/>
                </w:tcPr>
                <w:p>
                  <w:pPr>
                    <w:pStyle w:val="53"/>
                    <w:rPr>
                      <w:color w:val="auto"/>
                    </w:rPr>
                  </w:pPr>
                  <w:r>
                    <w:rPr>
                      <w:rFonts w:hint="eastAsia"/>
                      <w:color w:val="auto"/>
                    </w:rPr>
                    <w:t>镉</w:t>
                  </w:r>
                </w:p>
              </w:tc>
              <w:tc>
                <w:tcPr>
                  <w:tcW w:w="2386" w:type="pct"/>
                  <w:noWrap w:val="0"/>
                  <w:vAlign w:val="center"/>
                </w:tcPr>
                <w:p>
                  <w:pPr>
                    <w:pStyle w:val="53"/>
                    <w:rPr>
                      <w:color w:val="auto"/>
                    </w:rPr>
                  </w:pPr>
                  <w:r>
                    <w:rPr>
                      <w:rFonts w:hint="eastAsia"/>
                      <w:color w:val="auto"/>
                    </w:rPr>
                    <w:t>ND0.0005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18</w:t>
                  </w:r>
                </w:p>
              </w:tc>
              <w:tc>
                <w:tcPr>
                  <w:tcW w:w="2100" w:type="pct"/>
                  <w:noWrap w:val="0"/>
                  <w:vAlign w:val="center"/>
                </w:tcPr>
                <w:p>
                  <w:pPr>
                    <w:pStyle w:val="53"/>
                    <w:rPr>
                      <w:color w:val="auto"/>
                    </w:rPr>
                  </w:pPr>
                  <w:r>
                    <w:rPr>
                      <w:color w:val="auto"/>
                    </w:rPr>
                    <w:t>铅</w:t>
                  </w:r>
                </w:p>
              </w:tc>
              <w:tc>
                <w:tcPr>
                  <w:tcW w:w="2386" w:type="pct"/>
                  <w:noWrap w:val="0"/>
                  <w:vAlign w:val="center"/>
                </w:tcPr>
                <w:p>
                  <w:pPr>
                    <w:pStyle w:val="53"/>
                    <w:rPr>
                      <w:rFonts w:hint="eastAsia"/>
                      <w:color w:val="auto"/>
                    </w:rPr>
                  </w:pPr>
                  <w:r>
                    <w:rPr>
                      <w:rFonts w:hint="eastAsia"/>
                      <w:color w:val="auto"/>
                    </w:rPr>
                    <w:t>ND0.0025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19</w:t>
                  </w:r>
                </w:p>
              </w:tc>
              <w:tc>
                <w:tcPr>
                  <w:tcW w:w="2100" w:type="pct"/>
                  <w:noWrap w:val="0"/>
                  <w:vAlign w:val="center"/>
                </w:tcPr>
                <w:p>
                  <w:pPr>
                    <w:pStyle w:val="53"/>
                    <w:rPr>
                      <w:color w:val="auto"/>
                    </w:rPr>
                  </w:pPr>
                  <w:r>
                    <w:rPr>
                      <w:color w:val="auto"/>
                    </w:rPr>
                    <w:t>锌</w:t>
                  </w:r>
                </w:p>
              </w:tc>
              <w:tc>
                <w:tcPr>
                  <w:tcW w:w="2386" w:type="pct"/>
                  <w:noWrap w:val="0"/>
                  <w:vAlign w:val="center"/>
                </w:tcPr>
                <w:p>
                  <w:pPr>
                    <w:pStyle w:val="53"/>
                    <w:rPr>
                      <w:color w:val="auto"/>
                    </w:rPr>
                  </w:pPr>
                  <w:r>
                    <w:rPr>
                      <w:rFonts w:hint="eastAsia"/>
                      <w:color w:val="auto"/>
                    </w:rPr>
                    <w:t>ND</w:t>
                  </w:r>
                  <w:r>
                    <w:rPr>
                      <w:color w:val="auto"/>
                    </w:rPr>
                    <w:t xml:space="preserve">0.05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20</w:t>
                  </w:r>
                </w:p>
              </w:tc>
              <w:tc>
                <w:tcPr>
                  <w:tcW w:w="2100" w:type="pct"/>
                  <w:noWrap w:val="0"/>
                  <w:vAlign w:val="center"/>
                </w:tcPr>
                <w:p>
                  <w:pPr>
                    <w:pStyle w:val="53"/>
                    <w:rPr>
                      <w:color w:val="auto"/>
                    </w:rPr>
                  </w:pPr>
                  <w:r>
                    <w:rPr>
                      <w:rFonts w:hint="eastAsia"/>
                      <w:color w:val="auto"/>
                    </w:rPr>
                    <w:t>汞</w:t>
                  </w:r>
                </w:p>
              </w:tc>
              <w:tc>
                <w:tcPr>
                  <w:tcW w:w="2386" w:type="pct"/>
                  <w:noWrap w:val="0"/>
                  <w:vAlign w:val="center"/>
                </w:tcPr>
                <w:p>
                  <w:pPr>
                    <w:pStyle w:val="53"/>
                    <w:rPr>
                      <w:rFonts w:hint="eastAsia"/>
                      <w:color w:val="auto"/>
                    </w:rPr>
                  </w:pPr>
                  <w:r>
                    <w:rPr>
                      <w:rFonts w:hint="eastAsia"/>
                      <w:color w:val="auto"/>
                    </w:rPr>
                    <w:t>0.00022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21</w:t>
                  </w:r>
                </w:p>
              </w:tc>
              <w:tc>
                <w:tcPr>
                  <w:tcW w:w="2100" w:type="pct"/>
                  <w:noWrap w:val="0"/>
                  <w:vAlign w:val="center"/>
                </w:tcPr>
                <w:p>
                  <w:pPr>
                    <w:pStyle w:val="53"/>
                    <w:rPr>
                      <w:color w:val="auto"/>
                    </w:rPr>
                  </w:pPr>
                  <w:r>
                    <w:rPr>
                      <w:color w:val="auto"/>
                    </w:rPr>
                    <w:t>苯</w:t>
                  </w:r>
                </w:p>
              </w:tc>
              <w:tc>
                <w:tcPr>
                  <w:tcW w:w="2386" w:type="pct"/>
                  <w:noWrap w:val="0"/>
                  <w:vAlign w:val="center"/>
                </w:tcPr>
                <w:p>
                  <w:pPr>
                    <w:pStyle w:val="53"/>
                    <w:rPr>
                      <w:rFonts w:hint="eastAsia"/>
                      <w:color w:val="auto"/>
                    </w:rPr>
                  </w:pPr>
                  <w:r>
                    <w:rPr>
                      <w:rFonts w:hint="eastAsia"/>
                      <w:color w:val="auto"/>
                    </w:rPr>
                    <w:t>ND0.005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22</w:t>
                  </w:r>
                </w:p>
              </w:tc>
              <w:tc>
                <w:tcPr>
                  <w:tcW w:w="2100" w:type="pct"/>
                  <w:noWrap w:val="0"/>
                  <w:vAlign w:val="center"/>
                </w:tcPr>
                <w:p>
                  <w:pPr>
                    <w:pStyle w:val="53"/>
                    <w:rPr>
                      <w:color w:val="auto"/>
                    </w:rPr>
                  </w:pPr>
                  <w:r>
                    <w:rPr>
                      <w:color w:val="auto"/>
                    </w:rPr>
                    <w:t>甲苯</w:t>
                  </w:r>
                </w:p>
              </w:tc>
              <w:tc>
                <w:tcPr>
                  <w:tcW w:w="2386" w:type="pct"/>
                  <w:noWrap w:val="0"/>
                  <w:vAlign w:val="center"/>
                </w:tcPr>
                <w:p>
                  <w:pPr>
                    <w:pStyle w:val="53"/>
                    <w:rPr>
                      <w:color w:val="auto"/>
                    </w:rPr>
                  </w:pPr>
                  <w:r>
                    <w:rPr>
                      <w:rFonts w:hint="eastAsia"/>
                      <w:color w:val="auto"/>
                    </w:rPr>
                    <w:t>ND0.006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color w:val="auto"/>
                    </w:rPr>
                  </w:pPr>
                  <w:r>
                    <w:rPr>
                      <w:color w:val="auto"/>
                    </w:rPr>
                    <w:t>23</w:t>
                  </w:r>
                </w:p>
              </w:tc>
              <w:tc>
                <w:tcPr>
                  <w:tcW w:w="2100" w:type="pct"/>
                  <w:noWrap w:val="0"/>
                  <w:vAlign w:val="center"/>
                </w:tcPr>
                <w:p>
                  <w:pPr>
                    <w:pStyle w:val="53"/>
                    <w:rPr>
                      <w:color w:val="auto"/>
                    </w:rPr>
                  </w:pPr>
                  <w:r>
                    <w:rPr>
                      <w:rFonts w:hint="eastAsia"/>
                      <w:color w:val="auto"/>
                    </w:rPr>
                    <w:t>二甲苯</w:t>
                  </w:r>
                </w:p>
              </w:tc>
              <w:tc>
                <w:tcPr>
                  <w:tcW w:w="2386" w:type="pct"/>
                  <w:noWrap w:val="0"/>
                  <w:vAlign w:val="center"/>
                </w:tcPr>
                <w:p>
                  <w:pPr>
                    <w:pStyle w:val="53"/>
                    <w:rPr>
                      <w:color w:val="auto"/>
                    </w:rPr>
                  </w:pPr>
                  <w:r>
                    <w:rPr>
                      <w:rFonts w:hint="eastAsia"/>
                      <w:color w:val="auto"/>
                    </w:rPr>
                    <w:t>ND0.006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rFonts w:hint="default" w:eastAsia="宋体"/>
                      <w:color w:val="auto"/>
                      <w:lang w:val="en-US" w:eastAsia="zh-CN"/>
                    </w:rPr>
                  </w:pPr>
                  <w:r>
                    <w:rPr>
                      <w:rFonts w:hint="eastAsia"/>
                      <w:color w:val="auto"/>
                      <w:lang w:val="en-US" w:eastAsia="zh-CN"/>
                    </w:rPr>
                    <w:t>24</w:t>
                  </w:r>
                </w:p>
              </w:tc>
              <w:tc>
                <w:tcPr>
                  <w:tcW w:w="2100" w:type="pct"/>
                  <w:noWrap w:val="0"/>
                  <w:vAlign w:val="center"/>
                </w:tcPr>
                <w:p>
                  <w:pPr>
                    <w:pStyle w:val="53"/>
                    <w:rPr>
                      <w:rFonts w:hint="eastAsia" w:eastAsia="宋体"/>
                      <w:color w:val="auto"/>
                      <w:lang w:val="en-US" w:eastAsia="zh-CN"/>
                    </w:rPr>
                  </w:pPr>
                  <w:r>
                    <w:rPr>
                      <w:rFonts w:hint="eastAsia"/>
                      <w:color w:val="auto"/>
                      <w:lang w:val="en-US" w:eastAsia="zh-CN"/>
                    </w:rPr>
                    <w:t>重碳酸盐</w:t>
                  </w:r>
                </w:p>
              </w:tc>
              <w:tc>
                <w:tcPr>
                  <w:tcW w:w="2386" w:type="pct"/>
                  <w:noWrap w:val="0"/>
                  <w:vAlign w:val="center"/>
                </w:tcPr>
                <w:p>
                  <w:pPr>
                    <w:pStyle w:val="53"/>
                    <w:rPr>
                      <w:rFonts w:hint="default" w:eastAsia="宋体"/>
                      <w:color w:val="auto"/>
                      <w:lang w:val="en-US" w:eastAsia="zh-CN"/>
                    </w:rPr>
                  </w:pPr>
                  <w:r>
                    <w:rPr>
                      <w:rFonts w:hint="eastAsia"/>
                      <w:color w:val="auto"/>
                      <w:lang w:val="en-US" w:eastAsia="zh-CN"/>
                    </w:rPr>
                    <w:t>295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rFonts w:hint="default"/>
                      <w:color w:val="auto"/>
                      <w:lang w:val="en-US" w:eastAsia="zh-CN"/>
                    </w:rPr>
                  </w:pPr>
                  <w:r>
                    <w:rPr>
                      <w:rFonts w:hint="eastAsia"/>
                      <w:color w:val="auto"/>
                      <w:lang w:val="en-US" w:eastAsia="zh-CN"/>
                    </w:rPr>
                    <w:t>25</w:t>
                  </w:r>
                </w:p>
              </w:tc>
              <w:tc>
                <w:tcPr>
                  <w:tcW w:w="2100" w:type="pct"/>
                  <w:noWrap w:val="0"/>
                  <w:vAlign w:val="center"/>
                </w:tcPr>
                <w:p>
                  <w:pPr>
                    <w:pStyle w:val="53"/>
                    <w:rPr>
                      <w:rFonts w:hint="default"/>
                      <w:color w:val="auto"/>
                      <w:lang w:val="en-US" w:eastAsia="zh-CN"/>
                    </w:rPr>
                  </w:pPr>
                  <w:r>
                    <w:rPr>
                      <w:rFonts w:hint="eastAsia"/>
                      <w:color w:val="auto"/>
                      <w:lang w:val="en-US" w:eastAsia="zh-CN"/>
                    </w:rPr>
                    <w:t>总大肠菌群</w:t>
                  </w:r>
                </w:p>
              </w:tc>
              <w:tc>
                <w:tcPr>
                  <w:tcW w:w="2386" w:type="pct"/>
                  <w:noWrap w:val="0"/>
                  <w:vAlign w:val="center"/>
                </w:tcPr>
                <w:p>
                  <w:pPr>
                    <w:pStyle w:val="53"/>
                    <w:rPr>
                      <w:rFonts w:hint="default"/>
                      <w:color w:val="auto"/>
                      <w:lang w:val="en-US" w:eastAsia="zh-CN"/>
                    </w:rPr>
                  </w:pPr>
                  <w:r>
                    <w:rPr>
                      <w:rFonts w:hint="eastAsia"/>
                      <w:color w:val="auto"/>
                      <w:lang w:val="en-US" w:eastAsia="zh-CN"/>
                    </w:rPr>
                    <w:t>未检出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2" w:type="pct"/>
                  <w:noWrap w:val="0"/>
                  <w:vAlign w:val="center"/>
                </w:tcPr>
                <w:p>
                  <w:pPr>
                    <w:pStyle w:val="53"/>
                    <w:rPr>
                      <w:rFonts w:hint="default"/>
                      <w:color w:val="auto"/>
                      <w:lang w:val="en-US" w:eastAsia="zh-CN"/>
                    </w:rPr>
                  </w:pPr>
                  <w:r>
                    <w:rPr>
                      <w:rFonts w:hint="eastAsia"/>
                      <w:color w:val="auto"/>
                      <w:lang w:val="en-US" w:eastAsia="zh-CN"/>
                    </w:rPr>
                    <w:t>26</w:t>
                  </w:r>
                </w:p>
              </w:tc>
              <w:tc>
                <w:tcPr>
                  <w:tcW w:w="2100" w:type="pct"/>
                  <w:noWrap w:val="0"/>
                  <w:vAlign w:val="center"/>
                </w:tcPr>
                <w:p>
                  <w:pPr>
                    <w:pStyle w:val="53"/>
                    <w:rPr>
                      <w:rFonts w:hint="default"/>
                      <w:color w:val="auto"/>
                      <w:lang w:val="en-US" w:eastAsia="zh-CN"/>
                    </w:rPr>
                  </w:pPr>
                  <w:r>
                    <w:rPr>
                      <w:rFonts w:hint="eastAsia"/>
                      <w:color w:val="auto"/>
                      <w:lang w:val="en-US" w:eastAsia="zh-CN"/>
                    </w:rPr>
                    <w:t>菌落总数</w:t>
                  </w:r>
                </w:p>
              </w:tc>
              <w:tc>
                <w:tcPr>
                  <w:tcW w:w="2386" w:type="pct"/>
                  <w:noWrap w:val="0"/>
                  <w:vAlign w:val="center"/>
                </w:tcPr>
                <w:p>
                  <w:pPr>
                    <w:pStyle w:val="53"/>
                    <w:rPr>
                      <w:rFonts w:hint="default"/>
                      <w:color w:val="auto"/>
                      <w:lang w:val="en-US" w:eastAsia="zh-CN"/>
                    </w:rPr>
                  </w:pPr>
                  <w:r>
                    <w:rPr>
                      <w:rFonts w:hint="eastAsia"/>
                      <w:color w:val="auto"/>
                      <w:lang w:val="en-US" w:eastAsia="zh-CN"/>
                    </w:rPr>
                    <w:t>44</w:t>
                  </w:r>
                </w:p>
              </w:tc>
            </w:tr>
          </w:tbl>
          <w:p>
            <w:pPr>
              <w:adjustRightInd w:val="0"/>
              <w:snapToGrid w:val="0"/>
              <w:spacing w:line="360" w:lineRule="auto"/>
              <w:ind w:firstLine="480" w:firstLineChars="200"/>
              <w:rPr>
                <w:color w:val="auto"/>
                <w:kern w:val="0"/>
                <w:sz w:val="24"/>
              </w:rPr>
            </w:pPr>
            <w:r>
              <w:rPr>
                <w:rFonts w:hint="eastAsia"/>
                <w:color w:val="auto"/>
                <w:kern w:val="0"/>
                <w:sz w:val="24"/>
              </w:rPr>
              <w:t>根据监测结果，1#地下水水质监测点位的各监测因子均符合《地下水质量标准》（GB/T14848-2017）中Ⅲ类标准限值。</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9" w:hRule="atLeast"/>
          <w:jc w:val="center"/>
        </w:trPr>
        <w:tc>
          <w:tcPr>
            <w:tcW w:w="800" w:type="dxa"/>
            <w:vAlign w:val="center"/>
          </w:tcPr>
          <w:p>
            <w:pPr>
              <w:adjustRightInd w:val="0"/>
              <w:snapToGrid w:val="0"/>
              <w:jc w:val="center"/>
              <w:rPr>
                <w:color w:val="auto"/>
                <w:kern w:val="0"/>
                <w:szCs w:val="21"/>
              </w:rPr>
            </w:pPr>
            <w:r>
              <w:rPr>
                <w:color w:val="auto"/>
                <w:kern w:val="0"/>
                <w:sz w:val="24"/>
                <w:szCs w:val="24"/>
              </w:rPr>
              <w:t>环境保护目标</w:t>
            </w:r>
          </w:p>
        </w:tc>
        <w:tc>
          <w:tcPr>
            <w:tcW w:w="8190" w:type="dxa"/>
            <w:vAlign w:val="center"/>
          </w:tcPr>
          <w:p>
            <w:pPr>
              <w:adjustRightInd w:val="0"/>
              <w:snapToGrid w:val="0"/>
              <w:spacing w:line="360" w:lineRule="auto"/>
              <w:ind w:firstLine="480" w:firstLineChars="200"/>
              <w:rPr>
                <w:color w:val="auto"/>
                <w:kern w:val="0"/>
                <w:sz w:val="24"/>
              </w:rPr>
            </w:pPr>
            <w:r>
              <w:rPr>
                <w:color w:val="auto"/>
                <w:kern w:val="0"/>
                <w:sz w:val="24"/>
              </w:rPr>
              <w:t>根据《建设项目环境影响报告表编制技术指南（污染影响类）》（试行），大气环境调查500m范围内的环境保护目标，声环境调查50m范围内的环境保护目标。</w:t>
            </w:r>
          </w:p>
          <w:p>
            <w:pPr>
              <w:adjustRightInd w:val="0"/>
              <w:snapToGrid w:val="0"/>
              <w:spacing w:line="360" w:lineRule="auto"/>
              <w:ind w:firstLine="480" w:firstLineChars="200"/>
              <w:rPr>
                <w:color w:val="auto"/>
                <w:kern w:val="0"/>
                <w:sz w:val="24"/>
              </w:rPr>
            </w:pPr>
            <w:r>
              <w:rPr>
                <w:color w:val="auto"/>
                <w:kern w:val="0"/>
                <w:sz w:val="24"/>
              </w:rPr>
              <w:t>经现场调查，本项目厂界外500m范围内不涉及自然保护区、风景名胜区等需特殊保护的敏感区域，以及地下水集中式饮用水水源和热水、矿泉水、温泉等特殊地下水资源</w:t>
            </w:r>
            <w:r>
              <w:rPr>
                <w:rFonts w:hint="eastAsia"/>
                <w:color w:val="auto"/>
                <w:kern w:val="0"/>
                <w:sz w:val="24"/>
              </w:rPr>
              <w:t>，无地表水保护目标，不涉及生态环境保护目标</w:t>
            </w:r>
            <w:r>
              <w:rPr>
                <w:color w:val="auto"/>
                <w:kern w:val="0"/>
                <w:sz w:val="24"/>
              </w:rPr>
              <w:t>。评价范围主要环境保护目标见表3</w:t>
            </w:r>
            <w:r>
              <w:rPr>
                <w:rFonts w:hint="eastAsia"/>
                <w:color w:val="auto"/>
                <w:kern w:val="0"/>
                <w:sz w:val="24"/>
              </w:rPr>
              <w:t>-</w:t>
            </w:r>
            <w:r>
              <w:rPr>
                <w:rFonts w:hint="eastAsia"/>
                <w:color w:val="auto"/>
                <w:kern w:val="0"/>
                <w:sz w:val="24"/>
                <w:lang w:val="en-US" w:eastAsia="zh-CN"/>
              </w:rPr>
              <w:t>7</w:t>
            </w:r>
            <w:r>
              <w:rPr>
                <w:color w:val="auto"/>
                <w:kern w:val="0"/>
                <w:sz w:val="24"/>
              </w:rPr>
              <w:t>。</w:t>
            </w:r>
          </w:p>
          <w:p>
            <w:pPr>
              <w:adjustRightInd w:val="0"/>
              <w:snapToGrid w:val="0"/>
              <w:spacing w:line="360" w:lineRule="auto"/>
              <w:ind w:firstLine="480" w:firstLineChars="200"/>
              <w:rPr>
                <w:color w:val="auto"/>
                <w:kern w:val="0"/>
                <w:sz w:val="24"/>
              </w:rPr>
            </w:pPr>
            <w:r>
              <w:rPr>
                <w:color w:val="auto"/>
                <w:kern w:val="0"/>
                <w:sz w:val="24"/>
              </w:rPr>
              <w:t>评价范围主要环境保护目标见表3-</w:t>
            </w:r>
            <w:r>
              <w:rPr>
                <w:rFonts w:hint="eastAsia"/>
                <w:color w:val="auto"/>
                <w:kern w:val="0"/>
                <w:sz w:val="24"/>
                <w:lang w:val="en-US" w:eastAsia="zh-CN"/>
              </w:rPr>
              <w:t>7</w:t>
            </w:r>
            <w:r>
              <w:rPr>
                <w:color w:val="auto"/>
                <w:kern w:val="0"/>
                <w:sz w:val="24"/>
              </w:rPr>
              <w:t>，见附图</w:t>
            </w:r>
            <w:r>
              <w:rPr>
                <w:rFonts w:hint="eastAsia"/>
                <w:color w:val="auto"/>
                <w:kern w:val="0"/>
                <w:sz w:val="24"/>
              </w:rPr>
              <w:t>7</w:t>
            </w:r>
            <w:r>
              <w:rPr>
                <w:color w:val="auto"/>
                <w:kern w:val="0"/>
                <w:sz w:val="24"/>
              </w:rPr>
              <w:t>。</w:t>
            </w:r>
          </w:p>
          <w:p>
            <w:pPr>
              <w:ind w:firstLine="482"/>
              <w:jc w:val="center"/>
              <w:rPr>
                <w:b/>
                <w:color w:val="auto"/>
                <w:szCs w:val="21"/>
              </w:rPr>
            </w:pPr>
            <w:r>
              <w:rPr>
                <w:b/>
                <w:color w:val="auto"/>
                <w:szCs w:val="21"/>
              </w:rPr>
              <w:t>表3-</w:t>
            </w:r>
            <w:r>
              <w:rPr>
                <w:rFonts w:hint="eastAsia"/>
                <w:b/>
                <w:color w:val="auto"/>
                <w:szCs w:val="21"/>
                <w:lang w:val="en-US" w:eastAsia="zh-CN"/>
              </w:rPr>
              <w:t>7</w:t>
            </w:r>
            <w:r>
              <w:rPr>
                <w:b/>
                <w:color w:val="auto"/>
                <w:szCs w:val="21"/>
              </w:rPr>
              <w:t xml:space="preserve"> 主要环境保护目标</w:t>
            </w:r>
          </w:p>
          <w:tbl>
            <w:tblPr>
              <w:tblStyle w:val="18"/>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218"/>
              <w:gridCol w:w="1328"/>
              <w:gridCol w:w="1355"/>
              <w:gridCol w:w="510"/>
              <w:gridCol w:w="1036"/>
              <w:gridCol w:w="1036"/>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4" w:hRule="atLeast"/>
              </w:trPr>
              <w:tc>
                <w:tcPr>
                  <w:tcW w:w="319" w:type="pct"/>
                  <w:vMerge w:val="restart"/>
                  <w:vAlign w:val="center"/>
                </w:tcPr>
                <w:p>
                  <w:pPr>
                    <w:snapToGrid w:val="0"/>
                    <w:spacing w:before="100" w:beforeAutospacing="1" w:after="100" w:afterAutospacing="1"/>
                    <w:jc w:val="center"/>
                    <w:rPr>
                      <w:b/>
                      <w:bCs/>
                      <w:color w:val="auto"/>
                      <w:szCs w:val="21"/>
                    </w:rPr>
                  </w:pPr>
                  <w:r>
                    <w:rPr>
                      <w:b/>
                      <w:bCs/>
                      <w:color w:val="auto"/>
                      <w:szCs w:val="21"/>
                    </w:rPr>
                    <w:t>环境要素</w:t>
                  </w:r>
                </w:p>
              </w:tc>
              <w:tc>
                <w:tcPr>
                  <w:tcW w:w="1597" w:type="pct"/>
                  <w:gridSpan w:val="2"/>
                  <w:vAlign w:val="center"/>
                </w:tcPr>
                <w:p>
                  <w:pPr>
                    <w:snapToGrid w:val="0"/>
                    <w:spacing w:before="100" w:beforeAutospacing="1" w:after="100" w:afterAutospacing="1"/>
                    <w:jc w:val="center"/>
                    <w:rPr>
                      <w:b/>
                      <w:bCs/>
                      <w:color w:val="auto"/>
                      <w:szCs w:val="21"/>
                    </w:rPr>
                  </w:pPr>
                  <w:r>
                    <w:rPr>
                      <w:b/>
                      <w:bCs/>
                      <w:color w:val="auto"/>
                      <w:szCs w:val="21"/>
                    </w:rPr>
                    <w:t>坐标</w:t>
                  </w:r>
                </w:p>
              </w:tc>
              <w:tc>
                <w:tcPr>
                  <w:tcW w:w="850" w:type="pct"/>
                  <w:vMerge w:val="restart"/>
                  <w:vAlign w:val="center"/>
                </w:tcPr>
                <w:p>
                  <w:pPr>
                    <w:snapToGrid w:val="0"/>
                    <w:spacing w:before="100" w:beforeAutospacing="1" w:after="100" w:afterAutospacing="1"/>
                    <w:jc w:val="center"/>
                    <w:rPr>
                      <w:b/>
                      <w:bCs/>
                      <w:color w:val="auto"/>
                      <w:szCs w:val="21"/>
                    </w:rPr>
                  </w:pPr>
                  <w:r>
                    <w:rPr>
                      <w:b/>
                      <w:bCs/>
                      <w:color w:val="auto"/>
                      <w:szCs w:val="21"/>
                    </w:rPr>
                    <w:t>保护对象</w:t>
                  </w:r>
                </w:p>
              </w:tc>
              <w:tc>
                <w:tcPr>
                  <w:tcW w:w="320" w:type="pct"/>
                  <w:vMerge w:val="restart"/>
                  <w:vAlign w:val="center"/>
                </w:tcPr>
                <w:p>
                  <w:pPr>
                    <w:snapToGrid w:val="0"/>
                    <w:spacing w:before="100" w:beforeAutospacing="1" w:after="100" w:afterAutospacing="1"/>
                    <w:jc w:val="center"/>
                    <w:rPr>
                      <w:b/>
                      <w:bCs/>
                      <w:color w:val="auto"/>
                      <w:szCs w:val="21"/>
                    </w:rPr>
                  </w:pPr>
                  <w:r>
                    <w:rPr>
                      <w:b/>
                      <w:bCs/>
                      <w:color w:val="auto"/>
                      <w:szCs w:val="21"/>
                    </w:rPr>
                    <w:t>保护内容</w:t>
                  </w:r>
                </w:p>
              </w:tc>
              <w:tc>
                <w:tcPr>
                  <w:tcW w:w="650" w:type="pct"/>
                  <w:vMerge w:val="restart"/>
                  <w:vAlign w:val="center"/>
                </w:tcPr>
                <w:p>
                  <w:pPr>
                    <w:snapToGrid w:val="0"/>
                    <w:spacing w:before="100" w:beforeAutospacing="1" w:after="100" w:afterAutospacing="1"/>
                    <w:jc w:val="center"/>
                    <w:rPr>
                      <w:b/>
                      <w:bCs/>
                      <w:color w:val="auto"/>
                      <w:szCs w:val="21"/>
                    </w:rPr>
                  </w:pPr>
                  <w:r>
                    <w:rPr>
                      <w:rFonts w:hint="eastAsia"/>
                      <w:b/>
                      <w:bCs/>
                      <w:color w:val="auto"/>
                      <w:szCs w:val="21"/>
                    </w:rPr>
                    <w:t>环境功能区</w:t>
                  </w:r>
                </w:p>
              </w:tc>
              <w:tc>
                <w:tcPr>
                  <w:tcW w:w="650" w:type="pct"/>
                  <w:vMerge w:val="restart"/>
                  <w:vAlign w:val="center"/>
                </w:tcPr>
                <w:p>
                  <w:pPr>
                    <w:snapToGrid w:val="0"/>
                    <w:spacing w:before="100" w:beforeAutospacing="1" w:after="100" w:afterAutospacing="1"/>
                    <w:jc w:val="center"/>
                    <w:rPr>
                      <w:b/>
                      <w:bCs/>
                      <w:color w:val="auto"/>
                      <w:szCs w:val="21"/>
                    </w:rPr>
                  </w:pPr>
                  <w:r>
                    <w:rPr>
                      <w:b/>
                      <w:bCs/>
                      <w:color w:val="auto"/>
                      <w:szCs w:val="21"/>
                    </w:rPr>
                    <w:t>相对厂址方向</w:t>
                  </w:r>
                </w:p>
              </w:tc>
              <w:tc>
                <w:tcPr>
                  <w:tcW w:w="612" w:type="pct"/>
                  <w:vMerge w:val="restart"/>
                  <w:vAlign w:val="center"/>
                </w:tcPr>
                <w:p>
                  <w:pPr>
                    <w:snapToGrid w:val="0"/>
                    <w:spacing w:before="100" w:beforeAutospacing="1" w:after="100" w:afterAutospacing="1"/>
                    <w:jc w:val="center"/>
                    <w:rPr>
                      <w:b/>
                      <w:bCs/>
                      <w:color w:val="auto"/>
                      <w:szCs w:val="21"/>
                    </w:rPr>
                  </w:pPr>
                  <w:r>
                    <w:rPr>
                      <w:b/>
                      <w:bCs/>
                      <w:color w:val="auto"/>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b/>
                      <w:bCs/>
                      <w:color w:val="auto"/>
                      <w:szCs w:val="21"/>
                    </w:rPr>
                  </w:pPr>
                  <w:r>
                    <w:rPr>
                      <w:b/>
                      <w:bCs/>
                      <w:color w:val="auto"/>
                      <w:szCs w:val="21"/>
                    </w:rPr>
                    <w:t>X</w:t>
                  </w:r>
                </w:p>
              </w:tc>
              <w:tc>
                <w:tcPr>
                  <w:tcW w:w="833" w:type="pct"/>
                  <w:vAlign w:val="center"/>
                </w:tcPr>
                <w:p>
                  <w:pPr>
                    <w:snapToGrid w:val="0"/>
                    <w:spacing w:before="100" w:beforeAutospacing="1" w:after="100" w:afterAutospacing="1"/>
                    <w:jc w:val="center"/>
                    <w:rPr>
                      <w:b/>
                      <w:bCs/>
                      <w:color w:val="auto"/>
                      <w:szCs w:val="21"/>
                    </w:rPr>
                  </w:pPr>
                  <w:r>
                    <w:rPr>
                      <w:b/>
                      <w:bCs/>
                      <w:color w:val="auto"/>
                      <w:szCs w:val="21"/>
                    </w:rPr>
                    <w:t>Y</w:t>
                  </w:r>
                </w:p>
              </w:tc>
              <w:tc>
                <w:tcPr>
                  <w:tcW w:w="850" w:type="pct"/>
                  <w:vMerge w:val="continue"/>
                  <w:vAlign w:val="center"/>
                </w:tcPr>
                <w:p>
                  <w:pPr>
                    <w:snapToGrid w:val="0"/>
                    <w:spacing w:before="100" w:beforeAutospacing="1" w:after="100" w:afterAutospacing="1"/>
                    <w:jc w:val="center"/>
                    <w:rPr>
                      <w:color w:val="auto"/>
                      <w:szCs w:val="21"/>
                    </w:rPr>
                  </w:pP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12" w:type="pct"/>
                  <w:vMerge w:val="continue"/>
                  <w:vAlign w:val="center"/>
                </w:tcPr>
                <w:p>
                  <w:pPr>
                    <w:snapToGrid w:val="0"/>
                    <w:spacing w:before="100" w:beforeAutospacing="1" w:after="100" w:afterAutospacing="1"/>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19" w:type="pct"/>
                  <w:vMerge w:val="restart"/>
                  <w:vAlign w:val="center"/>
                </w:tcPr>
                <w:p>
                  <w:pPr>
                    <w:snapToGrid w:val="0"/>
                    <w:spacing w:before="100" w:beforeAutospacing="1" w:after="100" w:afterAutospacing="1"/>
                    <w:jc w:val="center"/>
                    <w:rPr>
                      <w:color w:val="auto"/>
                      <w:szCs w:val="21"/>
                    </w:rPr>
                  </w:pPr>
                  <w:r>
                    <w:rPr>
                      <w:color w:val="auto"/>
                      <w:szCs w:val="21"/>
                    </w:rPr>
                    <w:t>环境空气</w:t>
                  </w: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539064.372</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3772883.464</w:t>
                  </w:r>
                </w:p>
              </w:tc>
              <w:tc>
                <w:tcPr>
                  <w:tcW w:w="850" w:type="pct"/>
                  <w:vAlign w:val="center"/>
                </w:tcPr>
                <w:p>
                  <w:pPr>
                    <w:snapToGrid w:val="0"/>
                    <w:spacing w:before="100" w:beforeAutospacing="1" w:after="100" w:afterAutospacing="1"/>
                    <w:jc w:val="center"/>
                    <w:rPr>
                      <w:color w:val="auto"/>
                      <w:szCs w:val="21"/>
                    </w:rPr>
                  </w:pPr>
                  <w:r>
                    <w:rPr>
                      <w:color w:val="auto"/>
                      <w:szCs w:val="21"/>
                    </w:rPr>
                    <w:t>何家寨村</w:t>
                  </w:r>
                </w:p>
              </w:tc>
              <w:tc>
                <w:tcPr>
                  <w:tcW w:w="320" w:type="pct"/>
                  <w:vMerge w:val="restart"/>
                  <w:vAlign w:val="center"/>
                </w:tcPr>
                <w:p>
                  <w:pPr>
                    <w:snapToGrid w:val="0"/>
                    <w:spacing w:before="100" w:beforeAutospacing="1" w:after="100" w:afterAutospacing="1"/>
                    <w:jc w:val="center"/>
                    <w:rPr>
                      <w:color w:val="auto"/>
                      <w:szCs w:val="21"/>
                    </w:rPr>
                  </w:pPr>
                  <w:r>
                    <w:rPr>
                      <w:color w:val="auto"/>
                      <w:szCs w:val="21"/>
                    </w:rPr>
                    <w:t>人群健康</w:t>
                  </w:r>
                </w:p>
              </w:tc>
              <w:tc>
                <w:tcPr>
                  <w:tcW w:w="650" w:type="pct"/>
                  <w:vMerge w:val="restart"/>
                  <w:vAlign w:val="center"/>
                </w:tcPr>
                <w:p>
                  <w:pPr>
                    <w:snapToGrid w:val="0"/>
                    <w:spacing w:before="100" w:beforeAutospacing="1" w:after="100" w:afterAutospacing="1"/>
                    <w:jc w:val="center"/>
                    <w:rPr>
                      <w:color w:val="auto"/>
                      <w:szCs w:val="21"/>
                    </w:rPr>
                  </w:pPr>
                  <w:r>
                    <w:rPr>
                      <w:rFonts w:hint="eastAsia"/>
                      <w:color w:val="auto"/>
                      <w:szCs w:val="21"/>
                    </w:rPr>
                    <w:t>二类</w:t>
                  </w: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NE</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46.21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538429.192</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3771771.669</w:t>
                  </w:r>
                </w:p>
              </w:tc>
              <w:tc>
                <w:tcPr>
                  <w:tcW w:w="850" w:type="pct"/>
                  <w:vAlign w:val="center"/>
                </w:tcPr>
                <w:p>
                  <w:pPr>
                    <w:snapToGrid w:val="0"/>
                    <w:spacing w:before="100" w:beforeAutospacing="1" w:after="100" w:afterAutospacing="1"/>
                    <w:jc w:val="center"/>
                    <w:rPr>
                      <w:color w:val="auto"/>
                      <w:szCs w:val="21"/>
                    </w:rPr>
                  </w:pPr>
                  <w:r>
                    <w:rPr>
                      <w:color w:val="auto"/>
                      <w:szCs w:val="21"/>
                    </w:rPr>
                    <w:t>耿西村</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S</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31.09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538025.597</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3771409.431</w:t>
                  </w:r>
                </w:p>
              </w:tc>
              <w:tc>
                <w:tcPr>
                  <w:tcW w:w="850" w:type="pct"/>
                  <w:vAlign w:val="center"/>
                </w:tcPr>
                <w:p>
                  <w:pPr>
                    <w:snapToGrid w:val="0"/>
                    <w:spacing w:before="100" w:beforeAutospacing="1" w:after="100" w:afterAutospacing="1"/>
                    <w:jc w:val="center"/>
                    <w:rPr>
                      <w:color w:val="auto"/>
                      <w:szCs w:val="21"/>
                    </w:rPr>
                  </w:pPr>
                  <w:r>
                    <w:rPr>
                      <w:color w:val="auto"/>
                      <w:szCs w:val="21"/>
                    </w:rPr>
                    <w:t>耿西村三组</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S</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412.73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537355.911</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3772704.575</w:t>
                  </w:r>
                </w:p>
              </w:tc>
              <w:tc>
                <w:tcPr>
                  <w:tcW w:w="850" w:type="pct"/>
                  <w:vAlign w:val="center"/>
                </w:tcPr>
                <w:p>
                  <w:pPr>
                    <w:snapToGrid w:val="0"/>
                    <w:spacing w:before="100" w:beforeAutospacing="1" w:after="100" w:afterAutospacing="1"/>
                    <w:jc w:val="center"/>
                    <w:rPr>
                      <w:color w:val="auto"/>
                      <w:szCs w:val="21"/>
                    </w:rPr>
                  </w:pPr>
                  <w:r>
                    <w:rPr>
                      <w:color w:val="auto"/>
                      <w:szCs w:val="21"/>
                    </w:rPr>
                    <w:t>集贤镇东村</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N</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48.89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537448.733</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3773394.614</w:t>
                  </w:r>
                </w:p>
              </w:tc>
              <w:tc>
                <w:tcPr>
                  <w:tcW w:w="850" w:type="pct"/>
                  <w:vAlign w:val="center"/>
                </w:tcPr>
                <w:p>
                  <w:pPr>
                    <w:snapToGrid w:val="0"/>
                    <w:spacing w:before="100" w:beforeAutospacing="1" w:after="100" w:afterAutospacing="1"/>
                    <w:jc w:val="center"/>
                    <w:rPr>
                      <w:color w:val="auto"/>
                      <w:szCs w:val="21"/>
                    </w:rPr>
                  </w:pPr>
                  <w:r>
                    <w:rPr>
                      <w:color w:val="auto"/>
                      <w:szCs w:val="21"/>
                    </w:rPr>
                    <w:t>集贤镇初级中学</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N</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478.99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536238.629</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3771999.243</w:t>
                  </w:r>
                </w:p>
              </w:tc>
              <w:tc>
                <w:tcPr>
                  <w:tcW w:w="850" w:type="pct"/>
                  <w:vAlign w:val="center"/>
                </w:tcPr>
                <w:p>
                  <w:pPr>
                    <w:snapToGrid w:val="0"/>
                    <w:spacing w:before="100" w:beforeAutospacing="1" w:after="100" w:afterAutospacing="1"/>
                    <w:jc w:val="center"/>
                    <w:rPr>
                      <w:color w:val="auto"/>
                      <w:szCs w:val="21"/>
                    </w:rPr>
                  </w:pPr>
                  <w:r>
                    <w:rPr>
                      <w:color w:val="auto"/>
                      <w:szCs w:val="21"/>
                    </w:rPr>
                    <w:t>高新区第五高级中学</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W</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49.69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535824.521</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3772038.126</w:t>
                  </w:r>
                </w:p>
              </w:tc>
              <w:tc>
                <w:tcPr>
                  <w:tcW w:w="850" w:type="pct"/>
                  <w:vAlign w:val="center"/>
                </w:tcPr>
                <w:p>
                  <w:pPr>
                    <w:snapToGrid w:val="0"/>
                    <w:spacing w:before="100" w:beforeAutospacing="1" w:after="100" w:afterAutospacing="1"/>
                    <w:jc w:val="center"/>
                    <w:rPr>
                      <w:color w:val="auto"/>
                      <w:szCs w:val="21"/>
                    </w:rPr>
                  </w:pPr>
                  <w:r>
                    <w:rPr>
                      <w:color w:val="auto"/>
                      <w:szCs w:val="21"/>
                    </w:rPr>
                    <w:t>高新区第六学校</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W</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469.42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restart"/>
                  <w:vAlign w:val="center"/>
                </w:tcPr>
                <w:p>
                  <w:pPr>
                    <w:snapToGrid w:val="0"/>
                    <w:spacing w:before="100" w:beforeAutospacing="1" w:after="100" w:afterAutospacing="1"/>
                    <w:jc w:val="center"/>
                    <w:rPr>
                      <w:color w:val="auto"/>
                      <w:szCs w:val="21"/>
                    </w:rPr>
                  </w:pPr>
                  <w:r>
                    <w:rPr>
                      <w:color w:val="auto"/>
                      <w:szCs w:val="21"/>
                    </w:rPr>
                    <w:t>声环境</w:t>
                  </w: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536238.629</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3771999.243</w:t>
                  </w:r>
                </w:p>
              </w:tc>
              <w:tc>
                <w:tcPr>
                  <w:tcW w:w="850" w:type="pct"/>
                  <w:vAlign w:val="center"/>
                </w:tcPr>
                <w:p>
                  <w:pPr>
                    <w:snapToGrid w:val="0"/>
                    <w:spacing w:before="100" w:beforeAutospacing="1" w:after="100" w:afterAutospacing="1"/>
                    <w:jc w:val="center"/>
                    <w:rPr>
                      <w:color w:val="auto"/>
                      <w:szCs w:val="21"/>
                    </w:rPr>
                  </w:pPr>
                  <w:r>
                    <w:rPr>
                      <w:color w:val="auto"/>
                      <w:szCs w:val="21"/>
                    </w:rPr>
                    <w:t>高新区第五高级中学</w:t>
                  </w:r>
                </w:p>
              </w:tc>
              <w:tc>
                <w:tcPr>
                  <w:tcW w:w="320" w:type="pct"/>
                  <w:vMerge w:val="restart"/>
                  <w:vAlign w:val="center"/>
                </w:tcPr>
                <w:p>
                  <w:pPr>
                    <w:snapToGrid w:val="0"/>
                    <w:spacing w:before="100" w:beforeAutospacing="1" w:after="100" w:afterAutospacing="1"/>
                    <w:jc w:val="center"/>
                    <w:rPr>
                      <w:color w:val="auto"/>
                      <w:szCs w:val="21"/>
                    </w:rPr>
                  </w:pPr>
                  <w:r>
                    <w:rPr>
                      <w:color w:val="auto"/>
                      <w:szCs w:val="21"/>
                    </w:rPr>
                    <w:t>声环境质量</w:t>
                  </w:r>
                </w:p>
              </w:tc>
              <w:tc>
                <w:tcPr>
                  <w:tcW w:w="650" w:type="pct"/>
                  <w:vMerge w:val="restart"/>
                  <w:vAlign w:val="center"/>
                </w:tcPr>
                <w:p>
                  <w:pPr>
                    <w:snapToGrid w:val="0"/>
                    <w:spacing w:before="100" w:beforeAutospacing="1" w:after="100" w:afterAutospacing="1"/>
                    <w:jc w:val="center"/>
                    <w:rPr>
                      <w:color w:val="auto"/>
                      <w:szCs w:val="21"/>
                    </w:rPr>
                  </w:pPr>
                  <w:r>
                    <w:rPr>
                      <w:rFonts w:hint="eastAsia"/>
                      <w:color w:val="auto"/>
                      <w:szCs w:val="21"/>
                    </w:rPr>
                    <w:t>二类</w:t>
                  </w: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W</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49.69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537355.911</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3772704.575</w:t>
                  </w:r>
                </w:p>
              </w:tc>
              <w:tc>
                <w:tcPr>
                  <w:tcW w:w="850" w:type="pct"/>
                  <w:vAlign w:val="center"/>
                </w:tcPr>
                <w:p>
                  <w:pPr>
                    <w:snapToGrid w:val="0"/>
                    <w:spacing w:before="100" w:beforeAutospacing="1" w:after="100" w:afterAutospacing="1"/>
                    <w:jc w:val="center"/>
                    <w:rPr>
                      <w:color w:val="auto"/>
                      <w:szCs w:val="21"/>
                    </w:rPr>
                  </w:pPr>
                  <w:r>
                    <w:rPr>
                      <w:color w:val="auto"/>
                      <w:szCs w:val="21"/>
                    </w:rPr>
                    <w:t>集贤镇东村</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N</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48.89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538429.192</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3771771.669</w:t>
                  </w:r>
                </w:p>
              </w:tc>
              <w:tc>
                <w:tcPr>
                  <w:tcW w:w="850" w:type="pct"/>
                  <w:vAlign w:val="center"/>
                </w:tcPr>
                <w:p>
                  <w:pPr>
                    <w:snapToGrid w:val="0"/>
                    <w:spacing w:before="100" w:beforeAutospacing="1" w:after="100" w:afterAutospacing="1"/>
                    <w:jc w:val="center"/>
                    <w:rPr>
                      <w:color w:val="auto"/>
                      <w:szCs w:val="21"/>
                    </w:rPr>
                  </w:pPr>
                  <w:r>
                    <w:rPr>
                      <w:color w:val="auto"/>
                      <w:szCs w:val="21"/>
                    </w:rPr>
                    <w:t>耿西村</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S</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31.09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Merge w:val="continue"/>
                  <w:vAlign w:val="center"/>
                </w:tcPr>
                <w:p>
                  <w:pPr>
                    <w:snapToGrid w:val="0"/>
                    <w:spacing w:before="100" w:beforeAutospacing="1" w:after="100" w:afterAutospacing="1"/>
                    <w:jc w:val="center"/>
                    <w:rPr>
                      <w:color w:val="auto"/>
                      <w:szCs w:val="21"/>
                    </w:rPr>
                  </w:pPr>
                </w:p>
              </w:tc>
              <w:tc>
                <w:tcPr>
                  <w:tcW w:w="764" w:type="pct"/>
                  <w:vAlign w:val="center"/>
                </w:tcPr>
                <w:p>
                  <w:pPr>
                    <w:snapToGrid w:val="0"/>
                    <w:spacing w:before="100" w:beforeAutospacing="1" w:after="100" w:afterAutospacing="1"/>
                    <w:jc w:val="center"/>
                    <w:rPr>
                      <w:color w:val="auto"/>
                      <w:szCs w:val="21"/>
                    </w:rPr>
                  </w:pPr>
                  <w:r>
                    <w:rPr>
                      <w:rFonts w:hint="eastAsia"/>
                      <w:color w:val="auto"/>
                      <w:szCs w:val="21"/>
                    </w:rPr>
                    <w:t>539064.372</w:t>
                  </w:r>
                </w:p>
              </w:tc>
              <w:tc>
                <w:tcPr>
                  <w:tcW w:w="833" w:type="pct"/>
                  <w:vAlign w:val="center"/>
                </w:tcPr>
                <w:p>
                  <w:pPr>
                    <w:snapToGrid w:val="0"/>
                    <w:spacing w:before="100" w:beforeAutospacing="1" w:after="100" w:afterAutospacing="1"/>
                    <w:jc w:val="center"/>
                    <w:rPr>
                      <w:color w:val="auto"/>
                      <w:szCs w:val="21"/>
                    </w:rPr>
                  </w:pPr>
                  <w:r>
                    <w:rPr>
                      <w:rFonts w:hint="eastAsia"/>
                      <w:color w:val="auto"/>
                      <w:szCs w:val="21"/>
                    </w:rPr>
                    <w:t>3772883.464</w:t>
                  </w:r>
                </w:p>
              </w:tc>
              <w:tc>
                <w:tcPr>
                  <w:tcW w:w="850" w:type="pct"/>
                  <w:vAlign w:val="center"/>
                </w:tcPr>
                <w:p>
                  <w:pPr>
                    <w:snapToGrid w:val="0"/>
                    <w:spacing w:before="100" w:beforeAutospacing="1" w:after="100" w:afterAutospacing="1"/>
                    <w:jc w:val="center"/>
                    <w:rPr>
                      <w:color w:val="auto"/>
                      <w:szCs w:val="21"/>
                    </w:rPr>
                  </w:pPr>
                  <w:r>
                    <w:rPr>
                      <w:color w:val="auto"/>
                      <w:szCs w:val="21"/>
                    </w:rPr>
                    <w:t>何家寨村</w:t>
                  </w:r>
                </w:p>
              </w:tc>
              <w:tc>
                <w:tcPr>
                  <w:tcW w:w="320" w:type="pct"/>
                  <w:vMerge w:val="continue"/>
                  <w:vAlign w:val="center"/>
                </w:tcPr>
                <w:p>
                  <w:pPr>
                    <w:snapToGrid w:val="0"/>
                    <w:spacing w:before="100" w:beforeAutospacing="1" w:after="100" w:afterAutospacing="1"/>
                    <w:jc w:val="center"/>
                    <w:rPr>
                      <w:color w:val="auto"/>
                      <w:szCs w:val="21"/>
                    </w:rPr>
                  </w:pPr>
                </w:p>
              </w:tc>
              <w:tc>
                <w:tcPr>
                  <w:tcW w:w="650" w:type="pct"/>
                  <w:vMerge w:val="continue"/>
                  <w:vAlign w:val="center"/>
                </w:tcPr>
                <w:p>
                  <w:pPr>
                    <w:snapToGrid w:val="0"/>
                    <w:spacing w:before="100" w:beforeAutospacing="1" w:after="100" w:afterAutospacing="1"/>
                    <w:jc w:val="center"/>
                    <w:rPr>
                      <w:color w:val="auto"/>
                      <w:szCs w:val="21"/>
                    </w:rPr>
                  </w:pPr>
                </w:p>
              </w:tc>
              <w:tc>
                <w:tcPr>
                  <w:tcW w:w="650" w:type="pct"/>
                  <w:vAlign w:val="center"/>
                </w:tcPr>
                <w:p>
                  <w:pPr>
                    <w:snapToGrid w:val="0"/>
                    <w:spacing w:before="100" w:beforeAutospacing="1" w:after="100" w:afterAutospacing="1"/>
                    <w:jc w:val="center"/>
                    <w:rPr>
                      <w:color w:val="auto"/>
                      <w:szCs w:val="21"/>
                    </w:rPr>
                  </w:pPr>
                  <w:r>
                    <w:rPr>
                      <w:rFonts w:hint="eastAsia"/>
                      <w:color w:val="auto"/>
                      <w:szCs w:val="21"/>
                    </w:rPr>
                    <w:t>NE</w:t>
                  </w:r>
                </w:p>
              </w:tc>
              <w:tc>
                <w:tcPr>
                  <w:tcW w:w="612" w:type="pct"/>
                  <w:vAlign w:val="center"/>
                </w:tcPr>
                <w:p>
                  <w:pPr>
                    <w:snapToGrid w:val="0"/>
                    <w:spacing w:before="100" w:beforeAutospacing="1" w:after="100" w:afterAutospacing="1"/>
                    <w:jc w:val="center"/>
                    <w:rPr>
                      <w:color w:val="auto"/>
                      <w:szCs w:val="21"/>
                    </w:rPr>
                  </w:pPr>
                  <w:r>
                    <w:rPr>
                      <w:rFonts w:hint="eastAsia"/>
                      <w:color w:val="auto"/>
                      <w:szCs w:val="21"/>
                    </w:rPr>
                    <w:t>46.21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Align w:val="center"/>
                </w:tcPr>
                <w:p>
                  <w:pPr>
                    <w:snapToGrid w:val="0"/>
                    <w:spacing w:before="100" w:beforeAutospacing="1" w:after="100" w:afterAutospacing="1"/>
                    <w:jc w:val="center"/>
                    <w:rPr>
                      <w:rFonts w:hint="eastAsia" w:eastAsia="宋体"/>
                      <w:color w:val="auto"/>
                      <w:szCs w:val="21"/>
                      <w:lang w:val="en-US" w:eastAsia="zh-CN"/>
                    </w:rPr>
                  </w:pPr>
                  <w:r>
                    <w:rPr>
                      <w:rFonts w:hint="eastAsia"/>
                      <w:color w:val="auto"/>
                      <w:szCs w:val="21"/>
                      <w:lang w:val="en-US" w:eastAsia="zh-CN"/>
                    </w:rPr>
                    <w:t>地下水</w:t>
                  </w:r>
                </w:p>
              </w:tc>
              <w:tc>
                <w:tcPr>
                  <w:tcW w:w="2447" w:type="pct"/>
                  <w:gridSpan w:val="3"/>
                  <w:vAlign w:val="center"/>
                </w:tcPr>
                <w:p>
                  <w:pPr>
                    <w:snapToGrid w:val="0"/>
                    <w:spacing w:before="100" w:beforeAutospacing="1" w:after="100" w:afterAutospacing="1"/>
                    <w:jc w:val="center"/>
                    <w:rPr>
                      <w:rFonts w:hint="default" w:eastAsia="宋体"/>
                      <w:color w:val="auto"/>
                      <w:szCs w:val="21"/>
                      <w:lang w:val="en-US" w:eastAsia="zh-CN"/>
                    </w:rPr>
                  </w:pPr>
                  <w:r>
                    <w:rPr>
                      <w:rFonts w:hint="eastAsia"/>
                      <w:color w:val="auto"/>
                      <w:szCs w:val="21"/>
                      <w:lang w:val="en-US" w:eastAsia="zh-CN"/>
                    </w:rPr>
                    <w:t>项目厂区及其附近区域</w:t>
                  </w:r>
                </w:p>
              </w:tc>
              <w:tc>
                <w:tcPr>
                  <w:tcW w:w="320" w:type="pct"/>
                  <w:vAlign w:val="center"/>
                </w:tcPr>
                <w:p>
                  <w:pPr>
                    <w:snapToGrid w:val="0"/>
                    <w:spacing w:before="100" w:beforeAutospacing="1" w:after="100" w:afterAutospacing="1"/>
                    <w:jc w:val="center"/>
                    <w:rPr>
                      <w:rFonts w:hint="default" w:eastAsia="宋体"/>
                      <w:color w:val="auto"/>
                      <w:szCs w:val="21"/>
                      <w:lang w:val="en-US" w:eastAsia="zh-CN"/>
                    </w:rPr>
                  </w:pPr>
                  <w:r>
                    <w:rPr>
                      <w:rFonts w:hint="eastAsia"/>
                      <w:color w:val="auto"/>
                      <w:szCs w:val="21"/>
                      <w:lang w:val="en-US" w:eastAsia="zh-CN"/>
                    </w:rPr>
                    <w:t>地下水质量</w:t>
                  </w:r>
                </w:p>
              </w:tc>
              <w:tc>
                <w:tcPr>
                  <w:tcW w:w="1912" w:type="pct"/>
                  <w:gridSpan w:val="3"/>
                  <w:vAlign w:val="center"/>
                </w:tcPr>
                <w:p>
                  <w:pPr>
                    <w:snapToGrid w:val="0"/>
                    <w:spacing w:before="100" w:beforeAutospacing="1" w:after="100" w:afterAutospacing="1"/>
                    <w:jc w:val="center"/>
                    <w:rPr>
                      <w:rFonts w:hint="eastAsia"/>
                      <w:color w:val="auto"/>
                      <w:szCs w:val="21"/>
                    </w:rPr>
                  </w:pPr>
                  <w:r>
                    <w:rPr>
                      <w:rFonts w:hint="eastAsia"/>
                      <w:color w:val="auto"/>
                    </w:rPr>
                    <w:t>《地下水质量标准》（GB/14848-2017）Ⅲ类标准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9" w:type="pct"/>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土壤</w:t>
                  </w:r>
                </w:p>
              </w:tc>
              <w:tc>
                <w:tcPr>
                  <w:tcW w:w="2447" w:type="pct"/>
                  <w:gridSpan w:val="3"/>
                  <w:vAlign w:val="center"/>
                </w:tcPr>
                <w:p>
                  <w:pPr>
                    <w:adjustRightInd w:val="0"/>
                    <w:snapToGrid w:val="0"/>
                    <w:jc w:val="center"/>
                    <w:rPr>
                      <w:rFonts w:hint="eastAsia" w:ascii="Times New Roman" w:hAnsi="Times New Roman" w:eastAsia="宋体" w:cs="Times New Roman"/>
                      <w:color w:val="auto"/>
                      <w:kern w:val="2"/>
                      <w:sz w:val="21"/>
                      <w:szCs w:val="24"/>
                      <w:lang w:val="en-US" w:eastAsia="zh-CN" w:bidi="ar-SA"/>
                    </w:rPr>
                  </w:pPr>
                  <w:r>
                    <w:rPr>
                      <w:rFonts w:hint="eastAsia"/>
                      <w:color w:val="auto"/>
                    </w:rPr>
                    <w:t>项目厂区及其附近区域</w:t>
                  </w:r>
                </w:p>
              </w:tc>
              <w:tc>
                <w:tcPr>
                  <w:tcW w:w="320" w:type="pct"/>
                  <w:vAlign w:val="center"/>
                </w:tcPr>
                <w:p>
                  <w:pPr>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土壤质量</w:t>
                  </w:r>
                </w:p>
              </w:tc>
              <w:tc>
                <w:tcPr>
                  <w:tcW w:w="1912" w:type="pct"/>
                  <w:gridSpan w:val="3"/>
                  <w:vAlign w:val="center"/>
                </w:tcPr>
                <w:p>
                  <w:pPr>
                    <w:adjustRightInd w:val="0"/>
                    <w:snapToGrid w:val="0"/>
                    <w:jc w:val="center"/>
                    <w:rPr>
                      <w:rFonts w:hint="eastAsia" w:ascii="Times New Roman" w:hAnsi="Times New Roman" w:eastAsia="宋体" w:cs="Times New Roman"/>
                      <w:color w:val="auto"/>
                      <w:kern w:val="2"/>
                      <w:sz w:val="21"/>
                      <w:szCs w:val="24"/>
                      <w:lang w:val="en-US" w:eastAsia="zh-CN" w:bidi="ar-SA"/>
                    </w:rPr>
                  </w:pPr>
                  <w:r>
                    <w:rPr>
                      <w:rFonts w:hint="eastAsia"/>
                      <w:color w:val="auto"/>
                    </w:rPr>
                    <w:t>《土壤环境质量 建设用地土壤污染风险管控标准》（GB36600-2018）中第二类</w:t>
                  </w:r>
                </w:p>
              </w:tc>
            </w:tr>
          </w:tbl>
          <w:p>
            <w:pPr>
              <w:adjustRightInd w:val="0"/>
              <w:snapToGrid w:val="0"/>
              <w:spacing w:line="360" w:lineRule="auto"/>
              <w:ind w:firstLine="480"/>
              <w:rPr>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1" w:hRule="atLeast"/>
          <w:jc w:val="center"/>
        </w:trPr>
        <w:tc>
          <w:tcPr>
            <w:tcW w:w="800" w:type="dxa"/>
            <w:tcMar>
              <w:left w:w="28" w:type="dxa"/>
              <w:right w:w="28" w:type="dxa"/>
            </w:tcMar>
            <w:vAlign w:val="center"/>
          </w:tcPr>
          <w:p>
            <w:pPr>
              <w:adjustRightInd w:val="0"/>
              <w:snapToGrid w:val="0"/>
              <w:jc w:val="center"/>
              <w:rPr>
                <w:color w:val="auto"/>
                <w:kern w:val="0"/>
                <w:sz w:val="24"/>
              </w:rPr>
            </w:pPr>
            <w:r>
              <w:rPr>
                <w:color w:val="auto"/>
                <w:kern w:val="0"/>
                <w:sz w:val="24"/>
              </w:rPr>
              <w:t>污染</w:t>
            </w:r>
          </w:p>
          <w:p>
            <w:pPr>
              <w:adjustRightInd w:val="0"/>
              <w:snapToGrid w:val="0"/>
              <w:jc w:val="center"/>
              <w:rPr>
                <w:color w:val="auto"/>
                <w:kern w:val="0"/>
                <w:sz w:val="24"/>
              </w:rPr>
            </w:pPr>
            <w:r>
              <w:rPr>
                <w:color w:val="auto"/>
                <w:kern w:val="0"/>
                <w:sz w:val="24"/>
              </w:rPr>
              <w:t>物排</w:t>
            </w:r>
          </w:p>
          <w:p>
            <w:pPr>
              <w:adjustRightInd w:val="0"/>
              <w:snapToGrid w:val="0"/>
              <w:jc w:val="center"/>
              <w:rPr>
                <w:color w:val="auto"/>
                <w:kern w:val="0"/>
                <w:sz w:val="24"/>
              </w:rPr>
            </w:pPr>
            <w:r>
              <w:rPr>
                <w:color w:val="auto"/>
                <w:kern w:val="0"/>
                <w:sz w:val="24"/>
              </w:rPr>
              <w:t>放控</w:t>
            </w:r>
          </w:p>
          <w:p>
            <w:pPr>
              <w:adjustRightInd w:val="0"/>
              <w:snapToGrid w:val="0"/>
              <w:jc w:val="center"/>
              <w:rPr>
                <w:color w:val="auto"/>
                <w:kern w:val="0"/>
                <w:sz w:val="24"/>
              </w:rPr>
            </w:pPr>
            <w:r>
              <w:rPr>
                <w:color w:val="auto"/>
                <w:kern w:val="0"/>
                <w:sz w:val="24"/>
              </w:rPr>
              <w:t>制标</w:t>
            </w:r>
          </w:p>
          <w:p>
            <w:pPr>
              <w:adjustRightInd w:val="0"/>
              <w:snapToGrid w:val="0"/>
              <w:jc w:val="center"/>
              <w:rPr>
                <w:color w:val="auto"/>
                <w:kern w:val="0"/>
                <w:szCs w:val="21"/>
              </w:rPr>
            </w:pPr>
            <w:r>
              <w:rPr>
                <w:color w:val="auto"/>
                <w:kern w:val="0"/>
                <w:sz w:val="24"/>
              </w:rPr>
              <w:t>准</w:t>
            </w:r>
          </w:p>
        </w:tc>
        <w:tc>
          <w:tcPr>
            <w:tcW w:w="8190" w:type="dxa"/>
            <w:vAlign w:val="center"/>
          </w:tcPr>
          <w:p>
            <w:pPr>
              <w:adjustRightInd w:val="0"/>
              <w:snapToGrid w:val="0"/>
              <w:spacing w:line="360" w:lineRule="auto"/>
              <w:rPr>
                <w:b/>
                <w:bCs/>
                <w:color w:val="auto"/>
                <w:kern w:val="0"/>
                <w:sz w:val="24"/>
              </w:rPr>
            </w:pPr>
            <w:r>
              <w:rPr>
                <w:b/>
                <w:bCs/>
                <w:color w:val="auto"/>
                <w:kern w:val="0"/>
                <w:sz w:val="24"/>
              </w:rPr>
              <w:t>1、废气</w:t>
            </w:r>
          </w:p>
          <w:p>
            <w:pPr>
              <w:adjustRightInd w:val="0"/>
              <w:snapToGrid w:val="0"/>
              <w:spacing w:line="360" w:lineRule="auto"/>
              <w:ind w:firstLine="480" w:firstLineChars="200"/>
              <w:rPr>
                <w:color w:val="auto"/>
                <w:kern w:val="0"/>
                <w:sz w:val="24"/>
              </w:rPr>
            </w:pPr>
            <w:r>
              <w:rPr>
                <w:color w:val="auto"/>
                <w:kern w:val="0"/>
                <w:sz w:val="24"/>
              </w:rPr>
              <w:t>项目运营期产生的无组织颗粒物执行《合成树脂工业污染物排放标准》（GB31572-2015）表9中企业边界大气污染物浓度限</w:t>
            </w:r>
            <w:r>
              <w:rPr>
                <w:rFonts w:hint="eastAsia"/>
                <w:color w:val="auto"/>
                <w:kern w:val="0"/>
                <w:sz w:val="24"/>
              </w:rPr>
              <w:t>值</w:t>
            </w:r>
            <w:r>
              <w:rPr>
                <w:rStyle w:val="22"/>
                <w:rFonts w:hint="eastAsia"/>
                <w:color w:val="auto"/>
                <w:kern w:val="0"/>
                <w:szCs w:val="20"/>
              </w:rPr>
              <w:t>，</w:t>
            </w:r>
            <w:r>
              <w:rPr>
                <w:rFonts w:hint="eastAsia"/>
                <w:color w:val="auto"/>
                <w:kern w:val="0"/>
                <w:sz w:val="24"/>
              </w:rPr>
              <w:t>有组织颗粒物执行</w:t>
            </w:r>
            <w:r>
              <w:rPr>
                <w:color w:val="auto"/>
                <w:kern w:val="0"/>
                <w:sz w:val="24"/>
              </w:rPr>
              <w:t>《合成树脂工业污染物排放标准》（GB31572-2015）表5中大气污染物特别排放限</w:t>
            </w:r>
            <w:r>
              <w:rPr>
                <w:rFonts w:hint="eastAsia"/>
                <w:color w:val="auto"/>
                <w:kern w:val="0"/>
                <w:sz w:val="24"/>
              </w:rPr>
              <w:t>值。</w:t>
            </w:r>
          </w:p>
          <w:p>
            <w:pPr>
              <w:adjustRightInd w:val="0"/>
              <w:snapToGrid w:val="0"/>
              <w:spacing w:line="360" w:lineRule="auto"/>
              <w:ind w:firstLine="480" w:firstLineChars="200"/>
              <w:rPr>
                <w:color w:val="auto"/>
                <w:kern w:val="0"/>
                <w:sz w:val="24"/>
              </w:rPr>
            </w:pPr>
            <w:r>
              <w:rPr>
                <w:color w:val="auto"/>
                <w:kern w:val="0"/>
                <w:sz w:val="24"/>
              </w:rPr>
              <w:t>有组织废气非甲烷总烃执行《合成树脂工业污染物排放标准》（GB31572-2015）表5中大气污染物特别排放限</w:t>
            </w:r>
            <w:r>
              <w:rPr>
                <w:rFonts w:hint="eastAsia"/>
                <w:color w:val="auto"/>
                <w:kern w:val="0"/>
                <w:sz w:val="24"/>
              </w:rPr>
              <w:t>值</w:t>
            </w:r>
            <w:r>
              <w:rPr>
                <w:color w:val="auto"/>
                <w:kern w:val="0"/>
                <w:sz w:val="24"/>
              </w:rPr>
              <w:t>，无组织废气非甲烷总烃执行《合成树脂工业污染物排放标准》（GB31572-2015）表9中企业边界大气污染物浓度限</w:t>
            </w:r>
            <w:r>
              <w:rPr>
                <w:rFonts w:hint="eastAsia"/>
                <w:color w:val="auto"/>
                <w:kern w:val="0"/>
                <w:sz w:val="24"/>
              </w:rPr>
              <w:t>值</w:t>
            </w:r>
            <w:r>
              <w:rPr>
                <w:color w:val="auto"/>
                <w:kern w:val="0"/>
                <w:sz w:val="24"/>
              </w:rPr>
              <w:t>。具体执行标准及限值见表3-</w:t>
            </w:r>
            <w:r>
              <w:rPr>
                <w:rFonts w:hint="eastAsia"/>
                <w:color w:val="auto"/>
                <w:kern w:val="0"/>
                <w:sz w:val="24"/>
                <w:lang w:val="en-US" w:eastAsia="zh-CN"/>
              </w:rPr>
              <w:t>8</w:t>
            </w:r>
            <w:r>
              <w:rPr>
                <w:rFonts w:hint="eastAsia"/>
                <w:color w:val="auto"/>
                <w:kern w:val="0"/>
                <w:sz w:val="24"/>
              </w:rPr>
              <w:t>。</w:t>
            </w:r>
          </w:p>
          <w:p>
            <w:pPr>
              <w:adjustRightInd w:val="0"/>
              <w:snapToGrid w:val="0"/>
              <w:jc w:val="center"/>
              <w:rPr>
                <w:b/>
                <w:bCs/>
                <w:color w:val="auto"/>
                <w:kern w:val="0"/>
                <w:szCs w:val="21"/>
              </w:rPr>
            </w:pPr>
            <w:r>
              <w:rPr>
                <w:b/>
                <w:bCs/>
                <w:color w:val="auto"/>
                <w:kern w:val="0"/>
                <w:szCs w:val="21"/>
              </w:rPr>
              <w:t>表3-</w:t>
            </w:r>
            <w:r>
              <w:rPr>
                <w:rFonts w:hint="eastAsia"/>
                <w:b/>
                <w:bCs/>
                <w:color w:val="auto"/>
                <w:kern w:val="0"/>
                <w:szCs w:val="21"/>
                <w:lang w:val="en-US" w:eastAsia="zh-CN"/>
              </w:rPr>
              <w:t>8</w:t>
            </w:r>
            <w:r>
              <w:rPr>
                <w:b/>
                <w:bCs/>
                <w:color w:val="auto"/>
                <w:kern w:val="0"/>
                <w:szCs w:val="21"/>
              </w:rPr>
              <w:t xml:space="preserve"> 大气污染物排放标准及限值</w:t>
            </w:r>
          </w:p>
          <w:tbl>
            <w:tblPr>
              <w:tblStyle w:val="19"/>
              <w:tblW w:w="4996" w:type="pct"/>
              <w:tblInd w:w="0" w:type="dxa"/>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29"/>
              <w:gridCol w:w="780"/>
              <w:gridCol w:w="1398"/>
              <w:gridCol w:w="582"/>
              <w:gridCol w:w="775"/>
              <w:gridCol w:w="2178"/>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PrEx>
              <w:tc>
                <w:tcPr>
                  <w:tcW w:w="706" w:type="pct"/>
                  <w:vAlign w:val="center"/>
                </w:tcPr>
                <w:p>
                  <w:pPr>
                    <w:adjustRightInd w:val="0"/>
                    <w:snapToGrid w:val="0"/>
                    <w:jc w:val="center"/>
                    <w:rPr>
                      <w:b/>
                      <w:bCs/>
                      <w:color w:val="auto"/>
                      <w:kern w:val="0"/>
                      <w:szCs w:val="21"/>
                    </w:rPr>
                  </w:pPr>
                  <w:r>
                    <w:rPr>
                      <w:rFonts w:hint="eastAsia"/>
                      <w:b/>
                      <w:bCs/>
                      <w:color w:val="auto"/>
                      <w:kern w:val="0"/>
                      <w:szCs w:val="21"/>
                    </w:rPr>
                    <w:t>污染源</w:t>
                  </w:r>
                </w:p>
              </w:tc>
              <w:tc>
                <w:tcPr>
                  <w:tcW w:w="708" w:type="pct"/>
                  <w:vAlign w:val="center"/>
                </w:tcPr>
                <w:p>
                  <w:pPr>
                    <w:adjustRightInd w:val="0"/>
                    <w:snapToGrid w:val="0"/>
                    <w:jc w:val="center"/>
                    <w:rPr>
                      <w:b/>
                      <w:bCs/>
                      <w:color w:val="auto"/>
                      <w:kern w:val="0"/>
                      <w:szCs w:val="21"/>
                    </w:rPr>
                  </w:pPr>
                  <w:r>
                    <w:rPr>
                      <w:b/>
                      <w:bCs/>
                      <w:color w:val="auto"/>
                      <w:kern w:val="0"/>
                      <w:szCs w:val="21"/>
                    </w:rPr>
                    <w:t>污染物名称</w:t>
                  </w:r>
                </w:p>
              </w:tc>
              <w:tc>
                <w:tcPr>
                  <w:tcW w:w="1366" w:type="pct"/>
                  <w:gridSpan w:val="2"/>
                  <w:vAlign w:val="center"/>
                </w:tcPr>
                <w:p>
                  <w:pPr>
                    <w:adjustRightInd w:val="0"/>
                    <w:snapToGrid w:val="0"/>
                    <w:jc w:val="center"/>
                    <w:rPr>
                      <w:b/>
                      <w:bCs/>
                      <w:color w:val="auto"/>
                      <w:kern w:val="0"/>
                      <w:szCs w:val="21"/>
                    </w:rPr>
                  </w:pPr>
                  <w:r>
                    <w:rPr>
                      <w:b/>
                      <w:bCs/>
                      <w:color w:val="auto"/>
                      <w:kern w:val="0"/>
                      <w:szCs w:val="21"/>
                    </w:rPr>
                    <w:t>排放方式</w:t>
                  </w:r>
                </w:p>
              </w:tc>
              <w:tc>
                <w:tcPr>
                  <w:tcW w:w="365" w:type="pct"/>
                  <w:vAlign w:val="center"/>
                </w:tcPr>
                <w:p>
                  <w:pPr>
                    <w:adjustRightInd w:val="0"/>
                    <w:snapToGrid w:val="0"/>
                    <w:jc w:val="center"/>
                    <w:rPr>
                      <w:b/>
                      <w:bCs/>
                      <w:color w:val="auto"/>
                      <w:kern w:val="0"/>
                      <w:szCs w:val="21"/>
                    </w:rPr>
                  </w:pPr>
                  <w:r>
                    <w:rPr>
                      <w:b/>
                      <w:bCs/>
                      <w:color w:val="auto"/>
                      <w:kern w:val="0"/>
                      <w:szCs w:val="21"/>
                    </w:rPr>
                    <w:t>标准限制</w:t>
                  </w:r>
                </w:p>
              </w:tc>
              <w:tc>
                <w:tcPr>
                  <w:tcW w:w="486" w:type="pct"/>
                  <w:vAlign w:val="center"/>
                </w:tcPr>
                <w:p>
                  <w:pPr>
                    <w:adjustRightInd w:val="0"/>
                    <w:snapToGrid w:val="0"/>
                    <w:jc w:val="center"/>
                    <w:rPr>
                      <w:b/>
                      <w:bCs/>
                      <w:color w:val="auto"/>
                      <w:kern w:val="0"/>
                      <w:szCs w:val="21"/>
                    </w:rPr>
                  </w:pPr>
                  <w:r>
                    <w:rPr>
                      <w:b/>
                      <w:bCs/>
                      <w:color w:val="auto"/>
                      <w:kern w:val="0"/>
                      <w:szCs w:val="21"/>
                    </w:rPr>
                    <w:t>单位</w:t>
                  </w:r>
                </w:p>
              </w:tc>
              <w:tc>
                <w:tcPr>
                  <w:tcW w:w="1366" w:type="pct"/>
                  <w:vAlign w:val="center"/>
                </w:tcPr>
                <w:p>
                  <w:pPr>
                    <w:adjustRightInd w:val="0"/>
                    <w:snapToGrid w:val="0"/>
                    <w:jc w:val="center"/>
                    <w:rPr>
                      <w:b/>
                      <w:bCs/>
                      <w:color w:val="auto"/>
                      <w:kern w:val="0"/>
                      <w:szCs w:val="21"/>
                    </w:rPr>
                  </w:pPr>
                  <w:r>
                    <w:rPr>
                      <w:b/>
                      <w:bCs/>
                      <w:color w:val="auto"/>
                      <w:kern w:val="0"/>
                      <w:szCs w:val="21"/>
                    </w:rPr>
                    <w:t>执行标准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6" w:type="pct"/>
                  <w:vMerge w:val="restart"/>
                  <w:vAlign w:val="center"/>
                </w:tcPr>
                <w:p>
                  <w:pPr>
                    <w:adjustRightInd w:val="0"/>
                    <w:snapToGrid w:val="0"/>
                    <w:jc w:val="center"/>
                    <w:rPr>
                      <w:color w:val="auto"/>
                      <w:kern w:val="0"/>
                      <w:szCs w:val="21"/>
                    </w:rPr>
                  </w:pPr>
                  <w:r>
                    <w:rPr>
                      <w:rFonts w:hint="eastAsia"/>
                      <w:color w:val="auto"/>
                      <w:kern w:val="0"/>
                      <w:szCs w:val="21"/>
                    </w:rPr>
                    <w:t>模具清理废气</w:t>
                  </w:r>
                </w:p>
              </w:tc>
              <w:tc>
                <w:tcPr>
                  <w:tcW w:w="708" w:type="pct"/>
                  <w:vMerge w:val="restart"/>
                  <w:vAlign w:val="center"/>
                </w:tcPr>
                <w:p>
                  <w:pPr>
                    <w:adjustRightInd w:val="0"/>
                    <w:snapToGrid w:val="0"/>
                    <w:jc w:val="center"/>
                    <w:rPr>
                      <w:color w:val="auto"/>
                      <w:kern w:val="0"/>
                      <w:szCs w:val="21"/>
                    </w:rPr>
                  </w:pPr>
                  <w:r>
                    <w:rPr>
                      <w:color w:val="auto"/>
                      <w:kern w:val="0"/>
                      <w:szCs w:val="21"/>
                    </w:rPr>
                    <w:t>颗粒物</w:t>
                  </w:r>
                </w:p>
              </w:tc>
              <w:tc>
                <w:tcPr>
                  <w:tcW w:w="489" w:type="pct"/>
                  <w:vAlign w:val="center"/>
                </w:tcPr>
                <w:p>
                  <w:pPr>
                    <w:adjustRightInd w:val="0"/>
                    <w:snapToGrid w:val="0"/>
                    <w:jc w:val="center"/>
                    <w:rPr>
                      <w:color w:val="auto"/>
                      <w:kern w:val="0"/>
                      <w:szCs w:val="21"/>
                    </w:rPr>
                  </w:pPr>
                  <w:r>
                    <w:rPr>
                      <w:color w:val="auto"/>
                      <w:kern w:val="0"/>
                      <w:szCs w:val="21"/>
                    </w:rPr>
                    <w:t>无组织</w:t>
                  </w:r>
                </w:p>
              </w:tc>
              <w:tc>
                <w:tcPr>
                  <w:tcW w:w="877" w:type="pct"/>
                  <w:vAlign w:val="center"/>
                </w:tcPr>
                <w:p>
                  <w:pPr>
                    <w:adjustRightInd w:val="0"/>
                    <w:snapToGrid w:val="0"/>
                    <w:jc w:val="center"/>
                    <w:rPr>
                      <w:color w:val="auto"/>
                      <w:kern w:val="0"/>
                      <w:szCs w:val="21"/>
                    </w:rPr>
                  </w:pPr>
                  <w:r>
                    <w:rPr>
                      <w:color w:val="auto"/>
                      <w:kern w:val="0"/>
                      <w:szCs w:val="21"/>
                    </w:rPr>
                    <w:t>周界外浓度最高点</w:t>
                  </w:r>
                </w:p>
              </w:tc>
              <w:tc>
                <w:tcPr>
                  <w:tcW w:w="365" w:type="pct"/>
                  <w:vAlign w:val="center"/>
                </w:tcPr>
                <w:p>
                  <w:pPr>
                    <w:adjustRightInd w:val="0"/>
                    <w:snapToGrid w:val="0"/>
                    <w:jc w:val="center"/>
                    <w:rPr>
                      <w:color w:val="auto"/>
                      <w:kern w:val="0"/>
                      <w:szCs w:val="21"/>
                    </w:rPr>
                  </w:pPr>
                  <w:r>
                    <w:rPr>
                      <w:color w:val="auto"/>
                      <w:kern w:val="0"/>
                      <w:szCs w:val="21"/>
                    </w:rPr>
                    <w:t>1.0</w:t>
                  </w:r>
                </w:p>
              </w:tc>
              <w:tc>
                <w:tcPr>
                  <w:tcW w:w="486" w:type="pct"/>
                  <w:vAlign w:val="center"/>
                </w:tcPr>
                <w:p>
                  <w:pPr>
                    <w:adjustRightInd w:val="0"/>
                    <w:snapToGrid w:val="0"/>
                    <w:jc w:val="center"/>
                    <w:rPr>
                      <w:color w:val="auto"/>
                      <w:kern w:val="0"/>
                      <w:szCs w:val="21"/>
                    </w:rPr>
                  </w:pPr>
                  <w:r>
                    <w:rPr>
                      <w:color w:val="auto"/>
                      <w:kern w:val="0"/>
                      <w:szCs w:val="21"/>
                    </w:rPr>
                    <w:t>mg/m</w:t>
                  </w:r>
                  <w:r>
                    <w:rPr>
                      <w:color w:val="auto"/>
                      <w:kern w:val="0"/>
                      <w:szCs w:val="21"/>
                      <w:vertAlign w:val="superscript"/>
                    </w:rPr>
                    <w:t>3</w:t>
                  </w:r>
                </w:p>
              </w:tc>
              <w:tc>
                <w:tcPr>
                  <w:tcW w:w="1366" w:type="pct"/>
                  <w:vMerge w:val="restart"/>
                  <w:vAlign w:val="center"/>
                </w:tcPr>
                <w:p>
                  <w:pPr>
                    <w:adjustRightInd w:val="0"/>
                    <w:snapToGrid w:val="0"/>
                    <w:jc w:val="center"/>
                    <w:rPr>
                      <w:color w:val="auto"/>
                      <w:kern w:val="0"/>
                      <w:szCs w:val="21"/>
                    </w:rPr>
                  </w:pPr>
                  <w:r>
                    <w:rPr>
                      <w:color w:val="auto"/>
                      <w:kern w:val="0"/>
                      <w:szCs w:val="21"/>
                    </w:rPr>
                    <w:t>《合成树脂工业污染物排放标准》（GB31572-2015）</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6" w:type="pct"/>
                  <w:vMerge w:val="continue"/>
                  <w:vAlign w:val="center"/>
                </w:tcPr>
                <w:p>
                  <w:pPr>
                    <w:adjustRightInd w:val="0"/>
                    <w:snapToGrid w:val="0"/>
                    <w:jc w:val="center"/>
                    <w:rPr>
                      <w:color w:val="auto"/>
                      <w:kern w:val="0"/>
                      <w:szCs w:val="21"/>
                    </w:rPr>
                  </w:pPr>
                </w:p>
              </w:tc>
              <w:tc>
                <w:tcPr>
                  <w:tcW w:w="708" w:type="pct"/>
                  <w:vMerge w:val="continue"/>
                  <w:vAlign w:val="center"/>
                </w:tcPr>
                <w:p>
                  <w:pPr>
                    <w:adjustRightInd w:val="0"/>
                    <w:snapToGrid w:val="0"/>
                    <w:jc w:val="center"/>
                    <w:rPr>
                      <w:color w:val="auto"/>
                      <w:kern w:val="0"/>
                      <w:szCs w:val="21"/>
                    </w:rPr>
                  </w:pPr>
                </w:p>
              </w:tc>
              <w:tc>
                <w:tcPr>
                  <w:tcW w:w="489" w:type="pct"/>
                  <w:vAlign w:val="center"/>
                </w:tcPr>
                <w:p>
                  <w:pPr>
                    <w:adjustRightInd w:val="0"/>
                    <w:snapToGrid w:val="0"/>
                    <w:jc w:val="center"/>
                    <w:rPr>
                      <w:color w:val="auto"/>
                      <w:kern w:val="0"/>
                      <w:szCs w:val="21"/>
                    </w:rPr>
                  </w:pPr>
                  <w:r>
                    <w:rPr>
                      <w:rFonts w:hint="eastAsia"/>
                      <w:color w:val="auto"/>
                      <w:kern w:val="0"/>
                      <w:szCs w:val="21"/>
                    </w:rPr>
                    <w:t>有组织</w:t>
                  </w:r>
                </w:p>
              </w:tc>
              <w:tc>
                <w:tcPr>
                  <w:tcW w:w="877" w:type="pct"/>
                  <w:vAlign w:val="center"/>
                </w:tcPr>
                <w:p>
                  <w:pPr>
                    <w:adjustRightInd w:val="0"/>
                    <w:snapToGrid w:val="0"/>
                    <w:jc w:val="center"/>
                    <w:rPr>
                      <w:color w:val="auto"/>
                      <w:kern w:val="0"/>
                      <w:szCs w:val="21"/>
                    </w:rPr>
                  </w:pPr>
                  <w:r>
                    <w:rPr>
                      <w:color w:val="auto"/>
                      <w:kern w:val="0"/>
                      <w:szCs w:val="21"/>
                    </w:rPr>
                    <w:t>所有合成树</w:t>
                  </w:r>
                  <w:r>
                    <w:rPr>
                      <w:rFonts w:hint="eastAsia"/>
                      <w:color w:val="auto"/>
                      <w:kern w:val="0"/>
                      <w:szCs w:val="21"/>
                    </w:rPr>
                    <w:t>脂</w:t>
                  </w:r>
                </w:p>
              </w:tc>
              <w:tc>
                <w:tcPr>
                  <w:tcW w:w="365" w:type="pct"/>
                  <w:vAlign w:val="center"/>
                </w:tcPr>
                <w:p>
                  <w:pPr>
                    <w:adjustRightInd w:val="0"/>
                    <w:snapToGrid w:val="0"/>
                    <w:jc w:val="center"/>
                    <w:rPr>
                      <w:color w:val="auto"/>
                      <w:kern w:val="0"/>
                      <w:szCs w:val="21"/>
                    </w:rPr>
                  </w:pPr>
                  <w:r>
                    <w:rPr>
                      <w:rFonts w:hint="eastAsia"/>
                      <w:color w:val="auto"/>
                      <w:kern w:val="0"/>
                      <w:szCs w:val="21"/>
                    </w:rPr>
                    <w:t>20</w:t>
                  </w:r>
                </w:p>
              </w:tc>
              <w:tc>
                <w:tcPr>
                  <w:tcW w:w="486" w:type="pct"/>
                  <w:vAlign w:val="center"/>
                </w:tcPr>
                <w:p>
                  <w:pPr>
                    <w:adjustRightInd w:val="0"/>
                    <w:snapToGrid w:val="0"/>
                    <w:jc w:val="center"/>
                    <w:rPr>
                      <w:color w:val="auto"/>
                      <w:kern w:val="0"/>
                      <w:szCs w:val="21"/>
                    </w:rPr>
                  </w:pPr>
                  <w:r>
                    <w:rPr>
                      <w:color w:val="auto"/>
                      <w:kern w:val="0"/>
                      <w:szCs w:val="21"/>
                    </w:rPr>
                    <w:t>mg/m</w:t>
                  </w:r>
                  <w:r>
                    <w:rPr>
                      <w:color w:val="auto"/>
                      <w:kern w:val="0"/>
                      <w:szCs w:val="21"/>
                      <w:vertAlign w:val="superscript"/>
                    </w:rPr>
                    <w:t>3</w:t>
                  </w:r>
                </w:p>
              </w:tc>
              <w:tc>
                <w:tcPr>
                  <w:tcW w:w="1366" w:type="pct"/>
                  <w:vMerge w:val="continue"/>
                  <w:vAlign w:val="center"/>
                </w:tcPr>
                <w:p>
                  <w:pPr>
                    <w:adjustRightInd w:val="0"/>
                    <w:snapToGrid w:val="0"/>
                    <w:jc w:val="center"/>
                    <w:rPr>
                      <w:color w:val="auto"/>
                      <w:kern w:val="0"/>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adjustRightInd w:val="0"/>
                    <w:snapToGrid w:val="0"/>
                    <w:rPr>
                      <w:color w:val="auto"/>
                      <w:kern w:val="0"/>
                      <w:szCs w:val="21"/>
                    </w:rPr>
                  </w:pPr>
                  <w:r>
                    <w:rPr>
                      <w:color w:val="auto"/>
                      <w:szCs w:val="21"/>
                    </w:rPr>
                    <w:t>发泡废气（未捕集部分）、</w:t>
                  </w:r>
                  <w:r>
                    <w:rPr>
                      <w:rFonts w:hint="eastAsia"/>
                      <w:color w:val="auto"/>
                      <w:szCs w:val="21"/>
                      <w:lang w:eastAsia="zh-CN"/>
                    </w:rPr>
                    <w:t>模压废气</w:t>
                  </w:r>
                  <w:r>
                    <w:rPr>
                      <w:color w:val="auto"/>
                      <w:szCs w:val="21"/>
                    </w:rPr>
                    <w:t>（未捕集部分）</w:t>
                  </w:r>
                </w:p>
              </w:tc>
              <w:tc>
                <w:tcPr>
                  <w:tcW w:w="708" w:type="pct"/>
                  <w:vMerge w:val="restart"/>
                  <w:vAlign w:val="center"/>
                </w:tcPr>
                <w:p>
                  <w:pPr>
                    <w:adjustRightInd w:val="0"/>
                    <w:snapToGrid w:val="0"/>
                    <w:jc w:val="center"/>
                    <w:rPr>
                      <w:color w:val="auto"/>
                      <w:kern w:val="0"/>
                      <w:szCs w:val="21"/>
                    </w:rPr>
                  </w:pPr>
                  <w:r>
                    <w:rPr>
                      <w:color w:val="auto"/>
                      <w:kern w:val="0"/>
                      <w:szCs w:val="21"/>
                    </w:rPr>
                    <w:t>非甲烷总烃</w:t>
                  </w:r>
                </w:p>
              </w:tc>
              <w:tc>
                <w:tcPr>
                  <w:tcW w:w="489" w:type="pct"/>
                  <w:vAlign w:val="center"/>
                </w:tcPr>
                <w:p>
                  <w:pPr>
                    <w:adjustRightInd w:val="0"/>
                    <w:snapToGrid w:val="0"/>
                    <w:jc w:val="center"/>
                    <w:rPr>
                      <w:color w:val="auto"/>
                      <w:kern w:val="0"/>
                      <w:szCs w:val="21"/>
                    </w:rPr>
                  </w:pPr>
                  <w:r>
                    <w:rPr>
                      <w:color w:val="auto"/>
                      <w:kern w:val="0"/>
                      <w:szCs w:val="21"/>
                    </w:rPr>
                    <w:t>无组织</w:t>
                  </w:r>
                </w:p>
              </w:tc>
              <w:tc>
                <w:tcPr>
                  <w:tcW w:w="877" w:type="pct"/>
                  <w:vAlign w:val="center"/>
                </w:tcPr>
                <w:p>
                  <w:pPr>
                    <w:adjustRightInd w:val="0"/>
                    <w:snapToGrid w:val="0"/>
                    <w:jc w:val="center"/>
                    <w:rPr>
                      <w:color w:val="auto"/>
                      <w:kern w:val="0"/>
                      <w:szCs w:val="21"/>
                    </w:rPr>
                  </w:pPr>
                  <w:r>
                    <w:rPr>
                      <w:color w:val="auto"/>
                      <w:kern w:val="0"/>
                      <w:szCs w:val="21"/>
                    </w:rPr>
                    <w:t>企业边界大气污染物浓度限值</w:t>
                  </w:r>
                </w:p>
              </w:tc>
              <w:tc>
                <w:tcPr>
                  <w:tcW w:w="365" w:type="pct"/>
                  <w:vAlign w:val="center"/>
                </w:tcPr>
                <w:p>
                  <w:pPr>
                    <w:adjustRightInd w:val="0"/>
                    <w:snapToGrid w:val="0"/>
                    <w:jc w:val="center"/>
                    <w:rPr>
                      <w:color w:val="auto"/>
                      <w:kern w:val="0"/>
                      <w:szCs w:val="21"/>
                    </w:rPr>
                  </w:pPr>
                  <w:r>
                    <w:rPr>
                      <w:color w:val="auto"/>
                      <w:kern w:val="0"/>
                      <w:szCs w:val="21"/>
                    </w:rPr>
                    <w:t>4.0</w:t>
                  </w:r>
                </w:p>
              </w:tc>
              <w:tc>
                <w:tcPr>
                  <w:tcW w:w="486" w:type="pct"/>
                  <w:vAlign w:val="center"/>
                </w:tcPr>
                <w:p>
                  <w:pPr>
                    <w:adjustRightInd w:val="0"/>
                    <w:snapToGrid w:val="0"/>
                    <w:jc w:val="center"/>
                    <w:rPr>
                      <w:color w:val="auto"/>
                      <w:kern w:val="0"/>
                      <w:szCs w:val="21"/>
                    </w:rPr>
                  </w:pPr>
                  <w:r>
                    <w:rPr>
                      <w:color w:val="auto"/>
                      <w:kern w:val="0"/>
                      <w:szCs w:val="21"/>
                    </w:rPr>
                    <w:t>mg/m</w:t>
                  </w:r>
                  <w:r>
                    <w:rPr>
                      <w:color w:val="auto"/>
                      <w:kern w:val="0"/>
                      <w:szCs w:val="21"/>
                      <w:vertAlign w:val="superscript"/>
                    </w:rPr>
                    <w:t>3</w:t>
                  </w:r>
                </w:p>
              </w:tc>
              <w:tc>
                <w:tcPr>
                  <w:tcW w:w="1366" w:type="pct"/>
                  <w:vMerge w:val="restart"/>
                  <w:vAlign w:val="center"/>
                </w:tcPr>
                <w:p>
                  <w:pPr>
                    <w:adjustRightInd w:val="0"/>
                    <w:snapToGrid w:val="0"/>
                    <w:jc w:val="center"/>
                    <w:rPr>
                      <w:color w:val="auto"/>
                      <w:kern w:val="0"/>
                      <w:szCs w:val="21"/>
                    </w:rPr>
                  </w:pPr>
                  <w:r>
                    <w:rPr>
                      <w:color w:val="auto"/>
                      <w:kern w:val="0"/>
                      <w:szCs w:val="21"/>
                    </w:rPr>
                    <w:t>《合成树脂工业污染物排放标准》（GB31572-2015）</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06" w:type="pct"/>
                  <w:vAlign w:val="center"/>
                </w:tcPr>
                <w:p>
                  <w:pPr>
                    <w:adjustRightInd w:val="0"/>
                    <w:snapToGrid w:val="0"/>
                    <w:rPr>
                      <w:rFonts w:hint="eastAsia" w:eastAsia="宋体"/>
                      <w:color w:val="auto"/>
                      <w:kern w:val="0"/>
                      <w:szCs w:val="21"/>
                      <w:lang w:eastAsia="zh-CN"/>
                    </w:rPr>
                  </w:pPr>
                  <w:r>
                    <w:rPr>
                      <w:rFonts w:hint="eastAsia"/>
                      <w:color w:val="auto"/>
                      <w:kern w:val="0"/>
                      <w:szCs w:val="21"/>
                    </w:rPr>
                    <w:t>发泡废气、</w:t>
                  </w:r>
                  <w:r>
                    <w:rPr>
                      <w:rFonts w:hint="eastAsia"/>
                      <w:color w:val="auto"/>
                      <w:kern w:val="0"/>
                      <w:szCs w:val="21"/>
                      <w:lang w:eastAsia="zh-CN"/>
                    </w:rPr>
                    <w:t>模压废气</w:t>
                  </w:r>
                </w:p>
              </w:tc>
              <w:tc>
                <w:tcPr>
                  <w:tcW w:w="708" w:type="pct"/>
                  <w:vMerge w:val="continue"/>
                  <w:vAlign w:val="center"/>
                </w:tcPr>
                <w:p>
                  <w:pPr>
                    <w:adjustRightInd w:val="0"/>
                    <w:snapToGrid w:val="0"/>
                    <w:jc w:val="center"/>
                    <w:rPr>
                      <w:color w:val="auto"/>
                      <w:kern w:val="0"/>
                      <w:szCs w:val="21"/>
                    </w:rPr>
                  </w:pPr>
                </w:p>
              </w:tc>
              <w:tc>
                <w:tcPr>
                  <w:tcW w:w="489" w:type="pct"/>
                  <w:vAlign w:val="center"/>
                </w:tcPr>
                <w:p>
                  <w:pPr>
                    <w:adjustRightInd w:val="0"/>
                    <w:snapToGrid w:val="0"/>
                    <w:jc w:val="center"/>
                    <w:rPr>
                      <w:color w:val="auto"/>
                      <w:kern w:val="0"/>
                      <w:szCs w:val="21"/>
                    </w:rPr>
                  </w:pPr>
                  <w:r>
                    <w:rPr>
                      <w:color w:val="auto"/>
                      <w:kern w:val="0"/>
                      <w:szCs w:val="21"/>
                    </w:rPr>
                    <w:t>有组织</w:t>
                  </w:r>
                </w:p>
              </w:tc>
              <w:tc>
                <w:tcPr>
                  <w:tcW w:w="877" w:type="pct"/>
                  <w:vAlign w:val="center"/>
                </w:tcPr>
                <w:p>
                  <w:pPr>
                    <w:adjustRightInd w:val="0"/>
                    <w:snapToGrid w:val="0"/>
                    <w:jc w:val="center"/>
                    <w:rPr>
                      <w:color w:val="auto"/>
                      <w:kern w:val="0"/>
                      <w:szCs w:val="21"/>
                    </w:rPr>
                  </w:pPr>
                  <w:r>
                    <w:rPr>
                      <w:color w:val="auto"/>
                      <w:kern w:val="0"/>
                      <w:szCs w:val="21"/>
                    </w:rPr>
                    <w:t>所有合成树脂</w:t>
                  </w:r>
                </w:p>
              </w:tc>
              <w:tc>
                <w:tcPr>
                  <w:tcW w:w="365" w:type="pct"/>
                  <w:vAlign w:val="center"/>
                </w:tcPr>
                <w:p>
                  <w:pPr>
                    <w:adjustRightInd w:val="0"/>
                    <w:snapToGrid w:val="0"/>
                    <w:jc w:val="center"/>
                    <w:rPr>
                      <w:color w:val="auto"/>
                      <w:kern w:val="0"/>
                      <w:szCs w:val="21"/>
                    </w:rPr>
                  </w:pPr>
                  <w:r>
                    <w:rPr>
                      <w:color w:val="auto"/>
                      <w:kern w:val="0"/>
                      <w:szCs w:val="21"/>
                    </w:rPr>
                    <w:t>60</w:t>
                  </w:r>
                </w:p>
              </w:tc>
              <w:tc>
                <w:tcPr>
                  <w:tcW w:w="486" w:type="pct"/>
                  <w:vAlign w:val="center"/>
                </w:tcPr>
                <w:p>
                  <w:pPr>
                    <w:adjustRightInd w:val="0"/>
                    <w:snapToGrid w:val="0"/>
                    <w:jc w:val="center"/>
                    <w:rPr>
                      <w:color w:val="auto"/>
                      <w:kern w:val="0"/>
                      <w:szCs w:val="21"/>
                    </w:rPr>
                  </w:pPr>
                  <w:r>
                    <w:rPr>
                      <w:color w:val="auto"/>
                      <w:kern w:val="0"/>
                      <w:szCs w:val="21"/>
                    </w:rPr>
                    <w:t>mg/m</w:t>
                  </w:r>
                  <w:r>
                    <w:rPr>
                      <w:color w:val="auto"/>
                      <w:kern w:val="0"/>
                      <w:szCs w:val="21"/>
                      <w:vertAlign w:val="superscript"/>
                    </w:rPr>
                    <w:t>3</w:t>
                  </w:r>
                </w:p>
              </w:tc>
              <w:tc>
                <w:tcPr>
                  <w:tcW w:w="1366" w:type="pct"/>
                  <w:vMerge w:val="continue"/>
                  <w:vAlign w:val="center"/>
                </w:tcPr>
                <w:p>
                  <w:pPr>
                    <w:adjustRightInd w:val="0"/>
                    <w:snapToGrid w:val="0"/>
                    <w:jc w:val="center"/>
                    <w:rPr>
                      <w:color w:val="auto"/>
                      <w:kern w:val="0"/>
                      <w:szCs w:val="21"/>
                    </w:rPr>
                  </w:pPr>
                </w:p>
              </w:tc>
            </w:tr>
          </w:tbl>
          <w:p>
            <w:pPr>
              <w:adjustRightInd w:val="0"/>
              <w:snapToGrid w:val="0"/>
              <w:spacing w:line="360" w:lineRule="auto"/>
              <w:rPr>
                <w:b/>
                <w:bCs/>
                <w:color w:val="auto"/>
                <w:kern w:val="0"/>
                <w:sz w:val="24"/>
              </w:rPr>
            </w:pPr>
            <w:r>
              <w:rPr>
                <w:b/>
                <w:bCs/>
                <w:color w:val="auto"/>
                <w:kern w:val="0"/>
                <w:sz w:val="24"/>
              </w:rPr>
              <w:t>2、废水</w:t>
            </w:r>
          </w:p>
          <w:p>
            <w:pPr>
              <w:adjustRightInd w:val="0"/>
              <w:snapToGrid w:val="0"/>
              <w:spacing w:line="360" w:lineRule="auto"/>
              <w:ind w:firstLine="480" w:firstLineChars="200"/>
              <w:rPr>
                <w:color w:val="auto"/>
                <w:kern w:val="0"/>
                <w:sz w:val="24"/>
              </w:rPr>
            </w:pPr>
            <w:r>
              <w:rPr>
                <w:color w:val="auto"/>
                <w:kern w:val="0"/>
                <w:sz w:val="24"/>
              </w:rPr>
              <w:t>本项目生产废水</w:t>
            </w:r>
            <w:r>
              <w:rPr>
                <w:rFonts w:hint="eastAsia"/>
                <w:color w:val="auto"/>
                <w:kern w:val="0"/>
                <w:sz w:val="24"/>
              </w:rPr>
              <w:t>为水刀切割废水、发泡机水箱废水，其中水刀切割废水、发泡机水箱废水污染因子为SS，经过滤后进入西安比亚迪零部件有限公司集贤新能源汽车零部件产业园污水站处理，达标后排入西安市集贤产业园园区污水处理厂。</w:t>
            </w:r>
          </w:p>
          <w:p>
            <w:pPr>
              <w:adjustRightInd w:val="0"/>
              <w:snapToGrid w:val="0"/>
              <w:spacing w:line="360" w:lineRule="auto"/>
              <w:ind w:firstLine="480" w:firstLineChars="200"/>
              <w:rPr>
                <w:color w:val="auto"/>
                <w:kern w:val="0"/>
                <w:sz w:val="24"/>
              </w:rPr>
            </w:pPr>
            <w:r>
              <w:rPr>
                <w:color w:val="auto"/>
                <w:kern w:val="0"/>
                <w:sz w:val="24"/>
              </w:rPr>
              <w:t>本项目生活污水经化粪池、隔油池处理后进入西安集贤</w:t>
            </w:r>
            <w:r>
              <w:rPr>
                <w:rFonts w:hint="eastAsia"/>
                <w:color w:val="auto"/>
                <w:kern w:val="0"/>
                <w:sz w:val="24"/>
              </w:rPr>
              <w:t>产</w:t>
            </w:r>
            <w:r>
              <w:rPr>
                <w:color w:val="auto"/>
                <w:kern w:val="0"/>
                <w:sz w:val="24"/>
              </w:rPr>
              <w:t>业园园区污水厂进行处理。</w:t>
            </w:r>
            <w:r>
              <w:rPr>
                <w:rFonts w:hint="eastAsia"/>
                <w:color w:val="auto"/>
                <w:kern w:val="0"/>
                <w:sz w:val="24"/>
              </w:rPr>
              <w:t>工业废水总排口和生活污水单独排放口废水均</w:t>
            </w:r>
            <w:r>
              <w:rPr>
                <w:color w:val="auto"/>
                <w:kern w:val="0"/>
                <w:sz w:val="24"/>
              </w:rPr>
              <w:t>执行《污水综合排放标准》（GB8978-1996）三级标准及《污水排入城镇下水道水质标准》（GB/T31962-2015）B级标准。</w:t>
            </w:r>
          </w:p>
          <w:p>
            <w:pPr>
              <w:adjustRightInd w:val="0"/>
              <w:snapToGrid w:val="0"/>
              <w:jc w:val="center"/>
              <w:rPr>
                <w:b/>
                <w:bCs/>
                <w:color w:val="auto"/>
                <w:kern w:val="0"/>
                <w:sz w:val="18"/>
                <w:szCs w:val="18"/>
              </w:rPr>
            </w:pPr>
            <w:r>
              <w:rPr>
                <w:b/>
                <w:bCs/>
                <w:color w:val="auto"/>
                <w:kern w:val="0"/>
                <w:szCs w:val="21"/>
              </w:rPr>
              <w:t>表3-</w:t>
            </w:r>
            <w:r>
              <w:rPr>
                <w:rFonts w:hint="eastAsia"/>
                <w:b/>
                <w:bCs/>
                <w:color w:val="auto"/>
                <w:kern w:val="0"/>
                <w:szCs w:val="21"/>
                <w:lang w:val="en-US" w:eastAsia="zh-CN"/>
              </w:rPr>
              <w:t>9</w:t>
            </w:r>
            <w:r>
              <w:rPr>
                <w:b/>
                <w:bCs/>
                <w:color w:val="auto"/>
                <w:kern w:val="0"/>
                <w:szCs w:val="21"/>
              </w:rPr>
              <w:t xml:space="preserve"> 废水排放污染物标准限制一览表</w:t>
            </w:r>
          </w:p>
          <w:tbl>
            <w:tblPr>
              <w:tblStyle w:val="19"/>
              <w:tblW w:w="7974" w:type="dxa"/>
              <w:tblInd w:w="5" w:type="dxa"/>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1754"/>
              <w:gridCol w:w="4177"/>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43" w:type="dxa"/>
                  <w:vAlign w:val="center"/>
                </w:tcPr>
                <w:p>
                  <w:pPr>
                    <w:adjustRightInd w:val="0"/>
                    <w:snapToGrid w:val="0"/>
                    <w:jc w:val="center"/>
                    <w:rPr>
                      <w:b/>
                      <w:bCs/>
                      <w:color w:val="auto"/>
                      <w:kern w:val="0"/>
                      <w:szCs w:val="21"/>
                    </w:rPr>
                  </w:pPr>
                  <w:r>
                    <w:rPr>
                      <w:b/>
                      <w:bCs/>
                      <w:color w:val="auto"/>
                      <w:kern w:val="0"/>
                      <w:szCs w:val="21"/>
                    </w:rPr>
                    <w:t>污染物</w:t>
                  </w:r>
                </w:p>
              </w:tc>
              <w:tc>
                <w:tcPr>
                  <w:tcW w:w="1754" w:type="dxa"/>
                  <w:vAlign w:val="center"/>
                </w:tcPr>
                <w:p>
                  <w:pPr>
                    <w:adjustRightInd w:val="0"/>
                    <w:snapToGrid w:val="0"/>
                    <w:jc w:val="center"/>
                    <w:rPr>
                      <w:b/>
                      <w:bCs/>
                      <w:color w:val="auto"/>
                      <w:kern w:val="0"/>
                      <w:szCs w:val="21"/>
                    </w:rPr>
                  </w:pPr>
                  <w:r>
                    <w:rPr>
                      <w:b/>
                      <w:bCs/>
                      <w:color w:val="auto"/>
                      <w:kern w:val="0"/>
                      <w:szCs w:val="21"/>
                    </w:rPr>
                    <w:t>标准限制（mg/L）</w:t>
                  </w:r>
                </w:p>
              </w:tc>
              <w:tc>
                <w:tcPr>
                  <w:tcW w:w="4177" w:type="dxa"/>
                  <w:vAlign w:val="center"/>
                </w:tcPr>
                <w:p>
                  <w:pPr>
                    <w:adjustRightInd w:val="0"/>
                    <w:snapToGrid w:val="0"/>
                    <w:jc w:val="center"/>
                    <w:rPr>
                      <w:b/>
                      <w:bCs/>
                      <w:color w:val="auto"/>
                      <w:kern w:val="0"/>
                      <w:szCs w:val="21"/>
                    </w:rPr>
                  </w:pPr>
                  <w:r>
                    <w:rPr>
                      <w:b/>
                      <w:bCs/>
                      <w:color w:val="auto"/>
                      <w:kern w:val="0"/>
                      <w:szCs w:val="21"/>
                    </w:rPr>
                    <w:t>执行标准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43" w:type="dxa"/>
                  <w:vAlign w:val="center"/>
                </w:tcPr>
                <w:p>
                  <w:pPr>
                    <w:adjustRightInd w:val="0"/>
                    <w:snapToGrid w:val="0"/>
                    <w:jc w:val="center"/>
                    <w:rPr>
                      <w:color w:val="auto"/>
                      <w:kern w:val="0"/>
                      <w:szCs w:val="21"/>
                    </w:rPr>
                  </w:pPr>
                  <w:r>
                    <w:rPr>
                      <w:color w:val="auto"/>
                      <w:kern w:val="0"/>
                      <w:szCs w:val="21"/>
                    </w:rPr>
                    <w:t>pH</w:t>
                  </w:r>
                </w:p>
              </w:tc>
              <w:tc>
                <w:tcPr>
                  <w:tcW w:w="1754" w:type="dxa"/>
                  <w:vAlign w:val="center"/>
                </w:tcPr>
                <w:p>
                  <w:pPr>
                    <w:adjustRightInd w:val="0"/>
                    <w:snapToGrid w:val="0"/>
                    <w:jc w:val="center"/>
                    <w:rPr>
                      <w:color w:val="auto"/>
                      <w:kern w:val="0"/>
                      <w:szCs w:val="21"/>
                    </w:rPr>
                  </w:pPr>
                  <w:r>
                    <w:rPr>
                      <w:color w:val="auto"/>
                      <w:kern w:val="0"/>
                      <w:szCs w:val="21"/>
                    </w:rPr>
                    <w:t>6~9</w:t>
                  </w:r>
                </w:p>
              </w:tc>
              <w:tc>
                <w:tcPr>
                  <w:tcW w:w="4177" w:type="dxa"/>
                  <w:vMerge w:val="restart"/>
                  <w:vAlign w:val="center"/>
                </w:tcPr>
                <w:p>
                  <w:pPr>
                    <w:adjustRightInd w:val="0"/>
                    <w:snapToGrid w:val="0"/>
                    <w:jc w:val="center"/>
                    <w:rPr>
                      <w:color w:val="auto"/>
                      <w:kern w:val="0"/>
                      <w:szCs w:val="21"/>
                    </w:rPr>
                  </w:pPr>
                  <w:r>
                    <w:rPr>
                      <w:color w:val="auto"/>
                      <w:kern w:val="0"/>
                      <w:szCs w:val="21"/>
                    </w:rPr>
                    <w:t>《污水综合排放标准》（GB8978-1996表4）三级标准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43" w:type="dxa"/>
                  <w:vAlign w:val="center"/>
                </w:tcPr>
                <w:p>
                  <w:pPr>
                    <w:adjustRightInd w:val="0"/>
                    <w:snapToGrid w:val="0"/>
                    <w:jc w:val="center"/>
                    <w:rPr>
                      <w:color w:val="auto"/>
                      <w:kern w:val="0"/>
                      <w:szCs w:val="21"/>
                    </w:rPr>
                  </w:pPr>
                  <w:r>
                    <w:rPr>
                      <w:color w:val="auto"/>
                      <w:kern w:val="0"/>
                      <w:szCs w:val="21"/>
                    </w:rPr>
                    <w:t>SS</w:t>
                  </w:r>
                </w:p>
              </w:tc>
              <w:tc>
                <w:tcPr>
                  <w:tcW w:w="1754" w:type="dxa"/>
                  <w:vAlign w:val="center"/>
                </w:tcPr>
                <w:p>
                  <w:pPr>
                    <w:adjustRightInd w:val="0"/>
                    <w:snapToGrid w:val="0"/>
                    <w:jc w:val="center"/>
                    <w:rPr>
                      <w:color w:val="auto"/>
                      <w:kern w:val="0"/>
                      <w:szCs w:val="21"/>
                    </w:rPr>
                  </w:pPr>
                  <w:r>
                    <w:rPr>
                      <w:color w:val="auto"/>
                      <w:kern w:val="0"/>
                      <w:szCs w:val="21"/>
                    </w:rPr>
                    <w:t>400</w:t>
                  </w:r>
                </w:p>
              </w:tc>
              <w:tc>
                <w:tcPr>
                  <w:tcW w:w="4177" w:type="dxa"/>
                  <w:vMerge w:val="continue"/>
                  <w:vAlign w:val="center"/>
                </w:tcPr>
                <w:p>
                  <w:pPr>
                    <w:adjustRightInd w:val="0"/>
                    <w:snapToGrid w:val="0"/>
                    <w:jc w:val="center"/>
                    <w:rPr>
                      <w:color w:val="auto"/>
                      <w:kern w:val="0"/>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43" w:type="dxa"/>
                  <w:vAlign w:val="center"/>
                </w:tcPr>
                <w:p>
                  <w:pPr>
                    <w:adjustRightInd w:val="0"/>
                    <w:snapToGrid w:val="0"/>
                    <w:jc w:val="center"/>
                    <w:rPr>
                      <w:color w:val="auto"/>
                      <w:kern w:val="0"/>
                      <w:szCs w:val="21"/>
                    </w:rPr>
                  </w:pPr>
                  <w:r>
                    <w:rPr>
                      <w:color w:val="auto"/>
                      <w:kern w:val="0"/>
                      <w:szCs w:val="21"/>
                    </w:rPr>
                    <w:t>COD</w:t>
                  </w:r>
                </w:p>
              </w:tc>
              <w:tc>
                <w:tcPr>
                  <w:tcW w:w="1754" w:type="dxa"/>
                  <w:vAlign w:val="center"/>
                </w:tcPr>
                <w:p>
                  <w:pPr>
                    <w:adjustRightInd w:val="0"/>
                    <w:snapToGrid w:val="0"/>
                    <w:jc w:val="center"/>
                    <w:rPr>
                      <w:color w:val="auto"/>
                      <w:kern w:val="0"/>
                      <w:szCs w:val="21"/>
                    </w:rPr>
                  </w:pPr>
                  <w:r>
                    <w:rPr>
                      <w:color w:val="auto"/>
                      <w:kern w:val="0"/>
                      <w:szCs w:val="21"/>
                    </w:rPr>
                    <w:t>500</w:t>
                  </w:r>
                </w:p>
              </w:tc>
              <w:tc>
                <w:tcPr>
                  <w:tcW w:w="4177" w:type="dxa"/>
                  <w:vMerge w:val="continue"/>
                  <w:vAlign w:val="center"/>
                </w:tcPr>
                <w:p>
                  <w:pPr>
                    <w:adjustRightInd w:val="0"/>
                    <w:snapToGrid w:val="0"/>
                    <w:jc w:val="center"/>
                    <w:rPr>
                      <w:color w:val="auto"/>
                      <w:kern w:val="0"/>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PrEx>
              <w:trPr>
                <w:trHeight w:val="113" w:hRule="atLeast"/>
              </w:trPr>
              <w:tc>
                <w:tcPr>
                  <w:tcW w:w="2043" w:type="dxa"/>
                  <w:vAlign w:val="center"/>
                </w:tcPr>
                <w:p>
                  <w:pPr>
                    <w:adjustRightInd w:val="0"/>
                    <w:snapToGrid w:val="0"/>
                    <w:jc w:val="center"/>
                    <w:rPr>
                      <w:color w:val="auto"/>
                      <w:kern w:val="0"/>
                      <w:szCs w:val="21"/>
                    </w:rPr>
                  </w:pPr>
                  <w:r>
                    <w:rPr>
                      <w:color w:val="auto"/>
                      <w:kern w:val="0"/>
                      <w:szCs w:val="21"/>
                    </w:rPr>
                    <w:t>BOD</w:t>
                  </w:r>
                  <w:r>
                    <w:rPr>
                      <w:color w:val="auto"/>
                      <w:kern w:val="0"/>
                      <w:szCs w:val="21"/>
                      <w:vertAlign w:val="subscript"/>
                    </w:rPr>
                    <w:t>5</w:t>
                  </w:r>
                </w:p>
              </w:tc>
              <w:tc>
                <w:tcPr>
                  <w:tcW w:w="1754" w:type="dxa"/>
                  <w:vAlign w:val="center"/>
                </w:tcPr>
                <w:p>
                  <w:pPr>
                    <w:adjustRightInd w:val="0"/>
                    <w:snapToGrid w:val="0"/>
                    <w:jc w:val="center"/>
                    <w:rPr>
                      <w:color w:val="auto"/>
                      <w:kern w:val="0"/>
                      <w:szCs w:val="21"/>
                    </w:rPr>
                  </w:pPr>
                  <w:r>
                    <w:rPr>
                      <w:color w:val="auto"/>
                      <w:kern w:val="0"/>
                      <w:szCs w:val="21"/>
                    </w:rPr>
                    <w:t>300</w:t>
                  </w:r>
                </w:p>
              </w:tc>
              <w:tc>
                <w:tcPr>
                  <w:tcW w:w="4177" w:type="dxa"/>
                  <w:vMerge w:val="continue"/>
                  <w:vAlign w:val="center"/>
                </w:tcPr>
                <w:p>
                  <w:pPr>
                    <w:adjustRightInd w:val="0"/>
                    <w:snapToGrid w:val="0"/>
                    <w:jc w:val="center"/>
                    <w:rPr>
                      <w:color w:val="auto"/>
                      <w:kern w:val="0"/>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PrEx>
              <w:trPr>
                <w:trHeight w:val="113" w:hRule="atLeast"/>
              </w:trPr>
              <w:tc>
                <w:tcPr>
                  <w:tcW w:w="2043" w:type="dxa"/>
                  <w:vAlign w:val="center"/>
                </w:tcPr>
                <w:p>
                  <w:pPr>
                    <w:adjustRightInd w:val="0"/>
                    <w:snapToGrid w:val="0"/>
                    <w:jc w:val="center"/>
                    <w:rPr>
                      <w:rFonts w:hint="default" w:eastAsia="宋体"/>
                      <w:color w:val="auto"/>
                      <w:kern w:val="0"/>
                      <w:szCs w:val="21"/>
                      <w:lang w:val="en-US" w:eastAsia="zh-CN"/>
                    </w:rPr>
                  </w:pPr>
                  <w:r>
                    <w:rPr>
                      <w:rFonts w:hint="eastAsia"/>
                      <w:color w:val="auto"/>
                      <w:kern w:val="0"/>
                      <w:szCs w:val="21"/>
                      <w:lang w:val="en-US" w:eastAsia="zh-CN"/>
                    </w:rPr>
                    <w:t>动植物油</w:t>
                  </w:r>
                </w:p>
              </w:tc>
              <w:tc>
                <w:tcPr>
                  <w:tcW w:w="1754" w:type="dxa"/>
                  <w:vAlign w:val="center"/>
                </w:tcPr>
                <w:p>
                  <w:pPr>
                    <w:adjustRightInd w:val="0"/>
                    <w:snapToGrid w:val="0"/>
                    <w:jc w:val="center"/>
                    <w:rPr>
                      <w:rFonts w:hint="default" w:eastAsia="宋体"/>
                      <w:color w:val="auto"/>
                      <w:kern w:val="0"/>
                      <w:szCs w:val="21"/>
                      <w:lang w:val="en-US" w:eastAsia="zh-CN"/>
                    </w:rPr>
                  </w:pPr>
                  <w:r>
                    <w:rPr>
                      <w:rFonts w:hint="eastAsia"/>
                      <w:color w:val="auto"/>
                      <w:kern w:val="0"/>
                      <w:szCs w:val="21"/>
                      <w:lang w:val="en-US" w:eastAsia="zh-CN"/>
                    </w:rPr>
                    <w:t>100</w:t>
                  </w:r>
                </w:p>
              </w:tc>
              <w:tc>
                <w:tcPr>
                  <w:tcW w:w="4177" w:type="dxa"/>
                  <w:vMerge w:val="restart"/>
                  <w:vAlign w:val="center"/>
                </w:tcPr>
                <w:p>
                  <w:pPr>
                    <w:adjustRightInd w:val="0"/>
                    <w:snapToGrid w:val="0"/>
                    <w:jc w:val="center"/>
                    <w:rPr>
                      <w:color w:val="auto"/>
                      <w:kern w:val="0"/>
                      <w:szCs w:val="21"/>
                    </w:rPr>
                  </w:pPr>
                  <w:r>
                    <w:rPr>
                      <w:rFonts w:hint="eastAsia"/>
                      <w:color w:val="auto"/>
                      <w:kern w:val="0"/>
                      <w:szCs w:val="21"/>
                    </w:rPr>
                    <w:t>《</w:t>
                  </w:r>
                  <w:r>
                    <w:rPr>
                      <w:color w:val="auto"/>
                      <w:kern w:val="0"/>
                      <w:szCs w:val="21"/>
                    </w:rPr>
                    <w:t>污水排入城镇下水道水质标准》（GB/T31962-2015）B级标准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43" w:type="dxa"/>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TP</w:t>
                  </w:r>
                </w:p>
              </w:tc>
              <w:tc>
                <w:tcPr>
                  <w:tcW w:w="1754" w:type="dxa"/>
                  <w:vAlign w:val="center"/>
                </w:tcPr>
                <w:p>
                  <w:pPr>
                    <w:adjustRightInd w:val="0"/>
                    <w:snapToGrid w:val="0"/>
                    <w:jc w:val="center"/>
                    <w:rPr>
                      <w:rFonts w:hint="default"/>
                      <w:color w:val="auto"/>
                      <w:kern w:val="0"/>
                      <w:szCs w:val="21"/>
                      <w:lang w:val="en-US" w:eastAsia="zh-CN"/>
                    </w:rPr>
                  </w:pPr>
                  <w:r>
                    <w:rPr>
                      <w:rFonts w:hint="eastAsia"/>
                      <w:color w:val="auto"/>
                      <w:kern w:val="0"/>
                      <w:szCs w:val="21"/>
                      <w:lang w:val="en-US" w:eastAsia="zh-CN"/>
                    </w:rPr>
                    <w:t>8</w:t>
                  </w:r>
                </w:p>
              </w:tc>
              <w:tc>
                <w:tcPr>
                  <w:tcW w:w="4177" w:type="dxa"/>
                  <w:vMerge w:val="continue"/>
                  <w:vAlign w:val="center"/>
                </w:tcPr>
                <w:p>
                  <w:pPr>
                    <w:adjustRightInd w:val="0"/>
                    <w:snapToGrid w:val="0"/>
                    <w:jc w:val="center"/>
                    <w:rPr>
                      <w:rFonts w:hint="eastAsia"/>
                      <w:color w:val="auto"/>
                      <w:kern w:val="0"/>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43" w:type="dxa"/>
                  <w:vAlign w:val="center"/>
                </w:tcPr>
                <w:p>
                  <w:pPr>
                    <w:adjustRightInd w:val="0"/>
                    <w:snapToGrid w:val="0"/>
                    <w:jc w:val="center"/>
                    <w:rPr>
                      <w:color w:val="auto"/>
                      <w:kern w:val="0"/>
                      <w:szCs w:val="21"/>
                    </w:rPr>
                  </w:pPr>
                  <w:r>
                    <w:rPr>
                      <w:color w:val="auto"/>
                      <w:kern w:val="0"/>
                      <w:szCs w:val="21"/>
                    </w:rPr>
                    <w:t>总氮</w:t>
                  </w:r>
                </w:p>
              </w:tc>
              <w:tc>
                <w:tcPr>
                  <w:tcW w:w="1754" w:type="dxa"/>
                  <w:vAlign w:val="center"/>
                </w:tcPr>
                <w:p>
                  <w:pPr>
                    <w:adjustRightInd w:val="0"/>
                    <w:snapToGrid w:val="0"/>
                    <w:jc w:val="center"/>
                    <w:rPr>
                      <w:color w:val="auto"/>
                      <w:kern w:val="0"/>
                      <w:szCs w:val="21"/>
                    </w:rPr>
                  </w:pPr>
                  <w:r>
                    <w:rPr>
                      <w:color w:val="auto"/>
                      <w:kern w:val="0"/>
                      <w:szCs w:val="21"/>
                    </w:rPr>
                    <w:t>70</w:t>
                  </w:r>
                </w:p>
              </w:tc>
              <w:tc>
                <w:tcPr>
                  <w:tcW w:w="4177" w:type="dxa"/>
                  <w:vMerge w:val="continue"/>
                  <w:vAlign w:val="center"/>
                </w:tcPr>
                <w:p>
                  <w:pPr>
                    <w:adjustRightInd w:val="0"/>
                    <w:snapToGrid w:val="0"/>
                    <w:jc w:val="center"/>
                    <w:rPr>
                      <w:color w:val="auto"/>
                      <w:kern w:val="0"/>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PrEx>
              <w:trPr>
                <w:trHeight w:val="113" w:hRule="atLeast"/>
              </w:trPr>
              <w:tc>
                <w:tcPr>
                  <w:tcW w:w="2043" w:type="dxa"/>
                  <w:vAlign w:val="center"/>
                </w:tcPr>
                <w:p>
                  <w:pPr>
                    <w:adjustRightInd w:val="0"/>
                    <w:snapToGrid w:val="0"/>
                    <w:jc w:val="center"/>
                    <w:rPr>
                      <w:color w:val="auto"/>
                      <w:kern w:val="0"/>
                      <w:szCs w:val="21"/>
                    </w:rPr>
                  </w:pPr>
                  <w:r>
                    <w:rPr>
                      <w:color w:val="auto"/>
                      <w:kern w:val="0"/>
                      <w:szCs w:val="21"/>
                    </w:rPr>
                    <w:t>氨氮</w:t>
                  </w:r>
                </w:p>
              </w:tc>
              <w:tc>
                <w:tcPr>
                  <w:tcW w:w="1754" w:type="dxa"/>
                  <w:vAlign w:val="center"/>
                </w:tcPr>
                <w:p>
                  <w:pPr>
                    <w:adjustRightInd w:val="0"/>
                    <w:snapToGrid w:val="0"/>
                    <w:jc w:val="center"/>
                    <w:rPr>
                      <w:color w:val="auto"/>
                      <w:kern w:val="0"/>
                      <w:szCs w:val="21"/>
                    </w:rPr>
                  </w:pPr>
                  <w:r>
                    <w:rPr>
                      <w:color w:val="auto"/>
                      <w:kern w:val="0"/>
                      <w:szCs w:val="21"/>
                    </w:rPr>
                    <w:t>45</w:t>
                  </w:r>
                </w:p>
              </w:tc>
              <w:tc>
                <w:tcPr>
                  <w:tcW w:w="4177" w:type="dxa"/>
                  <w:vMerge w:val="continue"/>
                  <w:vAlign w:val="center"/>
                </w:tcPr>
                <w:p>
                  <w:pPr>
                    <w:adjustRightInd w:val="0"/>
                    <w:snapToGrid w:val="0"/>
                    <w:jc w:val="center"/>
                    <w:rPr>
                      <w:color w:val="auto"/>
                      <w:kern w:val="0"/>
                      <w:szCs w:val="21"/>
                    </w:rPr>
                  </w:pPr>
                </w:p>
              </w:tc>
            </w:tr>
          </w:tbl>
          <w:p>
            <w:pPr>
              <w:adjustRightInd w:val="0"/>
              <w:snapToGrid w:val="0"/>
              <w:spacing w:line="360" w:lineRule="auto"/>
              <w:rPr>
                <w:b/>
                <w:bCs/>
                <w:color w:val="auto"/>
                <w:kern w:val="0"/>
                <w:sz w:val="24"/>
              </w:rPr>
            </w:pPr>
            <w:r>
              <w:rPr>
                <w:b/>
                <w:bCs/>
                <w:color w:val="auto"/>
                <w:kern w:val="0"/>
                <w:sz w:val="24"/>
              </w:rPr>
              <w:t>3、噪声</w:t>
            </w:r>
          </w:p>
          <w:p>
            <w:pPr>
              <w:adjustRightInd w:val="0"/>
              <w:snapToGrid w:val="0"/>
              <w:spacing w:line="360" w:lineRule="auto"/>
              <w:ind w:firstLine="480" w:firstLineChars="200"/>
              <w:rPr>
                <w:color w:val="auto"/>
                <w:kern w:val="0"/>
                <w:sz w:val="24"/>
              </w:rPr>
            </w:pPr>
            <w:r>
              <w:rPr>
                <w:rFonts w:hint="eastAsia"/>
                <w:color w:val="auto"/>
                <w:kern w:val="0"/>
                <w:sz w:val="24"/>
              </w:rPr>
              <w:t>根据《西安市人民政府办公厅关于印发声环境功能区划方案的通知》（市政办函〔2019〕107 号）：“（4）符合下列条件之一的划为3 类声环境功能区：a.城市用地现状已形成一定规模或近期规划已明确主要功能的区域，其用地性质符合3 类声环境功能区（指以工业生产、仓储物流为主要功能，需要防止工业噪声对周围环境产生严重影响的区域）规定的区域；b.工业用地和物流仓储用地占地率大于70%（含70%）的混合用地区域。”</w:t>
            </w:r>
          </w:p>
          <w:p>
            <w:pPr>
              <w:adjustRightInd w:val="0"/>
              <w:snapToGrid w:val="0"/>
              <w:spacing w:line="360" w:lineRule="auto"/>
              <w:ind w:firstLine="480" w:firstLineChars="200"/>
              <w:rPr>
                <w:color w:val="auto"/>
                <w:kern w:val="0"/>
                <w:sz w:val="24"/>
              </w:rPr>
            </w:pPr>
            <w:r>
              <w:rPr>
                <w:rFonts w:hint="eastAsia"/>
                <w:color w:val="auto"/>
                <w:kern w:val="0"/>
                <w:sz w:val="24"/>
              </w:rPr>
              <w:t>项目施工期建筑施工噪声排放执行《建筑施工场界环境噪声排放标准》（GB 12523-2011）中的要求；</w:t>
            </w:r>
          </w:p>
          <w:p>
            <w:pPr>
              <w:adjustRightInd w:val="0"/>
              <w:snapToGrid w:val="0"/>
              <w:spacing w:line="360" w:lineRule="auto"/>
              <w:ind w:firstLine="480" w:firstLineChars="200"/>
              <w:rPr>
                <w:color w:val="auto"/>
                <w:kern w:val="0"/>
                <w:sz w:val="24"/>
              </w:rPr>
            </w:pPr>
            <w:r>
              <w:rPr>
                <w:color w:val="auto"/>
                <w:kern w:val="0"/>
                <w:sz w:val="24"/>
              </w:rPr>
              <w:t>运营期厂界噪声执行《</w:t>
            </w:r>
            <w:r>
              <w:rPr>
                <w:rFonts w:hint="eastAsia"/>
                <w:color w:val="auto"/>
                <w:kern w:val="0"/>
                <w:sz w:val="24"/>
              </w:rPr>
              <w:t>工业企业厂界环境噪声排放标准</w:t>
            </w:r>
            <w:r>
              <w:rPr>
                <w:color w:val="auto"/>
                <w:kern w:val="0"/>
                <w:sz w:val="24"/>
              </w:rPr>
              <w:t>》（</w:t>
            </w:r>
            <w:r>
              <w:rPr>
                <w:rFonts w:hint="eastAsia"/>
                <w:color w:val="auto"/>
                <w:kern w:val="0"/>
                <w:sz w:val="24"/>
              </w:rPr>
              <w:t>GB 12348—2008</w:t>
            </w:r>
            <w:r>
              <w:rPr>
                <w:color w:val="auto"/>
                <w:kern w:val="0"/>
                <w:sz w:val="24"/>
              </w:rPr>
              <w:t>）</w:t>
            </w:r>
            <w:r>
              <w:rPr>
                <w:rFonts w:hint="eastAsia"/>
                <w:color w:val="auto"/>
                <w:kern w:val="0"/>
                <w:sz w:val="24"/>
              </w:rPr>
              <w:t>表1</w:t>
            </w:r>
            <w:r>
              <w:rPr>
                <w:color w:val="auto"/>
                <w:kern w:val="0"/>
                <w:sz w:val="24"/>
              </w:rPr>
              <w:t>中</w:t>
            </w:r>
            <w:r>
              <w:rPr>
                <w:rFonts w:hint="eastAsia"/>
                <w:color w:val="auto"/>
                <w:kern w:val="0"/>
                <w:sz w:val="24"/>
              </w:rPr>
              <w:t>3类功能区的排放限制，</w:t>
            </w:r>
            <w:r>
              <w:rPr>
                <w:color w:val="auto"/>
                <w:kern w:val="0"/>
                <w:sz w:val="24"/>
              </w:rPr>
              <w:t>周边敏感点昼、夜间声环境均满足《声环境质量标准》（GB3096-2008）中2类标准值</w:t>
            </w:r>
            <w:r>
              <w:rPr>
                <w:rFonts w:hint="eastAsia" w:ascii="宋体" w:hAnsi="宋体" w:cs="宋体"/>
                <w:color w:val="auto"/>
                <w:kern w:val="0"/>
                <w:sz w:val="24"/>
              </w:rPr>
              <w:t>。</w:t>
            </w:r>
            <w:r>
              <w:rPr>
                <w:rFonts w:hint="eastAsia"/>
                <w:color w:val="auto"/>
                <w:kern w:val="0"/>
                <w:sz w:val="24"/>
              </w:rPr>
              <w:t>详见表</w:t>
            </w:r>
            <w:r>
              <w:rPr>
                <w:color w:val="auto"/>
                <w:kern w:val="0"/>
                <w:sz w:val="24"/>
              </w:rPr>
              <w:t>3-</w:t>
            </w:r>
            <w:r>
              <w:rPr>
                <w:rFonts w:hint="eastAsia"/>
                <w:color w:val="auto"/>
                <w:kern w:val="0"/>
                <w:sz w:val="24"/>
                <w:lang w:val="en-US" w:eastAsia="zh-CN"/>
              </w:rPr>
              <w:t>10</w:t>
            </w:r>
            <w:r>
              <w:rPr>
                <w:color w:val="auto"/>
                <w:kern w:val="0"/>
                <w:sz w:val="24"/>
              </w:rPr>
              <w:t>。</w:t>
            </w:r>
          </w:p>
          <w:p>
            <w:pPr>
              <w:adjustRightInd w:val="0"/>
              <w:snapToGrid w:val="0"/>
              <w:jc w:val="center"/>
              <w:rPr>
                <w:b/>
                <w:bCs/>
                <w:color w:val="auto"/>
                <w:kern w:val="0"/>
                <w:szCs w:val="21"/>
              </w:rPr>
            </w:pPr>
            <w:r>
              <w:rPr>
                <w:b/>
                <w:bCs/>
                <w:color w:val="auto"/>
                <w:kern w:val="0"/>
                <w:szCs w:val="21"/>
              </w:rPr>
              <w:t>表3-</w:t>
            </w:r>
            <w:r>
              <w:rPr>
                <w:rFonts w:hint="eastAsia"/>
                <w:b/>
                <w:bCs/>
                <w:color w:val="auto"/>
                <w:kern w:val="0"/>
                <w:szCs w:val="21"/>
                <w:lang w:val="en-US" w:eastAsia="zh-CN"/>
              </w:rPr>
              <w:t>10</w:t>
            </w:r>
            <w:r>
              <w:rPr>
                <w:b/>
                <w:bCs/>
                <w:color w:val="auto"/>
                <w:kern w:val="0"/>
                <w:szCs w:val="21"/>
              </w:rPr>
              <w:t xml:space="preserve"> </w:t>
            </w:r>
            <w:r>
              <w:rPr>
                <w:rFonts w:hint="eastAsia"/>
                <w:b/>
                <w:bCs/>
                <w:color w:val="auto"/>
                <w:kern w:val="0"/>
                <w:szCs w:val="21"/>
              </w:rPr>
              <w:t>工业企业厂界噪声排放标准</w:t>
            </w:r>
          </w:p>
          <w:tbl>
            <w:tblPr>
              <w:tblStyle w:val="19"/>
              <w:tblW w:w="7942"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943"/>
              <w:gridCol w:w="1210"/>
              <w:gridCol w:w="1210"/>
              <w:gridCol w:w="1185"/>
              <w:gridCol w:w="11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52" w:type="dxa"/>
                  <w:gridSpan w:val="2"/>
                  <w:vMerge w:val="restart"/>
                  <w:vAlign w:val="center"/>
                </w:tcPr>
                <w:p>
                  <w:pPr>
                    <w:jc w:val="center"/>
                    <w:rPr>
                      <w:b/>
                      <w:bCs/>
                      <w:color w:val="auto"/>
                      <w:szCs w:val="21"/>
                    </w:rPr>
                  </w:pPr>
                  <w:r>
                    <w:rPr>
                      <w:rFonts w:hint="eastAsia"/>
                      <w:b/>
                      <w:bCs/>
                      <w:color w:val="auto"/>
                      <w:szCs w:val="21"/>
                    </w:rPr>
                    <w:t>标准名称</w:t>
                  </w:r>
                </w:p>
              </w:tc>
              <w:tc>
                <w:tcPr>
                  <w:tcW w:w="1210" w:type="dxa"/>
                  <w:vMerge w:val="restart"/>
                  <w:vAlign w:val="center"/>
                </w:tcPr>
                <w:p>
                  <w:pPr>
                    <w:jc w:val="center"/>
                    <w:rPr>
                      <w:b/>
                      <w:bCs/>
                      <w:color w:val="auto"/>
                      <w:szCs w:val="21"/>
                    </w:rPr>
                  </w:pPr>
                  <w:r>
                    <w:rPr>
                      <w:rFonts w:hint="eastAsia"/>
                      <w:b/>
                      <w:bCs/>
                      <w:color w:val="auto"/>
                      <w:szCs w:val="21"/>
                    </w:rPr>
                    <w:t>类别</w:t>
                  </w:r>
                </w:p>
              </w:tc>
              <w:tc>
                <w:tcPr>
                  <w:tcW w:w="1210" w:type="dxa"/>
                  <w:vMerge w:val="restart"/>
                  <w:vAlign w:val="center"/>
                </w:tcPr>
                <w:p>
                  <w:pPr>
                    <w:jc w:val="center"/>
                    <w:rPr>
                      <w:b/>
                      <w:bCs/>
                      <w:color w:val="auto"/>
                      <w:szCs w:val="21"/>
                    </w:rPr>
                  </w:pPr>
                  <w:r>
                    <w:rPr>
                      <w:rFonts w:hint="eastAsia"/>
                      <w:b/>
                      <w:bCs/>
                      <w:color w:val="auto"/>
                      <w:szCs w:val="21"/>
                    </w:rPr>
                    <w:t>评价因子</w:t>
                  </w:r>
                </w:p>
              </w:tc>
              <w:tc>
                <w:tcPr>
                  <w:tcW w:w="2370" w:type="dxa"/>
                  <w:gridSpan w:val="2"/>
                  <w:vAlign w:val="center"/>
                </w:tcPr>
                <w:p>
                  <w:pPr>
                    <w:adjustRightInd w:val="0"/>
                    <w:snapToGrid w:val="0"/>
                    <w:spacing w:line="360" w:lineRule="auto"/>
                    <w:jc w:val="center"/>
                    <w:rPr>
                      <w:b/>
                      <w:bCs/>
                      <w:color w:val="auto"/>
                      <w:kern w:val="0"/>
                      <w:sz w:val="24"/>
                    </w:rPr>
                  </w:pPr>
                  <w:r>
                    <w:rPr>
                      <w:rFonts w:hint="eastAsia"/>
                      <w:b/>
                      <w:bCs/>
                      <w:color w:val="auto"/>
                      <w:szCs w:val="21"/>
                    </w:rPr>
                    <w:t>噪声限制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52" w:type="dxa"/>
                  <w:gridSpan w:val="2"/>
                  <w:vMerge w:val="continue"/>
                  <w:vAlign w:val="center"/>
                </w:tcPr>
                <w:p>
                  <w:pPr>
                    <w:adjustRightInd w:val="0"/>
                    <w:snapToGrid w:val="0"/>
                    <w:spacing w:line="360" w:lineRule="auto"/>
                    <w:jc w:val="center"/>
                    <w:rPr>
                      <w:b/>
                      <w:bCs/>
                      <w:color w:val="auto"/>
                      <w:kern w:val="0"/>
                      <w:sz w:val="24"/>
                    </w:rPr>
                  </w:pPr>
                </w:p>
              </w:tc>
              <w:tc>
                <w:tcPr>
                  <w:tcW w:w="1210" w:type="dxa"/>
                  <w:vMerge w:val="continue"/>
                  <w:vAlign w:val="center"/>
                </w:tcPr>
                <w:p>
                  <w:pPr>
                    <w:adjustRightInd w:val="0"/>
                    <w:snapToGrid w:val="0"/>
                    <w:spacing w:line="360" w:lineRule="auto"/>
                    <w:jc w:val="center"/>
                    <w:rPr>
                      <w:b/>
                      <w:bCs/>
                      <w:color w:val="auto"/>
                      <w:kern w:val="0"/>
                      <w:sz w:val="24"/>
                    </w:rPr>
                  </w:pPr>
                </w:p>
              </w:tc>
              <w:tc>
                <w:tcPr>
                  <w:tcW w:w="1210" w:type="dxa"/>
                  <w:vMerge w:val="continue"/>
                  <w:vAlign w:val="center"/>
                </w:tcPr>
                <w:p>
                  <w:pPr>
                    <w:adjustRightInd w:val="0"/>
                    <w:snapToGrid w:val="0"/>
                    <w:spacing w:line="360" w:lineRule="auto"/>
                    <w:jc w:val="center"/>
                    <w:rPr>
                      <w:b/>
                      <w:bCs/>
                      <w:color w:val="auto"/>
                      <w:kern w:val="0"/>
                      <w:sz w:val="24"/>
                    </w:rPr>
                  </w:pPr>
                </w:p>
              </w:tc>
              <w:tc>
                <w:tcPr>
                  <w:tcW w:w="1185" w:type="dxa"/>
                  <w:vAlign w:val="center"/>
                </w:tcPr>
                <w:p>
                  <w:pPr>
                    <w:jc w:val="center"/>
                    <w:rPr>
                      <w:b/>
                      <w:bCs/>
                      <w:color w:val="auto"/>
                      <w:szCs w:val="21"/>
                    </w:rPr>
                  </w:pPr>
                  <w:r>
                    <w:rPr>
                      <w:rFonts w:hint="eastAsia"/>
                      <w:b/>
                      <w:bCs/>
                      <w:color w:val="auto"/>
                      <w:szCs w:val="21"/>
                    </w:rPr>
                    <w:t>昼间</w:t>
                  </w:r>
                </w:p>
              </w:tc>
              <w:tc>
                <w:tcPr>
                  <w:tcW w:w="1185" w:type="dxa"/>
                  <w:vAlign w:val="center"/>
                </w:tcPr>
                <w:p>
                  <w:pPr>
                    <w:jc w:val="center"/>
                    <w:rPr>
                      <w:b/>
                      <w:bCs/>
                      <w:color w:val="auto"/>
                      <w:szCs w:val="21"/>
                    </w:rPr>
                  </w:pPr>
                  <w:r>
                    <w:rPr>
                      <w:rFonts w:hint="eastAsia"/>
                      <w:b/>
                      <w:bCs/>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209" w:type="dxa"/>
                  <w:vAlign w:val="center"/>
                </w:tcPr>
                <w:p>
                  <w:pPr>
                    <w:jc w:val="center"/>
                    <w:rPr>
                      <w:color w:val="auto"/>
                      <w:szCs w:val="21"/>
                    </w:rPr>
                  </w:pPr>
                  <w:r>
                    <w:rPr>
                      <w:rFonts w:hint="eastAsia"/>
                      <w:color w:val="auto"/>
                      <w:szCs w:val="21"/>
                    </w:rPr>
                    <w:t>施工期</w:t>
                  </w:r>
                </w:p>
              </w:tc>
              <w:tc>
                <w:tcPr>
                  <w:tcW w:w="1943" w:type="dxa"/>
                  <w:vAlign w:val="center"/>
                </w:tcPr>
                <w:p>
                  <w:pPr>
                    <w:jc w:val="center"/>
                    <w:rPr>
                      <w:color w:val="auto"/>
                      <w:szCs w:val="21"/>
                    </w:rPr>
                  </w:pPr>
                  <w:r>
                    <w:rPr>
                      <w:rFonts w:hint="eastAsia"/>
                      <w:color w:val="auto"/>
                      <w:szCs w:val="21"/>
                    </w:rPr>
                    <w:t>《建筑施工场界环境噪声排放标准》(GB12523-2011)</w:t>
                  </w:r>
                </w:p>
              </w:tc>
              <w:tc>
                <w:tcPr>
                  <w:tcW w:w="1210" w:type="dxa"/>
                  <w:vAlign w:val="center"/>
                </w:tcPr>
                <w:p>
                  <w:pPr>
                    <w:jc w:val="center"/>
                    <w:rPr>
                      <w:color w:val="auto"/>
                      <w:szCs w:val="21"/>
                    </w:rPr>
                  </w:pPr>
                  <w:r>
                    <w:rPr>
                      <w:rFonts w:hint="eastAsia"/>
                      <w:color w:val="auto"/>
                      <w:szCs w:val="21"/>
                    </w:rPr>
                    <w:t>/</w:t>
                  </w:r>
                </w:p>
              </w:tc>
              <w:tc>
                <w:tcPr>
                  <w:tcW w:w="1210" w:type="dxa"/>
                  <w:vAlign w:val="center"/>
                </w:tcPr>
                <w:p>
                  <w:pPr>
                    <w:adjustRightInd w:val="0"/>
                    <w:snapToGrid w:val="0"/>
                    <w:spacing w:line="360" w:lineRule="auto"/>
                    <w:jc w:val="center"/>
                    <w:rPr>
                      <w:color w:val="auto"/>
                      <w:szCs w:val="21"/>
                    </w:rPr>
                  </w:pPr>
                  <w:r>
                    <w:rPr>
                      <w:rFonts w:hint="eastAsia"/>
                      <w:color w:val="auto"/>
                      <w:szCs w:val="21"/>
                    </w:rPr>
                    <w:t>等效A声级</w:t>
                  </w:r>
                </w:p>
              </w:tc>
              <w:tc>
                <w:tcPr>
                  <w:tcW w:w="1185" w:type="dxa"/>
                  <w:vAlign w:val="center"/>
                </w:tcPr>
                <w:p>
                  <w:pPr>
                    <w:jc w:val="center"/>
                    <w:rPr>
                      <w:color w:val="auto"/>
                      <w:szCs w:val="21"/>
                    </w:rPr>
                  </w:pPr>
                  <w:r>
                    <w:rPr>
                      <w:rFonts w:hint="eastAsia"/>
                      <w:color w:val="auto"/>
                      <w:szCs w:val="21"/>
                    </w:rPr>
                    <w:t>70</w:t>
                  </w:r>
                </w:p>
              </w:tc>
              <w:tc>
                <w:tcPr>
                  <w:tcW w:w="1185" w:type="dxa"/>
                  <w:vAlign w:val="center"/>
                </w:tcPr>
                <w:p>
                  <w:pPr>
                    <w:jc w:val="center"/>
                    <w:rPr>
                      <w:color w:val="auto"/>
                      <w:szCs w:val="21"/>
                    </w:rPr>
                  </w:pPr>
                  <w:r>
                    <w:rPr>
                      <w:rFonts w:hint="eastAsia"/>
                      <w:color w:val="auto"/>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209" w:type="dxa"/>
                  <w:vMerge w:val="restart"/>
                  <w:vAlign w:val="center"/>
                </w:tcPr>
                <w:p>
                  <w:pPr>
                    <w:jc w:val="center"/>
                    <w:rPr>
                      <w:color w:val="auto"/>
                      <w:szCs w:val="21"/>
                    </w:rPr>
                  </w:pPr>
                  <w:r>
                    <w:rPr>
                      <w:rFonts w:hint="eastAsia"/>
                      <w:color w:val="auto"/>
                      <w:szCs w:val="21"/>
                    </w:rPr>
                    <w:t>运营期</w:t>
                  </w:r>
                </w:p>
              </w:tc>
              <w:tc>
                <w:tcPr>
                  <w:tcW w:w="1943" w:type="dxa"/>
                  <w:vAlign w:val="center"/>
                </w:tcPr>
                <w:p>
                  <w:pPr>
                    <w:jc w:val="center"/>
                    <w:rPr>
                      <w:color w:val="auto"/>
                      <w:szCs w:val="21"/>
                    </w:rPr>
                  </w:pPr>
                  <w:r>
                    <w:rPr>
                      <w:rFonts w:hint="eastAsia"/>
                      <w:color w:val="auto"/>
                      <w:szCs w:val="21"/>
                    </w:rPr>
                    <w:t>《工业企业厂界环境噪声排放标准》（GB12348-2008）</w:t>
                  </w:r>
                </w:p>
              </w:tc>
              <w:tc>
                <w:tcPr>
                  <w:tcW w:w="1210" w:type="dxa"/>
                  <w:vAlign w:val="center"/>
                </w:tcPr>
                <w:p>
                  <w:pPr>
                    <w:jc w:val="center"/>
                    <w:rPr>
                      <w:color w:val="auto"/>
                      <w:szCs w:val="21"/>
                    </w:rPr>
                  </w:pPr>
                  <w:r>
                    <w:rPr>
                      <w:rFonts w:hint="eastAsia"/>
                      <w:color w:val="auto"/>
                      <w:szCs w:val="21"/>
                    </w:rPr>
                    <w:t>3类（东、西、南、北四厂界）</w:t>
                  </w:r>
                </w:p>
              </w:tc>
              <w:tc>
                <w:tcPr>
                  <w:tcW w:w="1210" w:type="dxa"/>
                  <w:vAlign w:val="center"/>
                </w:tcPr>
                <w:p>
                  <w:pPr>
                    <w:adjustRightInd w:val="0"/>
                    <w:snapToGrid w:val="0"/>
                    <w:spacing w:line="360" w:lineRule="auto"/>
                    <w:jc w:val="center"/>
                    <w:rPr>
                      <w:b/>
                      <w:bCs/>
                      <w:color w:val="auto"/>
                      <w:kern w:val="0"/>
                      <w:sz w:val="24"/>
                    </w:rPr>
                  </w:pPr>
                  <w:r>
                    <w:rPr>
                      <w:rFonts w:hint="eastAsia"/>
                      <w:color w:val="auto"/>
                      <w:szCs w:val="21"/>
                    </w:rPr>
                    <w:t>等效A声级</w:t>
                  </w:r>
                </w:p>
              </w:tc>
              <w:tc>
                <w:tcPr>
                  <w:tcW w:w="1185" w:type="dxa"/>
                  <w:vAlign w:val="center"/>
                </w:tcPr>
                <w:p>
                  <w:pPr>
                    <w:jc w:val="center"/>
                    <w:rPr>
                      <w:color w:val="auto"/>
                      <w:szCs w:val="21"/>
                    </w:rPr>
                  </w:pPr>
                  <w:r>
                    <w:rPr>
                      <w:rFonts w:hint="eastAsia"/>
                      <w:color w:val="auto"/>
                      <w:szCs w:val="21"/>
                    </w:rPr>
                    <w:t>65</w:t>
                  </w:r>
                </w:p>
              </w:tc>
              <w:tc>
                <w:tcPr>
                  <w:tcW w:w="1185" w:type="dxa"/>
                  <w:vAlign w:val="center"/>
                </w:tcPr>
                <w:p>
                  <w:pPr>
                    <w:jc w:val="center"/>
                    <w:rPr>
                      <w:color w:val="auto"/>
                      <w:szCs w:val="21"/>
                    </w:rPr>
                  </w:pPr>
                  <w:r>
                    <w:rPr>
                      <w:rFonts w:hint="eastAsia"/>
                      <w:color w:val="auto"/>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209" w:type="dxa"/>
                  <w:vMerge w:val="continue"/>
                  <w:vAlign w:val="center"/>
                </w:tcPr>
                <w:p>
                  <w:pPr>
                    <w:jc w:val="center"/>
                    <w:rPr>
                      <w:color w:val="auto"/>
                      <w:szCs w:val="21"/>
                    </w:rPr>
                  </w:pPr>
                </w:p>
              </w:tc>
              <w:tc>
                <w:tcPr>
                  <w:tcW w:w="1943" w:type="dxa"/>
                  <w:vAlign w:val="center"/>
                </w:tcPr>
                <w:p>
                  <w:pPr>
                    <w:jc w:val="center"/>
                    <w:rPr>
                      <w:color w:val="auto"/>
                      <w:szCs w:val="21"/>
                    </w:rPr>
                  </w:pPr>
                  <w:r>
                    <w:rPr>
                      <w:color w:val="auto"/>
                      <w:kern w:val="0"/>
                      <w:szCs w:val="21"/>
                    </w:rPr>
                    <w:t>《声环境质量标准》（GB3096-2008）</w:t>
                  </w:r>
                </w:p>
              </w:tc>
              <w:tc>
                <w:tcPr>
                  <w:tcW w:w="1210" w:type="dxa"/>
                  <w:vAlign w:val="center"/>
                </w:tcPr>
                <w:p>
                  <w:pPr>
                    <w:jc w:val="center"/>
                    <w:rPr>
                      <w:color w:val="auto"/>
                      <w:szCs w:val="21"/>
                    </w:rPr>
                  </w:pPr>
                  <w:r>
                    <w:rPr>
                      <w:rFonts w:hint="eastAsia"/>
                      <w:color w:val="auto"/>
                      <w:szCs w:val="21"/>
                    </w:rPr>
                    <w:t>2类（敏感点）</w:t>
                  </w:r>
                </w:p>
              </w:tc>
              <w:tc>
                <w:tcPr>
                  <w:tcW w:w="1210" w:type="dxa"/>
                  <w:vAlign w:val="center"/>
                </w:tcPr>
                <w:p>
                  <w:pPr>
                    <w:adjustRightInd w:val="0"/>
                    <w:snapToGrid w:val="0"/>
                    <w:spacing w:line="360" w:lineRule="auto"/>
                    <w:jc w:val="center"/>
                    <w:rPr>
                      <w:color w:val="auto"/>
                      <w:szCs w:val="21"/>
                    </w:rPr>
                  </w:pPr>
                  <w:r>
                    <w:rPr>
                      <w:rFonts w:hint="eastAsia"/>
                      <w:color w:val="auto"/>
                      <w:szCs w:val="21"/>
                    </w:rPr>
                    <w:t>等效A声级</w:t>
                  </w:r>
                </w:p>
              </w:tc>
              <w:tc>
                <w:tcPr>
                  <w:tcW w:w="1185" w:type="dxa"/>
                  <w:vAlign w:val="center"/>
                </w:tcPr>
                <w:p>
                  <w:pPr>
                    <w:jc w:val="center"/>
                    <w:rPr>
                      <w:color w:val="auto"/>
                      <w:szCs w:val="21"/>
                    </w:rPr>
                  </w:pPr>
                  <w:r>
                    <w:rPr>
                      <w:rFonts w:hint="eastAsia"/>
                      <w:color w:val="auto"/>
                      <w:szCs w:val="21"/>
                    </w:rPr>
                    <w:t>60</w:t>
                  </w:r>
                </w:p>
              </w:tc>
              <w:tc>
                <w:tcPr>
                  <w:tcW w:w="1185" w:type="dxa"/>
                  <w:vAlign w:val="center"/>
                </w:tcPr>
                <w:p>
                  <w:pPr>
                    <w:jc w:val="center"/>
                    <w:rPr>
                      <w:color w:val="auto"/>
                      <w:szCs w:val="21"/>
                    </w:rPr>
                  </w:pPr>
                  <w:r>
                    <w:rPr>
                      <w:rFonts w:hint="eastAsia"/>
                      <w:color w:val="auto"/>
                      <w:szCs w:val="21"/>
                    </w:rPr>
                    <w:t>50</w:t>
                  </w:r>
                </w:p>
              </w:tc>
            </w:tr>
          </w:tbl>
          <w:p>
            <w:pPr>
              <w:adjustRightInd w:val="0"/>
              <w:snapToGrid w:val="0"/>
              <w:spacing w:line="360" w:lineRule="auto"/>
              <w:rPr>
                <w:b/>
                <w:bCs/>
                <w:color w:val="auto"/>
                <w:kern w:val="0"/>
                <w:sz w:val="24"/>
              </w:rPr>
            </w:pPr>
          </w:p>
          <w:p>
            <w:pPr>
              <w:adjustRightInd w:val="0"/>
              <w:snapToGrid w:val="0"/>
              <w:spacing w:line="360" w:lineRule="auto"/>
              <w:rPr>
                <w:b/>
                <w:bCs/>
                <w:color w:val="auto"/>
                <w:kern w:val="0"/>
                <w:sz w:val="24"/>
              </w:rPr>
            </w:pPr>
            <w:r>
              <w:rPr>
                <w:b/>
                <w:bCs/>
                <w:color w:val="auto"/>
                <w:kern w:val="0"/>
                <w:sz w:val="24"/>
              </w:rPr>
              <w:t>4、固体废物</w:t>
            </w:r>
          </w:p>
          <w:p>
            <w:pPr>
              <w:adjustRightInd w:val="0"/>
              <w:snapToGrid w:val="0"/>
              <w:spacing w:line="360" w:lineRule="auto"/>
              <w:ind w:firstLine="480" w:firstLineChars="200"/>
              <w:rPr>
                <w:color w:val="auto"/>
                <w:kern w:val="0"/>
                <w:sz w:val="24"/>
              </w:rPr>
            </w:pPr>
            <w:r>
              <w:rPr>
                <w:color w:val="auto"/>
                <w:kern w:val="0"/>
                <w:sz w:val="24"/>
              </w:rPr>
              <w:t>一般固体废物执行《一般工业固体废物贮存和填埋污染控制标准》（GB18599-2020）的要求。</w:t>
            </w:r>
          </w:p>
          <w:p>
            <w:pPr>
              <w:adjustRightInd w:val="0"/>
              <w:snapToGrid w:val="0"/>
              <w:spacing w:line="360" w:lineRule="auto"/>
              <w:ind w:firstLine="480" w:firstLineChars="200"/>
              <w:rPr>
                <w:color w:val="auto"/>
                <w:kern w:val="0"/>
                <w:szCs w:val="21"/>
              </w:rPr>
            </w:pPr>
            <w:r>
              <w:rPr>
                <w:color w:val="auto"/>
                <w:kern w:val="0"/>
                <w:sz w:val="24"/>
              </w:rPr>
              <w:t>危险废物执行《危险废物贮存污染控制标准》（GB18597-2023）的要求。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8" w:hRule="atLeast"/>
          <w:jc w:val="center"/>
        </w:trPr>
        <w:tc>
          <w:tcPr>
            <w:tcW w:w="800" w:type="dxa"/>
            <w:vAlign w:val="center"/>
          </w:tcPr>
          <w:p>
            <w:pPr>
              <w:adjustRightInd w:val="0"/>
              <w:snapToGrid w:val="0"/>
              <w:jc w:val="center"/>
              <w:rPr>
                <w:color w:val="auto"/>
                <w:kern w:val="0"/>
                <w:szCs w:val="21"/>
              </w:rPr>
            </w:pPr>
            <w:r>
              <w:rPr>
                <w:color w:val="auto"/>
                <w:kern w:val="0"/>
                <w:szCs w:val="21"/>
              </w:rPr>
              <w:t>总量控制指标</w:t>
            </w:r>
          </w:p>
        </w:tc>
        <w:tc>
          <w:tcPr>
            <w:tcW w:w="8190" w:type="dxa"/>
            <w:vAlign w:val="center"/>
          </w:tcPr>
          <w:p>
            <w:pPr>
              <w:adjustRightInd w:val="0"/>
              <w:snapToGrid w:val="0"/>
              <w:spacing w:line="360" w:lineRule="auto"/>
              <w:ind w:firstLine="480" w:firstLineChars="200"/>
              <w:rPr>
                <w:color w:val="auto"/>
                <w:kern w:val="0"/>
                <w:sz w:val="24"/>
              </w:rPr>
            </w:pPr>
            <w:r>
              <w:rPr>
                <w:rFonts w:hint="eastAsia"/>
                <w:color w:val="auto"/>
                <w:kern w:val="0"/>
                <w:sz w:val="24"/>
              </w:rPr>
              <w:t>建设单位（西安比亚迪汽车零部件有限公司）</w:t>
            </w:r>
            <w:r>
              <w:rPr>
                <w:color w:val="auto"/>
                <w:kern w:val="0"/>
                <w:sz w:val="24"/>
              </w:rPr>
              <w:t>已根据《排污许可证申请与核发技术规范 汽车制造业》的要求，</w:t>
            </w:r>
            <w:r>
              <w:rPr>
                <w:rFonts w:hint="eastAsia"/>
                <w:color w:val="auto"/>
                <w:kern w:val="0"/>
                <w:sz w:val="24"/>
              </w:rPr>
              <w:t>进行了排污许可网上申报，并于2024年5月20日取得排污许可证，有效期至2029年5月19日，证书编号：91610131MA7GDUAW2D001V。</w:t>
            </w:r>
          </w:p>
          <w:p>
            <w:pPr>
              <w:adjustRightInd w:val="0"/>
              <w:snapToGrid w:val="0"/>
              <w:spacing w:line="360" w:lineRule="auto"/>
              <w:ind w:firstLine="480" w:firstLineChars="200"/>
              <w:rPr>
                <w:color w:val="auto"/>
                <w:kern w:val="0"/>
                <w:sz w:val="24"/>
              </w:rPr>
            </w:pPr>
            <w:r>
              <w:rPr>
                <w:rFonts w:hint="eastAsia"/>
                <w:color w:val="auto"/>
                <w:kern w:val="0"/>
                <w:sz w:val="24"/>
              </w:rPr>
              <w:t>（1）</w:t>
            </w:r>
            <w:r>
              <w:rPr>
                <w:color w:val="auto"/>
                <w:kern w:val="0"/>
                <w:sz w:val="24"/>
              </w:rPr>
              <w:t>总量控制内容</w:t>
            </w:r>
          </w:p>
          <w:p>
            <w:pPr>
              <w:adjustRightInd w:val="0"/>
              <w:snapToGrid w:val="0"/>
              <w:spacing w:line="360" w:lineRule="auto"/>
              <w:ind w:firstLine="480" w:firstLineChars="200"/>
              <w:rPr>
                <w:color w:val="auto"/>
                <w:kern w:val="0"/>
                <w:sz w:val="24"/>
              </w:rPr>
            </w:pPr>
            <w:r>
              <w:rPr>
                <w:color w:val="auto"/>
                <w:kern w:val="0"/>
                <w:sz w:val="24"/>
              </w:rPr>
              <w:t>根据国家“十四五”相关技术政策要求，结合本项目的工艺特征和排污特点和所在区域环境质量现状，确定本项目污染物排放总量控制因子大气为</w:t>
            </w:r>
            <w:r>
              <w:rPr>
                <w:rFonts w:hint="eastAsia"/>
                <w:color w:val="auto"/>
                <w:kern w:val="0"/>
                <w:sz w:val="24"/>
              </w:rPr>
              <w:t>VOCs</w:t>
            </w:r>
            <w:r>
              <w:rPr>
                <w:color w:val="auto"/>
                <w:kern w:val="0"/>
                <w:sz w:val="24"/>
              </w:rPr>
              <w:t>，水为COD和氨氮</w:t>
            </w:r>
            <w:r>
              <w:rPr>
                <w:rStyle w:val="22"/>
                <w:rFonts w:hint="eastAsia"/>
                <w:color w:val="auto"/>
                <w:kern w:val="0"/>
                <w:szCs w:val="20"/>
              </w:rPr>
              <w:t>。</w:t>
            </w:r>
            <w:r>
              <w:rPr>
                <w:rFonts w:hint="eastAsia"/>
                <w:color w:val="auto"/>
                <w:kern w:val="0"/>
                <w:sz w:val="24"/>
              </w:rPr>
              <w:t>项目废水进入集贤产业园区污水处理厂深度处理，因此COD、氨氮总量控制指标建议纳入该污水处理厂总量控制指标。</w:t>
            </w:r>
          </w:p>
          <w:p>
            <w:pPr>
              <w:adjustRightInd w:val="0"/>
              <w:snapToGrid w:val="0"/>
              <w:spacing w:line="360" w:lineRule="auto"/>
              <w:ind w:firstLine="480" w:firstLineChars="200"/>
              <w:rPr>
                <w:color w:val="auto"/>
                <w:kern w:val="0"/>
                <w:sz w:val="24"/>
              </w:rPr>
            </w:pPr>
            <w:r>
              <w:rPr>
                <w:color w:val="auto"/>
                <w:kern w:val="0"/>
                <w:sz w:val="24"/>
              </w:rPr>
              <w:t>结合项目的工艺特征和排污特点，所在区域环境质量现状、评价最终得出建议新增总量指标如下表所示。</w:t>
            </w:r>
          </w:p>
          <w:p>
            <w:pPr>
              <w:adjustRightInd w:val="0"/>
              <w:snapToGrid w:val="0"/>
              <w:ind w:firstLine="482"/>
              <w:jc w:val="center"/>
              <w:rPr>
                <w:b/>
                <w:bCs/>
                <w:color w:val="auto"/>
                <w:kern w:val="0"/>
                <w:szCs w:val="21"/>
              </w:rPr>
            </w:pPr>
            <w:r>
              <w:rPr>
                <w:b/>
                <w:bCs/>
                <w:color w:val="auto"/>
                <w:kern w:val="0"/>
                <w:szCs w:val="21"/>
              </w:rPr>
              <w:t>表3-</w:t>
            </w:r>
            <w:r>
              <w:rPr>
                <w:rFonts w:hint="eastAsia"/>
                <w:b/>
                <w:bCs/>
                <w:color w:val="auto"/>
                <w:kern w:val="0"/>
                <w:szCs w:val="21"/>
                <w:lang w:val="en-US" w:eastAsia="zh-CN"/>
              </w:rPr>
              <w:t>11</w:t>
            </w:r>
            <w:r>
              <w:rPr>
                <w:b/>
                <w:bCs/>
                <w:color w:val="auto"/>
                <w:kern w:val="0"/>
                <w:szCs w:val="21"/>
              </w:rPr>
              <w:t xml:space="preserve"> </w:t>
            </w:r>
            <w:r>
              <w:rPr>
                <w:rFonts w:hint="eastAsia"/>
                <w:b/>
                <w:bCs/>
                <w:color w:val="auto"/>
                <w:kern w:val="0"/>
                <w:szCs w:val="21"/>
              </w:rPr>
              <w:t>排污总量设置情况一览表</w:t>
            </w:r>
          </w:p>
          <w:tbl>
            <w:tblPr>
              <w:tblStyle w:val="1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113"/>
              <w:gridCol w:w="2243"/>
              <w:gridCol w:w="2149"/>
              <w:gridCol w:w="1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09" w:type="pct"/>
                  <w:vAlign w:val="center"/>
                </w:tcPr>
                <w:p>
                  <w:pPr>
                    <w:adjustRightInd w:val="0"/>
                    <w:snapToGrid w:val="0"/>
                    <w:jc w:val="center"/>
                    <w:rPr>
                      <w:b/>
                      <w:bCs/>
                      <w:color w:val="auto"/>
                      <w:szCs w:val="21"/>
                    </w:rPr>
                  </w:pPr>
                  <w:r>
                    <w:rPr>
                      <w:b/>
                      <w:bCs/>
                      <w:color w:val="auto"/>
                      <w:szCs w:val="21"/>
                    </w:rPr>
                    <w:t>名称</w:t>
                  </w:r>
                </w:p>
              </w:tc>
              <w:tc>
                <w:tcPr>
                  <w:tcW w:w="698" w:type="pct"/>
                  <w:vAlign w:val="center"/>
                </w:tcPr>
                <w:p>
                  <w:pPr>
                    <w:adjustRightInd w:val="0"/>
                    <w:snapToGrid w:val="0"/>
                    <w:jc w:val="center"/>
                    <w:rPr>
                      <w:b/>
                      <w:bCs/>
                      <w:color w:val="auto"/>
                      <w:szCs w:val="21"/>
                    </w:rPr>
                  </w:pPr>
                  <w:r>
                    <w:rPr>
                      <w:b/>
                      <w:bCs/>
                      <w:color w:val="auto"/>
                      <w:szCs w:val="21"/>
                    </w:rPr>
                    <w:t>排污证</w:t>
                  </w:r>
                  <w:r>
                    <w:rPr>
                      <w:rFonts w:hint="eastAsia"/>
                      <w:b/>
                      <w:bCs/>
                      <w:color w:val="auto"/>
                      <w:szCs w:val="21"/>
                    </w:rPr>
                    <w:t>总许可量</w:t>
                  </w:r>
                </w:p>
              </w:tc>
              <w:tc>
                <w:tcPr>
                  <w:tcW w:w="1407" w:type="pct"/>
                  <w:vAlign w:val="center"/>
                </w:tcPr>
                <w:p>
                  <w:pPr>
                    <w:adjustRightInd w:val="0"/>
                    <w:snapToGrid w:val="0"/>
                    <w:jc w:val="center"/>
                    <w:rPr>
                      <w:b/>
                      <w:bCs/>
                      <w:color w:val="auto"/>
                      <w:szCs w:val="21"/>
                    </w:rPr>
                  </w:pPr>
                  <w:r>
                    <w:rPr>
                      <w:b/>
                      <w:bCs/>
                      <w:color w:val="auto"/>
                      <w:szCs w:val="21"/>
                    </w:rPr>
                    <w:t>本项目</w:t>
                  </w:r>
                  <w:r>
                    <w:rPr>
                      <w:rFonts w:hint="eastAsia"/>
                      <w:b/>
                      <w:bCs/>
                      <w:color w:val="auto"/>
                      <w:szCs w:val="21"/>
                    </w:rPr>
                    <w:t>无组织</w:t>
                  </w:r>
                  <w:r>
                    <w:rPr>
                      <w:b/>
                      <w:bCs/>
                      <w:color w:val="auto"/>
                      <w:szCs w:val="21"/>
                    </w:rPr>
                    <w:t>排放量</w:t>
                  </w:r>
                </w:p>
              </w:tc>
              <w:tc>
                <w:tcPr>
                  <w:tcW w:w="1348" w:type="pct"/>
                  <w:vAlign w:val="center"/>
                </w:tcPr>
                <w:p>
                  <w:pPr>
                    <w:adjustRightInd w:val="0"/>
                    <w:snapToGrid w:val="0"/>
                    <w:jc w:val="center"/>
                    <w:rPr>
                      <w:b/>
                      <w:bCs/>
                      <w:color w:val="auto"/>
                      <w:szCs w:val="21"/>
                    </w:rPr>
                  </w:pPr>
                  <w:r>
                    <w:rPr>
                      <w:b/>
                      <w:bCs/>
                      <w:color w:val="auto"/>
                      <w:szCs w:val="21"/>
                    </w:rPr>
                    <w:t>本项目</w:t>
                  </w:r>
                  <w:r>
                    <w:rPr>
                      <w:rFonts w:hint="eastAsia"/>
                      <w:b/>
                      <w:bCs/>
                      <w:color w:val="auto"/>
                      <w:szCs w:val="21"/>
                    </w:rPr>
                    <w:t>有组织</w:t>
                  </w:r>
                  <w:r>
                    <w:rPr>
                      <w:b/>
                      <w:bCs/>
                      <w:color w:val="auto"/>
                      <w:szCs w:val="21"/>
                    </w:rPr>
                    <w:t>排放量</w:t>
                  </w:r>
                </w:p>
              </w:tc>
              <w:tc>
                <w:tcPr>
                  <w:tcW w:w="1036" w:type="pct"/>
                  <w:vAlign w:val="center"/>
                </w:tcPr>
                <w:p>
                  <w:pPr>
                    <w:adjustRightInd w:val="0"/>
                    <w:snapToGrid w:val="0"/>
                    <w:jc w:val="center"/>
                    <w:rPr>
                      <w:b/>
                      <w:bCs/>
                      <w:color w:val="auto"/>
                      <w:szCs w:val="21"/>
                    </w:rPr>
                  </w:pPr>
                  <w:r>
                    <w:rPr>
                      <w:rFonts w:hint="eastAsia"/>
                      <w:b/>
                      <w:bCs/>
                      <w:color w:val="auto"/>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000" w:type="pct"/>
                  <w:gridSpan w:val="5"/>
                  <w:vAlign w:val="center"/>
                </w:tcPr>
                <w:p>
                  <w:pPr>
                    <w:adjustRightInd w:val="0"/>
                    <w:snapToGrid w:val="0"/>
                    <w:jc w:val="center"/>
                    <w:rPr>
                      <w:color w:val="auto"/>
                      <w:szCs w:val="21"/>
                    </w:rPr>
                  </w:pPr>
                  <w:r>
                    <w:rPr>
                      <w:color w:val="auto"/>
                      <w:szCs w:val="21"/>
                    </w:rPr>
                    <w:t>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9" w:type="pct"/>
                  <w:vAlign w:val="center"/>
                </w:tcPr>
                <w:p>
                  <w:pPr>
                    <w:adjustRightInd w:val="0"/>
                    <w:snapToGrid w:val="0"/>
                    <w:jc w:val="center"/>
                    <w:rPr>
                      <w:color w:val="auto"/>
                      <w:szCs w:val="21"/>
                    </w:rPr>
                  </w:pPr>
                  <w:r>
                    <w:rPr>
                      <w:rFonts w:hint="eastAsia"/>
                      <w:color w:val="auto"/>
                      <w:szCs w:val="21"/>
                    </w:rPr>
                    <w:t>非甲烷总烃</w:t>
                  </w:r>
                </w:p>
              </w:tc>
              <w:tc>
                <w:tcPr>
                  <w:tcW w:w="698" w:type="pct"/>
                  <w:vAlign w:val="center"/>
                </w:tcPr>
                <w:p>
                  <w:pPr>
                    <w:adjustRightInd w:val="0"/>
                    <w:snapToGrid w:val="0"/>
                    <w:jc w:val="center"/>
                    <w:rPr>
                      <w:color w:val="auto"/>
                      <w:szCs w:val="21"/>
                    </w:rPr>
                  </w:pPr>
                  <w:r>
                    <w:rPr>
                      <w:rFonts w:hint="eastAsia"/>
                      <w:color w:val="auto"/>
                      <w:szCs w:val="21"/>
                    </w:rPr>
                    <w:t>90.8053</w:t>
                  </w:r>
                  <w:r>
                    <w:rPr>
                      <w:color w:val="auto"/>
                      <w:szCs w:val="21"/>
                    </w:rPr>
                    <w:t>t/a</w:t>
                  </w:r>
                </w:p>
              </w:tc>
              <w:tc>
                <w:tcPr>
                  <w:tcW w:w="1407" w:type="pct"/>
                  <w:vAlign w:val="center"/>
                </w:tcPr>
                <w:p>
                  <w:pPr>
                    <w:adjustRightInd w:val="0"/>
                    <w:snapToGrid w:val="0"/>
                    <w:jc w:val="center"/>
                    <w:rPr>
                      <w:color w:val="auto"/>
                      <w:szCs w:val="21"/>
                    </w:rPr>
                  </w:pPr>
                  <w:r>
                    <w:rPr>
                      <w:rFonts w:hint="eastAsia"/>
                      <w:color w:val="auto"/>
                      <w:szCs w:val="21"/>
                      <w:lang w:val="en-US" w:eastAsia="zh-CN"/>
                    </w:rPr>
                    <w:t>2.09</w:t>
                  </w:r>
                  <w:r>
                    <w:rPr>
                      <w:color w:val="auto"/>
                      <w:szCs w:val="21"/>
                    </w:rPr>
                    <w:t>t/a</w:t>
                  </w:r>
                </w:p>
              </w:tc>
              <w:tc>
                <w:tcPr>
                  <w:tcW w:w="1348" w:type="pct"/>
                  <w:vAlign w:val="center"/>
                </w:tcPr>
                <w:p>
                  <w:pPr>
                    <w:adjustRightInd w:val="0"/>
                    <w:snapToGrid w:val="0"/>
                    <w:jc w:val="center"/>
                    <w:rPr>
                      <w:color w:val="auto"/>
                      <w:szCs w:val="21"/>
                    </w:rPr>
                  </w:pPr>
                  <w:r>
                    <w:rPr>
                      <w:rFonts w:hint="eastAsia"/>
                      <w:color w:val="auto"/>
                      <w:szCs w:val="21"/>
                      <w:lang w:val="en-US" w:eastAsia="zh-CN"/>
                    </w:rPr>
                    <w:t>2.16</w:t>
                  </w:r>
                  <w:r>
                    <w:rPr>
                      <w:color w:val="auto"/>
                      <w:szCs w:val="21"/>
                    </w:rPr>
                    <w:t>t/a</w:t>
                  </w:r>
                </w:p>
              </w:tc>
              <w:tc>
                <w:tcPr>
                  <w:tcW w:w="1036" w:type="pct"/>
                  <w:vAlign w:val="center"/>
                </w:tcPr>
                <w:p>
                  <w:pPr>
                    <w:adjustRightInd w:val="0"/>
                    <w:snapToGrid w:val="0"/>
                    <w:jc w:val="center"/>
                    <w:rPr>
                      <w:color w:val="auto"/>
                      <w:szCs w:val="21"/>
                    </w:rPr>
                  </w:pPr>
                  <w:r>
                    <w:rPr>
                      <w:rFonts w:hint="eastAsia"/>
                      <w:color w:val="auto"/>
                      <w:szCs w:val="21"/>
                      <w:lang w:val="en-US" w:eastAsia="zh-CN"/>
                    </w:rPr>
                    <w:t>4.25</w:t>
                  </w:r>
                  <w:r>
                    <w:rPr>
                      <w:color w:val="auto"/>
                      <w:szCs w:val="21"/>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5"/>
                  <w:vAlign w:val="center"/>
                </w:tcPr>
                <w:p>
                  <w:pPr>
                    <w:adjustRightInd w:val="0"/>
                    <w:snapToGrid w:val="0"/>
                    <w:rPr>
                      <w:color w:val="auto"/>
                      <w:szCs w:val="21"/>
                    </w:rPr>
                  </w:pPr>
                </w:p>
              </w:tc>
            </w:tr>
          </w:tbl>
          <w:p>
            <w:pPr>
              <w:pStyle w:val="17"/>
              <w:ind w:firstLine="0" w:firstLineChars="0"/>
              <w:rPr>
                <w:color w:val="auto"/>
              </w:rPr>
            </w:pPr>
          </w:p>
        </w:tc>
      </w:tr>
    </w:tbl>
    <w:p>
      <w:pPr>
        <w:pStyle w:val="13"/>
        <w:ind w:firstLine="720"/>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18"/>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0"/>
        <w:gridCol w:w="8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460" w:type="dxa"/>
            <w:tcMar>
              <w:left w:w="28" w:type="dxa"/>
              <w:right w:w="28" w:type="dxa"/>
            </w:tcMar>
            <w:vAlign w:val="center"/>
          </w:tcPr>
          <w:p>
            <w:pPr>
              <w:pStyle w:val="13"/>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施工</w:t>
            </w:r>
          </w:p>
          <w:p>
            <w:pPr>
              <w:pStyle w:val="13"/>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期环</w:t>
            </w:r>
          </w:p>
          <w:p>
            <w:pPr>
              <w:pStyle w:val="13"/>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境保</w:t>
            </w:r>
          </w:p>
          <w:p>
            <w:pPr>
              <w:pStyle w:val="13"/>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护措</w:t>
            </w:r>
          </w:p>
          <w:p>
            <w:pPr>
              <w:pStyle w:val="13"/>
              <w:adjustRightInd w:val="0"/>
              <w:snapToGrid w:val="0"/>
              <w:spacing w:before="0" w:beforeAutospacing="0" w:after="0" w:afterAutospacing="0"/>
              <w:jc w:val="center"/>
              <w:rPr>
                <w:rFonts w:ascii="Times New Roman" w:hAnsi="Times New Roman"/>
                <w:bCs/>
                <w:color w:val="auto"/>
                <w:kern w:val="2"/>
                <w:sz w:val="21"/>
                <w:szCs w:val="21"/>
              </w:rPr>
            </w:pPr>
            <w:r>
              <w:rPr>
                <w:rFonts w:ascii="Times New Roman" w:hAnsi="Times New Roman"/>
                <w:color w:val="auto"/>
                <w:kern w:val="2"/>
                <w:szCs w:val="24"/>
              </w:rPr>
              <w:t>施</w:t>
            </w:r>
          </w:p>
        </w:tc>
        <w:tc>
          <w:tcPr>
            <w:tcW w:w="8521" w:type="dxa"/>
            <w:vAlign w:val="center"/>
          </w:tcPr>
          <w:p>
            <w:pPr>
              <w:adjustRightInd w:val="0"/>
              <w:snapToGrid w:val="0"/>
              <w:spacing w:line="360" w:lineRule="auto"/>
              <w:ind w:firstLine="440" w:firstLineChars="200"/>
              <w:rPr>
                <w:bCs/>
                <w:color w:val="auto"/>
                <w:spacing w:val="-10"/>
                <w:sz w:val="24"/>
              </w:rPr>
            </w:pPr>
            <w:r>
              <w:rPr>
                <w:bCs/>
                <w:color w:val="auto"/>
                <w:spacing w:val="-10"/>
                <w:sz w:val="24"/>
              </w:rPr>
              <w:t>本项目不新建厂房，在现有11#厂房内进行设备安装。施工期污染主要是设备安装调试人员生活污水排放，设备安装调试时产生的噪声，以及包装废弃材料和少量生活垃圾。</w:t>
            </w:r>
          </w:p>
          <w:p>
            <w:pPr>
              <w:adjustRightInd w:val="0"/>
              <w:snapToGrid w:val="0"/>
              <w:spacing w:line="360" w:lineRule="auto"/>
              <w:ind w:firstLine="442"/>
              <w:rPr>
                <w:b/>
                <w:color w:val="auto"/>
                <w:spacing w:val="-10"/>
                <w:sz w:val="24"/>
              </w:rPr>
            </w:pPr>
            <w:r>
              <w:rPr>
                <w:b/>
                <w:color w:val="auto"/>
                <w:spacing w:val="-10"/>
                <w:sz w:val="24"/>
              </w:rPr>
              <w:t>1、施工废气</w:t>
            </w:r>
          </w:p>
          <w:p>
            <w:pPr>
              <w:adjustRightInd w:val="0"/>
              <w:snapToGrid w:val="0"/>
              <w:spacing w:line="360" w:lineRule="auto"/>
              <w:ind w:firstLine="440" w:firstLineChars="200"/>
              <w:rPr>
                <w:bCs/>
                <w:color w:val="auto"/>
                <w:spacing w:val="-10"/>
                <w:sz w:val="24"/>
              </w:rPr>
            </w:pPr>
            <w:r>
              <w:rPr>
                <w:bCs/>
                <w:color w:val="auto"/>
                <w:spacing w:val="-10"/>
                <w:sz w:val="24"/>
              </w:rPr>
              <w:t>本项目无地基平整、开挖、填埋等施工过程，设备安装均在厂房内进行。</w:t>
            </w:r>
          </w:p>
          <w:p>
            <w:pPr>
              <w:adjustRightInd w:val="0"/>
              <w:snapToGrid w:val="0"/>
              <w:spacing w:line="360" w:lineRule="auto"/>
              <w:ind w:firstLine="440" w:firstLineChars="200"/>
              <w:rPr>
                <w:bCs/>
                <w:color w:val="auto"/>
                <w:spacing w:val="-10"/>
                <w:sz w:val="24"/>
              </w:rPr>
            </w:pPr>
            <w:r>
              <w:rPr>
                <w:bCs/>
                <w:color w:val="auto"/>
                <w:spacing w:val="-10"/>
                <w:sz w:val="24"/>
              </w:rPr>
              <w:t>施工期间，运输车辆汽车尾气的主要污染物为CO、NO</w:t>
            </w:r>
            <w:r>
              <w:rPr>
                <w:bCs/>
                <w:color w:val="auto"/>
                <w:spacing w:val="-10"/>
                <w:sz w:val="24"/>
                <w:vertAlign w:val="subscript"/>
              </w:rPr>
              <w:t>X</w:t>
            </w:r>
            <w:r>
              <w:rPr>
                <w:bCs/>
                <w:color w:val="auto"/>
                <w:spacing w:val="-10"/>
                <w:sz w:val="24"/>
              </w:rPr>
              <w:t>等。施工期间应加强施工车辆运行管理与维护保养以减少尾气排放对环境的污染；少量扬尘采取定期洒水降尘可降低对周围环境的影响。</w:t>
            </w:r>
          </w:p>
          <w:p>
            <w:pPr>
              <w:adjustRightInd w:val="0"/>
              <w:snapToGrid w:val="0"/>
              <w:spacing w:line="360" w:lineRule="auto"/>
              <w:ind w:firstLine="442"/>
              <w:rPr>
                <w:b/>
                <w:color w:val="auto"/>
                <w:spacing w:val="-10"/>
                <w:sz w:val="24"/>
              </w:rPr>
            </w:pPr>
            <w:r>
              <w:rPr>
                <w:b/>
                <w:color w:val="auto"/>
                <w:spacing w:val="-10"/>
                <w:sz w:val="24"/>
              </w:rPr>
              <w:t>2、废水</w:t>
            </w:r>
          </w:p>
          <w:p>
            <w:pPr>
              <w:adjustRightInd w:val="0"/>
              <w:snapToGrid w:val="0"/>
              <w:spacing w:line="360" w:lineRule="auto"/>
              <w:ind w:firstLine="440" w:firstLineChars="200"/>
              <w:rPr>
                <w:bCs/>
                <w:color w:val="auto"/>
                <w:spacing w:val="-10"/>
                <w:sz w:val="24"/>
              </w:rPr>
            </w:pPr>
            <w:r>
              <w:rPr>
                <w:bCs/>
                <w:color w:val="auto"/>
                <w:spacing w:val="-10"/>
                <w:sz w:val="24"/>
              </w:rPr>
              <w:t>施工期废水主要是施工人员产生的生活污水，主要污染物为COD、BOD</w:t>
            </w:r>
            <w:r>
              <w:rPr>
                <w:bCs/>
                <w:color w:val="auto"/>
                <w:spacing w:val="-10"/>
                <w:sz w:val="24"/>
                <w:vertAlign w:val="subscript"/>
              </w:rPr>
              <w:t>5</w:t>
            </w:r>
            <w:r>
              <w:rPr>
                <w:bCs/>
                <w:color w:val="auto"/>
                <w:spacing w:val="-10"/>
                <w:sz w:val="24"/>
              </w:rPr>
              <w:t>、SS和</w:t>
            </w:r>
            <w:r>
              <w:rPr>
                <w:rFonts w:hint="eastAsia"/>
                <w:bCs/>
                <w:color w:val="auto"/>
                <w:spacing w:val="-10"/>
                <w:sz w:val="24"/>
              </w:rPr>
              <w:t>氨氮</w:t>
            </w:r>
            <w:r>
              <w:rPr>
                <w:bCs/>
                <w:color w:val="auto"/>
                <w:spacing w:val="-10"/>
                <w:sz w:val="24"/>
              </w:rPr>
              <w:t>等。施工生活污水依托厂区现有生活污水处理系统，经化粪池、隔油池处理后直接进入西安集贤工业园区污水厂进行处理，对环境影响较小。</w:t>
            </w:r>
          </w:p>
          <w:p>
            <w:pPr>
              <w:adjustRightInd w:val="0"/>
              <w:snapToGrid w:val="0"/>
              <w:spacing w:line="360" w:lineRule="auto"/>
              <w:ind w:firstLine="442"/>
              <w:rPr>
                <w:b/>
                <w:color w:val="auto"/>
                <w:spacing w:val="-10"/>
                <w:sz w:val="24"/>
              </w:rPr>
            </w:pPr>
            <w:r>
              <w:rPr>
                <w:b/>
                <w:color w:val="auto"/>
                <w:spacing w:val="-10"/>
                <w:sz w:val="24"/>
              </w:rPr>
              <w:t>3、噪声</w:t>
            </w:r>
          </w:p>
          <w:p>
            <w:pPr>
              <w:adjustRightInd w:val="0"/>
              <w:snapToGrid w:val="0"/>
              <w:spacing w:line="360" w:lineRule="auto"/>
              <w:ind w:firstLine="440" w:firstLineChars="200"/>
              <w:rPr>
                <w:bCs/>
                <w:color w:val="auto"/>
                <w:spacing w:val="-10"/>
                <w:sz w:val="24"/>
              </w:rPr>
            </w:pPr>
            <w:r>
              <w:rPr>
                <w:bCs/>
                <w:color w:val="auto"/>
                <w:spacing w:val="-10"/>
                <w:sz w:val="24"/>
              </w:rPr>
              <w:t>施工期的噪声主要来自运输车辆行驶、设备装卸及设备调试，其产生的噪声会对周围的环境造成一定的不利影响，但本项目设备安装调试均在厂房内进行，施工时间较短，施工主要在在昼间进行，夜间不施工。合理安排施工时间，减少噪声设备使用时间，尤其是高噪声设备使用时间。一定程度上能够减小项目施工噪声对周围环境的不利影响。</w:t>
            </w:r>
          </w:p>
          <w:p>
            <w:pPr>
              <w:adjustRightInd w:val="0"/>
              <w:snapToGrid w:val="0"/>
              <w:spacing w:line="360" w:lineRule="auto"/>
              <w:ind w:firstLine="442"/>
              <w:rPr>
                <w:b/>
                <w:color w:val="auto"/>
                <w:spacing w:val="-10"/>
                <w:sz w:val="24"/>
              </w:rPr>
            </w:pPr>
            <w:r>
              <w:rPr>
                <w:b/>
                <w:color w:val="auto"/>
                <w:spacing w:val="-10"/>
                <w:sz w:val="24"/>
              </w:rPr>
              <w:t>4、固体废物</w:t>
            </w:r>
          </w:p>
          <w:p>
            <w:pPr>
              <w:adjustRightInd w:val="0"/>
              <w:snapToGrid w:val="0"/>
              <w:spacing w:line="360" w:lineRule="auto"/>
              <w:ind w:firstLine="440" w:firstLineChars="200"/>
              <w:rPr>
                <w:bCs/>
                <w:color w:val="auto"/>
                <w:spacing w:val="-10"/>
                <w:szCs w:val="21"/>
              </w:rPr>
            </w:pPr>
            <w:r>
              <w:rPr>
                <w:bCs/>
                <w:color w:val="auto"/>
                <w:spacing w:val="-10"/>
                <w:sz w:val="24"/>
              </w:rPr>
              <w:t>施工固废包括施工人员的生活垃圾及安装设备产生的废包装废料等。废包装材料统一收集后由废品回收站回收；生活垃圾桶分类收集，由环卫部门统一清运。固体废物可做到规范贮存、回收利用及合理处置，对外环境影响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460" w:type="dxa"/>
            <w:tcMar>
              <w:left w:w="28" w:type="dxa"/>
              <w:right w:w="28" w:type="dxa"/>
            </w:tcMar>
            <w:vAlign w:val="center"/>
          </w:tcPr>
          <w:p>
            <w:pPr>
              <w:adjustRightInd w:val="0"/>
              <w:snapToGrid w:val="0"/>
              <w:jc w:val="center"/>
              <w:rPr>
                <w:bCs/>
                <w:color w:val="auto"/>
                <w:sz w:val="24"/>
              </w:rPr>
            </w:pPr>
            <w:r>
              <w:rPr>
                <w:bCs/>
                <w:color w:val="auto"/>
                <w:sz w:val="24"/>
              </w:rPr>
              <w:t>运营</w:t>
            </w:r>
          </w:p>
          <w:p>
            <w:pPr>
              <w:adjustRightInd w:val="0"/>
              <w:snapToGrid w:val="0"/>
              <w:jc w:val="center"/>
              <w:rPr>
                <w:bCs/>
                <w:color w:val="auto"/>
                <w:sz w:val="24"/>
              </w:rPr>
            </w:pPr>
            <w:r>
              <w:rPr>
                <w:bCs/>
                <w:color w:val="auto"/>
                <w:sz w:val="24"/>
              </w:rPr>
              <w:t>期环</w:t>
            </w:r>
          </w:p>
          <w:p>
            <w:pPr>
              <w:adjustRightInd w:val="0"/>
              <w:snapToGrid w:val="0"/>
              <w:jc w:val="center"/>
              <w:rPr>
                <w:bCs/>
                <w:color w:val="auto"/>
                <w:sz w:val="24"/>
              </w:rPr>
            </w:pPr>
            <w:r>
              <w:rPr>
                <w:bCs/>
                <w:color w:val="auto"/>
                <w:sz w:val="24"/>
              </w:rPr>
              <w:t>境影</w:t>
            </w:r>
          </w:p>
          <w:p>
            <w:pPr>
              <w:adjustRightInd w:val="0"/>
              <w:snapToGrid w:val="0"/>
              <w:jc w:val="center"/>
              <w:rPr>
                <w:bCs/>
                <w:color w:val="auto"/>
                <w:sz w:val="24"/>
              </w:rPr>
            </w:pPr>
            <w:r>
              <w:rPr>
                <w:bCs/>
                <w:color w:val="auto"/>
                <w:sz w:val="24"/>
              </w:rPr>
              <w:t>响和</w:t>
            </w:r>
          </w:p>
          <w:p>
            <w:pPr>
              <w:adjustRightInd w:val="0"/>
              <w:snapToGrid w:val="0"/>
              <w:jc w:val="center"/>
              <w:rPr>
                <w:bCs/>
                <w:color w:val="auto"/>
                <w:sz w:val="24"/>
              </w:rPr>
            </w:pPr>
            <w:r>
              <w:rPr>
                <w:bCs/>
                <w:color w:val="auto"/>
                <w:sz w:val="24"/>
              </w:rPr>
              <w:t>保护</w:t>
            </w:r>
          </w:p>
          <w:p>
            <w:pPr>
              <w:adjustRightInd w:val="0"/>
              <w:snapToGrid w:val="0"/>
              <w:jc w:val="center"/>
              <w:rPr>
                <w:bCs/>
                <w:color w:val="auto"/>
                <w:szCs w:val="21"/>
              </w:rPr>
            </w:pPr>
            <w:r>
              <w:rPr>
                <w:bCs/>
                <w:color w:val="auto"/>
                <w:sz w:val="24"/>
              </w:rPr>
              <w:t>措施</w:t>
            </w:r>
          </w:p>
        </w:tc>
        <w:tc>
          <w:tcPr>
            <w:tcW w:w="8521" w:type="dxa"/>
            <w:vAlign w:val="center"/>
          </w:tcPr>
          <w:p>
            <w:pPr>
              <w:adjustRightInd w:val="0"/>
              <w:snapToGrid w:val="0"/>
              <w:spacing w:line="360" w:lineRule="auto"/>
              <w:ind w:firstLine="442"/>
              <w:rPr>
                <w:b/>
                <w:color w:val="auto"/>
                <w:spacing w:val="-10"/>
                <w:sz w:val="24"/>
              </w:rPr>
            </w:pPr>
            <w:r>
              <w:rPr>
                <w:b/>
                <w:color w:val="auto"/>
                <w:spacing w:val="-10"/>
                <w:sz w:val="24"/>
              </w:rPr>
              <w:t>1、废气</w:t>
            </w:r>
          </w:p>
          <w:p>
            <w:pPr>
              <w:pStyle w:val="17"/>
              <w:ind w:firstLine="440"/>
              <w:rPr>
                <w:rFonts w:hint="eastAsia" w:eastAsia="宋体"/>
                <w:bCs/>
                <w:color w:val="auto"/>
                <w:spacing w:val="-10"/>
                <w:sz w:val="24"/>
                <w:lang w:val="en-US" w:eastAsia="zh-CN"/>
              </w:rPr>
            </w:pPr>
            <w:r>
              <w:rPr>
                <w:rFonts w:hint="eastAsia" w:eastAsia="宋体"/>
                <w:bCs/>
                <w:color w:val="auto"/>
                <w:spacing w:val="-10"/>
                <w:sz w:val="24"/>
                <w:lang w:val="en-US" w:eastAsia="zh-CN"/>
              </w:rPr>
              <w:t>（1）废气源强核算</w:t>
            </w:r>
          </w:p>
          <w:p>
            <w:pPr>
              <w:adjustRightInd w:val="0"/>
              <w:snapToGrid w:val="0"/>
              <w:spacing w:line="360" w:lineRule="auto"/>
              <w:ind w:firstLine="440" w:firstLineChars="200"/>
              <w:rPr>
                <w:bCs/>
                <w:color w:val="auto"/>
                <w:spacing w:val="-10"/>
                <w:sz w:val="24"/>
              </w:rPr>
            </w:pPr>
            <w:r>
              <w:rPr>
                <w:bCs/>
                <w:color w:val="auto"/>
                <w:spacing w:val="-10"/>
                <w:sz w:val="24"/>
              </w:rPr>
              <w:t>本项目</w:t>
            </w:r>
            <w:r>
              <w:rPr>
                <w:rFonts w:hint="eastAsia"/>
                <w:bCs/>
                <w:color w:val="auto"/>
                <w:spacing w:val="-10"/>
                <w:sz w:val="24"/>
              </w:rPr>
              <w:t>运行期</w:t>
            </w:r>
            <w:r>
              <w:rPr>
                <w:bCs/>
                <w:color w:val="auto"/>
                <w:spacing w:val="-10"/>
                <w:sz w:val="24"/>
              </w:rPr>
              <w:t>废气主要为发泡废气</w:t>
            </w:r>
            <w:r>
              <w:rPr>
                <w:rFonts w:hint="eastAsia"/>
                <w:bCs/>
                <w:color w:val="auto"/>
                <w:spacing w:val="-10"/>
                <w:sz w:val="24"/>
              </w:rPr>
              <w:t>产生的非甲烷总烃</w:t>
            </w:r>
            <w:r>
              <w:rPr>
                <w:bCs/>
                <w:color w:val="auto"/>
                <w:spacing w:val="-10"/>
                <w:sz w:val="24"/>
              </w:rPr>
              <w:t>、</w:t>
            </w:r>
            <w:r>
              <w:rPr>
                <w:rFonts w:hint="eastAsia"/>
                <w:bCs/>
                <w:color w:val="auto"/>
                <w:spacing w:val="-10"/>
                <w:sz w:val="24"/>
                <w:lang w:eastAsia="zh-CN"/>
              </w:rPr>
              <w:t>模压废气</w:t>
            </w:r>
            <w:r>
              <w:rPr>
                <w:rFonts w:hint="eastAsia"/>
                <w:bCs/>
                <w:color w:val="auto"/>
                <w:spacing w:val="-10"/>
                <w:sz w:val="24"/>
              </w:rPr>
              <w:t>产生的非甲烷总烃</w:t>
            </w:r>
            <w:r>
              <w:rPr>
                <w:bCs/>
                <w:color w:val="auto"/>
                <w:spacing w:val="-10"/>
                <w:sz w:val="24"/>
              </w:rPr>
              <w:t>及</w:t>
            </w:r>
            <w:r>
              <w:rPr>
                <w:rFonts w:hint="eastAsia"/>
                <w:bCs/>
                <w:color w:val="auto"/>
                <w:spacing w:val="-10"/>
                <w:sz w:val="24"/>
              </w:rPr>
              <w:t>模具清理</w:t>
            </w:r>
            <w:r>
              <w:rPr>
                <w:bCs/>
                <w:color w:val="auto"/>
                <w:spacing w:val="-10"/>
                <w:sz w:val="24"/>
              </w:rPr>
              <w:t>过程产生的颗粒物。本次员工就餐依托原有食堂，未超过餐厅最大设计就餐人数，因此不再单独核算油烟废气。</w:t>
            </w:r>
          </w:p>
          <w:p>
            <w:pPr>
              <w:keepNext w:val="0"/>
              <w:keepLines w:val="0"/>
              <w:numPr>
                <w:ilvl w:val="0"/>
                <w:numId w:val="0"/>
              </w:numPr>
              <w:suppressLineNumbers w:val="0"/>
              <w:adjustRightInd w:val="0"/>
              <w:snapToGrid w:val="0"/>
              <w:spacing w:before="0" w:beforeAutospacing="0" w:after="0" w:afterAutospacing="0" w:line="360" w:lineRule="auto"/>
              <w:ind w:left="420" w:leftChars="200" w:right="0" w:rightChars="0"/>
              <w:rPr>
                <w:rFonts w:hint="eastAsia" w:ascii="Times New Roman" w:hAnsi="Times New Roman" w:cs="Times New Roman"/>
                <w:b w:val="0"/>
                <w:bCs/>
                <w:color w:val="auto"/>
                <w:sz w:val="24"/>
                <w:highlight w:val="none"/>
                <w:lang w:val="en-US" w:eastAsia="zh-CN"/>
              </w:rPr>
            </w:pPr>
            <w:r>
              <w:rPr>
                <w:rFonts w:hint="eastAsia" w:ascii="Times New Roman" w:hAnsi="Times New Roman" w:eastAsia="宋体" w:cs="Times New Roman"/>
                <w:b w:val="0"/>
                <w:bCs/>
                <w:color w:val="auto"/>
                <w:kern w:val="2"/>
                <w:sz w:val="24"/>
                <w:szCs w:val="24"/>
                <w:lang w:val="en-US" w:eastAsia="zh-CN" w:bidi="ar-SA"/>
              </w:rPr>
              <w:t>1）</w:t>
            </w:r>
            <w:r>
              <w:rPr>
                <w:rFonts w:hint="eastAsia" w:ascii="Times New Roman" w:hAnsi="Times New Roman" w:cs="Times New Roman"/>
                <w:b w:val="0"/>
                <w:bCs/>
                <w:color w:val="auto"/>
                <w:sz w:val="24"/>
                <w:highlight w:val="none"/>
                <w:lang w:val="en-US" w:eastAsia="zh-CN"/>
              </w:rPr>
              <w:t>废气源强</w:t>
            </w:r>
          </w:p>
          <w:p>
            <w:pPr>
              <w:keepNext w:val="0"/>
              <w:keepLines w:val="0"/>
              <w:numPr>
                <w:ilvl w:val="0"/>
                <w:numId w:val="0"/>
              </w:numPr>
              <w:suppressLineNumbers w:val="0"/>
              <w:adjustRightInd w:val="0"/>
              <w:snapToGrid w:val="0"/>
              <w:spacing w:before="0" w:beforeAutospacing="0" w:after="0" w:afterAutospacing="0" w:line="360" w:lineRule="auto"/>
              <w:ind w:right="0" w:rightChars="0" w:firstLine="480" w:firstLineChars="200"/>
              <w:rPr>
                <w:rFonts w:hint="eastAsia" w:ascii="Times New Roman" w:hAnsi="Times New Roman" w:cs="Times New Roman"/>
                <w:b w:val="0"/>
                <w:bCs/>
                <w:color w:val="auto"/>
                <w:sz w:val="24"/>
                <w:highlight w:val="none"/>
                <w:lang w:val="en-US" w:eastAsia="zh-CN"/>
              </w:rPr>
            </w:pPr>
            <w:r>
              <w:rPr>
                <w:rFonts w:hint="eastAsia" w:ascii="Times New Roman" w:hAnsi="Times New Roman" w:cs="Times New Roman"/>
                <w:b w:val="0"/>
                <w:bCs/>
                <w:color w:val="auto"/>
                <w:sz w:val="24"/>
                <w:highlight w:val="none"/>
                <w:lang w:val="en-US" w:eastAsia="zh-CN"/>
              </w:rPr>
              <w:t>①发泡废气</w:t>
            </w:r>
          </w:p>
          <w:p>
            <w:pPr>
              <w:keepNext w:val="0"/>
              <w:keepLines w:val="0"/>
              <w:numPr>
                <w:ilvl w:val="0"/>
                <w:numId w:val="0"/>
              </w:numPr>
              <w:suppressLineNumbers w:val="0"/>
              <w:adjustRightInd w:val="0"/>
              <w:snapToGrid w:val="0"/>
              <w:spacing w:before="0" w:beforeAutospacing="0" w:after="0" w:afterAutospacing="0" w:line="360" w:lineRule="auto"/>
              <w:ind w:right="0" w:rightChars="0" w:firstLine="440" w:firstLineChars="200"/>
              <w:rPr>
                <w:rFonts w:hint="default" w:ascii="Times New Roman" w:hAnsi="Times New Roman" w:eastAsia="宋体" w:cs="Times New Roman"/>
                <w:b w:val="0"/>
                <w:bCs/>
                <w:color w:val="auto"/>
                <w:sz w:val="24"/>
                <w:highlight w:val="none"/>
                <w:lang w:val="en-US" w:eastAsia="zh-CN"/>
              </w:rPr>
            </w:pPr>
            <w:r>
              <w:rPr>
                <w:bCs/>
                <w:color w:val="auto"/>
                <w:spacing w:val="-10"/>
                <w:sz w:val="24"/>
              </w:rPr>
              <w:t>发泡废气产生的污染</w:t>
            </w:r>
            <w:r>
              <w:rPr>
                <w:rFonts w:hint="eastAsia"/>
                <w:bCs/>
                <w:color w:val="auto"/>
                <w:spacing w:val="-10"/>
                <w:sz w:val="24"/>
              </w:rPr>
              <w:t>物</w:t>
            </w:r>
            <w:r>
              <w:rPr>
                <w:bCs/>
                <w:color w:val="auto"/>
                <w:spacing w:val="-10"/>
                <w:sz w:val="24"/>
              </w:rPr>
              <w:t>主要为MDI（二苯基甲烷二异氰酸酯）、PAPI（多亚甲基多苯基多异氰酸酯）</w:t>
            </w:r>
            <w:r>
              <w:rPr>
                <w:rStyle w:val="22"/>
                <w:rFonts w:hint="eastAsia"/>
                <w:color w:val="auto"/>
                <w:kern w:val="0"/>
                <w:szCs w:val="20"/>
              </w:rPr>
              <w:t>，</w:t>
            </w:r>
            <w:r>
              <w:rPr>
                <w:bCs/>
                <w:color w:val="auto"/>
                <w:spacing w:val="-10"/>
                <w:sz w:val="24"/>
              </w:rPr>
              <w:t>本项目发泡废气总体以非甲烷总烃计。</w:t>
            </w:r>
            <w:r>
              <w:rPr>
                <w:rFonts w:eastAsia="宋体"/>
                <w:bCs/>
                <w:color w:val="auto"/>
                <w:spacing w:val="-10"/>
                <w:sz w:val="24"/>
              </w:rPr>
              <w:t>根据《排放源统计调查产排污核算方法和系数手册》中36汽车制造业系数手册树脂纤维加工，系数表见表</w:t>
            </w:r>
            <w:r>
              <w:rPr>
                <w:rFonts w:hint="eastAsia" w:eastAsia="宋体"/>
                <w:bCs/>
                <w:color w:val="auto"/>
                <w:spacing w:val="-10"/>
                <w:sz w:val="24"/>
                <w:lang w:val="en-US" w:eastAsia="zh-CN"/>
              </w:rPr>
              <w:t>4-1</w:t>
            </w:r>
            <w:r>
              <w:rPr>
                <w:rFonts w:hint="eastAsia"/>
                <w:bCs/>
                <w:color w:val="auto"/>
                <w:spacing w:val="-10"/>
                <w:sz w:val="24"/>
                <w:lang w:val="en-US" w:eastAsia="zh-CN"/>
              </w:rPr>
              <w:t>。</w:t>
            </w:r>
          </w:p>
          <w:p>
            <w:pPr>
              <w:pStyle w:val="17"/>
              <w:ind w:firstLine="0" w:firstLineChars="0"/>
              <w:jc w:val="center"/>
              <w:rPr>
                <w:rFonts w:eastAsia="宋体"/>
                <w:b/>
                <w:color w:val="auto"/>
                <w:sz w:val="21"/>
                <w:szCs w:val="21"/>
              </w:rPr>
            </w:pPr>
            <w:r>
              <w:rPr>
                <w:rFonts w:eastAsia="宋体"/>
                <w:b/>
                <w:color w:val="auto"/>
                <w:sz w:val="21"/>
                <w:szCs w:val="21"/>
              </w:rPr>
              <w:t>表4-</w:t>
            </w:r>
            <w:r>
              <w:rPr>
                <w:rFonts w:hint="eastAsia" w:eastAsia="宋体"/>
                <w:b/>
                <w:color w:val="auto"/>
                <w:sz w:val="21"/>
                <w:szCs w:val="21"/>
                <w:lang w:val="en-US" w:eastAsia="zh-CN"/>
              </w:rPr>
              <w:t>1</w:t>
            </w:r>
            <w:r>
              <w:rPr>
                <w:rFonts w:eastAsia="宋体"/>
                <w:b/>
                <w:color w:val="auto"/>
                <w:sz w:val="21"/>
                <w:szCs w:val="21"/>
              </w:rPr>
              <w:t xml:space="preserve">  汽车制造业-树脂纤维加工系数表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9"/>
              <w:gridCol w:w="898"/>
              <w:gridCol w:w="770"/>
              <w:gridCol w:w="769"/>
              <w:gridCol w:w="639"/>
              <w:gridCol w:w="1447"/>
              <w:gridCol w:w="1502"/>
              <w:gridCol w:w="12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pct"/>
                  <w:vAlign w:val="center"/>
                </w:tcPr>
                <w:p>
                  <w:pPr>
                    <w:jc w:val="center"/>
                    <w:rPr>
                      <w:b/>
                      <w:color w:val="auto"/>
                      <w:szCs w:val="21"/>
                    </w:rPr>
                  </w:pPr>
                  <w:r>
                    <w:rPr>
                      <w:b/>
                      <w:color w:val="auto"/>
                      <w:szCs w:val="21"/>
                    </w:rPr>
                    <w:t>工段名称</w:t>
                  </w:r>
                </w:p>
              </w:tc>
              <w:tc>
                <w:tcPr>
                  <w:tcW w:w="540" w:type="pct"/>
                  <w:vAlign w:val="center"/>
                </w:tcPr>
                <w:p>
                  <w:pPr>
                    <w:jc w:val="center"/>
                    <w:rPr>
                      <w:b/>
                      <w:color w:val="auto"/>
                      <w:szCs w:val="21"/>
                    </w:rPr>
                  </w:pPr>
                  <w:r>
                    <w:rPr>
                      <w:b/>
                      <w:color w:val="auto"/>
                      <w:szCs w:val="21"/>
                    </w:rPr>
                    <w:t>产品</w:t>
                  </w:r>
                </w:p>
                <w:p>
                  <w:pPr>
                    <w:jc w:val="center"/>
                    <w:rPr>
                      <w:b/>
                      <w:color w:val="auto"/>
                      <w:szCs w:val="21"/>
                    </w:rPr>
                  </w:pPr>
                  <w:r>
                    <w:rPr>
                      <w:b/>
                      <w:color w:val="auto"/>
                      <w:szCs w:val="21"/>
                    </w:rPr>
                    <w:t>名称</w:t>
                  </w:r>
                </w:p>
              </w:tc>
              <w:tc>
                <w:tcPr>
                  <w:tcW w:w="463" w:type="pct"/>
                  <w:vAlign w:val="center"/>
                </w:tcPr>
                <w:p>
                  <w:pPr>
                    <w:jc w:val="center"/>
                    <w:rPr>
                      <w:b/>
                      <w:color w:val="auto"/>
                      <w:szCs w:val="21"/>
                    </w:rPr>
                  </w:pPr>
                  <w:r>
                    <w:rPr>
                      <w:b/>
                      <w:color w:val="auto"/>
                      <w:szCs w:val="21"/>
                    </w:rPr>
                    <w:t>工艺</w:t>
                  </w:r>
                </w:p>
                <w:p>
                  <w:pPr>
                    <w:jc w:val="center"/>
                    <w:rPr>
                      <w:b/>
                      <w:color w:val="auto"/>
                      <w:szCs w:val="21"/>
                    </w:rPr>
                  </w:pPr>
                  <w:r>
                    <w:rPr>
                      <w:b/>
                      <w:color w:val="auto"/>
                      <w:szCs w:val="21"/>
                    </w:rPr>
                    <w:t>名称</w:t>
                  </w:r>
                </w:p>
              </w:tc>
              <w:tc>
                <w:tcPr>
                  <w:tcW w:w="463" w:type="pct"/>
                  <w:vAlign w:val="center"/>
                </w:tcPr>
                <w:p>
                  <w:pPr>
                    <w:jc w:val="center"/>
                    <w:rPr>
                      <w:b/>
                      <w:color w:val="auto"/>
                      <w:szCs w:val="21"/>
                    </w:rPr>
                  </w:pPr>
                  <w:r>
                    <w:rPr>
                      <w:b/>
                      <w:color w:val="auto"/>
                      <w:szCs w:val="21"/>
                    </w:rPr>
                    <w:t>规模</w:t>
                  </w:r>
                </w:p>
                <w:p>
                  <w:pPr>
                    <w:jc w:val="center"/>
                    <w:rPr>
                      <w:b/>
                      <w:color w:val="auto"/>
                      <w:szCs w:val="21"/>
                    </w:rPr>
                  </w:pPr>
                  <w:r>
                    <w:rPr>
                      <w:b/>
                      <w:color w:val="auto"/>
                      <w:szCs w:val="21"/>
                    </w:rPr>
                    <w:t>等级</w:t>
                  </w:r>
                </w:p>
              </w:tc>
              <w:tc>
                <w:tcPr>
                  <w:tcW w:w="1256" w:type="pct"/>
                  <w:gridSpan w:val="2"/>
                  <w:vAlign w:val="center"/>
                </w:tcPr>
                <w:p>
                  <w:pPr>
                    <w:jc w:val="center"/>
                    <w:rPr>
                      <w:b/>
                      <w:color w:val="auto"/>
                      <w:szCs w:val="21"/>
                    </w:rPr>
                  </w:pPr>
                  <w:r>
                    <w:rPr>
                      <w:b/>
                      <w:color w:val="auto"/>
                      <w:szCs w:val="21"/>
                    </w:rPr>
                    <w:t>污染物指标</w:t>
                  </w:r>
                </w:p>
              </w:tc>
              <w:tc>
                <w:tcPr>
                  <w:tcW w:w="904" w:type="pct"/>
                  <w:vAlign w:val="center"/>
                </w:tcPr>
                <w:p>
                  <w:pPr>
                    <w:jc w:val="center"/>
                    <w:rPr>
                      <w:b/>
                      <w:color w:val="auto"/>
                      <w:szCs w:val="21"/>
                    </w:rPr>
                  </w:pPr>
                  <w:r>
                    <w:rPr>
                      <w:b/>
                      <w:color w:val="auto"/>
                      <w:szCs w:val="21"/>
                    </w:rPr>
                    <w:t>系数单位</w:t>
                  </w:r>
                </w:p>
              </w:tc>
              <w:tc>
                <w:tcPr>
                  <w:tcW w:w="777" w:type="pct"/>
                  <w:vAlign w:val="center"/>
                </w:tcPr>
                <w:p>
                  <w:pPr>
                    <w:jc w:val="center"/>
                    <w:rPr>
                      <w:b/>
                      <w:color w:val="auto"/>
                      <w:szCs w:val="21"/>
                    </w:rPr>
                  </w:pPr>
                  <w:r>
                    <w:rPr>
                      <w:b/>
                      <w:color w:val="auto"/>
                      <w:szCs w:val="21"/>
                    </w:rPr>
                    <w:t>产污系数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95" w:type="pct"/>
                  <w:vMerge w:val="restart"/>
                  <w:vAlign w:val="center"/>
                </w:tcPr>
                <w:p>
                  <w:pPr>
                    <w:jc w:val="center"/>
                    <w:rPr>
                      <w:bCs/>
                      <w:color w:val="auto"/>
                      <w:szCs w:val="21"/>
                    </w:rPr>
                  </w:pPr>
                  <w:r>
                    <w:rPr>
                      <w:bCs/>
                      <w:color w:val="auto"/>
                      <w:szCs w:val="21"/>
                    </w:rPr>
                    <w:t>树脂纤维加工</w:t>
                  </w:r>
                </w:p>
              </w:tc>
              <w:tc>
                <w:tcPr>
                  <w:tcW w:w="540" w:type="pct"/>
                  <w:vMerge w:val="restart"/>
                  <w:vAlign w:val="center"/>
                </w:tcPr>
                <w:p>
                  <w:pPr>
                    <w:jc w:val="center"/>
                    <w:rPr>
                      <w:bCs/>
                      <w:color w:val="auto"/>
                      <w:szCs w:val="21"/>
                    </w:rPr>
                  </w:pPr>
                  <w:r>
                    <w:rPr>
                      <w:rFonts w:hint="eastAsia"/>
                      <w:bCs/>
                      <w:color w:val="auto"/>
                      <w:szCs w:val="21"/>
                    </w:rPr>
                    <w:t>声学包、前围隔热层、</w:t>
                  </w:r>
                </w:p>
                <w:p>
                  <w:pPr>
                    <w:jc w:val="center"/>
                    <w:rPr>
                      <w:bCs/>
                      <w:color w:val="auto"/>
                      <w:szCs w:val="21"/>
                    </w:rPr>
                  </w:pPr>
                  <w:r>
                    <w:rPr>
                      <w:rFonts w:hint="eastAsia"/>
                      <w:bCs/>
                      <w:color w:val="auto"/>
                      <w:szCs w:val="21"/>
                    </w:rPr>
                    <w:t>地毯项目</w:t>
                  </w:r>
                </w:p>
              </w:tc>
              <w:tc>
                <w:tcPr>
                  <w:tcW w:w="463" w:type="pct"/>
                  <w:vMerge w:val="restart"/>
                  <w:vAlign w:val="center"/>
                </w:tcPr>
                <w:p>
                  <w:pPr>
                    <w:jc w:val="center"/>
                    <w:rPr>
                      <w:bCs/>
                      <w:color w:val="auto"/>
                      <w:szCs w:val="21"/>
                    </w:rPr>
                  </w:pPr>
                  <w:r>
                    <w:rPr>
                      <w:bCs/>
                      <w:color w:val="auto"/>
                      <w:szCs w:val="21"/>
                    </w:rPr>
                    <w:t>发泡</w:t>
                  </w:r>
                </w:p>
              </w:tc>
              <w:tc>
                <w:tcPr>
                  <w:tcW w:w="463" w:type="pct"/>
                  <w:vMerge w:val="restart"/>
                  <w:vAlign w:val="center"/>
                </w:tcPr>
                <w:p>
                  <w:pPr>
                    <w:jc w:val="center"/>
                    <w:rPr>
                      <w:bCs/>
                      <w:color w:val="auto"/>
                      <w:szCs w:val="21"/>
                    </w:rPr>
                  </w:pPr>
                  <w:r>
                    <w:rPr>
                      <w:bCs/>
                      <w:color w:val="auto"/>
                      <w:szCs w:val="21"/>
                    </w:rPr>
                    <w:t>所有</w:t>
                  </w:r>
                </w:p>
                <w:p>
                  <w:pPr>
                    <w:jc w:val="center"/>
                    <w:rPr>
                      <w:bCs/>
                      <w:color w:val="auto"/>
                      <w:szCs w:val="21"/>
                    </w:rPr>
                  </w:pPr>
                  <w:r>
                    <w:rPr>
                      <w:bCs/>
                      <w:color w:val="auto"/>
                      <w:szCs w:val="21"/>
                    </w:rPr>
                    <w:t>规模</w:t>
                  </w:r>
                </w:p>
              </w:tc>
              <w:tc>
                <w:tcPr>
                  <w:tcW w:w="385" w:type="pct"/>
                  <w:vMerge w:val="restart"/>
                  <w:vAlign w:val="center"/>
                </w:tcPr>
                <w:p>
                  <w:pPr>
                    <w:jc w:val="center"/>
                    <w:rPr>
                      <w:bCs/>
                      <w:color w:val="auto"/>
                      <w:szCs w:val="21"/>
                    </w:rPr>
                  </w:pPr>
                  <w:r>
                    <w:rPr>
                      <w:bCs/>
                      <w:color w:val="auto"/>
                      <w:szCs w:val="21"/>
                    </w:rPr>
                    <w:t>废气</w:t>
                  </w:r>
                </w:p>
              </w:tc>
              <w:tc>
                <w:tcPr>
                  <w:tcW w:w="871" w:type="pct"/>
                  <w:vAlign w:val="center"/>
                </w:tcPr>
                <w:p>
                  <w:pPr>
                    <w:jc w:val="center"/>
                    <w:rPr>
                      <w:bCs/>
                      <w:color w:val="auto"/>
                      <w:szCs w:val="21"/>
                    </w:rPr>
                  </w:pPr>
                  <w:r>
                    <w:rPr>
                      <w:bCs/>
                      <w:color w:val="auto"/>
                      <w:szCs w:val="21"/>
                    </w:rPr>
                    <w:t>工业废气量</w:t>
                  </w:r>
                </w:p>
              </w:tc>
              <w:tc>
                <w:tcPr>
                  <w:tcW w:w="904" w:type="pct"/>
                  <w:vAlign w:val="center"/>
                </w:tcPr>
                <w:p>
                  <w:pPr>
                    <w:jc w:val="center"/>
                    <w:rPr>
                      <w:bCs/>
                      <w:color w:val="auto"/>
                      <w:szCs w:val="21"/>
                    </w:rPr>
                  </w:pPr>
                  <w:r>
                    <w:rPr>
                      <w:bCs/>
                      <w:color w:val="auto"/>
                      <w:szCs w:val="21"/>
                    </w:rPr>
                    <w:t>立方米/吨-原料</w:t>
                  </w:r>
                </w:p>
              </w:tc>
              <w:tc>
                <w:tcPr>
                  <w:tcW w:w="777" w:type="pct"/>
                  <w:vAlign w:val="center"/>
                </w:tcPr>
                <w:p>
                  <w:pPr>
                    <w:jc w:val="center"/>
                    <w:rPr>
                      <w:bCs/>
                      <w:color w:val="auto"/>
                      <w:szCs w:val="21"/>
                    </w:rPr>
                  </w:pPr>
                  <w:r>
                    <w:rPr>
                      <w:bCs/>
                      <w:color w:val="auto"/>
                      <w:szCs w:val="21"/>
                    </w:rPr>
                    <w:t>43037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95" w:type="pct"/>
                  <w:vMerge w:val="continue"/>
                  <w:vAlign w:val="center"/>
                </w:tcPr>
                <w:p>
                  <w:pPr>
                    <w:jc w:val="center"/>
                    <w:rPr>
                      <w:bCs/>
                      <w:color w:val="auto"/>
                      <w:szCs w:val="21"/>
                    </w:rPr>
                  </w:pPr>
                </w:p>
              </w:tc>
              <w:tc>
                <w:tcPr>
                  <w:tcW w:w="540" w:type="pct"/>
                  <w:vMerge w:val="continue"/>
                  <w:vAlign w:val="center"/>
                </w:tcPr>
                <w:p>
                  <w:pPr>
                    <w:jc w:val="center"/>
                    <w:rPr>
                      <w:bCs/>
                      <w:color w:val="auto"/>
                      <w:szCs w:val="21"/>
                    </w:rPr>
                  </w:pPr>
                </w:p>
              </w:tc>
              <w:tc>
                <w:tcPr>
                  <w:tcW w:w="463" w:type="pct"/>
                  <w:vMerge w:val="continue"/>
                  <w:vAlign w:val="center"/>
                </w:tcPr>
                <w:p>
                  <w:pPr>
                    <w:jc w:val="center"/>
                    <w:rPr>
                      <w:bCs/>
                      <w:color w:val="auto"/>
                      <w:szCs w:val="21"/>
                    </w:rPr>
                  </w:pPr>
                </w:p>
              </w:tc>
              <w:tc>
                <w:tcPr>
                  <w:tcW w:w="463" w:type="pct"/>
                  <w:vMerge w:val="continue"/>
                  <w:vAlign w:val="center"/>
                </w:tcPr>
                <w:p>
                  <w:pPr>
                    <w:jc w:val="center"/>
                    <w:rPr>
                      <w:bCs/>
                      <w:color w:val="auto"/>
                      <w:szCs w:val="21"/>
                    </w:rPr>
                  </w:pPr>
                </w:p>
              </w:tc>
              <w:tc>
                <w:tcPr>
                  <w:tcW w:w="385" w:type="pct"/>
                  <w:vMerge w:val="continue"/>
                  <w:vAlign w:val="center"/>
                </w:tcPr>
                <w:p>
                  <w:pPr>
                    <w:jc w:val="center"/>
                    <w:rPr>
                      <w:bCs/>
                      <w:color w:val="auto"/>
                      <w:szCs w:val="21"/>
                    </w:rPr>
                  </w:pPr>
                </w:p>
              </w:tc>
              <w:tc>
                <w:tcPr>
                  <w:tcW w:w="871" w:type="pct"/>
                  <w:vAlign w:val="center"/>
                </w:tcPr>
                <w:p>
                  <w:pPr>
                    <w:jc w:val="center"/>
                    <w:rPr>
                      <w:bCs/>
                      <w:color w:val="auto"/>
                      <w:szCs w:val="21"/>
                    </w:rPr>
                  </w:pPr>
                  <w:r>
                    <w:rPr>
                      <w:bCs/>
                      <w:color w:val="auto"/>
                      <w:szCs w:val="21"/>
                    </w:rPr>
                    <w:t>挥发性有机物</w:t>
                  </w:r>
                </w:p>
              </w:tc>
              <w:tc>
                <w:tcPr>
                  <w:tcW w:w="904" w:type="pct"/>
                  <w:vAlign w:val="center"/>
                </w:tcPr>
                <w:p>
                  <w:pPr>
                    <w:jc w:val="center"/>
                    <w:rPr>
                      <w:bCs/>
                      <w:color w:val="auto"/>
                      <w:szCs w:val="21"/>
                    </w:rPr>
                  </w:pPr>
                  <w:r>
                    <w:rPr>
                      <w:bCs/>
                      <w:color w:val="auto"/>
                      <w:szCs w:val="21"/>
                    </w:rPr>
                    <w:t>千克/吨-原料</w:t>
                  </w:r>
                </w:p>
              </w:tc>
              <w:tc>
                <w:tcPr>
                  <w:tcW w:w="777" w:type="pct"/>
                  <w:vAlign w:val="center"/>
                </w:tcPr>
                <w:p>
                  <w:pPr>
                    <w:jc w:val="center"/>
                    <w:rPr>
                      <w:bCs/>
                      <w:color w:val="auto"/>
                      <w:szCs w:val="21"/>
                    </w:rPr>
                  </w:pPr>
                  <w:r>
                    <w:rPr>
                      <w:bCs/>
                      <w:color w:val="auto"/>
                      <w:szCs w:val="21"/>
                    </w:rPr>
                    <w:t>5.37</w:t>
                  </w:r>
                </w:p>
              </w:tc>
            </w:tr>
          </w:tbl>
          <w:p>
            <w:pPr>
              <w:adjustRightInd w:val="0"/>
              <w:snapToGrid w:val="0"/>
              <w:spacing w:line="360" w:lineRule="auto"/>
              <w:ind w:firstLine="440" w:firstLineChars="200"/>
              <w:rPr>
                <w:rFonts w:hint="eastAsia" w:ascii="Times New Roman" w:hAnsi="Times New Roman" w:eastAsia="宋体" w:cs="Times New Roman"/>
                <w:bCs/>
                <w:color w:val="auto"/>
                <w:spacing w:val="-10"/>
                <w:sz w:val="24"/>
              </w:rPr>
            </w:pPr>
            <w:r>
              <w:rPr>
                <w:rFonts w:hint="default" w:ascii="Times New Roman" w:hAnsi="Times New Roman" w:eastAsia="宋体" w:cs="Times New Roman"/>
                <w:bCs/>
                <w:color w:val="auto"/>
                <w:spacing w:val="-10"/>
                <w:sz w:val="24"/>
                <w:lang w:val="en-US" w:eastAsia="zh-CN"/>
              </w:rPr>
              <w:t>本项目发泡工序使用的原料</w:t>
            </w:r>
            <w:r>
              <w:rPr>
                <w:rFonts w:hint="eastAsia" w:ascii="Times New Roman" w:hAnsi="Times New Roman" w:eastAsia="宋体" w:cs="Times New Roman"/>
                <w:bCs/>
                <w:color w:val="auto"/>
                <w:spacing w:val="-10"/>
                <w:sz w:val="24"/>
                <w:lang w:val="en-US" w:eastAsia="zh-CN"/>
              </w:rPr>
              <w:t>为异氰酸酯、组合聚醚，</w:t>
            </w:r>
            <w:r>
              <w:rPr>
                <w:rFonts w:hint="default" w:ascii="Times New Roman" w:hAnsi="Times New Roman" w:eastAsia="宋体" w:cs="Times New Roman"/>
                <w:bCs/>
                <w:color w:val="auto"/>
                <w:spacing w:val="-10"/>
                <w:sz w:val="24"/>
                <w:lang w:val="en-US" w:eastAsia="zh-CN"/>
              </w:rPr>
              <w:t>总量为18</w:t>
            </w:r>
            <w:r>
              <w:rPr>
                <w:rFonts w:hint="eastAsia" w:ascii="Times New Roman" w:hAnsi="Times New Roman" w:eastAsia="宋体" w:cs="Times New Roman"/>
                <w:bCs/>
                <w:color w:val="auto"/>
                <w:spacing w:val="-10"/>
                <w:sz w:val="24"/>
                <w:lang w:val="en-US" w:eastAsia="zh-CN"/>
              </w:rPr>
              <w:t>0</w:t>
            </w:r>
            <w:r>
              <w:rPr>
                <w:rFonts w:hint="default" w:ascii="Times New Roman" w:hAnsi="Times New Roman" w:eastAsia="宋体" w:cs="Times New Roman"/>
                <w:bCs/>
                <w:color w:val="auto"/>
                <w:spacing w:val="-10"/>
                <w:sz w:val="24"/>
                <w:lang w:val="en-US" w:eastAsia="zh-CN"/>
              </w:rPr>
              <w:t>0 t/a，年工作时间为6000 h，根据上表，发泡成型产生的工业废气量为</w:t>
            </w:r>
            <w:r>
              <w:rPr>
                <w:rFonts w:hint="eastAsia" w:ascii="Times New Roman" w:hAnsi="Times New Roman" w:eastAsia="宋体" w:cs="Times New Roman"/>
                <w:bCs/>
                <w:color w:val="auto"/>
                <w:spacing w:val="-10"/>
                <w:sz w:val="24"/>
                <w:lang w:val="en-US" w:eastAsia="zh-CN"/>
              </w:rPr>
              <w:t>7746.67</w:t>
            </w:r>
            <w:r>
              <w:rPr>
                <w:rFonts w:hint="default" w:ascii="Times New Roman" w:hAnsi="Times New Roman" w:eastAsia="宋体" w:cs="Times New Roman"/>
                <w:bCs/>
                <w:color w:val="auto"/>
                <w:spacing w:val="-10"/>
                <w:sz w:val="24"/>
                <w:lang w:val="en-US" w:eastAsia="zh-CN"/>
              </w:rPr>
              <w:t>万m</w:t>
            </w:r>
            <w:r>
              <w:rPr>
                <w:rFonts w:hint="default" w:ascii="Times New Roman" w:hAnsi="Times New Roman" w:eastAsia="宋体" w:cs="Times New Roman"/>
                <w:bCs/>
                <w:color w:val="auto"/>
                <w:spacing w:val="-10"/>
                <w:sz w:val="24"/>
                <w:vertAlign w:val="superscript"/>
                <w:lang w:val="en-US" w:eastAsia="zh-CN"/>
              </w:rPr>
              <w:t>3</w:t>
            </w:r>
            <w:r>
              <w:rPr>
                <w:rFonts w:hint="default" w:ascii="Times New Roman" w:hAnsi="Times New Roman" w:eastAsia="宋体" w:cs="Times New Roman"/>
                <w:bCs/>
                <w:color w:val="auto"/>
                <w:spacing w:val="-10"/>
                <w:sz w:val="24"/>
                <w:lang w:val="en-US" w:eastAsia="zh-CN"/>
              </w:rPr>
              <w:t>/a，</w:t>
            </w:r>
            <w:r>
              <w:rPr>
                <w:rFonts w:hint="eastAsia" w:ascii="Times New Roman" w:hAnsi="Times New Roman" w:eastAsia="宋体" w:cs="Times New Roman"/>
                <w:bCs/>
                <w:color w:val="auto"/>
                <w:spacing w:val="-10"/>
                <w:sz w:val="24"/>
                <w:lang w:val="en-US" w:eastAsia="zh-CN"/>
              </w:rPr>
              <w:t>12911.10</w:t>
            </w:r>
            <w:r>
              <w:rPr>
                <w:rFonts w:hint="default" w:ascii="Times New Roman" w:hAnsi="Times New Roman" w:eastAsia="宋体" w:cs="Times New Roman"/>
                <w:bCs/>
                <w:color w:val="auto"/>
                <w:spacing w:val="-10"/>
                <w:sz w:val="24"/>
                <w:lang w:val="en-US" w:eastAsia="zh-CN"/>
              </w:rPr>
              <w:t xml:space="preserve"> m</w:t>
            </w:r>
            <w:r>
              <w:rPr>
                <w:rFonts w:hint="default" w:ascii="Times New Roman" w:hAnsi="Times New Roman" w:eastAsia="宋体" w:cs="Times New Roman"/>
                <w:bCs/>
                <w:color w:val="auto"/>
                <w:spacing w:val="-10"/>
                <w:sz w:val="24"/>
                <w:vertAlign w:val="superscript"/>
                <w:lang w:val="en-US" w:eastAsia="zh-CN"/>
              </w:rPr>
              <w:t>3</w:t>
            </w:r>
            <w:r>
              <w:rPr>
                <w:rFonts w:hint="default" w:ascii="Times New Roman" w:hAnsi="Times New Roman" w:eastAsia="宋体" w:cs="Times New Roman"/>
                <w:bCs/>
                <w:color w:val="auto"/>
                <w:spacing w:val="-10"/>
                <w:sz w:val="24"/>
                <w:lang w:val="en-US" w:eastAsia="zh-CN"/>
              </w:rPr>
              <w:t>/h；挥发性有机物产生量为9.</w:t>
            </w:r>
            <w:r>
              <w:rPr>
                <w:rFonts w:hint="eastAsia" w:ascii="Times New Roman" w:hAnsi="Times New Roman" w:eastAsia="宋体" w:cs="Times New Roman"/>
                <w:bCs/>
                <w:color w:val="auto"/>
                <w:spacing w:val="-10"/>
                <w:sz w:val="24"/>
                <w:lang w:val="en-US" w:eastAsia="zh-CN"/>
              </w:rPr>
              <w:t>67</w:t>
            </w:r>
            <w:r>
              <w:rPr>
                <w:rFonts w:hint="default" w:ascii="Times New Roman" w:hAnsi="Times New Roman" w:eastAsia="宋体" w:cs="Times New Roman"/>
                <w:bCs/>
                <w:color w:val="auto"/>
                <w:spacing w:val="-10"/>
                <w:sz w:val="24"/>
                <w:lang w:val="en-US" w:eastAsia="zh-CN"/>
              </w:rPr>
              <w:t xml:space="preserve"> t/a，则产生速率为1.6</w:t>
            </w:r>
            <w:r>
              <w:rPr>
                <w:rFonts w:hint="eastAsia" w:ascii="Times New Roman" w:hAnsi="Times New Roman" w:eastAsia="宋体" w:cs="Times New Roman"/>
                <w:bCs/>
                <w:color w:val="auto"/>
                <w:spacing w:val="-10"/>
                <w:sz w:val="24"/>
                <w:lang w:val="en-US" w:eastAsia="zh-CN"/>
              </w:rPr>
              <w:t>1</w:t>
            </w:r>
            <w:r>
              <w:rPr>
                <w:rFonts w:hint="default" w:ascii="Times New Roman" w:hAnsi="Times New Roman" w:eastAsia="宋体" w:cs="Times New Roman"/>
                <w:bCs/>
                <w:color w:val="auto"/>
                <w:spacing w:val="-10"/>
                <w:sz w:val="24"/>
                <w:lang w:val="en-US" w:eastAsia="zh-CN"/>
              </w:rPr>
              <w:t xml:space="preserve"> kg/h，产生浓度为</w:t>
            </w:r>
            <w:r>
              <w:rPr>
                <w:rFonts w:hint="eastAsia" w:ascii="Times New Roman" w:hAnsi="Times New Roman" w:eastAsia="宋体" w:cs="Times New Roman"/>
                <w:bCs/>
                <w:color w:val="auto"/>
                <w:spacing w:val="-10"/>
                <w:sz w:val="24"/>
                <w:lang w:val="en-US" w:eastAsia="zh-CN"/>
              </w:rPr>
              <w:t>124.70</w:t>
            </w:r>
            <w:r>
              <w:rPr>
                <w:rFonts w:hint="default" w:ascii="Times New Roman" w:hAnsi="Times New Roman" w:eastAsia="宋体" w:cs="Times New Roman"/>
                <w:bCs/>
                <w:color w:val="auto"/>
                <w:spacing w:val="-10"/>
                <w:sz w:val="24"/>
                <w:lang w:val="en-US" w:eastAsia="zh-CN"/>
              </w:rPr>
              <w:t xml:space="preserve"> mg/m</w:t>
            </w:r>
            <w:r>
              <w:rPr>
                <w:rFonts w:hint="default" w:ascii="Times New Roman" w:hAnsi="Times New Roman" w:eastAsia="宋体" w:cs="Times New Roman"/>
                <w:bCs/>
                <w:color w:val="auto"/>
                <w:spacing w:val="-10"/>
                <w:sz w:val="24"/>
                <w:vertAlign w:val="superscript"/>
                <w:lang w:val="en-US" w:eastAsia="zh-CN"/>
              </w:rPr>
              <w:t>3</w:t>
            </w:r>
            <w:r>
              <w:rPr>
                <w:rFonts w:hint="default" w:ascii="Times New Roman" w:hAnsi="Times New Roman" w:eastAsia="宋体" w:cs="Times New Roman"/>
                <w:bCs/>
                <w:color w:val="auto"/>
                <w:spacing w:val="-10"/>
                <w:sz w:val="24"/>
                <w:lang w:val="en-US" w:eastAsia="zh-CN"/>
              </w:rPr>
              <w:t>。</w:t>
            </w:r>
          </w:p>
          <w:p>
            <w:pPr>
              <w:adjustRightInd w:val="0"/>
              <w:snapToGrid w:val="0"/>
              <w:spacing w:line="360" w:lineRule="auto"/>
              <w:ind w:firstLine="440" w:firstLineChars="200"/>
              <w:rPr>
                <w:rFonts w:hint="eastAsia" w:ascii="Times New Roman" w:hAnsi="Times New Roman" w:eastAsia="宋体" w:cs="Times New Roman"/>
                <w:bCs/>
                <w:color w:val="auto"/>
                <w:spacing w:val="-10"/>
                <w:sz w:val="24"/>
                <w:lang w:val="en-US" w:eastAsia="zh-CN"/>
              </w:rPr>
            </w:pPr>
            <w:r>
              <w:rPr>
                <w:rFonts w:hint="eastAsia" w:ascii="Times New Roman" w:hAnsi="Times New Roman" w:eastAsia="宋体" w:cs="Times New Roman"/>
                <w:bCs/>
                <w:color w:val="auto"/>
                <w:spacing w:val="-10"/>
                <w:sz w:val="24"/>
                <w:lang w:val="en-US" w:eastAsia="zh-CN"/>
              </w:rPr>
              <w:t>②模压废气</w:t>
            </w:r>
          </w:p>
          <w:p>
            <w:pPr>
              <w:adjustRightInd w:val="0"/>
              <w:snapToGrid w:val="0"/>
              <w:spacing w:line="360" w:lineRule="auto"/>
              <w:ind w:firstLine="440" w:firstLineChars="200"/>
              <w:rPr>
                <w:rFonts w:hint="eastAsia" w:ascii="Times New Roman" w:hAnsi="Times New Roman" w:eastAsia="宋体" w:cs="Times New Roman"/>
                <w:bCs/>
                <w:color w:val="auto"/>
                <w:spacing w:val="-10"/>
                <w:sz w:val="24"/>
                <w:lang w:val="en-US" w:eastAsia="zh-CN"/>
              </w:rPr>
            </w:pPr>
            <w:r>
              <w:rPr>
                <w:rFonts w:hint="eastAsia"/>
                <w:bCs/>
                <w:color w:val="auto"/>
                <w:spacing w:val="-10"/>
                <w:sz w:val="24"/>
              </w:rPr>
              <w:t>模压工序使用电对原料进行加热</w:t>
            </w:r>
            <w:r>
              <w:rPr>
                <w:rFonts w:hint="eastAsia"/>
                <w:bCs/>
                <w:color w:val="auto"/>
                <w:spacing w:val="-10"/>
                <w:sz w:val="24"/>
                <w:lang w:eastAsia="zh-CN"/>
              </w:rPr>
              <w:t>，</w:t>
            </w:r>
            <w:r>
              <w:rPr>
                <w:rFonts w:hint="eastAsia"/>
                <w:bCs/>
                <w:color w:val="auto"/>
                <w:spacing w:val="-10"/>
                <w:sz w:val="24"/>
                <w:lang w:val="en-US" w:eastAsia="zh-CN"/>
              </w:rPr>
              <w:t>本项目</w:t>
            </w:r>
            <w:r>
              <w:rPr>
                <w:rFonts w:hint="eastAsia"/>
                <w:bCs/>
                <w:color w:val="auto"/>
                <w:spacing w:val="-10"/>
                <w:sz w:val="24"/>
              </w:rPr>
              <w:t>使用的原料主要为毛毡，主要成分为聚对苯二甲酸乙二醇酯，</w:t>
            </w:r>
            <w:r>
              <w:rPr>
                <w:rFonts w:hint="eastAsia"/>
                <w:bCs/>
                <w:color w:val="auto"/>
                <w:spacing w:val="-10"/>
                <w:sz w:val="24"/>
                <w:lang w:val="en-US" w:eastAsia="zh-CN"/>
              </w:rPr>
              <w:t>PET毛毡加热温度为180~245℃，该温度下PET不会分解</w:t>
            </w:r>
            <w:r>
              <w:rPr>
                <w:rFonts w:hint="eastAsia"/>
                <w:bCs/>
                <w:color w:val="auto"/>
                <w:spacing w:val="-10"/>
                <w:sz w:val="24"/>
                <w:lang w:eastAsia="zh-CN"/>
              </w:rPr>
              <w:t>，</w:t>
            </w:r>
            <w:r>
              <w:rPr>
                <w:rFonts w:hint="eastAsia"/>
                <w:bCs/>
                <w:color w:val="auto"/>
                <w:spacing w:val="-10"/>
                <w:sz w:val="24"/>
              </w:rPr>
              <w:t>加热过程中会产生一定量的有机废气，以非甲烷总烃计</w:t>
            </w:r>
            <w:r>
              <w:rPr>
                <w:rFonts w:hint="eastAsia"/>
                <w:bCs/>
                <w:color w:val="auto"/>
                <w:spacing w:val="-10"/>
                <w:sz w:val="24"/>
                <w:lang w:eastAsia="zh-CN"/>
              </w:rPr>
              <w:t>。</w:t>
            </w:r>
            <w:r>
              <w:rPr>
                <w:rFonts w:hint="eastAsia"/>
                <w:bCs/>
                <w:color w:val="auto"/>
                <w:spacing w:val="-10"/>
                <w:sz w:val="24"/>
              </w:rPr>
              <w:t>本项目毛毡使用量为3000 t/a，</w:t>
            </w:r>
            <w:r>
              <w:rPr>
                <w:rFonts w:hint="eastAsia"/>
                <w:bCs/>
                <w:color w:val="auto"/>
                <w:spacing w:val="-10"/>
                <w:sz w:val="24"/>
                <w:lang w:val="en-US" w:eastAsia="zh-CN"/>
              </w:rPr>
              <w:t>类比《新增年产8万套NVH汽车内饰功能件项目》，产物系数为0.539 kg/t原料</w:t>
            </w:r>
            <w:r>
              <w:rPr>
                <w:rFonts w:hint="eastAsia"/>
                <w:bCs/>
                <w:color w:val="auto"/>
                <w:spacing w:val="-10"/>
                <w:sz w:val="24"/>
              </w:rPr>
              <w:t>，故模压工序非甲烷总烃产生量</w:t>
            </w:r>
            <w:r>
              <w:rPr>
                <w:rFonts w:hint="eastAsia"/>
                <w:bCs/>
                <w:color w:val="auto"/>
                <w:spacing w:val="-10"/>
                <w:sz w:val="24"/>
                <w:lang w:val="en-US" w:eastAsia="zh-CN"/>
              </w:rPr>
              <w:t xml:space="preserve">为1.62 </w:t>
            </w:r>
            <w:r>
              <w:rPr>
                <w:rFonts w:hint="eastAsia"/>
                <w:bCs/>
                <w:color w:val="auto"/>
                <w:spacing w:val="-10"/>
                <w:sz w:val="24"/>
              </w:rPr>
              <w:t>t/a，</w:t>
            </w:r>
            <w:r>
              <w:rPr>
                <w:rFonts w:hint="eastAsia"/>
                <w:bCs/>
                <w:color w:val="auto"/>
                <w:spacing w:val="-10"/>
                <w:sz w:val="24"/>
                <w:lang w:val="en-US" w:eastAsia="zh-CN"/>
              </w:rPr>
              <w:t xml:space="preserve">则产生速率为0.27 </w:t>
            </w:r>
            <w:r>
              <w:rPr>
                <w:rFonts w:hint="default" w:ascii="Times New Roman" w:hAnsi="Times New Roman" w:eastAsia="宋体" w:cs="Times New Roman"/>
                <w:bCs/>
                <w:color w:val="auto"/>
                <w:spacing w:val="-10"/>
                <w:sz w:val="24"/>
                <w:lang w:val="en-US" w:eastAsia="zh-CN"/>
              </w:rPr>
              <w:t>kg/h</w:t>
            </w:r>
            <w:r>
              <w:rPr>
                <w:rFonts w:hint="eastAsia" w:ascii="Times New Roman" w:hAnsi="Times New Roman" w:eastAsia="宋体" w:cs="Times New Roman"/>
                <w:bCs/>
                <w:color w:val="auto"/>
                <w:spacing w:val="-10"/>
                <w:sz w:val="24"/>
                <w:lang w:val="en-US" w:eastAsia="zh-CN"/>
              </w:rPr>
              <w:t>。</w:t>
            </w:r>
          </w:p>
          <w:p>
            <w:pPr>
              <w:adjustRightInd w:val="0"/>
              <w:snapToGrid w:val="0"/>
              <w:spacing w:line="360" w:lineRule="auto"/>
              <w:ind w:firstLine="440" w:firstLineChars="200"/>
              <w:rPr>
                <w:rFonts w:hint="default" w:ascii="Times New Roman" w:hAnsi="Times New Roman" w:eastAsia="宋体" w:cs="Times New Roman"/>
                <w:bCs/>
                <w:color w:val="auto"/>
                <w:spacing w:val="-10"/>
                <w:sz w:val="24"/>
                <w:lang w:val="en-US" w:eastAsia="zh-CN"/>
              </w:rPr>
            </w:pPr>
            <w:r>
              <w:rPr>
                <w:rFonts w:hint="eastAsia" w:ascii="Times New Roman" w:hAnsi="Times New Roman" w:eastAsia="宋体" w:cs="Times New Roman"/>
                <w:bCs/>
                <w:color w:val="auto"/>
                <w:spacing w:val="-10"/>
                <w:sz w:val="24"/>
                <w:lang w:val="en-US" w:eastAsia="zh-CN"/>
              </w:rPr>
              <w:t>③模具清理废气</w:t>
            </w:r>
          </w:p>
          <w:p>
            <w:pPr>
              <w:adjustRightInd w:val="0"/>
              <w:snapToGrid w:val="0"/>
              <w:spacing w:line="360" w:lineRule="auto"/>
              <w:ind w:firstLine="440" w:firstLineChars="200"/>
              <w:rPr>
                <w:rFonts w:hint="eastAsia" w:ascii="Times New Roman" w:hAnsi="Times New Roman" w:eastAsia="宋体" w:cs="Times New Roman"/>
                <w:bCs/>
                <w:color w:val="auto"/>
                <w:spacing w:val="-10"/>
                <w:sz w:val="24"/>
                <w:lang w:val="en-US" w:eastAsia="zh-CN"/>
              </w:rPr>
            </w:pPr>
            <w:r>
              <w:rPr>
                <w:rFonts w:hint="eastAsia"/>
                <w:bCs/>
                <w:color w:val="auto"/>
                <w:spacing w:val="-10"/>
                <w:sz w:val="24"/>
              </w:rPr>
              <w:t>模具清理</w:t>
            </w:r>
            <w:r>
              <w:rPr>
                <w:bCs/>
                <w:color w:val="auto"/>
                <w:spacing w:val="-10"/>
                <w:sz w:val="24"/>
              </w:rPr>
              <w:t>过程是利用高压气枪对模具中残留的物质进行清理，该过程会产生少量的颗粒物</w:t>
            </w:r>
            <w:r>
              <w:rPr>
                <w:rFonts w:hint="eastAsia"/>
                <w:bCs/>
                <w:color w:val="auto"/>
                <w:spacing w:val="-10"/>
                <w:sz w:val="24"/>
              </w:rPr>
              <w:t>经集气罩收集后由干式过滤器+二级活性炭过滤装置处理后，经15m排气筒排放（DA001、DA002）</w:t>
            </w:r>
            <w:r>
              <w:rPr>
                <w:bCs/>
                <w:color w:val="auto"/>
                <w:spacing w:val="-10"/>
                <w:sz w:val="24"/>
              </w:rPr>
              <w:t>。</w:t>
            </w:r>
            <w:r>
              <w:rPr>
                <w:rFonts w:hint="eastAsia" w:ascii="Times New Roman" w:hAnsi="Times New Roman" w:eastAsia="宋体" w:cs="Times New Roman"/>
                <w:color w:val="auto"/>
                <w:kern w:val="44"/>
                <w:sz w:val="24"/>
                <w:szCs w:val="24"/>
                <w:highlight w:val="none"/>
                <w:lang w:val="en-US" w:eastAsia="zh-CN" w:bidi="ar-SA"/>
              </w:rPr>
              <w:t>据企业提供资料，颗粒物产生系数按0.1%计算</w:t>
            </w:r>
            <w:r>
              <w:rPr>
                <w:rFonts w:hint="eastAsia" w:ascii="Times New Roman" w:hAnsi="Times New Roman" w:cs="Times New Roman"/>
                <w:color w:val="auto"/>
                <w:kern w:val="44"/>
                <w:sz w:val="24"/>
                <w:szCs w:val="24"/>
                <w:highlight w:val="none"/>
                <w:lang w:val="en-US" w:eastAsia="zh-CN" w:bidi="ar-SA"/>
              </w:rPr>
              <w:t>，</w:t>
            </w:r>
            <w:r>
              <w:rPr>
                <w:rFonts w:hint="default" w:ascii="Times New Roman" w:hAnsi="Times New Roman" w:eastAsia="宋体" w:cs="Times New Roman"/>
                <w:color w:val="auto"/>
                <w:kern w:val="44"/>
                <w:sz w:val="24"/>
                <w:szCs w:val="24"/>
                <w:highlight w:val="none"/>
                <w:lang w:val="en-US" w:eastAsia="zh-CN" w:bidi="ar-SA"/>
              </w:rPr>
              <w:t>本项目发泡工序使用的原料</w:t>
            </w:r>
            <w:r>
              <w:rPr>
                <w:rFonts w:hint="eastAsia" w:ascii="Times New Roman" w:hAnsi="Times New Roman" w:eastAsia="宋体" w:cs="Times New Roman"/>
                <w:color w:val="auto"/>
                <w:kern w:val="44"/>
                <w:sz w:val="24"/>
                <w:szCs w:val="24"/>
                <w:highlight w:val="none"/>
                <w:lang w:val="en-US" w:eastAsia="zh-CN" w:bidi="ar-SA"/>
              </w:rPr>
              <w:t>为异氰酸酯、组合聚醚，</w:t>
            </w:r>
            <w:r>
              <w:rPr>
                <w:rFonts w:hint="default" w:ascii="Times New Roman" w:hAnsi="Times New Roman" w:eastAsia="宋体" w:cs="Times New Roman"/>
                <w:color w:val="auto"/>
                <w:kern w:val="44"/>
                <w:sz w:val="24"/>
                <w:szCs w:val="24"/>
                <w:highlight w:val="none"/>
                <w:lang w:val="en-US" w:eastAsia="zh-CN" w:bidi="ar-SA"/>
              </w:rPr>
              <w:t>总量为18</w:t>
            </w:r>
            <w:r>
              <w:rPr>
                <w:rFonts w:hint="eastAsia" w:ascii="Times New Roman" w:hAnsi="Times New Roman" w:eastAsia="宋体" w:cs="Times New Roman"/>
                <w:color w:val="auto"/>
                <w:kern w:val="44"/>
                <w:sz w:val="24"/>
                <w:szCs w:val="24"/>
                <w:highlight w:val="none"/>
                <w:lang w:val="en-US" w:eastAsia="zh-CN" w:bidi="ar-SA"/>
              </w:rPr>
              <w:t>0</w:t>
            </w:r>
            <w:r>
              <w:rPr>
                <w:rFonts w:hint="default" w:ascii="Times New Roman" w:hAnsi="Times New Roman" w:eastAsia="宋体" w:cs="Times New Roman"/>
                <w:color w:val="auto"/>
                <w:kern w:val="44"/>
                <w:sz w:val="24"/>
                <w:szCs w:val="24"/>
                <w:highlight w:val="none"/>
                <w:lang w:val="en-US" w:eastAsia="zh-CN" w:bidi="ar-SA"/>
              </w:rPr>
              <w:t>0 t/a</w:t>
            </w:r>
            <w:r>
              <w:rPr>
                <w:rFonts w:hint="eastAsia" w:ascii="Times New Roman" w:hAnsi="Times New Roman" w:eastAsia="宋体" w:cs="Times New Roman"/>
                <w:color w:val="auto"/>
                <w:kern w:val="44"/>
                <w:sz w:val="24"/>
                <w:szCs w:val="24"/>
                <w:highlight w:val="none"/>
                <w:lang w:val="en-US" w:eastAsia="zh-CN" w:bidi="ar-SA"/>
              </w:rPr>
              <w:t>，颗粒物产生量为1.8</w:t>
            </w:r>
            <w:r>
              <w:rPr>
                <w:rFonts w:hint="eastAsia"/>
                <w:bCs/>
                <w:color w:val="auto"/>
                <w:spacing w:val="-10"/>
                <w:sz w:val="24"/>
              </w:rPr>
              <w:t>t/a</w:t>
            </w:r>
            <w:r>
              <w:rPr>
                <w:rFonts w:hint="eastAsia"/>
                <w:bCs/>
                <w:color w:val="auto"/>
                <w:spacing w:val="-10"/>
                <w:sz w:val="24"/>
                <w:lang w:eastAsia="zh-CN"/>
              </w:rPr>
              <w:t>，</w:t>
            </w:r>
            <w:r>
              <w:rPr>
                <w:rFonts w:hint="eastAsia"/>
                <w:bCs/>
                <w:color w:val="auto"/>
                <w:spacing w:val="-10"/>
                <w:sz w:val="24"/>
                <w:lang w:val="en-US" w:eastAsia="zh-CN"/>
              </w:rPr>
              <w:t xml:space="preserve">则产生速率为0.3 </w:t>
            </w:r>
            <w:r>
              <w:rPr>
                <w:rFonts w:hint="default" w:ascii="Times New Roman" w:hAnsi="Times New Roman" w:eastAsia="宋体" w:cs="Times New Roman"/>
                <w:bCs/>
                <w:color w:val="auto"/>
                <w:spacing w:val="-10"/>
                <w:sz w:val="24"/>
                <w:lang w:val="en-US" w:eastAsia="zh-CN"/>
              </w:rPr>
              <w:t>kg/h</w:t>
            </w:r>
            <w:r>
              <w:rPr>
                <w:rFonts w:hint="eastAsia" w:cs="Times New Roman"/>
                <w:bCs/>
                <w:color w:val="auto"/>
                <w:spacing w:val="-10"/>
                <w:sz w:val="24"/>
                <w:lang w:val="en-US" w:eastAsia="zh-CN"/>
              </w:rPr>
              <w:t>（DA001）</w:t>
            </w:r>
            <w:r>
              <w:rPr>
                <w:rFonts w:hint="eastAsia" w:ascii="Times New Roman" w:hAnsi="Times New Roman" w:eastAsia="宋体" w:cs="Times New Roman"/>
                <w:bCs/>
                <w:color w:val="auto"/>
                <w:spacing w:val="-10"/>
                <w:sz w:val="24"/>
                <w:lang w:val="en-US" w:eastAsia="zh-CN"/>
              </w:rPr>
              <w:t>；模压工序</w:t>
            </w:r>
            <w:r>
              <w:rPr>
                <w:rFonts w:hint="eastAsia" w:ascii="Times New Roman" w:hAnsi="Times New Roman" w:eastAsia="宋体" w:cs="Times New Roman"/>
                <w:color w:val="auto"/>
                <w:kern w:val="44"/>
                <w:sz w:val="24"/>
                <w:szCs w:val="24"/>
                <w:highlight w:val="none"/>
                <w:lang w:val="en-US" w:eastAsia="zh-CN" w:bidi="ar-SA"/>
              </w:rPr>
              <w:t>原料主要为毛毡，</w:t>
            </w:r>
            <w:r>
              <w:rPr>
                <w:rFonts w:hint="eastAsia"/>
                <w:bCs/>
                <w:color w:val="auto"/>
                <w:spacing w:val="-10"/>
                <w:sz w:val="24"/>
              </w:rPr>
              <w:t>本项目毛毡使用量为3000 t/a</w:t>
            </w:r>
            <w:r>
              <w:rPr>
                <w:rFonts w:hint="eastAsia"/>
                <w:bCs/>
                <w:color w:val="auto"/>
                <w:spacing w:val="-10"/>
                <w:sz w:val="24"/>
                <w:lang w:eastAsia="zh-CN"/>
              </w:rPr>
              <w:t>，</w:t>
            </w:r>
            <w:r>
              <w:rPr>
                <w:rFonts w:hint="eastAsia" w:ascii="Times New Roman" w:hAnsi="Times New Roman" w:eastAsia="宋体" w:cs="Times New Roman"/>
                <w:color w:val="auto"/>
                <w:kern w:val="44"/>
                <w:sz w:val="24"/>
                <w:szCs w:val="24"/>
                <w:highlight w:val="none"/>
                <w:lang w:val="en-US" w:eastAsia="zh-CN" w:bidi="ar-SA"/>
              </w:rPr>
              <w:t>颗粒物产生量为3</w:t>
            </w:r>
            <w:r>
              <w:rPr>
                <w:rFonts w:hint="eastAsia" w:cs="Times New Roman"/>
                <w:color w:val="auto"/>
                <w:kern w:val="44"/>
                <w:sz w:val="24"/>
                <w:szCs w:val="24"/>
                <w:highlight w:val="none"/>
                <w:lang w:val="en-US" w:eastAsia="zh-CN" w:bidi="ar-SA"/>
              </w:rPr>
              <w:t xml:space="preserve"> </w:t>
            </w:r>
            <w:r>
              <w:rPr>
                <w:rFonts w:hint="eastAsia"/>
                <w:bCs/>
                <w:color w:val="auto"/>
                <w:spacing w:val="-10"/>
                <w:sz w:val="24"/>
              </w:rPr>
              <w:t>t/a</w:t>
            </w:r>
            <w:r>
              <w:rPr>
                <w:rFonts w:hint="eastAsia"/>
                <w:bCs/>
                <w:color w:val="auto"/>
                <w:spacing w:val="-10"/>
                <w:sz w:val="24"/>
                <w:lang w:eastAsia="zh-CN"/>
              </w:rPr>
              <w:t>，</w:t>
            </w:r>
            <w:r>
              <w:rPr>
                <w:rFonts w:hint="eastAsia"/>
                <w:bCs/>
                <w:color w:val="auto"/>
                <w:spacing w:val="-10"/>
                <w:sz w:val="24"/>
                <w:lang w:val="en-US" w:eastAsia="zh-CN"/>
              </w:rPr>
              <w:t xml:space="preserve">则产生速率为0.5 </w:t>
            </w:r>
            <w:r>
              <w:rPr>
                <w:rFonts w:hint="default" w:ascii="Times New Roman" w:hAnsi="Times New Roman" w:eastAsia="宋体" w:cs="Times New Roman"/>
                <w:bCs/>
                <w:color w:val="auto"/>
                <w:spacing w:val="-10"/>
                <w:sz w:val="24"/>
                <w:lang w:val="en-US" w:eastAsia="zh-CN"/>
              </w:rPr>
              <w:t>kg/h</w:t>
            </w:r>
            <w:r>
              <w:rPr>
                <w:rFonts w:hint="eastAsia" w:cs="Times New Roman"/>
                <w:bCs/>
                <w:color w:val="auto"/>
                <w:spacing w:val="-10"/>
                <w:sz w:val="24"/>
                <w:lang w:val="en-US" w:eastAsia="zh-CN"/>
              </w:rPr>
              <w:t>（DA002）</w:t>
            </w:r>
            <w:r>
              <w:rPr>
                <w:rFonts w:hint="eastAsia" w:ascii="Times New Roman" w:hAnsi="Times New Roman" w:eastAsia="宋体" w:cs="Times New Roman"/>
                <w:bCs/>
                <w:color w:val="auto"/>
                <w:spacing w:val="-10"/>
                <w:sz w:val="24"/>
                <w:lang w:val="en-US" w:eastAsia="zh-CN"/>
              </w:rPr>
              <w:t>。</w:t>
            </w:r>
          </w:p>
          <w:p>
            <w:pPr>
              <w:adjustRightInd w:val="0"/>
              <w:snapToGrid w:val="0"/>
              <w:spacing w:line="360" w:lineRule="auto"/>
              <w:ind w:firstLine="440" w:firstLineChars="200"/>
              <w:rPr>
                <w:bCs/>
                <w:color w:val="auto"/>
                <w:spacing w:val="-10"/>
                <w:sz w:val="24"/>
              </w:rPr>
            </w:pPr>
            <w:r>
              <w:rPr>
                <w:rFonts w:hint="eastAsia"/>
                <w:bCs/>
                <w:color w:val="auto"/>
                <w:spacing w:val="-10"/>
                <w:sz w:val="24"/>
              </w:rPr>
              <w:t>废气产生情况见表4-</w:t>
            </w:r>
            <w:r>
              <w:rPr>
                <w:rFonts w:hint="eastAsia"/>
                <w:bCs/>
                <w:color w:val="auto"/>
                <w:spacing w:val="-10"/>
                <w:sz w:val="24"/>
                <w:lang w:val="en-US" w:eastAsia="zh-CN"/>
              </w:rPr>
              <w:t>2</w:t>
            </w:r>
            <w:r>
              <w:rPr>
                <w:rFonts w:hint="eastAsia"/>
                <w:bCs/>
                <w:color w:val="auto"/>
                <w:spacing w:val="-10"/>
                <w:sz w:val="24"/>
              </w:rPr>
              <w:t>。</w:t>
            </w:r>
          </w:p>
          <w:p>
            <w:pPr>
              <w:pStyle w:val="17"/>
              <w:ind w:firstLine="0" w:firstLineChars="0"/>
              <w:jc w:val="center"/>
              <w:rPr>
                <w:rFonts w:eastAsia="宋体"/>
                <w:b/>
                <w:color w:val="auto"/>
                <w:sz w:val="21"/>
                <w:szCs w:val="21"/>
              </w:rPr>
            </w:pPr>
            <w:r>
              <w:rPr>
                <w:rFonts w:eastAsia="宋体"/>
                <w:b/>
                <w:color w:val="auto"/>
                <w:sz w:val="21"/>
                <w:szCs w:val="21"/>
              </w:rPr>
              <w:t>表4-</w:t>
            </w:r>
            <w:r>
              <w:rPr>
                <w:rFonts w:hint="eastAsia" w:eastAsia="宋体"/>
                <w:b/>
                <w:color w:val="auto"/>
                <w:sz w:val="21"/>
                <w:szCs w:val="21"/>
                <w:lang w:val="en-US" w:eastAsia="zh-CN"/>
              </w:rPr>
              <w:t>2</w:t>
            </w:r>
            <w:r>
              <w:rPr>
                <w:rFonts w:eastAsia="宋体"/>
                <w:b/>
                <w:color w:val="auto"/>
                <w:sz w:val="21"/>
                <w:szCs w:val="21"/>
              </w:rPr>
              <w:t xml:space="preserve">  </w:t>
            </w:r>
            <w:r>
              <w:rPr>
                <w:rFonts w:hint="eastAsia" w:eastAsia="宋体"/>
                <w:b/>
                <w:color w:val="auto"/>
                <w:sz w:val="21"/>
                <w:szCs w:val="21"/>
              </w:rPr>
              <w:t>废气产生情况表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2"/>
              <w:gridCol w:w="642"/>
              <w:gridCol w:w="1152"/>
              <w:gridCol w:w="1918"/>
              <w:gridCol w:w="2041"/>
              <w:gridCol w:w="18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434" w:type="pct"/>
                  <w:vMerge w:val="restart"/>
                  <w:vAlign w:val="center"/>
                </w:tcPr>
                <w:p>
                  <w:pPr>
                    <w:pStyle w:val="14"/>
                    <w:ind w:left="-53" w:leftChars="-25" w:right="-53" w:rightChars="-25"/>
                    <w:rPr>
                      <w:bCs w:val="0"/>
                      <w:color w:val="auto"/>
                      <w:sz w:val="21"/>
                      <w:szCs w:val="21"/>
                    </w:rPr>
                  </w:pPr>
                  <w:r>
                    <w:rPr>
                      <w:bCs w:val="0"/>
                      <w:color w:val="auto"/>
                      <w:sz w:val="21"/>
                      <w:szCs w:val="21"/>
                    </w:rPr>
                    <w:t>生产线</w:t>
                  </w:r>
                </w:p>
              </w:tc>
              <w:tc>
                <w:tcPr>
                  <w:tcW w:w="386" w:type="pct"/>
                  <w:vMerge w:val="restart"/>
                  <w:vAlign w:val="center"/>
                </w:tcPr>
                <w:p>
                  <w:pPr>
                    <w:pStyle w:val="14"/>
                    <w:ind w:left="-53" w:leftChars="-25" w:right="-53" w:rightChars="-25"/>
                    <w:rPr>
                      <w:bCs w:val="0"/>
                      <w:color w:val="auto"/>
                      <w:sz w:val="21"/>
                      <w:szCs w:val="21"/>
                    </w:rPr>
                  </w:pPr>
                  <w:r>
                    <w:rPr>
                      <w:bCs w:val="0"/>
                      <w:color w:val="auto"/>
                      <w:sz w:val="21"/>
                      <w:szCs w:val="21"/>
                    </w:rPr>
                    <w:t>工序</w:t>
                  </w:r>
                </w:p>
              </w:tc>
              <w:tc>
                <w:tcPr>
                  <w:tcW w:w="693" w:type="pct"/>
                  <w:vMerge w:val="restart"/>
                  <w:vAlign w:val="center"/>
                </w:tcPr>
                <w:p>
                  <w:pPr>
                    <w:pStyle w:val="14"/>
                    <w:ind w:left="-53" w:leftChars="-25" w:right="-53" w:rightChars="-25"/>
                    <w:rPr>
                      <w:bCs w:val="0"/>
                      <w:color w:val="auto"/>
                      <w:sz w:val="21"/>
                      <w:szCs w:val="21"/>
                    </w:rPr>
                  </w:pPr>
                  <w:r>
                    <w:rPr>
                      <w:bCs w:val="0"/>
                      <w:color w:val="auto"/>
                      <w:sz w:val="21"/>
                      <w:szCs w:val="21"/>
                    </w:rPr>
                    <w:t>污染物</w:t>
                  </w:r>
                </w:p>
              </w:tc>
              <w:tc>
                <w:tcPr>
                  <w:tcW w:w="3485" w:type="pct"/>
                  <w:gridSpan w:val="3"/>
                  <w:vAlign w:val="center"/>
                </w:tcPr>
                <w:p>
                  <w:pPr>
                    <w:pStyle w:val="14"/>
                    <w:ind w:left="-53" w:leftChars="-25" w:right="-53" w:rightChars="-25"/>
                    <w:rPr>
                      <w:bCs w:val="0"/>
                      <w:color w:val="auto"/>
                      <w:sz w:val="21"/>
                      <w:szCs w:val="21"/>
                    </w:rPr>
                  </w:pPr>
                  <w:r>
                    <w:rPr>
                      <w:bCs w:val="0"/>
                      <w:color w:val="auto"/>
                      <w:sz w:val="21"/>
                      <w:szCs w:val="21"/>
                    </w:rPr>
                    <w:t>污染物产生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34" w:type="pct"/>
                  <w:vMerge w:val="continue"/>
                  <w:vAlign w:val="center"/>
                </w:tcPr>
                <w:p>
                  <w:pPr>
                    <w:pStyle w:val="14"/>
                    <w:ind w:left="-53" w:leftChars="-25" w:right="-53" w:rightChars="-25"/>
                    <w:rPr>
                      <w:bCs w:val="0"/>
                      <w:color w:val="auto"/>
                      <w:sz w:val="21"/>
                      <w:szCs w:val="21"/>
                    </w:rPr>
                  </w:pPr>
                </w:p>
              </w:tc>
              <w:tc>
                <w:tcPr>
                  <w:tcW w:w="386" w:type="pct"/>
                  <w:vMerge w:val="continue"/>
                  <w:vAlign w:val="center"/>
                </w:tcPr>
                <w:p>
                  <w:pPr>
                    <w:pStyle w:val="14"/>
                    <w:ind w:left="-53" w:leftChars="-25" w:right="-53" w:rightChars="-25"/>
                    <w:rPr>
                      <w:bCs w:val="0"/>
                      <w:color w:val="auto"/>
                      <w:sz w:val="21"/>
                      <w:szCs w:val="21"/>
                    </w:rPr>
                  </w:pPr>
                </w:p>
              </w:tc>
              <w:tc>
                <w:tcPr>
                  <w:tcW w:w="693" w:type="pct"/>
                  <w:vMerge w:val="continue"/>
                  <w:vAlign w:val="center"/>
                </w:tcPr>
                <w:p>
                  <w:pPr>
                    <w:pStyle w:val="14"/>
                    <w:ind w:left="-53" w:leftChars="-25" w:right="-53" w:rightChars="-25"/>
                    <w:rPr>
                      <w:bCs w:val="0"/>
                      <w:color w:val="auto"/>
                      <w:sz w:val="21"/>
                      <w:szCs w:val="21"/>
                    </w:rPr>
                  </w:pPr>
                </w:p>
              </w:tc>
              <w:tc>
                <w:tcPr>
                  <w:tcW w:w="1154" w:type="pct"/>
                  <w:vAlign w:val="center"/>
                </w:tcPr>
                <w:p>
                  <w:pPr>
                    <w:pStyle w:val="14"/>
                    <w:ind w:left="-53" w:leftChars="-25" w:right="-53" w:rightChars="-25"/>
                    <w:rPr>
                      <w:bCs w:val="0"/>
                      <w:color w:val="auto"/>
                      <w:sz w:val="21"/>
                      <w:szCs w:val="21"/>
                    </w:rPr>
                  </w:pPr>
                  <w:r>
                    <w:rPr>
                      <w:bCs w:val="0"/>
                      <w:color w:val="auto"/>
                      <w:sz w:val="21"/>
                      <w:szCs w:val="21"/>
                    </w:rPr>
                    <w:t>废气产生量t/a</w:t>
                  </w:r>
                </w:p>
              </w:tc>
              <w:tc>
                <w:tcPr>
                  <w:tcW w:w="1228" w:type="pct"/>
                  <w:vAlign w:val="center"/>
                </w:tcPr>
                <w:p>
                  <w:pPr>
                    <w:pStyle w:val="14"/>
                    <w:ind w:left="-53" w:leftChars="-25" w:right="-53" w:rightChars="-25"/>
                    <w:rPr>
                      <w:bCs w:val="0"/>
                      <w:color w:val="auto"/>
                      <w:sz w:val="21"/>
                      <w:szCs w:val="21"/>
                    </w:rPr>
                  </w:pPr>
                  <w:r>
                    <w:rPr>
                      <w:bCs w:val="0"/>
                      <w:color w:val="auto"/>
                      <w:sz w:val="21"/>
                      <w:szCs w:val="21"/>
                    </w:rPr>
                    <w:t>产生浓度mg/m</w:t>
                  </w:r>
                  <w:r>
                    <w:rPr>
                      <w:bCs w:val="0"/>
                      <w:color w:val="auto"/>
                      <w:sz w:val="21"/>
                      <w:szCs w:val="21"/>
                      <w:vertAlign w:val="superscript"/>
                    </w:rPr>
                    <w:t>3</w:t>
                  </w:r>
                </w:p>
              </w:tc>
              <w:tc>
                <w:tcPr>
                  <w:tcW w:w="1101" w:type="pct"/>
                  <w:vAlign w:val="center"/>
                </w:tcPr>
                <w:p>
                  <w:pPr>
                    <w:pStyle w:val="14"/>
                    <w:ind w:left="-53" w:leftChars="-25" w:right="-53" w:rightChars="-25"/>
                    <w:rPr>
                      <w:bCs w:val="0"/>
                      <w:color w:val="auto"/>
                      <w:sz w:val="21"/>
                      <w:szCs w:val="21"/>
                    </w:rPr>
                  </w:pPr>
                  <w:r>
                    <w:rPr>
                      <w:bCs w:val="0"/>
                      <w:color w:val="auto"/>
                      <w:sz w:val="21"/>
                      <w:szCs w:val="21"/>
                    </w:rPr>
                    <w:t>产生速率kg/h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pct"/>
                  <w:vAlign w:val="center"/>
                </w:tcPr>
                <w:p>
                  <w:pPr>
                    <w:pStyle w:val="14"/>
                    <w:ind w:left="-53" w:leftChars="-25" w:right="-53" w:rightChars="-25"/>
                    <w:rPr>
                      <w:b w:val="0"/>
                      <w:color w:val="auto"/>
                      <w:sz w:val="21"/>
                      <w:szCs w:val="21"/>
                    </w:rPr>
                  </w:pPr>
                  <w:r>
                    <w:rPr>
                      <w:rFonts w:hint="eastAsia"/>
                      <w:b w:val="0"/>
                      <w:color w:val="auto"/>
                      <w:sz w:val="21"/>
                      <w:szCs w:val="21"/>
                    </w:rPr>
                    <w:t>发泡</w:t>
                  </w:r>
                </w:p>
              </w:tc>
              <w:tc>
                <w:tcPr>
                  <w:tcW w:w="386" w:type="pct"/>
                  <w:vAlign w:val="center"/>
                </w:tcPr>
                <w:p>
                  <w:pPr>
                    <w:pStyle w:val="14"/>
                    <w:ind w:left="-53" w:leftChars="-25" w:right="-53" w:rightChars="-25"/>
                    <w:rPr>
                      <w:b w:val="0"/>
                      <w:color w:val="auto"/>
                      <w:sz w:val="21"/>
                      <w:szCs w:val="21"/>
                    </w:rPr>
                  </w:pPr>
                  <w:r>
                    <w:rPr>
                      <w:rFonts w:hint="eastAsia"/>
                      <w:b w:val="0"/>
                      <w:color w:val="auto"/>
                      <w:sz w:val="21"/>
                      <w:szCs w:val="21"/>
                    </w:rPr>
                    <w:t>发泡</w:t>
                  </w:r>
                </w:p>
              </w:tc>
              <w:tc>
                <w:tcPr>
                  <w:tcW w:w="693"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非甲烷总烃</w:t>
                  </w:r>
                </w:p>
              </w:tc>
              <w:tc>
                <w:tcPr>
                  <w:tcW w:w="1154"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9.67</w:t>
                  </w:r>
                </w:p>
              </w:tc>
              <w:tc>
                <w:tcPr>
                  <w:tcW w:w="1228"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124.70</w:t>
                  </w:r>
                </w:p>
              </w:tc>
              <w:tc>
                <w:tcPr>
                  <w:tcW w:w="1101"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pct"/>
                  <w:vAlign w:val="center"/>
                </w:tcPr>
                <w:p>
                  <w:pPr>
                    <w:pStyle w:val="14"/>
                    <w:ind w:left="-53" w:leftChars="-25" w:right="-53" w:rightChars="-25"/>
                    <w:rPr>
                      <w:b w:val="0"/>
                      <w:color w:val="auto"/>
                      <w:sz w:val="21"/>
                      <w:szCs w:val="21"/>
                    </w:rPr>
                  </w:pPr>
                  <w:r>
                    <w:rPr>
                      <w:rFonts w:hint="eastAsia"/>
                      <w:b w:val="0"/>
                      <w:color w:val="auto"/>
                      <w:sz w:val="21"/>
                      <w:szCs w:val="21"/>
                    </w:rPr>
                    <w:t>模压</w:t>
                  </w:r>
                </w:p>
              </w:tc>
              <w:tc>
                <w:tcPr>
                  <w:tcW w:w="386" w:type="pct"/>
                  <w:vAlign w:val="center"/>
                </w:tcPr>
                <w:p>
                  <w:pPr>
                    <w:pStyle w:val="14"/>
                    <w:ind w:left="-53" w:leftChars="-25" w:right="-53" w:rightChars="-25"/>
                    <w:rPr>
                      <w:b w:val="0"/>
                      <w:color w:val="auto"/>
                      <w:sz w:val="21"/>
                      <w:szCs w:val="21"/>
                    </w:rPr>
                  </w:pPr>
                  <w:r>
                    <w:rPr>
                      <w:rFonts w:hint="eastAsia"/>
                      <w:b w:val="0"/>
                      <w:color w:val="auto"/>
                      <w:sz w:val="21"/>
                      <w:szCs w:val="21"/>
                    </w:rPr>
                    <w:t>模压加热</w:t>
                  </w:r>
                </w:p>
              </w:tc>
              <w:tc>
                <w:tcPr>
                  <w:tcW w:w="693"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非甲烷总烃</w:t>
                  </w:r>
                </w:p>
              </w:tc>
              <w:tc>
                <w:tcPr>
                  <w:tcW w:w="1154"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1.62</w:t>
                  </w:r>
                </w:p>
              </w:tc>
              <w:tc>
                <w:tcPr>
                  <w:tcW w:w="1228"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6.43</w:t>
                  </w:r>
                </w:p>
              </w:tc>
              <w:tc>
                <w:tcPr>
                  <w:tcW w:w="1101"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pct"/>
                  <w:vAlign w:val="center"/>
                </w:tcPr>
                <w:p>
                  <w:pPr>
                    <w:pStyle w:val="14"/>
                    <w:ind w:left="-53" w:leftChars="-25" w:right="-53" w:rightChars="-25"/>
                    <w:rPr>
                      <w:b w:val="0"/>
                      <w:color w:val="auto"/>
                      <w:sz w:val="21"/>
                      <w:szCs w:val="21"/>
                    </w:rPr>
                  </w:pPr>
                  <w:r>
                    <w:rPr>
                      <w:rFonts w:hint="eastAsia"/>
                      <w:b w:val="0"/>
                      <w:color w:val="auto"/>
                      <w:sz w:val="21"/>
                      <w:szCs w:val="21"/>
                    </w:rPr>
                    <w:t>发泡</w:t>
                  </w:r>
                </w:p>
              </w:tc>
              <w:tc>
                <w:tcPr>
                  <w:tcW w:w="386" w:type="pct"/>
                  <w:vMerge w:val="restart"/>
                  <w:vAlign w:val="center"/>
                </w:tcPr>
                <w:p>
                  <w:pPr>
                    <w:pStyle w:val="14"/>
                    <w:ind w:left="-53" w:leftChars="-25" w:right="-53" w:rightChars="-25"/>
                    <w:rPr>
                      <w:b w:val="0"/>
                      <w:color w:val="auto"/>
                      <w:sz w:val="21"/>
                      <w:szCs w:val="21"/>
                    </w:rPr>
                  </w:pPr>
                  <w:r>
                    <w:rPr>
                      <w:rFonts w:hint="eastAsia"/>
                      <w:b w:val="0"/>
                      <w:color w:val="auto"/>
                      <w:sz w:val="21"/>
                      <w:szCs w:val="21"/>
                    </w:rPr>
                    <w:t>模具清理</w:t>
                  </w:r>
                </w:p>
              </w:tc>
              <w:tc>
                <w:tcPr>
                  <w:tcW w:w="693" w:type="pct"/>
                  <w:vMerge w:val="restart"/>
                  <w:vAlign w:val="center"/>
                </w:tcPr>
                <w:p>
                  <w:pPr>
                    <w:pStyle w:val="14"/>
                    <w:ind w:left="-53" w:leftChars="-25" w:right="-53" w:rightChars="-25"/>
                    <w:rPr>
                      <w:b w:val="0"/>
                      <w:color w:val="auto"/>
                      <w:sz w:val="21"/>
                      <w:szCs w:val="21"/>
                    </w:rPr>
                  </w:pPr>
                  <w:r>
                    <w:rPr>
                      <w:rFonts w:hint="eastAsia"/>
                      <w:b w:val="0"/>
                      <w:color w:val="auto"/>
                      <w:sz w:val="21"/>
                      <w:szCs w:val="21"/>
                    </w:rPr>
                    <w:t>颗粒物</w:t>
                  </w:r>
                </w:p>
              </w:tc>
              <w:tc>
                <w:tcPr>
                  <w:tcW w:w="1154" w:type="pct"/>
                  <w:vAlign w:val="center"/>
                </w:tcPr>
                <w:p>
                  <w:pPr>
                    <w:pStyle w:val="14"/>
                    <w:ind w:left="-53" w:leftChars="-25" w:right="-53" w:rightChars="-25"/>
                    <w:rPr>
                      <w:rFonts w:hint="default"/>
                      <w:color w:val="auto"/>
                      <w:lang w:val="en-US" w:eastAsia="zh-CN"/>
                    </w:rPr>
                  </w:pPr>
                  <w:r>
                    <w:rPr>
                      <w:rFonts w:hint="eastAsia"/>
                      <w:b w:val="0"/>
                      <w:color w:val="auto"/>
                      <w:sz w:val="21"/>
                      <w:szCs w:val="21"/>
                      <w:lang w:val="en-US" w:eastAsia="zh-CN"/>
                    </w:rPr>
                    <w:t>1.8</w:t>
                  </w:r>
                </w:p>
              </w:tc>
              <w:tc>
                <w:tcPr>
                  <w:tcW w:w="1228"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7.14</w:t>
                  </w:r>
                </w:p>
              </w:tc>
              <w:tc>
                <w:tcPr>
                  <w:tcW w:w="1101"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4" w:type="pct"/>
                  <w:vAlign w:val="center"/>
                </w:tcPr>
                <w:p>
                  <w:pPr>
                    <w:pStyle w:val="14"/>
                    <w:ind w:left="-53" w:leftChars="-25" w:right="-53" w:rightChars="-25"/>
                    <w:rPr>
                      <w:rFonts w:hint="eastAsia"/>
                      <w:b w:val="0"/>
                      <w:color w:val="auto"/>
                      <w:sz w:val="21"/>
                      <w:szCs w:val="21"/>
                    </w:rPr>
                  </w:pPr>
                  <w:r>
                    <w:rPr>
                      <w:rFonts w:hint="eastAsia"/>
                      <w:b w:val="0"/>
                      <w:color w:val="auto"/>
                      <w:sz w:val="21"/>
                      <w:szCs w:val="21"/>
                    </w:rPr>
                    <w:t>模压</w:t>
                  </w:r>
                </w:p>
              </w:tc>
              <w:tc>
                <w:tcPr>
                  <w:tcW w:w="386" w:type="pct"/>
                  <w:vMerge w:val="continue"/>
                  <w:vAlign w:val="center"/>
                </w:tcPr>
                <w:p>
                  <w:pPr>
                    <w:pStyle w:val="14"/>
                    <w:ind w:left="-53" w:leftChars="-25" w:right="-53" w:rightChars="-25"/>
                    <w:rPr>
                      <w:rFonts w:hint="eastAsia"/>
                      <w:b w:val="0"/>
                      <w:color w:val="auto"/>
                      <w:sz w:val="21"/>
                      <w:szCs w:val="21"/>
                    </w:rPr>
                  </w:pPr>
                </w:p>
              </w:tc>
              <w:tc>
                <w:tcPr>
                  <w:tcW w:w="693" w:type="pct"/>
                  <w:vMerge w:val="continue"/>
                  <w:vAlign w:val="center"/>
                </w:tcPr>
                <w:p>
                  <w:pPr>
                    <w:pStyle w:val="14"/>
                    <w:ind w:left="-53" w:leftChars="-25" w:right="-53" w:rightChars="-25"/>
                    <w:rPr>
                      <w:rFonts w:hint="eastAsia"/>
                      <w:b w:val="0"/>
                      <w:color w:val="auto"/>
                      <w:sz w:val="21"/>
                      <w:szCs w:val="21"/>
                    </w:rPr>
                  </w:pPr>
                </w:p>
              </w:tc>
              <w:tc>
                <w:tcPr>
                  <w:tcW w:w="1154"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3</w:t>
                  </w:r>
                </w:p>
              </w:tc>
              <w:tc>
                <w:tcPr>
                  <w:tcW w:w="1228"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11.90</w:t>
                  </w:r>
                </w:p>
              </w:tc>
              <w:tc>
                <w:tcPr>
                  <w:tcW w:w="1101"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0.5</w:t>
                  </w:r>
                </w:p>
              </w:tc>
            </w:tr>
          </w:tbl>
          <w:p>
            <w:pPr>
              <w:numPr>
                <w:ilvl w:val="0"/>
                <w:numId w:val="0"/>
              </w:numPr>
              <w:adjustRightInd w:val="0"/>
              <w:snapToGrid w:val="0"/>
              <w:spacing w:line="360" w:lineRule="auto"/>
              <w:ind w:firstLine="440" w:firstLineChars="200"/>
              <w:rPr>
                <w:rFonts w:hint="eastAsia" w:ascii="Times New Roman" w:hAnsi="Times New Roman" w:eastAsia="宋体" w:cs="Times New Roman"/>
                <w:bCs/>
                <w:color w:val="auto"/>
                <w:spacing w:val="-10"/>
                <w:sz w:val="24"/>
                <w:lang w:val="en-US" w:eastAsia="zh-CN"/>
              </w:rPr>
            </w:pPr>
            <w:r>
              <w:rPr>
                <w:rFonts w:hint="eastAsia" w:ascii="Times New Roman" w:hAnsi="Times New Roman" w:eastAsia="宋体" w:cs="Times New Roman"/>
                <w:bCs/>
                <w:color w:val="auto"/>
                <w:spacing w:val="-10"/>
                <w:kern w:val="2"/>
                <w:sz w:val="24"/>
                <w:szCs w:val="24"/>
                <w:lang w:val="en-US" w:eastAsia="zh-CN" w:bidi="ar-SA"/>
              </w:rPr>
              <w:t>2）</w:t>
            </w:r>
            <w:r>
              <w:rPr>
                <w:rFonts w:hint="eastAsia" w:ascii="Times New Roman" w:hAnsi="Times New Roman" w:eastAsia="宋体" w:cs="Times New Roman"/>
                <w:bCs/>
                <w:color w:val="auto"/>
                <w:spacing w:val="-10"/>
                <w:sz w:val="24"/>
                <w:lang w:val="en-US" w:eastAsia="zh-CN"/>
              </w:rPr>
              <w:t>废气治理设施及排放情况</w:t>
            </w:r>
          </w:p>
          <w:p>
            <w:pPr>
              <w:adjustRightInd w:val="0"/>
              <w:snapToGrid w:val="0"/>
              <w:spacing w:line="360" w:lineRule="auto"/>
              <w:ind w:firstLine="440" w:firstLineChars="200"/>
              <w:rPr>
                <w:rFonts w:hint="eastAsia" w:ascii="Times New Roman" w:hAnsi="Times New Roman" w:eastAsia="宋体" w:cs="Times New Roman"/>
                <w:color w:val="auto"/>
                <w:kern w:val="44"/>
                <w:sz w:val="24"/>
                <w:szCs w:val="24"/>
                <w:highlight w:val="none"/>
                <w:lang w:val="en-US" w:eastAsia="zh-CN" w:bidi="ar-SA"/>
              </w:rPr>
            </w:pPr>
            <w:r>
              <w:rPr>
                <w:bCs/>
                <w:color w:val="auto"/>
                <w:spacing w:val="-10"/>
                <w:sz w:val="24"/>
              </w:rPr>
              <w:t>A有组织废气治理措施</w:t>
            </w:r>
          </w:p>
          <w:p>
            <w:pPr>
              <w:adjustRightInd w:val="0"/>
              <w:snapToGrid w:val="0"/>
              <w:spacing w:line="360" w:lineRule="auto"/>
              <w:ind w:firstLine="480" w:firstLineChars="200"/>
              <w:rPr>
                <w:rFonts w:hint="default" w:ascii="Times New Roman" w:hAnsi="Times New Roman" w:eastAsia="宋体" w:cs="Times New Roman"/>
                <w:color w:val="auto"/>
                <w:kern w:val="44"/>
                <w:sz w:val="24"/>
                <w:szCs w:val="24"/>
                <w:highlight w:val="none"/>
                <w:lang w:val="en-US" w:eastAsia="zh-CN" w:bidi="ar-SA"/>
              </w:rPr>
            </w:pPr>
            <w:r>
              <w:rPr>
                <w:rFonts w:hint="eastAsia" w:ascii="Times New Roman" w:hAnsi="Times New Roman" w:eastAsia="宋体" w:cs="Times New Roman"/>
                <w:color w:val="auto"/>
                <w:kern w:val="44"/>
                <w:sz w:val="24"/>
                <w:szCs w:val="24"/>
                <w:highlight w:val="none"/>
                <w:lang w:val="en-US" w:eastAsia="zh-CN" w:bidi="ar-SA"/>
              </w:rPr>
              <w:t>本项目在设备上方设有集气罩，废气收集效率按90%计，废气经集气罩收集后经过干式过滤器+二级活性炭吸附后通过15m高排气筒。干式过滤器处理效率按70%计</w:t>
            </w:r>
            <w:r>
              <w:rPr>
                <w:rFonts w:hint="eastAsia" w:cs="Times New Roman"/>
                <w:color w:val="auto"/>
                <w:kern w:val="44"/>
                <w:sz w:val="24"/>
                <w:szCs w:val="24"/>
                <w:highlight w:val="none"/>
                <w:lang w:val="en-US" w:eastAsia="zh-CN" w:bidi="ar-SA"/>
              </w:rPr>
              <w:t>；</w:t>
            </w:r>
            <w:r>
              <w:rPr>
                <w:rFonts w:hint="eastAsia" w:ascii="Times New Roman" w:hAnsi="Times New Roman" w:eastAsia="宋体" w:cs="Times New Roman"/>
                <w:color w:val="auto"/>
                <w:kern w:val="44"/>
                <w:sz w:val="24"/>
                <w:szCs w:val="24"/>
                <w:highlight w:val="none"/>
                <w:lang w:val="en-US" w:eastAsia="zh-CN" w:bidi="ar-SA"/>
              </w:rPr>
              <w:t>根据《主要污染物总量减排核算技术指南》（2022年修订），一级活性炭处理效率为50%，则二级活性炭处理效率为75%。</w:t>
            </w:r>
          </w:p>
          <w:p>
            <w:pPr>
              <w:adjustRightInd w:val="0"/>
              <w:snapToGrid w:val="0"/>
              <w:spacing w:line="360" w:lineRule="auto"/>
              <w:ind w:firstLine="440" w:firstLineChars="200"/>
              <w:rPr>
                <w:bCs/>
                <w:color w:val="auto"/>
                <w:spacing w:val="-10"/>
                <w:sz w:val="24"/>
              </w:rPr>
            </w:pPr>
            <w:r>
              <w:rPr>
                <w:bCs/>
                <w:color w:val="auto"/>
                <w:spacing w:val="-10"/>
                <w:sz w:val="24"/>
              </w:rPr>
              <w:t>发泡废气：混合、搅拌、发泡均在封闭模具中完成</w:t>
            </w:r>
            <w:r>
              <w:rPr>
                <w:rFonts w:hint="eastAsia"/>
                <w:bCs/>
                <w:color w:val="auto"/>
                <w:spacing w:val="-10"/>
                <w:sz w:val="24"/>
              </w:rPr>
              <w:t>，</w:t>
            </w:r>
            <w:r>
              <w:rPr>
                <w:bCs/>
                <w:color w:val="auto"/>
                <w:spacing w:val="-10"/>
                <w:sz w:val="24"/>
              </w:rPr>
              <w:t>本项目设置集气罩，对发泡过程产生的废气进行收集（收集效率以</w:t>
            </w:r>
            <w:r>
              <w:rPr>
                <w:rFonts w:hint="eastAsia"/>
                <w:bCs/>
                <w:color w:val="auto"/>
                <w:spacing w:val="-10"/>
                <w:sz w:val="24"/>
                <w:lang w:eastAsia="zh-CN"/>
              </w:rPr>
              <w:t>90%</w:t>
            </w:r>
            <w:r>
              <w:rPr>
                <w:bCs/>
                <w:color w:val="auto"/>
                <w:spacing w:val="-10"/>
                <w:sz w:val="24"/>
              </w:rPr>
              <w:t>计），统一送至干式过滤器（处理效率以</w:t>
            </w:r>
            <w:r>
              <w:rPr>
                <w:rFonts w:hint="eastAsia"/>
                <w:bCs/>
                <w:color w:val="auto"/>
                <w:spacing w:val="-10"/>
                <w:sz w:val="24"/>
                <w:lang w:val="en-US" w:eastAsia="zh-CN"/>
              </w:rPr>
              <w:t>70</w:t>
            </w:r>
            <w:r>
              <w:rPr>
                <w:bCs/>
                <w:color w:val="auto"/>
                <w:spacing w:val="-10"/>
                <w:sz w:val="24"/>
              </w:rPr>
              <w:t>%计）+二级活性炭处理装置进行处理（处理效率以</w:t>
            </w:r>
            <w:r>
              <w:rPr>
                <w:rFonts w:hint="eastAsia"/>
                <w:bCs/>
                <w:color w:val="auto"/>
                <w:spacing w:val="-10"/>
                <w:sz w:val="24"/>
                <w:lang w:val="en-US" w:eastAsia="zh-CN"/>
              </w:rPr>
              <w:t>75</w:t>
            </w:r>
            <w:r>
              <w:rPr>
                <w:bCs/>
                <w:color w:val="auto"/>
                <w:spacing w:val="-10"/>
                <w:sz w:val="24"/>
              </w:rPr>
              <w:t>%计）处理达标后通过一根15</w:t>
            </w:r>
            <w:r>
              <w:rPr>
                <w:rFonts w:hint="eastAsia"/>
                <w:bCs/>
                <w:color w:val="auto"/>
                <w:spacing w:val="-10"/>
                <w:sz w:val="24"/>
              </w:rPr>
              <w:t xml:space="preserve"> </w:t>
            </w:r>
            <w:r>
              <w:rPr>
                <w:bCs/>
                <w:color w:val="auto"/>
                <w:spacing w:val="-10"/>
                <w:sz w:val="24"/>
              </w:rPr>
              <w:t>m高的排气筒有组织排放</w:t>
            </w:r>
            <w:r>
              <w:rPr>
                <w:rFonts w:hint="eastAsia"/>
                <w:bCs/>
                <w:color w:val="auto"/>
                <w:spacing w:val="-10"/>
                <w:sz w:val="24"/>
              </w:rPr>
              <w:t>（DA001）</w:t>
            </w:r>
            <w:r>
              <w:rPr>
                <w:rFonts w:hint="eastAsia"/>
                <w:bCs/>
                <w:color w:val="auto"/>
                <w:spacing w:val="-10"/>
                <w:sz w:val="24"/>
                <w:lang w:eastAsia="zh-CN"/>
              </w:rPr>
              <w:t>，</w:t>
            </w:r>
            <w:r>
              <w:rPr>
                <w:rFonts w:hint="eastAsia"/>
                <w:bCs/>
                <w:color w:val="auto"/>
                <w:spacing w:val="-10"/>
                <w:sz w:val="24"/>
              </w:rPr>
              <w:t>风机风量为42000 m</w:t>
            </w:r>
            <w:r>
              <w:rPr>
                <w:rFonts w:hint="eastAsia"/>
                <w:bCs/>
                <w:color w:val="auto"/>
                <w:spacing w:val="-10"/>
                <w:sz w:val="24"/>
                <w:vertAlign w:val="superscript"/>
              </w:rPr>
              <w:t>3</w:t>
            </w:r>
            <w:r>
              <w:rPr>
                <w:rFonts w:hint="eastAsia"/>
                <w:bCs/>
                <w:color w:val="auto"/>
                <w:spacing w:val="-10"/>
                <w:sz w:val="24"/>
              </w:rPr>
              <w:t>/h</w:t>
            </w:r>
            <w:r>
              <w:rPr>
                <w:rFonts w:hint="eastAsia"/>
                <w:bCs/>
                <w:color w:val="auto"/>
                <w:spacing w:val="-10"/>
                <w:sz w:val="24"/>
                <w:lang w:eastAsia="zh-CN"/>
              </w:rPr>
              <w:t>，</w:t>
            </w:r>
            <w:r>
              <w:rPr>
                <w:rFonts w:hint="eastAsia" w:ascii="Times New Roman" w:hAnsi="Times New Roman" w:eastAsia="宋体" w:cs="Times New Roman"/>
                <w:color w:val="auto"/>
                <w:kern w:val="44"/>
                <w:sz w:val="24"/>
                <w:szCs w:val="24"/>
                <w:highlight w:val="none"/>
                <w:lang w:val="en-US" w:eastAsia="zh-CN" w:bidi="ar-SA"/>
              </w:rPr>
              <w:t>则</w:t>
            </w:r>
            <w:r>
              <w:rPr>
                <w:rFonts w:hint="default" w:ascii="Times New Roman" w:hAnsi="Times New Roman" w:eastAsia="宋体" w:cs="Times New Roman"/>
                <w:color w:val="auto"/>
                <w:kern w:val="44"/>
                <w:sz w:val="24"/>
                <w:szCs w:val="24"/>
                <w:highlight w:val="none"/>
                <w:lang w:val="en-US" w:eastAsia="zh-CN" w:bidi="ar-SA"/>
              </w:rPr>
              <w:t>非甲烷总烃的排放量为</w:t>
            </w:r>
            <w:r>
              <w:rPr>
                <w:rFonts w:hint="eastAsia" w:ascii="Times New Roman" w:hAnsi="Times New Roman" w:eastAsia="宋体" w:cs="Times New Roman"/>
                <w:color w:val="auto"/>
                <w:kern w:val="44"/>
                <w:sz w:val="24"/>
                <w:szCs w:val="24"/>
                <w:highlight w:val="none"/>
                <w:lang w:val="en-US" w:eastAsia="zh-CN" w:bidi="ar-SA"/>
              </w:rPr>
              <w:t>1.94</w:t>
            </w:r>
            <w:r>
              <w:rPr>
                <w:rFonts w:hint="default" w:ascii="Times New Roman" w:hAnsi="Times New Roman" w:eastAsia="宋体" w:cs="Times New Roman"/>
                <w:color w:val="auto"/>
                <w:kern w:val="44"/>
                <w:sz w:val="24"/>
                <w:szCs w:val="24"/>
                <w:highlight w:val="none"/>
                <w:lang w:val="en-US" w:eastAsia="zh-CN" w:bidi="ar-SA"/>
              </w:rPr>
              <w:t xml:space="preserve"> t/a，排放速率为</w:t>
            </w:r>
            <w:r>
              <w:rPr>
                <w:rFonts w:hint="eastAsia" w:ascii="Times New Roman" w:hAnsi="Times New Roman" w:eastAsia="宋体" w:cs="Times New Roman"/>
                <w:color w:val="auto"/>
                <w:kern w:val="44"/>
                <w:sz w:val="24"/>
                <w:szCs w:val="24"/>
                <w:highlight w:val="none"/>
                <w:lang w:val="en-US" w:eastAsia="zh-CN" w:bidi="ar-SA"/>
              </w:rPr>
              <w:t>0.32</w:t>
            </w:r>
            <w:r>
              <w:rPr>
                <w:rFonts w:hint="default" w:ascii="Times New Roman" w:hAnsi="Times New Roman" w:eastAsia="宋体" w:cs="Times New Roman"/>
                <w:color w:val="auto"/>
                <w:kern w:val="44"/>
                <w:sz w:val="24"/>
                <w:szCs w:val="24"/>
                <w:highlight w:val="none"/>
                <w:lang w:val="en-US" w:eastAsia="zh-CN" w:bidi="ar-SA"/>
              </w:rPr>
              <w:t xml:space="preserve"> kg/h，排放浓度为</w:t>
            </w:r>
            <w:r>
              <w:rPr>
                <w:rFonts w:hint="eastAsia" w:ascii="Times New Roman" w:hAnsi="Times New Roman" w:eastAsia="宋体" w:cs="Times New Roman"/>
                <w:color w:val="auto"/>
                <w:kern w:val="44"/>
                <w:sz w:val="24"/>
                <w:szCs w:val="24"/>
                <w:highlight w:val="none"/>
                <w:lang w:val="en-US" w:eastAsia="zh-CN" w:bidi="ar-SA"/>
              </w:rPr>
              <w:t>24.79</w:t>
            </w:r>
            <w:r>
              <w:rPr>
                <w:rFonts w:hint="default" w:ascii="Times New Roman" w:hAnsi="Times New Roman" w:eastAsia="宋体" w:cs="Times New Roman"/>
                <w:color w:val="auto"/>
                <w:kern w:val="44"/>
                <w:sz w:val="24"/>
                <w:szCs w:val="24"/>
                <w:highlight w:val="none"/>
                <w:lang w:val="en-US" w:eastAsia="zh-CN" w:bidi="ar-SA"/>
              </w:rPr>
              <w:t xml:space="preserve"> mg/m</w:t>
            </w:r>
            <w:r>
              <w:rPr>
                <w:rFonts w:hint="default" w:ascii="Times New Roman" w:hAnsi="Times New Roman" w:eastAsia="宋体" w:cs="Times New Roman"/>
                <w:color w:val="auto"/>
                <w:kern w:val="44"/>
                <w:sz w:val="24"/>
                <w:szCs w:val="24"/>
                <w:highlight w:val="none"/>
                <w:vertAlign w:val="superscript"/>
                <w:lang w:val="en-US" w:eastAsia="zh-CN" w:bidi="ar-SA"/>
              </w:rPr>
              <w:t>3</w:t>
            </w:r>
            <w:r>
              <w:rPr>
                <w:rFonts w:hint="default" w:ascii="Times New Roman" w:hAnsi="Times New Roman" w:eastAsia="宋体" w:cs="Times New Roman"/>
                <w:color w:val="auto"/>
                <w:kern w:val="44"/>
                <w:sz w:val="24"/>
                <w:szCs w:val="24"/>
                <w:highlight w:val="none"/>
                <w:lang w:val="en-US" w:eastAsia="zh-CN" w:bidi="ar-SA"/>
              </w:rPr>
              <w:t>，非甲烷总排放浓度符合《合成树脂工业污染物排放标准》（GB31572-2015）（排放浓度60 mg/</w:t>
            </w:r>
            <w:r>
              <w:rPr>
                <w:rFonts w:hint="default" w:ascii="Times New Roman" w:hAnsi="Times New Roman" w:eastAsia="宋体" w:cs="Times New Roman"/>
                <w:color w:val="auto"/>
                <w:kern w:val="44"/>
                <w:sz w:val="24"/>
                <w:szCs w:val="24"/>
                <w:highlight w:val="none"/>
                <w:vertAlign w:val="baseline"/>
                <w:lang w:val="en-US" w:eastAsia="zh-CN" w:bidi="ar-SA"/>
              </w:rPr>
              <w:t>m</w:t>
            </w:r>
            <w:r>
              <w:rPr>
                <w:rFonts w:hint="default" w:ascii="Times New Roman" w:hAnsi="Times New Roman" w:eastAsia="宋体" w:cs="Times New Roman"/>
                <w:color w:val="auto"/>
                <w:kern w:val="44"/>
                <w:sz w:val="24"/>
                <w:szCs w:val="24"/>
                <w:highlight w:val="none"/>
                <w:vertAlign w:val="superscript"/>
                <w:lang w:val="en-US" w:eastAsia="zh-CN" w:bidi="ar-SA"/>
              </w:rPr>
              <w:t>3</w:t>
            </w:r>
            <w:r>
              <w:rPr>
                <w:rFonts w:hint="default" w:ascii="Times New Roman" w:hAnsi="Times New Roman" w:eastAsia="宋体" w:cs="Times New Roman"/>
                <w:color w:val="auto"/>
                <w:kern w:val="44"/>
                <w:sz w:val="24"/>
                <w:szCs w:val="24"/>
                <w:highlight w:val="none"/>
                <w:lang w:val="en-US" w:eastAsia="zh-CN" w:bidi="ar-SA"/>
              </w:rPr>
              <w:t>）。</w:t>
            </w:r>
            <w:r>
              <w:rPr>
                <w:bCs/>
                <w:color w:val="auto"/>
                <w:spacing w:val="-10"/>
                <w:sz w:val="24"/>
              </w:rPr>
              <w:t>；未收集的</w:t>
            </w:r>
            <w:r>
              <w:rPr>
                <w:rFonts w:hint="eastAsia"/>
                <w:bCs/>
                <w:color w:val="auto"/>
                <w:spacing w:val="-10"/>
                <w:sz w:val="24"/>
                <w:lang w:val="en-US" w:eastAsia="zh-CN"/>
              </w:rPr>
              <w:t>10</w:t>
            </w:r>
            <w:r>
              <w:rPr>
                <w:bCs/>
                <w:color w:val="auto"/>
                <w:spacing w:val="-10"/>
                <w:sz w:val="24"/>
              </w:rPr>
              <w:t>%（</w:t>
            </w:r>
            <w:r>
              <w:rPr>
                <w:rFonts w:hint="eastAsia"/>
                <w:bCs/>
                <w:color w:val="auto"/>
                <w:spacing w:val="-10"/>
                <w:sz w:val="24"/>
                <w:lang w:val="en-US" w:eastAsia="zh-CN"/>
              </w:rPr>
              <w:t>1.93</w:t>
            </w:r>
            <w:r>
              <w:rPr>
                <w:rFonts w:hint="eastAsia"/>
                <w:bCs/>
                <w:color w:val="auto"/>
                <w:spacing w:val="-10"/>
                <w:sz w:val="24"/>
              </w:rPr>
              <w:t xml:space="preserve"> </w:t>
            </w:r>
            <w:r>
              <w:rPr>
                <w:bCs/>
                <w:color w:val="auto"/>
                <w:spacing w:val="-10"/>
                <w:sz w:val="24"/>
              </w:rPr>
              <w:t>t/a）无组织排放。</w:t>
            </w:r>
          </w:p>
          <w:p>
            <w:pPr>
              <w:adjustRightInd w:val="0"/>
              <w:snapToGrid w:val="0"/>
              <w:spacing w:line="360" w:lineRule="auto"/>
              <w:ind w:firstLine="440" w:firstLineChars="200"/>
              <w:rPr>
                <w:bCs/>
                <w:color w:val="auto"/>
                <w:spacing w:val="-10"/>
                <w:sz w:val="24"/>
              </w:rPr>
            </w:pPr>
            <w:r>
              <w:rPr>
                <w:rFonts w:hint="eastAsia"/>
                <w:bCs/>
                <w:color w:val="auto"/>
                <w:spacing w:val="-10"/>
                <w:sz w:val="24"/>
                <w:lang w:eastAsia="zh-CN"/>
              </w:rPr>
              <w:t>模压废气</w:t>
            </w:r>
            <w:r>
              <w:rPr>
                <w:rFonts w:hint="eastAsia"/>
                <w:bCs/>
                <w:color w:val="auto"/>
                <w:spacing w:val="-10"/>
                <w:sz w:val="24"/>
              </w:rPr>
              <w:t>：</w:t>
            </w:r>
            <w:r>
              <w:rPr>
                <w:bCs/>
                <w:color w:val="auto"/>
                <w:spacing w:val="-10"/>
                <w:sz w:val="24"/>
              </w:rPr>
              <w:t>本项目设置集气罩</w:t>
            </w:r>
            <w:r>
              <w:rPr>
                <w:rFonts w:hint="eastAsia"/>
                <w:bCs/>
                <w:color w:val="auto"/>
                <w:spacing w:val="-10"/>
                <w:sz w:val="24"/>
              </w:rPr>
              <w:t>，对模压加热过程中产生的废气进行收集</w:t>
            </w:r>
            <w:r>
              <w:rPr>
                <w:bCs/>
                <w:color w:val="auto"/>
                <w:spacing w:val="-10"/>
                <w:sz w:val="24"/>
              </w:rPr>
              <w:t>（收集效率以</w:t>
            </w:r>
            <w:r>
              <w:rPr>
                <w:rFonts w:hint="eastAsia"/>
                <w:bCs/>
                <w:color w:val="auto"/>
                <w:spacing w:val="-10"/>
                <w:sz w:val="24"/>
                <w:lang w:eastAsia="zh-CN"/>
              </w:rPr>
              <w:t>90%</w:t>
            </w:r>
            <w:r>
              <w:rPr>
                <w:bCs/>
                <w:color w:val="auto"/>
                <w:spacing w:val="-10"/>
                <w:sz w:val="24"/>
              </w:rPr>
              <w:t>计），统一送至干式过滤器（处理效率以</w:t>
            </w:r>
            <w:r>
              <w:rPr>
                <w:rFonts w:hint="eastAsia"/>
                <w:bCs/>
                <w:color w:val="auto"/>
                <w:spacing w:val="-10"/>
                <w:sz w:val="24"/>
                <w:lang w:val="en-US" w:eastAsia="zh-CN"/>
              </w:rPr>
              <w:t>70</w:t>
            </w:r>
            <w:r>
              <w:rPr>
                <w:bCs/>
                <w:color w:val="auto"/>
                <w:spacing w:val="-10"/>
                <w:sz w:val="24"/>
              </w:rPr>
              <w:t>%计）+二级活性炭处理装置进行处理</w:t>
            </w:r>
            <w:r>
              <w:rPr>
                <w:rFonts w:hint="eastAsia"/>
                <w:bCs/>
                <w:color w:val="auto"/>
                <w:spacing w:val="-10"/>
                <w:sz w:val="24"/>
              </w:rPr>
              <w:t>（</w:t>
            </w:r>
            <w:r>
              <w:rPr>
                <w:bCs/>
                <w:color w:val="auto"/>
                <w:spacing w:val="-10"/>
                <w:sz w:val="24"/>
              </w:rPr>
              <w:t>处理效率以</w:t>
            </w:r>
            <w:r>
              <w:rPr>
                <w:rFonts w:hint="eastAsia"/>
                <w:bCs/>
                <w:color w:val="auto"/>
                <w:spacing w:val="-10"/>
                <w:sz w:val="24"/>
                <w:lang w:val="en-US" w:eastAsia="zh-CN"/>
              </w:rPr>
              <w:t>75</w:t>
            </w:r>
            <w:r>
              <w:rPr>
                <w:bCs/>
                <w:color w:val="auto"/>
                <w:spacing w:val="-10"/>
                <w:sz w:val="24"/>
              </w:rPr>
              <w:t>%计）处理达标后通过一根15</w:t>
            </w:r>
            <w:r>
              <w:rPr>
                <w:rFonts w:hint="eastAsia"/>
                <w:bCs/>
                <w:color w:val="auto"/>
                <w:spacing w:val="-10"/>
                <w:sz w:val="24"/>
              </w:rPr>
              <w:t xml:space="preserve"> </w:t>
            </w:r>
            <w:r>
              <w:rPr>
                <w:bCs/>
                <w:color w:val="auto"/>
                <w:spacing w:val="-10"/>
                <w:sz w:val="24"/>
              </w:rPr>
              <w:t>m高的排气筒有组织排放</w:t>
            </w:r>
            <w:r>
              <w:rPr>
                <w:rFonts w:hint="eastAsia"/>
                <w:bCs/>
                <w:color w:val="auto"/>
                <w:spacing w:val="-10"/>
                <w:sz w:val="24"/>
              </w:rPr>
              <w:t>（DA002）</w:t>
            </w:r>
            <w:r>
              <w:rPr>
                <w:rFonts w:hint="eastAsia"/>
                <w:bCs/>
                <w:color w:val="auto"/>
                <w:spacing w:val="-10"/>
                <w:sz w:val="24"/>
                <w:lang w:eastAsia="zh-CN"/>
              </w:rPr>
              <w:t>，</w:t>
            </w:r>
            <w:r>
              <w:rPr>
                <w:rFonts w:hint="eastAsia"/>
                <w:bCs/>
                <w:color w:val="auto"/>
                <w:spacing w:val="-10"/>
                <w:sz w:val="24"/>
                <w:lang w:val="en-US" w:eastAsia="zh-CN"/>
              </w:rPr>
              <w:t>则</w:t>
            </w:r>
            <w:r>
              <w:rPr>
                <w:rFonts w:hint="eastAsia"/>
                <w:bCs/>
                <w:color w:val="auto"/>
                <w:spacing w:val="-10"/>
                <w:sz w:val="24"/>
              </w:rPr>
              <w:t>非甲烷总烃的排放量为</w:t>
            </w:r>
            <w:r>
              <w:rPr>
                <w:rFonts w:hint="eastAsia"/>
                <w:bCs/>
                <w:color w:val="auto"/>
                <w:spacing w:val="-10"/>
                <w:sz w:val="24"/>
                <w:lang w:val="en-US" w:eastAsia="zh-CN"/>
              </w:rPr>
              <w:t>0.22</w:t>
            </w:r>
            <w:r>
              <w:rPr>
                <w:rFonts w:hint="eastAsia"/>
                <w:bCs/>
                <w:color w:val="auto"/>
                <w:spacing w:val="-10"/>
                <w:sz w:val="24"/>
              </w:rPr>
              <w:t xml:space="preserve"> t/a，排放速率为</w:t>
            </w:r>
            <w:r>
              <w:rPr>
                <w:rFonts w:hint="eastAsia"/>
                <w:bCs/>
                <w:color w:val="auto"/>
                <w:spacing w:val="-10"/>
                <w:sz w:val="24"/>
                <w:lang w:val="en-US" w:eastAsia="zh-CN"/>
              </w:rPr>
              <w:t>0.04</w:t>
            </w:r>
            <w:r>
              <w:rPr>
                <w:rFonts w:hint="eastAsia"/>
                <w:bCs/>
                <w:color w:val="auto"/>
                <w:spacing w:val="-10"/>
                <w:sz w:val="24"/>
              </w:rPr>
              <w:t xml:space="preserve"> kg/h，排放浓度为</w:t>
            </w:r>
            <w:r>
              <w:rPr>
                <w:rFonts w:hint="eastAsia"/>
                <w:bCs/>
                <w:color w:val="auto"/>
                <w:spacing w:val="-10"/>
                <w:sz w:val="24"/>
                <w:lang w:val="en-US" w:eastAsia="zh-CN"/>
              </w:rPr>
              <w:t>0.95</w:t>
            </w:r>
            <w:r>
              <w:rPr>
                <w:rFonts w:hint="eastAsia"/>
                <w:bCs/>
                <w:color w:val="auto"/>
                <w:spacing w:val="-10"/>
                <w:sz w:val="24"/>
              </w:rPr>
              <w:t xml:space="preserve"> mg/m</w:t>
            </w:r>
            <w:r>
              <w:rPr>
                <w:rFonts w:hint="eastAsia"/>
                <w:bCs/>
                <w:color w:val="auto"/>
                <w:spacing w:val="-10"/>
                <w:sz w:val="24"/>
                <w:vertAlign w:val="superscript"/>
              </w:rPr>
              <w:t>3</w:t>
            </w:r>
            <w:r>
              <w:rPr>
                <w:rFonts w:hint="eastAsia"/>
                <w:bCs/>
                <w:color w:val="auto"/>
                <w:spacing w:val="-10"/>
                <w:sz w:val="24"/>
              </w:rPr>
              <w:t>，</w:t>
            </w:r>
            <w:r>
              <w:rPr>
                <w:rFonts w:hint="eastAsia"/>
                <w:bCs/>
                <w:color w:val="auto"/>
                <w:spacing w:val="-10"/>
                <w:sz w:val="24"/>
                <w:lang w:val="en-US" w:eastAsia="zh-CN"/>
              </w:rPr>
              <w:t>非甲烷总烃</w:t>
            </w:r>
            <w:r>
              <w:rPr>
                <w:rFonts w:hint="eastAsia"/>
                <w:bCs/>
                <w:color w:val="auto"/>
                <w:spacing w:val="-10"/>
                <w:sz w:val="24"/>
              </w:rPr>
              <w:t>排放浓度符合《合成树脂工业污染物排放标准》（GB31572-2015）（排放浓度60 mg/m</w:t>
            </w:r>
            <w:r>
              <w:rPr>
                <w:rFonts w:hint="eastAsia"/>
                <w:bCs/>
                <w:color w:val="auto"/>
                <w:spacing w:val="-10"/>
                <w:sz w:val="24"/>
                <w:vertAlign w:val="superscript"/>
              </w:rPr>
              <w:t>3</w:t>
            </w:r>
            <w:r>
              <w:rPr>
                <w:rFonts w:hint="eastAsia"/>
                <w:bCs/>
                <w:color w:val="auto"/>
                <w:spacing w:val="-10"/>
                <w:sz w:val="24"/>
                <w:vertAlign w:val="baseline"/>
                <w:lang w:eastAsia="zh-CN"/>
              </w:rPr>
              <w:t>）</w:t>
            </w:r>
            <w:r>
              <w:rPr>
                <w:bCs/>
                <w:color w:val="auto"/>
                <w:spacing w:val="-10"/>
                <w:sz w:val="24"/>
              </w:rPr>
              <w:t>；未收集的</w:t>
            </w:r>
            <w:r>
              <w:rPr>
                <w:rFonts w:hint="eastAsia"/>
                <w:bCs/>
                <w:color w:val="auto"/>
                <w:spacing w:val="-10"/>
                <w:sz w:val="24"/>
                <w:lang w:val="en-US" w:eastAsia="zh-CN"/>
              </w:rPr>
              <w:t>10</w:t>
            </w:r>
            <w:r>
              <w:rPr>
                <w:bCs/>
                <w:color w:val="auto"/>
                <w:spacing w:val="-10"/>
                <w:sz w:val="24"/>
              </w:rPr>
              <w:t>%（</w:t>
            </w:r>
            <w:r>
              <w:rPr>
                <w:rFonts w:hint="eastAsia"/>
                <w:bCs/>
                <w:color w:val="auto"/>
                <w:spacing w:val="-10"/>
                <w:sz w:val="24"/>
                <w:lang w:val="en-US" w:eastAsia="zh-CN"/>
              </w:rPr>
              <w:t>0.16</w:t>
            </w:r>
            <w:r>
              <w:rPr>
                <w:rFonts w:hint="eastAsia"/>
                <w:bCs/>
                <w:color w:val="auto"/>
                <w:spacing w:val="-10"/>
                <w:sz w:val="24"/>
              </w:rPr>
              <w:t xml:space="preserve"> </w:t>
            </w:r>
            <w:r>
              <w:rPr>
                <w:bCs/>
                <w:color w:val="auto"/>
                <w:spacing w:val="-10"/>
                <w:sz w:val="24"/>
              </w:rPr>
              <w:t>t/a）无组织排放。</w:t>
            </w:r>
          </w:p>
          <w:p>
            <w:pPr>
              <w:adjustRightInd w:val="0"/>
              <w:snapToGrid w:val="0"/>
              <w:spacing w:line="360" w:lineRule="auto"/>
              <w:ind w:firstLine="480" w:firstLineChars="200"/>
              <w:rPr>
                <w:rFonts w:hint="eastAsia" w:ascii="Times New Roman" w:hAnsi="Times New Roman" w:eastAsia="宋体" w:cs="Times New Roman"/>
                <w:color w:val="auto"/>
                <w:kern w:val="44"/>
                <w:sz w:val="24"/>
                <w:szCs w:val="24"/>
                <w:highlight w:val="none"/>
                <w:lang w:val="en-US" w:eastAsia="zh-CN" w:bidi="ar-SA"/>
              </w:rPr>
            </w:pPr>
            <w:r>
              <w:rPr>
                <w:rFonts w:hint="eastAsia" w:ascii="Times New Roman" w:hAnsi="Times New Roman" w:eastAsia="宋体" w:cs="Times New Roman"/>
                <w:color w:val="auto"/>
                <w:kern w:val="44"/>
                <w:sz w:val="24"/>
                <w:szCs w:val="24"/>
                <w:highlight w:val="none"/>
                <w:lang w:val="en-US" w:eastAsia="zh-CN" w:bidi="ar-SA"/>
              </w:rPr>
              <w:t>模具清理废气：本项目设置集气罩，对模具清理过程中产生的颗粒物行收集（收集效率以90%计），统一送至干式过滤器（处理效率以70%计）+二级活性炭处理装置进行处理（处理效率以75%计）处理达标后通过15 m高的排气筒有组织排放（DA001、DA002）；则发泡生产线颗粒物的排放量为0.49t/a，排放速率为0.08 kg/h，排放浓度为1.90 mg/m</w:t>
            </w:r>
            <w:r>
              <w:rPr>
                <w:rFonts w:hint="eastAsia" w:ascii="Times New Roman" w:hAnsi="Times New Roman" w:eastAsia="宋体" w:cs="Times New Roman"/>
                <w:color w:val="auto"/>
                <w:kern w:val="44"/>
                <w:sz w:val="24"/>
                <w:szCs w:val="24"/>
                <w:highlight w:val="none"/>
                <w:vertAlign w:val="superscript"/>
                <w:lang w:val="en-US" w:eastAsia="zh-CN" w:bidi="ar-SA"/>
              </w:rPr>
              <w:t>3</w:t>
            </w:r>
            <w:r>
              <w:rPr>
                <w:rFonts w:hint="eastAsia" w:ascii="Times New Roman" w:hAnsi="Times New Roman" w:eastAsia="宋体" w:cs="Times New Roman"/>
                <w:color w:val="auto"/>
                <w:kern w:val="44"/>
                <w:sz w:val="24"/>
                <w:szCs w:val="24"/>
                <w:highlight w:val="none"/>
                <w:lang w:val="en-US" w:eastAsia="zh-CN" w:bidi="ar-SA"/>
              </w:rPr>
              <w:t>，未收集的10%（0.18 t/a）无组织排放，模压生产线颗粒物的排放量为0.81t/a，排放速率为0.14 kg/h，排放浓度为3.33 mg/m</w:t>
            </w:r>
            <w:r>
              <w:rPr>
                <w:rFonts w:hint="eastAsia" w:ascii="Times New Roman" w:hAnsi="Times New Roman" w:eastAsia="宋体" w:cs="Times New Roman"/>
                <w:color w:val="auto"/>
                <w:kern w:val="44"/>
                <w:sz w:val="24"/>
                <w:szCs w:val="24"/>
                <w:highlight w:val="none"/>
                <w:vertAlign w:val="superscript"/>
                <w:lang w:val="en-US" w:eastAsia="zh-CN" w:bidi="ar-SA"/>
              </w:rPr>
              <w:t>3</w:t>
            </w:r>
            <w:r>
              <w:rPr>
                <w:rFonts w:hint="eastAsia" w:ascii="Times New Roman" w:hAnsi="Times New Roman" w:eastAsia="宋体" w:cs="Times New Roman"/>
                <w:color w:val="auto"/>
                <w:kern w:val="44"/>
                <w:sz w:val="24"/>
                <w:szCs w:val="24"/>
                <w:highlight w:val="none"/>
                <w:lang w:val="en-US" w:eastAsia="zh-CN" w:bidi="ar-SA"/>
              </w:rPr>
              <w:t>。未收集的10%（0.3 t/a）无组织排放。</w:t>
            </w:r>
            <w:r>
              <w:rPr>
                <w:rFonts w:hint="eastAsia" w:cs="Times New Roman"/>
                <w:color w:val="auto"/>
                <w:kern w:val="44"/>
                <w:sz w:val="24"/>
                <w:szCs w:val="24"/>
                <w:highlight w:val="none"/>
                <w:lang w:val="en-US" w:eastAsia="zh-CN" w:bidi="ar-SA"/>
              </w:rPr>
              <w:t>颗粒物</w:t>
            </w:r>
            <w:r>
              <w:rPr>
                <w:rFonts w:hint="eastAsia"/>
                <w:bCs/>
                <w:color w:val="auto"/>
                <w:spacing w:val="-10"/>
                <w:sz w:val="24"/>
              </w:rPr>
              <w:t>排放浓度符合《合成树脂工业污染物排放标准》（GB31572-2015）（排放浓度</w:t>
            </w:r>
            <w:r>
              <w:rPr>
                <w:rFonts w:hint="eastAsia"/>
                <w:bCs/>
                <w:color w:val="auto"/>
                <w:spacing w:val="-10"/>
                <w:sz w:val="24"/>
                <w:lang w:val="en-US" w:eastAsia="zh-CN"/>
              </w:rPr>
              <w:t>2</w:t>
            </w:r>
            <w:r>
              <w:rPr>
                <w:rFonts w:hint="eastAsia"/>
                <w:bCs/>
                <w:color w:val="auto"/>
                <w:spacing w:val="-10"/>
                <w:sz w:val="24"/>
              </w:rPr>
              <w:t>0 mg/m</w:t>
            </w:r>
            <w:r>
              <w:rPr>
                <w:rFonts w:hint="eastAsia"/>
                <w:bCs/>
                <w:color w:val="auto"/>
                <w:spacing w:val="-10"/>
                <w:sz w:val="24"/>
                <w:vertAlign w:val="superscript"/>
              </w:rPr>
              <w:t>3</w:t>
            </w:r>
            <w:r>
              <w:rPr>
                <w:rFonts w:hint="eastAsia"/>
                <w:bCs/>
                <w:color w:val="auto"/>
                <w:spacing w:val="-10"/>
                <w:sz w:val="24"/>
                <w:vertAlign w:val="baseline"/>
                <w:lang w:eastAsia="zh-CN"/>
              </w:rPr>
              <w:t>）。</w:t>
            </w:r>
          </w:p>
          <w:p>
            <w:pPr>
              <w:adjustRightInd w:val="0"/>
              <w:snapToGrid w:val="0"/>
              <w:spacing w:line="360" w:lineRule="auto"/>
              <w:ind w:firstLine="440" w:firstLineChars="200"/>
              <w:rPr>
                <w:rFonts w:hint="eastAsia"/>
                <w:bCs/>
                <w:color w:val="auto"/>
                <w:spacing w:val="-10"/>
                <w:sz w:val="24"/>
                <w:lang w:val="en-US" w:eastAsia="zh-CN"/>
              </w:rPr>
            </w:pPr>
            <w:r>
              <w:rPr>
                <w:rFonts w:hint="eastAsia"/>
                <w:bCs/>
                <w:color w:val="auto"/>
                <w:spacing w:val="-10"/>
                <w:sz w:val="24"/>
                <w:lang w:val="en-US" w:eastAsia="zh-CN"/>
              </w:rPr>
              <w:t>本项目有机废气污染物产生及排放情况见下表所示。</w:t>
            </w:r>
          </w:p>
          <w:p>
            <w:pPr>
              <w:pStyle w:val="17"/>
              <w:ind w:firstLine="0" w:firstLineChars="0"/>
              <w:jc w:val="center"/>
              <w:rPr>
                <w:rFonts w:eastAsia="宋体"/>
                <w:b/>
                <w:color w:val="auto"/>
                <w:sz w:val="21"/>
                <w:szCs w:val="21"/>
              </w:rPr>
            </w:pPr>
            <w:r>
              <w:rPr>
                <w:rFonts w:eastAsia="宋体"/>
                <w:b/>
                <w:color w:val="auto"/>
                <w:sz w:val="21"/>
                <w:szCs w:val="21"/>
              </w:rPr>
              <w:t>表4-</w:t>
            </w:r>
            <w:r>
              <w:rPr>
                <w:rFonts w:hint="eastAsia" w:eastAsia="宋体"/>
                <w:b/>
                <w:color w:val="auto"/>
                <w:sz w:val="21"/>
                <w:szCs w:val="21"/>
                <w:lang w:val="en-US" w:eastAsia="zh-CN"/>
              </w:rPr>
              <w:t>3</w:t>
            </w:r>
            <w:r>
              <w:rPr>
                <w:rFonts w:eastAsia="宋体"/>
                <w:b/>
                <w:color w:val="auto"/>
                <w:sz w:val="21"/>
                <w:szCs w:val="21"/>
              </w:rPr>
              <w:t xml:space="preserve">  </w:t>
            </w:r>
            <w:r>
              <w:rPr>
                <w:rFonts w:hint="eastAsia" w:eastAsia="宋体"/>
                <w:b/>
                <w:color w:val="auto"/>
                <w:sz w:val="21"/>
                <w:szCs w:val="21"/>
                <w:lang w:val="en-US" w:eastAsia="zh-CN"/>
              </w:rPr>
              <w:t>本</w:t>
            </w:r>
            <w:r>
              <w:rPr>
                <w:rFonts w:hint="default" w:eastAsia="宋体"/>
                <w:b/>
                <w:color w:val="auto"/>
                <w:sz w:val="21"/>
                <w:szCs w:val="21"/>
              </w:rPr>
              <w:t>项目有组织废气产排情况</w:t>
            </w:r>
          </w:p>
          <w:tbl>
            <w:tblPr>
              <w:tblStyle w:val="18"/>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29"/>
              <w:gridCol w:w="729"/>
              <w:gridCol w:w="764"/>
              <w:gridCol w:w="709"/>
              <w:gridCol w:w="822"/>
              <w:gridCol w:w="1373"/>
              <w:gridCol w:w="686"/>
              <w:gridCol w:w="762"/>
              <w:gridCol w:w="8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vMerge w:val="restar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污染源</w:t>
                  </w:r>
                </w:p>
              </w:tc>
              <w:tc>
                <w:tcPr>
                  <w:tcW w:w="439" w:type="pct"/>
                  <w:vMerge w:val="restar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工序/生产线</w:t>
                  </w:r>
                </w:p>
              </w:tc>
              <w:tc>
                <w:tcPr>
                  <w:tcW w:w="439" w:type="pct"/>
                  <w:vMerge w:val="restar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污染物名称</w:t>
                  </w:r>
                </w:p>
              </w:tc>
              <w:tc>
                <w:tcPr>
                  <w:tcW w:w="1382" w:type="pct"/>
                  <w:gridSpan w:val="3"/>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eastAsia" w:cs="Times New Roman"/>
                      <w:bCs/>
                      <w:color w:val="auto"/>
                      <w:szCs w:val="21"/>
                      <w:highlight w:val="none"/>
                      <w:lang w:eastAsia="zh-CN"/>
                    </w:rPr>
                    <w:t>有组织</w:t>
                  </w:r>
                  <w:r>
                    <w:rPr>
                      <w:rFonts w:hint="default" w:ascii="Times New Roman" w:hAnsi="Times New Roman" w:cs="Times New Roman"/>
                      <w:bCs/>
                      <w:color w:val="auto"/>
                      <w:szCs w:val="21"/>
                      <w:highlight w:val="none"/>
                    </w:rPr>
                    <w:t>产生情况</w:t>
                  </w:r>
                </w:p>
              </w:tc>
              <w:tc>
                <w:tcPr>
                  <w:tcW w:w="826" w:type="pct"/>
                  <w:vMerge w:val="restar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治理措施</w:t>
                  </w:r>
                </w:p>
              </w:tc>
              <w:tc>
                <w:tcPr>
                  <w:tcW w:w="1367" w:type="pct"/>
                  <w:gridSpan w:val="3"/>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eastAsia" w:cs="Times New Roman"/>
                      <w:bCs/>
                      <w:color w:val="auto"/>
                      <w:szCs w:val="21"/>
                      <w:highlight w:val="none"/>
                      <w:lang w:eastAsia="zh-CN"/>
                    </w:rPr>
                    <w:t>有组织</w:t>
                  </w:r>
                  <w:r>
                    <w:rPr>
                      <w:rFonts w:hint="default" w:ascii="Times New Roman" w:hAnsi="Times New Roman" w:cs="Times New Roman"/>
                      <w:bCs/>
                      <w:color w:val="auto"/>
                      <w:szCs w:val="21"/>
                      <w:highlight w:val="none"/>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vMerge w:val="continue"/>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p>
              </w:tc>
              <w:tc>
                <w:tcPr>
                  <w:tcW w:w="439" w:type="pct"/>
                  <w:vMerge w:val="continue"/>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p>
              </w:tc>
              <w:tc>
                <w:tcPr>
                  <w:tcW w:w="439" w:type="pct"/>
                  <w:vMerge w:val="continue"/>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p>
              </w:tc>
              <w:tc>
                <w:tcPr>
                  <w:tcW w:w="460"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产生量t/a</w:t>
                  </w:r>
                </w:p>
              </w:tc>
              <w:tc>
                <w:tcPr>
                  <w:tcW w:w="427"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速率kg/h</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浓度mg/m</w:t>
                  </w:r>
                  <w:r>
                    <w:rPr>
                      <w:rFonts w:hint="default" w:ascii="Times New Roman" w:hAnsi="Times New Roman" w:cs="Times New Roman"/>
                      <w:bCs/>
                      <w:color w:val="auto"/>
                      <w:szCs w:val="21"/>
                      <w:highlight w:val="none"/>
                      <w:vertAlign w:val="superscript"/>
                    </w:rPr>
                    <w:t>3</w:t>
                  </w:r>
                </w:p>
              </w:tc>
              <w:tc>
                <w:tcPr>
                  <w:tcW w:w="826" w:type="pct"/>
                  <w:vMerge w:val="continue"/>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p>
              </w:tc>
              <w:tc>
                <w:tcPr>
                  <w:tcW w:w="413"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排放</w:t>
                  </w:r>
                  <w:r>
                    <w:rPr>
                      <w:rFonts w:hint="default" w:ascii="Times New Roman" w:hAnsi="Times New Roman" w:cs="Times New Roman"/>
                      <w:bCs/>
                      <w:color w:val="auto"/>
                      <w:szCs w:val="21"/>
                      <w:highlight w:val="none"/>
                    </w:rPr>
                    <w:t>量t/a</w:t>
                  </w:r>
                </w:p>
              </w:tc>
              <w:tc>
                <w:tcPr>
                  <w:tcW w:w="458"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速率kg/h</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浓度mg/m</w:t>
                  </w:r>
                  <w:r>
                    <w:rPr>
                      <w:rFonts w:hint="default" w:ascii="Times New Roman" w:hAnsi="Times New Roman" w:cs="Times New Roman"/>
                      <w:bCs/>
                      <w:color w:val="auto"/>
                      <w:szCs w:val="21"/>
                      <w:highlight w:val="none"/>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vMerge w:val="restar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DA001</w:t>
                  </w: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发泡</w:t>
                  </w: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非甲烷总烃</w:t>
                  </w:r>
                </w:p>
              </w:tc>
              <w:tc>
                <w:tcPr>
                  <w:tcW w:w="460"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7.74</w:t>
                  </w:r>
                </w:p>
              </w:tc>
              <w:tc>
                <w:tcPr>
                  <w:tcW w:w="427"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1.29</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99.91</w:t>
                  </w:r>
                </w:p>
              </w:tc>
              <w:tc>
                <w:tcPr>
                  <w:tcW w:w="826" w:type="pct"/>
                  <w:noWrap w:val="0"/>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干式过滤器+</w:t>
                  </w:r>
                  <w:r>
                    <w:rPr>
                      <w:b w:val="0"/>
                      <w:color w:val="auto"/>
                      <w:sz w:val="21"/>
                      <w:szCs w:val="21"/>
                    </w:rPr>
                    <w:t>二级活性炭吸附</w:t>
                  </w:r>
                  <w:r>
                    <w:rPr>
                      <w:rFonts w:hint="eastAsia"/>
                      <w:b w:val="0"/>
                      <w:color w:val="auto"/>
                      <w:sz w:val="21"/>
                      <w:szCs w:val="21"/>
                    </w:rPr>
                    <w:t>+15高排气筒</w:t>
                  </w:r>
                  <w:r>
                    <w:rPr>
                      <w:rFonts w:hint="eastAsia"/>
                      <w:b w:val="0"/>
                      <w:color w:val="auto"/>
                      <w:sz w:val="21"/>
                      <w:szCs w:val="21"/>
                      <w:lang w:val="en-US" w:eastAsia="zh-CN"/>
                    </w:rPr>
                    <w:t>排放</w:t>
                  </w:r>
                </w:p>
              </w:tc>
              <w:tc>
                <w:tcPr>
                  <w:tcW w:w="413"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1.94</w:t>
                  </w:r>
                </w:p>
              </w:tc>
              <w:tc>
                <w:tcPr>
                  <w:tcW w:w="458"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0.32</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24.79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vMerge w:val="continue"/>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eastAsia" w:ascii="Times New Roman" w:hAnsi="Times New Roman" w:cs="Times New Roman"/>
                      <w:bCs/>
                      <w:color w:val="auto"/>
                      <w:szCs w:val="21"/>
                      <w:highlight w:val="none"/>
                      <w:lang w:val="en-US" w:eastAsia="zh-CN"/>
                    </w:rPr>
                  </w:pP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模具清理</w:t>
                  </w: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eastAsia"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颗粒物</w:t>
                  </w:r>
                </w:p>
              </w:tc>
              <w:tc>
                <w:tcPr>
                  <w:tcW w:w="460" w:type="pct"/>
                  <w:noWrap w:val="0"/>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1.62</w:t>
                  </w:r>
                </w:p>
              </w:tc>
              <w:tc>
                <w:tcPr>
                  <w:tcW w:w="427" w:type="pct"/>
                  <w:noWrap w:val="0"/>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0.27</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6.43</w:t>
                  </w:r>
                </w:p>
              </w:tc>
              <w:tc>
                <w:tcPr>
                  <w:tcW w:w="826" w:type="pct"/>
                  <w:noWrap w:val="0"/>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干式过滤器+</w:t>
                  </w:r>
                  <w:r>
                    <w:rPr>
                      <w:b w:val="0"/>
                      <w:color w:val="auto"/>
                      <w:sz w:val="21"/>
                      <w:szCs w:val="21"/>
                    </w:rPr>
                    <w:t>二级活性炭吸附</w:t>
                  </w:r>
                  <w:r>
                    <w:rPr>
                      <w:rFonts w:hint="eastAsia"/>
                      <w:b w:val="0"/>
                      <w:color w:val="auto"/>
                      <w:sz w:val="21"/>
                      <w:szCs w:val="21"/>
                    </w:rPr>
                    <w:t>+15高排气筒</w:t>
                  </w:r>
                  <w:r>
                    <w:rPr>
                      <w:rFonts w:hint="eastAsia"/>
                      <w:b w:val="0"/>
                      <w:color w:val="auto"/>
                      <w:sz w:val="21"/>
                      <w:szCs w:val="21"/>
                      <w:lang w:val="en-US" w:eastAsia="zh-CN"/>
                    </w:rPr>
                    <w:t>排放</w:t>
                  </w:r>
                </w:p>
              </w:tc>
              <w:tc>
                <w:tcPr>
                  <w:tcW w:w="413"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0.49</w:t>
                  </w:r>
                </w:p>
              </w:tc>
              <w:tc>
                <w:tcPr>
                  <w:tcW w:w="458"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cs="Times New Roman"/>
                      <w:bCs/>
                      <w:color w:val="auto"/>
                      <w:szCs w:val="21"/>
                      <w:highlight w:val="none"/>
                      <w:lang w:val="en-US" w:eastAsia="zh-CN"/>
                    </w:rPr>
                  </w:pPr>
                  <w:r>
                    <w:rPr>
                      <w:rFonts w:hint="eastAsia" w:cs="Times New Roman"/>
                      <w:bCs/>
                      <w:color w:val="auto"/>
                      <w:szCs w:val="21"/>
                      <w:highlight w:val="none"/>
                      <w:lang w:val="en-US" w:eastAsia="zh-CN"/>
                    </w:rPr>
                    <w:t>0.08</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cs="Times New Roman"/>
                      <w:bCs/>
                      <w:color w:val="auto"/>
                      <w:szCs w:val="21"/>
                      <w:highlight w:val="none"/>
                      <w:lang w:val="en-US" w:eastAsia="zh-CN"/>
                    </w:rPr>
                  </w:pPr>
                  <w:r>
                    <w:rPr>
                      <w:rFonts w:hint="eastAsia" w:cs="Times New Roman"/>
                      <w:bCs/>
                      <w:color w:val="auto"/>
                      <w:szCs w:val="21"/>
                      <w:highlight w:val="none"/>
                      <w:lang w:val="en-US" w:eastAsia="zh-CN"/>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vMerge w:val="restar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DA002</w:t>
                  </w: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模压</w:t>
                  </w: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eastAsia" w:ascii="Times New Roman" w:hAnsi="Times New Roman" w:eastAsia="宋体" w:cs="Times New Roman"/>
                      <w:bCs/>
                      <w:color w:val="auto"/>
                      <w:szCs w:val="21"/>
                      <w:highlight w:val="none"/>
                      <w:lang w:eastAsia="zh-CN"/>
                    </w:rPr>
                  </w:pPr>
                  <w:r>
                    <w:rPr>
                      <w:rFonts w:hint="eastAsia" w:ascii="Times New Roman" w:hAnsi="Times New Roman" w:cs="Times New Roman"/>
                      <w:bCs/>
                      <w:color w:val="auto"/>
                      <w:szCs w:val="21"/>
                      <w:highlight w:val="none"/>
                      <w:lang w:val="en-US" w:eastAsia="zh-CN"/>
                    </w:rPr>
                    <w:t>非甲烷总烃</w:t>
                  </w:r>
                </w:p>
              </w:tc>
              <w:tc>
                <w:tcPr>
                  <w:tcW w:w="460"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1.46</w:t>
                  </w:r>
                </w:p>
              </w:tc>
              <w:tc>
                <w:tcPr>
                  <w:tcW w:w="427"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5.71</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0.24</w:t>
                  </w:r>
                </w:p>
              </w:tc>
              <w:tc>
                <w:tcPr>
                  <w:tcW w:w="826" w:type="pct"/>
                  <w:noWrap w:val="0"/>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干式过滤器+</w:t>
                  </w:r>
                  <w:r>
                    <w:rPr>
                      <w:b w:val="0"/>
                      <w:color w:val="auto"/>
                      <w:sz w:val="21"/>
                      <w:szCs w:val="21"/>
                    </w:rPr>
                    <w:t>二级活性炭吸附</w:t>
                  </w:r>
                  <w:r>
                    <w:rPr>
                      <w:rFonts w:hint="eastAsia"/>
                      <w:b w:val="0"/>
                      <w:color w:val="auto"/>
                      <w:sz w:val="21"/>
                      <w:szCs w:val="21"/>
                    </w:rPr>
                    <w:t>+15高排气筒</w:t>
                  </w:r>
                  <w:r>
                    <w:rPr>
                      <w:rFonts w:hint="eastAsia"/>
                      <w:b w:val="0"/>
                      <w:color w:val="auto"/>
                      <w:sz w:val="21"/>
                      <w:szCs w:val="21"/>
                      <w:lang w:val="en-US" w:eastAsia="zh-CN"/>
                    </w:rPr>
                    <w:t>排放</w:t>
                  </w:r>
                </w:p>
              </w:tc>
              <w:tc>
                <w:tcPr>
                  <w:tcW w:w="413"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0.22</w:t>
                  </w:r>
                </w:p>
              </w:tc>
              <w:tc>
                <w:tcPr>
                  <w:tcW w:w="458"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0.04</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5" w:type="pct"/>
                  <w:vMerge w:val="continue"/>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eastAsia" w:ascii="Times New Roman" w:hAnsi="Times New Roman" w:cs="Times New Roman"/>
                      <w:bCs/>
                      <w:color w:val="auto"/>
                      <w:szCs w:val="21"/>
                      <w:highlight w:val="none"/>
                      <w:lang w:val="en-US" w:eastAsia="zh-CN"/>
                    </w:rPr>
                  </w:pP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模具清理</w:t>
                  </w:r>
                </w:p>
              </w:tc>
              <w:tc>
                <w:tcPr>
                  <w:tcW w:w="439"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eastAsia"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颗粒物</w:t>
                  </w:r>
                </w:p>
              </w:tc>
              <w:tc>
                <w:tcPr>
                  <w:tcW w:w="460"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2.7</w:t>
                  </w:r>
                </w:p>
              </w:tc>
              <w:tc>
                <w:tcPr>
                  <w:tcW w:w="427"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0.45</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10.71</w:t>
                  </w:r>
                </w:p>
              </w:tc>
              <w:tc>
                <w:tcPr>
                  <w:tcW w:w="826" w:type="pct"/>
                  <w:noWrap w:val="0"/>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干式过滤器+</w:t>
                  </w:r>
                  <w:r>
                    <w:rPr>
                      <w:b w:val="0"/>
                      <w:color w:val="auto"/>
                      <w:sz w:val="21"/>
                      <w:szCs w:val="21"/>
                    </w:rPr>
                    <w:t>二级活性炭吸附</w:t>
                  </w:r>
                  <w:r>
                    <w:rPr>
                      <w:rFonts w:hint="eastAsia"/>
                      <w:b w:val="0"/>
                      <w:color w:val="auto"/>
                      <w:sz w:val="21"/>
                      <w:szCs w:val="21"/>
                    </w:rPr>
                    <w:t>+15高排气筒</w:t>
                  </w:r>
                  <w:r>
                    <w:rPr>
                      <w:rFonts w:hint="eastAsia"/>
                      <w:b w:val="0"/>
                      <w:color w:val="auto"/>
                      <w:sz w:val="21"/>
                      <w:szCs w:val="21"/>
                      <w:lang w:val="en-US" w:eastAsia="zh-CN"/>
                    </w:rPr>
                    <w:t>排放</w:t>
                  </w:r>
                </w:p>
              </w:tc>
              <w:tc>
                <w:tcPr>
                  <w:tcW w:w="413"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0.81</w:t>
                  </w:r>
                </w:p>
              </w:tc>
              <w:tc>
                <w:tcPr>
                  <w:tcW w:w="458"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0.14</w:t>
                  </w:r>
                </w:p>
              </w:tc>
              <w:tc>
                <w:tcPr>
                  <w:tcW w:w="495" w:type="pct"/>
                  <w:noWrap w:val="0"/>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cs="Times New Roman"/>
                      <w:bCs/>
                      <w:color w:val="auto"/>
                      <w:szCs w:val="21"/>
                      <w:highlight w:val="none"/>
                      <w:lang w:val="en-US" w:eastAsia="zh-CN"/>
                    </w:rPr>
                    <w:t>3.33</w:t>
                  </w:r>
                </w:p>
              </w:tc>
            </w:tr>
          </w:tbl>
          <w:p>
            <w:pPr>
              <w:pStyle w:val="17"/>
              <w:ind w:left="0" w:leftChars="0" w:firstLine="480" w:firstLineChars="200"/>
              <w:rPr>
                <w:rFonts w:hint="default" w:ascii="Times New Roman" w:hAnsi="Times New Roman" w:eastAsia="宋体" w:cs="Times New Roman"/>
                <w:color w:val="auto"/>
                <w:kern w:val="44"/>
                <w:sz w:val="24"/>
                <w:szCs w:val="24"/>
                <w:highlight w:val="none"/>
                <w:lang w:val="en-US" w:eastAsia="zh-CN" w:bidi="ar-SA"/>
              </w:rPr>
            </w:pPr>
            <w:r>
              <w:rPr>
                <w:rFonts w:hint="eastAsia" w:ascii="Times New Roman" w:hAnsi="Times New Roman" w:eastAsia="宋体" w:cs="Times New Roman"/>
                <w:color w:val="auto"/>
                <w:kern w:val="44"/>
                <w:sz w:val="24"/>
                <w:szCs w:val="24"/>
                <w:highlight w:val="none"/>
                <w:lang w:val="en-US" w:eastAsia="zh-CN" w:bidi="ar-SA"/>
              </w:rPr>
              <w:t>根据上表，本项目有组织废气中非甲烷总烃、颗粒物排放浓度均满足《合成树脂工业污染物排放标准》（GB31572-2015）（非甲烷总烃排放浓度60 mg/m</w:t>
            </w:r>
            <w:r>
              <w:rPr>
                <w:rFonts w:hint="eastAsia" w:ascii="Times New Roman" w:hAnsi="Times New Roman" w:eastAsia="宋体" w:cs="Times New Roman"/>
                <w:color w:val="auto"/>
                <w:kern w:val="44"/>
                <w:sz w:val="24"/>
                <w:szCs w:val="24"/>
                <w:highlight w:val="none"/>
                <w:vertAlign w:val="superscript"/>
                <w:lang w:val="en-US" w:eastAsia="zh-CN" w:bidi="ar-SA"/>
              </w:rPr>
              <w:t>3</w:t>
            </w:r>
            <w:r>
              <w:rPr>
                <w:rFonts w:hint="eastAsia" w:ascii="Times New Roman" w:hAnsi="Times New Roman" w:eastAsia="宋体" w:cs="Times New Roman"/>
                <w:color w:val="auto"/>
                <w:kern w:val="44"/>
                <w:sz w:val="24"/>
                <w:szCs w:val="24"/>
                <w:highlight w:val="none"/>
                <w:lang w:val="en-US" w:eastAsia="zh-CN" w:bidi="ar-SA"/>
              </w:rPr>
              <w:t>，颗粒物排放浓度20 mg/m</w:t>
            </w:r>
            <w:r>
              <w:rPr>
                <w:rFonts w:hint="eastAsia" w:ascii="Times New Roman" w:hAnsi="Times New Roman" w:eastAsia="宋体" w:cs="Times New Roman"/>
                <w:color w:val="auto"/>
                <w:kern w:val="44"/>
                <w:sz w:val="24"/>
                <w:szCs w:val="24"/>
                <w:highlight w:val="none"/>
                <w:vertAlign w:val="superscript"/>
                <w:lang w:val="en-US" w:eastAsia="zh-CN" w:bidi="ar-SA"/>
              </w:rPr>
              <w:t>3</w:t>
            </w:r>
            <w:r>
              <w:rPr>
                <w:rFonts w:hint="eastAsia" w:ascii="Times New Roman" w:hAnsi="Times New Roman" w:eastAsia="宋体" w:cs="Times New Roman"/>
                <w:color w:val="auto"/>
                <w:kern w:val="44"/>
                <w:sz w:val="24"/>
                <w:szCs w:val="24"/>
                <w:highlight w:val="none"/>
                <w:lang w:val="en-US" w:eastAsia="zh-CN" w:bidi="ar-SA"/>
              </w:rPr>
              <w:t>）标准限值要求。</w:t>
            </w:r>
          </w:p>
          <w:p>
            <w:pPr>
              <w:adjustRightInd w:val="0"/>
              <w:snapToGrid w:val="0"/>
              <w:spacing w:line="360" w:lineRule="auto"/>
              <w:ind w:firstLine="440" w:firstLineChars="200"/>
              <w:rPr>
                <w:bCs/>
                <w:color w:val="auto"/>
                <w:spacing w:val="-10"/>
                <w:sz w:val="24"/>
              </w:rPr>
            </w:pPr>
            <w:r>
              <w:rPr>
                <w:rFonts w:hint="eastAsia"/>
                <w:bCs/>
                <w:color w:val="auto"/>
                <w:spacing w:val="-10"/>
                <w:sz w:val="24"/>
              </w:rPr>
              <w:t>B无</w:t>
            </w:r>
            <w:r>
              <w:rPr>
                <w:bCs/>
                <w:color w:val="auto"/>
                <w:spacing w:val="-10"/>
                <w:sz w:val="24"/>
              </w:rPr>
              <w:t>组织废气治理措施</w:t>
            </w:r>
          </w:p>
          <w:p>
            <w:pPr>
              <w:adjustRightInd w:val="0"/>
              <w:snapToGrid w:val="0"/>
              <w:spacing w:line="360" w:lineRule="auto"/>
              <w:ind w:firstLine="440" w:firstLineChars="200"/>
              <w:rPr>
                <w:bCs/>
                <w:color w:val="auto"/>
                <w:spacing w:val="-10"/>
                <w:sz w:val="24"/>
              </w:rPr>
            </w:pPr>
            <w:r>
              <w:rPr>
                <w:rFonts w:hint="eastAsia"/>
                <w:bCs/>
                <w:color w:val="auto"/>
                <w:spacing w:val="-10"/>
                <w:sz w:val="24"/>
              </w:rPr>
              <w:t>无组织废气包括未收集的发泡废气、未收集的模压废气、模具清理废气等，主要污染物为非甲烷总烃和颗粒物。未收集的发泡废气及</w:t>
            </w:r>
            <w:r>
              <w:rPr>
                <w:rFonts w:hint="eastAsia"/>
                <w:bCs/>
                <w:color w:val="auto"/>
                <w:spacing w:val="-10"/>
                <w:sz w:val="24"/>
                <w:lang w:eastAsia="zh-CN"/>
              </w:rPr>
              <w:t>模压废气</w:t>
            </w:r>
            <w:r>
              <w:rPr>
                <w:rFonts w:hint="eastAsia"/>
                <w:bCs/>
                <w:color w:val="auto"/>
                <w:spacing w:val="-10"/>
                <w:sz w:val="24"/>
              </w:rPr>
              <w:t>均为有机废气，根据上述计算，未收集的发泡废气排放量较少，对环境影响较小，</w:t>
            </w:r>
            <w:r>
              <w:rPr>
                <w:rFonts w:hint="eastAsia"/>
                <w:bCs/>
                <w:color w:val="auto"/>
                <w:spacing w:val="-10"/>
                <w:sz w:val="24"/>
                <w:lang w:val="en-US" w:eastAsia="zh-CN"/>
              </w:rPr>
              <w:t>模压</w:t>
            </w:r>
            <w:r>
              <w:rPr>
                <w:rFonts w:hint="eastAsia"/>
                <w:bCs/>
                <w:color w:val="auto"/>
                <w:spacing w:val="-10"/>
                <w:sz w:val="24"/>
              </w:rPr>
              <w:t>废气产生量较少，未收集的量较小，对环境影响较小；模具清理</w:t>
            </w:r>
            <w:r>
              <w:rPr>
                <w:bCs/>
                <w:color w:val="auto"/>
                <w:spacing w:val="-10"/>
                <w:sz w:val="24"/>
              </w:rPr>
              <w:t>过程中</w:t>
            </w:r>
            <w:r>
              <w:rPr>
                <w:rFonts w:hint="eastAsia"/>
                <w:bCs/>
                <w:color w:val="auto"/>
                <w:spacing w:val="-10"/>
                <w:sz w:val="24"/>
              </w:rPr>
              <w:t>产生的颗粒物</w:t>
            </w:r>
            <w:r>
              <w:rPr>
                <w:bCs/>
                <w:color w:val="auto"/>
                <w:spacing w:val="-10"/>
                <w:sz w:val="24"/>
              </w:rPr>
              <w:t>，另</w:t>
            </w:r>
            <w:r>
              <w:rPr>
                <w:rFonts w:hint="eastAsia"/>
                <w:bCs/>
                <w:color w:val="auto"/>
                <w:spacing w:val="-10"/>
                <w:sz w:val="24"/>
              </w:rPr>
              <w:t>经收集后</w:t>
            </w:r>
            <w:r>
              <w:rPr>
                <w:bCs/>
                <w:color w:val="auto"/>
                <w:spacing w:val="-10"/>
                <w:sz w:val="24"/>
              </w:rPr>
              <w:t>有少量无组织逸散，对环境的影响较小。</w:t>
            </w:r>
          </w:p>
          <w:p>
            <w:pPr>
              <w:numPr>
                <w:ilvl w:val="0"/>
                <w:numId w:val="0"/>
              </w:numPr>
              <w:adjustRightInd w:val="0"/>
              <w:snapToGrid w:val="0"/>
              <w:spacing w:line="360" w:lineRule="auto"/>
              <w:ind w:firstLine="440" w:firstLineChars="200"/>
              <w:rPr>
                <w:rFonts w:hint="default" w:ascii="Times New Roman" w:hAnsi="Times New Roman" w:eastAsia="宋体" w:cs="Times New Roman"/>
                <w:bCs/>
                <w:color w:val="auto"/>
                <w:spacing w:val="-10"/>
                <w:sz w:val="24"/>
                <w:lang w:val="en-US" w:eastAsia="zh-CN"/>
              </w:rPr>
            </w:pPr>
            <w:r>
              <w:rPr>
                <w:rFonts w:hint="eastAsia" w:ascii="Times New Roman" w:hAnsi="Times New Roman" w:eastAsia="宋体" w:cs="Times New Roman"/>
                <w:bCs/>
                <w:color w:val="auto"/>
                <w:spacing w:val="-10"/>
                <w:kern w:val="2"/>
                <w:sz w:val="24"/>
                <w:szCs w:val="24"/>
                <w:lang w:val="en-US" w:eastAsia="zh-CN" w:bidi="ar-SA"/>
              </w:rPr>
              <w:t>3）</w:t>
            </w:r>
            <w:r>
              <w:rPr>
                <w:rFonts w:hint="eastAsia" w:ascii="Times New Roman" w:hAnsi="Times New Roman" w:eastAsia="宋体" w:cs="Times New Roman"/>
                <w:bCs/>
                <w:color w:val="auto"/>
                <w:spacing w:val="-10"/>
                <w:sz w:val="24"/>
                <w:lang w:val="en-US" w:eastAsia="zh-CN"/>
              </w:rPr>
              <w:t>废气源强及排放信息汇总表</w:t>
            </w:r>
          </w:p>
          <w:p>
            <w:pPr>
              <w:adjustRightInd w:val="0"/>
              <w:snapToGrid w:val="0"/>
              <w:spacing w:line="360" w:lineRule="auto"/>
              <w:ind w:firstLine="440" w:firstLineChars="200"/>
              <w:rPr>
                <w:rFonts w:hint="default" w:ascii="Times New Roman" w:hAnsi="Times New Roman" w:eastAsia="宋体" w:cs="Times New Roman"/>
                <w:bCs/>
                <w:color w:val="auto"/>
                <w:spacing w:val="-10"/>
                <w:sz w:val="24"/>
                <w:lang w:val="en-US" w:eastAsia="zh-CN"/>
              </w:rPr>
            </w:pPr>
            <w:r>
              <w:rPr>
                <w:rFonts w:hint="eastAsia" w:ascii="Times New Roman" w:hAnsi="Times New Roman" w:eastAsia="宋体" w:cs="Times New Roman"/>
                <w:bCs/>
                <w:color w:val="auto"/>
                <w:spacing w:val="-10"/>
                <w:sz w:val="24"/>
                <w:lang w:val="en-US" w:eastAsia="zh-CN"/>
              </w:rPr>
              <w:t>综上，本项目废气产生及排放情况见下表所示。</w:t>
            </w:r>
          </w:p>
          <w:p>
            <w:pPr>
              <w:pStyle w:val="17"/>
              <w:ind w:firstLine="0" w:firstLineChars="0"/>
              <w:rPr>
                <w:color w:val="auto"/>
              </w:rPr>
            </w:pPr>
          </w:p>
        </w:tc>
      </w:tr>
    </w:tbl>
    <w:p>
      <w:pPr>
        <w:adjustRightInd w:val="0"/>
        <w:snapToGrid w:val="0"/>
        <w:spacing w:line="360" w:lineRule="auto"/>
        <w:ind w:firstLine="562"/>
        <w:rPr>
          <w:rFonts w:ascii="宋体" w:cs="宋体"/>
          <w:b/>
          <w:kern w:val="0"/>
          <w:sz w:val="28"/>
          <w:szCs w:val="28"/>
        </w:rPr>
      </w:pPr>
    </w:p>
    <w:p>
      <w:pPr>
        <w:adjustRightInd w:val="0"/>
        <w:snapToGrid w:val="0"/>
        <w:spacing w:line="360" w:lineRule="auto"/>
        <w:ind w:firstLine="562"/>
        <w:rPr>
          <w:rFonts w:ascii="宋体" w:cs="宋体"/>
          <w:b/>
          <w:kern w:val="0"/>
          <w:sz w:val="28"/>
          <w:szCs w:val="28"/>
        </w:rPr>
        <w:sectPr>
          <w:pgSz w:w="11907" w:h="16840"/>
          <w:pgMar w:top="1701" w:right="1531" w:bottom="2127" w:left="1531" w:header="851" w:footer="851" w:gutter="0"/>
          <w:pgNumType w:fmt="decimal"/>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adjustRightInd w:val="0"/>
              <w:snapToGrid w:val="0"/>
              <w:spacing w:line="360" w:lineRule="auto"/>
              <w:rPr>
                <w:rFonts w:ascii="宋体" w:cs="宋体"/>
                <w:b/>
                <w:color w:val="auto"/>
                <w:kern w:val="0"/>
                <w:sz w:val="28"/>
                <w:szCs w:val="28"/>
                <w:vertAlign w:val="baseline"/>
              </w:rPr>
            </w:pPr>
          </w:p>
        </w:tc>
        <w:tc>
          <w:tcPr>
            <w:tcW w:w="12699" w:type="dxa"/>
          </w:tcPr>
          <w:p>
            <w:pPr>
              <w:pStyle w:val="17"/>
              <w:ind w:firstLine="0" w:firstLineChars="0"/>
              <w:jc w:val="center"/>
              <w:rPr>
                <w:rFonts w:hint="default" w:eastAsia="宋体"/>
                <w:b/>
                <w:color w:val="auto"/>
                <w:sz w:val="21"/>
                <w:szCs w:val="21"/>
                <w:lang w:val="en-US" w:eastAsia="zh-CN"/>
              </w:rPr>
            </w:pPr>
            <w:r>
              <w:rPr>
                <w:rFonts w:eastAsia="宋体"/>
                <w:b/>
                <w:color w:val="auto"/>
                <w:sz w:val="21"/>
                <w:szCs w:val="21"/>
              </w:rPr>
              <w:t>表4</w:t>
            </w:r>
            <w:r>
              <w:rPr>
                <w:rFonts w:hint="eastAsia" w:eastAsia="宋体"/>
                <w:b/>
                <w:color w:val="auto"/>
                <w:sz w:val="21"/>
                <w:szCs w:val="21"/>
                <w:lang w:val="en-US" w:eastAsia="zh-CN"/>
              </w:rPr>
              <w:t>-4</w:t>
            </w:r>
            <w:r>
              <w:rPr>
                <w:rFonts w:eastAsia="宋体"/>
                <w:b/>
                <w:color w:val="auto"/>
                <w:sz w:val="21"/>
                <w:szCs w:val="21"/>
              </w:rPr>
              <w:t xml:space="preserve">  </w:t>
            </w:r>
            <w:r>
              <w:rPr>
                <w:rFonts w:hint="eastAsia" w:eastAsia="宋体"/>
                <w:b/>
                <w:color w:val="auto"/>
                <w:sz w:val="21"/>
                <w:szCs w:val="21"/>
                <w:lang w:val="en-US" w:eastAsia="zh-CN"/>
              </w:rPr>
              <w:t>本</w:t>
            </w:r>
            <w:r>
              <w:rPr>
                <w:rFonts w:hint="default" w:eastAsia="宋体"/>
                <w:b/>
                <w:color w:val="auto"/>
                <w:sz w:val="21"/>
                <w:szCs w:val="21"/>
              </w:rPr>
              <w:t>项目</w:t>
            </w:r>
            <w:r>
              <w:rPr>
                <w:rFonts w:hint="eastAsia" w:eastAsia="宋体"/>
                <w:b/>
                <w:color w:val="auto"/>
                <w:sz w:val="21"/>
                <w:szCs w:val="21"/>
                <w:lang w:val="en-US" w:eastAsia="zh-CN"/>
              </w:rPr>
              <w:t>废气源强及排放信息汇总表</w:t>
            </w:r>
          </w:p>
          <w:tbl>
            <w:tblPr>
              <w:tblStyle w:val="18"/>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7"/>
              <w:gridCol w:w="944"/>
              <w:gridCol w:w="1040"/>
              <w:gridCol w:w="1042"/>
              <w:gridCol w:w="1057"/>
              <w:gridCol w:w="749"/>
              <w:gridCol w:w="744"/>
              <w:gridCol w:w="943"/>
              <w:gridCol w:w="720"/>
              <w:gridCol w:w="750"/>
              <w:gridCol w:w="930"/>
              <w:gridCol w:w="915"/>
              <w:gridCol w:w="735"/>
              <w:gridCol w:w="750"/>
              <w:gridCol w:w="6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87" w:type="pct"/>
                  <w:vMerge w:val="restart"/>
                  <w:vAlign w:val="center"/>
                </w:tcPr>
                <w:p>
                  <w:pPr>
                    <w:pStyle w:val="14"/>
                    <w:ind w:left="-53" w:leftChars="-25" w:right="-53" w:rightChars="-25"/>
                    <w:rPr>
                      <w:bCs w:val="0"/>
                      <w:color w:val="auto"/>
                      <w:sz w:val="21"/>
                      <w:szCs w:val="21"/>
                    </w:rPr>
                  </w:pPr>
                  <w:r>
                    <w:rPr>
                      <w:bCs w:val="0"/>
                      <w:color w:val="auto"/>
                      <w:sz w:val="21"/>
                      <w:szCs w:val="21"/>
                    </w:rPr>
                    <w:t>工序/生产线</w:t>
                  </w:r>
                </w:p>
              </w:tc>
              <w:tc>
                <w:tcPr>
                  <w:tcW w:w="378" w:type="pct"/>
                  <w:vMerge w:val="restart"/>
                  <w:vAlign w:val="center"/>
                </w:tcPr>
                <w:p>
                  <w:pPr>
                    <w:pStyle w:val="14"/>
                    <w:ind w:left="-53" w:leftChars="-25" w:right="-53" w:rightChars="-25"/>
                    <w:rPr>
                      <w:bCs w:val="0"/>
                      <w:color w:val="auto"/>
                      <w:sz w:val="21"/>
                      <w:szCs w:val="21"/>
                    </w:rPr>
                  </w:pPr>
                  <w:r>
                    <w:rPr>
                      <w:bCs w:val="0"/>
                      <w:color w:val="auto"/>
                      <w:sz w:val="21"/>
                      <w:szCs w:val="21"/>
                    </w:rPr>
                    <w:t>污染源</w:t>
                  </w:r>
                </w:p>
              </w:tc>
              <w:tc>
                <w:tcPr>
                  <w:tcW w:w="416" w:type="pct"/>
                  <w:vMerge w:val="restart"/>
                  <w:vAlign w:val="center"/>
                </w:tcPr>
                <w:p>
                  <w:pPr>
                    <w:pStyle w:val="14"/>
                    <w:ind w:left="-53" w:leftChars="-25" w:right="-53" w:rightChars="-25"/>
                    <w:rPr>
                      <w:bCs w:val="0"/>
                      <w:color w:val="auto"/>
                      <w:sz w:val="21"/>
                      <w:szCs w:val="21"/>
                    </w:rPr>
                  </w:pPr>
                  <w:r>
                    <w:rPr>
                      <w:bCs w:val="0"/>
                      <w:color w:val="auto"/>
                      <w:sz w:val="21"/>
                      <w:szCs w:val="21"/>
                    </w:rPr>
                    <w:t>污染物</w:t>
                  </w:r>
                </w:p>
              </w:tc>
              <w:tc>
                <w:tcPr>
                  <w:tcW w:w="1140" w:type="pct"/>
                  <w:gridSpan w:val="3"/>
                  <w:vAlign w:val="center"/>
                </w:tcPr>
                <w:p>
                  <w:pPr>
                    <w:pStyle w:val="14"/>
                    <w:ind w:left="-53" w:leftChars="-25" w:right="-53" w:rightChars="-25"/>
                    <w:rPr>
                      <w:bCs w:val="0"/>
                      <w:color w:val="auto"/>
                      <w:sz w:val="21"/>
                      <w:szCs w:val="21"/>
                    </w:rPr>
                  </w:pPr>
                  <w:r>
                    <w:rPr>
                      <w:bCs w:val="0"/>
                      <w:color w:val="auto"/>
                      <w:sz w:val="21"/>
                      <w:szCs w:val="21"/>
                    </w:rPr>
                    <w:t>污染物产生</w:t>
                  </w:r>
                </w:p>
              </w:tc>
              <w:tc>
                <w:tcPr>
                  <w:tcW w:w="1264" w:type="pct"/>
                  <w:gridSpan w:val="4"/>
                  <w:vAlign w:val="center"/>
                </w:tcPr>
                <w:p>
                  <w:pPr>
                    <w:pStyle w:val="14"/>
                    <w:ind w:left="-53" w:leftChars="-25" w:right="-53" w:rightChars="-25"/>
                    <w:rPr>
                      <w:bCs w:val="0"/>
                      <w:color w:val="auto"/>
                      <w:sz w:val="21"/>
                      <w:szCs w:val="21"/>
                    </w:rPr>
                  </w:pPr>
                  <w:r>
                    <w:rPr>
                      <w:bCs w:val="0"/>
                      <w:color w:val="auto"/>
                      <w:sz w:val="21"/>
                      <w:szCs w:val="21"/>
                    </w:rPr>
                    <w:t>治理措施</w:t>
                  </w:r>
                </w:p>
              </w:tc>
              <w:tc>
                <w:tcPr>
                  <w:tcW w:w="1033" w:type="pct"/>
                  <w:gridSpan w:val="3"/>
                  <w:vAlign w:val="center"/>
                </w:tcPr>
                <w:p>
                  <w:pPr>
                    <w:pStyle w:val="14"/>
                    <w:ind w:left="-53" w:leftChars="-25" w:right="-53" w:rightChars="-25"/>
                    <w:rPr>
                      <w:bCs w:val="0"/>
                      <w:color w:val="auto"/>
                      <w:sz w:val="21"/>
                      <w:szCs w:val="21"/>
                    </w:rPr>
                  </w:pPr>
                  <w:r>
                    <w:rPr>
                      <w:bCs w:val="0"/>
                      <w:color w:val="auto"/>
                      <w:sz w:val="21"/>
                      <w:szCs w:val="21"/>
                    </w:rPr>
                    <w:t>污染物排放</w:t>
                  </w:r>
                </w:p>
              </w:tc>
              <w:tc>
                <w:tcPr>
                  <w:tcW w:w="300" w:type="pct"/>
                  <w:vMerge w:val="restart"/>
                  <w:vAlign w:val="center"/>
                </w:tcPr>
                <w:p>
                  <w:pPr>
                    <w:pStyle w:val="14"/>
                    <w:ind w:left="-53" w:leftChars="-25" w:right="-53" w:rightChars="-25"/>
                    <w:rPr>
                      <w:bCs w:val="0"/>
                      <w:color w:val="auto"/>
                      <w:sz w:val="21"/>
                      <w:szCs w:val="21"/>
                    </w:rPr>
                  </w:pPr>
                  <w:r>
                    <w:rPr>
                      <w:bCs w:val="0"/>
                      <w:color w:val="auto"/>
                      <w:sz w:val="21"/>
                      <w:szCs w:val="21"/>
                    </w:rPr>
                    <w:t>排放</w:t>
                  </w:r>
                </w:p>
                <w:p>
                  <w:pPr>
                    <w:pStyle w:val="14"/>
                    <w:ind w:left="-53" w:leftChars="-25" w:right="-53" w:rightChars="-25"/>
                    <w:rPr>
                      <w:bCs w:val="0"/>
                      <w:color w:val="auto"/>
                      <w:sz w:val="21"/>
                      <w:szCs w:val="21"/>
                    </w:rPr>
                  </w:pPr>
                  <w:r>
                    <w:rPr>
                      <w:bCs w:val="0"/>
                      <w:color w:val="auto"/>
                      <w:sz w:val="21"/>
                      <w:szCs w:val="21"/>
                    </w:rPr>
                    <w:t>时间/h</w:t>
                  </w:r>
                </w:p>
              </w:tc>
              <w:tc>
                <w:tcPr>
                  <w:tcW w:w="278" w:type="pct"/>
                  <w:vMerge w:val="restart"/>
                  <w:vAlign w:val="center"/>
                </w:tcPr>
                <w:p>
                  <w:pPr>
                    <w:pStyle w:val="14"/>
                    <w:ind w:left="-53" w:leftChars="-25" w:right="-53" w:rightChars="-25"/>
                    <w:rPr>
                      <w:bCs w:val="0"/>
                      <w:color w:val="auto"/>
                      <w:sz w:val="21"/>
                      <w:szCs w:val="21"/>
                    </w:rPr>
                  </w:pPr>
                  <w:r>
                    <w:rPr>
                      <w:bCs w:val="0"/>
                      <w:color w:val="auto"/>
                      <w:sz w:val="21"/>
                      <w:szCs w:val="21"/>
                    </w:rPr>
                    <w:t>标准</w:t>
                  </w:r>
                </w:p>
                <w:p>
                  <w:pPr>
                    <w:pStyle w:val="14"/>
                    <w:ind w:left="-53" w:leftChars="-25" w:right="-53" w:rightChars="-25"/>
                    <w:rPr>
                      <w:bCs w:val="0"/>
                      <w:color w:val="auto"/>
                      <w:sz w:val="21"/>
                      <w:szCs w:val="21"/>
                    </w:rPr>
                  </w:pPr>
                  <w:r>
                    <w:rPr>
                      <w:bCs w:val="0"/>
                      <w:color w:val="auto"/>
                      <w:sz w:val="21"/>
                      <w:szCs w:val="21"/>
                    </w:rPr>
                    <w:t>浓度mg/m</w:t>
                  </w:r>
                  <w:r>
                    <w:rPr>
                      <w:bCs w:val="0"/>
                      <w:color w:val="auto"/>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continue"/>
                  <w:vAlign w:val="center"/>
                </w:tcPr>
                <w:p>
                  <w:pPr>
                    <w:pStyle w:val="14"/>
                    <w:ind w:left="-53" w:leftChars="-25" w:right="-53" w:rightChars="-25"/>
                    <w:rPr>
                      <w:bCs w:val="0"/>
                      <w:color w:val="auto"/>
                      <w:sz w:val="21"/>
                      <w:szCs w:val="21"/>
                    </w:rPr>
                  </w:pPr>
                </w:p>
              </w:tc>
              <w:tc>
                <w:tcPr>
                  <w:tcW w:w="378" w:type="pct"/>
                  <w:vMerge w:val="continue"/>
                  <w:vAlign w:val="center"/>
                </w:tcPr>
                <w:p>
                  <w:pPr>
                    <w:pStyle w:val="14"/>
                    <w:ind w:left="-53" w:leftChars="-25" w:right="-53" w:rightChars="-25"/>
                    <w:rPr>
                      <w:bCs w:val="0"/>
                      <w:color w:val="auto"/>
                      <w:sz w:val="21"/>
                      <w:szCs w:val="21"/>
                    </w:rPr>
                  </w:pPr>
                </w:p>
              </w:tc>
              <w:tc>
                <w:tcPr>
                  <w:tcW w:w="416" w:type="pct"/>
                  <w:vMerge w:val="continue"/>
                  <w:vAlign w:val="center"/>
                </w:tcPr>
                <w:p>
                  <w:pPr>
                    <w:pStyle w:val="14"/>
                    <w:ind w:left="-53" w:leftChars="-25" w:right="-53" w:rightChars="-25"/>
                    <w:rPr>
                      <w:bCs w:val="0"/>
                      <w:color w:val="auto"/>
                      <w:sz w:val="21"/>
                      <w:szCs w:val="21"/>
                    </w:rPr>
                  </w:pPr>
                </w:p>
              </w:tc>
              <w:tc>
                <w:tcPr>
                  <w:tcW w:w="417" w:type="pct"/>
                  <w:vAlign w:val="center"/>
                </w:tcPr>
                <w:p>
                  <w:pPr>
                    <w:pStyle w:val="14"/>
                    <w:ind w:left="-53" w:leftChars="-25" w:right="-53" w:rightChars="-25"/>
                    <w:rPr>
                      <w:bCs w:val="0"/>
                      <w:color w:val="auto"/>
                      <w:sz w:val="21"/>
                      <w:szCs w:val="21"/>
                    </w:rPr>
                  </w:pPr>
                  <w:r>
                    <w:rPr>
                      <w:bCs w:val="0"/>
                      <w:color w:val="auto"/>
                      <w:sz w:val="21"/>
                      <w:szCs w:val="21"/>
                    </w:rPr>
                    <w:t>废气产生量t/a</w:t>
                  </w:r>
                </w:p>
              </w:tc>
              <w:tc>
                <w:tcPr>
                  <w:tcW w:w="423" w:type="pct"/>
                  <w:vAlign w:val="center"/>
                </w:tcPr>
                <w:p>
                  <w:pPr>
                    <w:pStyle w:val="14"/>
                    <w:ind w:left="-53" w:leftChars="-25" w:right="-53" w:rightChars="-25"/>
                    <w:rPr>
                      <w:rFonts w:ascii="Times New Roman" w:hAnsi="Times New Roman" w:eastAsia="宋体" w:cs="Times New Roman"/>
                      <w:b/>
                      <w:bCs w:val="0"/>
                      <w:color w:val="auto"/>
                      <w:kern w:val="2"/>
                      <w:sz w:val="21"/>
                      <w:szCs w:val="21"/>
                      <w:lang w:val="en-US" w:eastAsia="zh-CN" w:bidi="ar-SA"/>
                    </w:rPr>
                  </w:pPr>
                  <w:r>
                    <w:rPr>
                      <w:bCs w:val="0"/>
                      <w:color w:val="auto"/>
                      <w:sz w:val="21"/>
                      <w:szCs w:val="21"/>
                    </w:rPr>
                    <w:t>产生速率kg/h</w:t>
                  </w:r>
                </w:p>
              </w:tc>
              <w:tc>
                <w:tcPr>
                  <w:tcW w:w="300" w:type="pct"/>
                  <w:vAlign w:val="center"/>
                </w:tcPr>
                <w:p>
                  <w:pPr>
                    <w:pStyle w:val="14"/>
                    <w:ind w:left="-53" w:leftChars="-25" w:right="-53" w:rightChars="-25"/>
                    <w:rPr>
                      <w:bCs w:val="0"/>
                      <w:color w:val="auto"/>
                      <w:sz w:val="21"/>
                      <w:szCs w:val="21"/>
                    </w:rPr>
                  </w:pPr>
                  <w:r>
                    <w:rPr>
                      <w:bCs w:val="0"/>
                      <w:color w:val="auto"/>
                      <w:sz w:val="21"/>
                      <w:szCs w:val="21"/>
                    </w:rPr>
                    <w:t>产生</w:t>
                  </w:r>
                </w:p>
                <w:p>
                  <w:pPr>
                    <w:pStyle w:val="14"/>
                    <w:ind w:left="-53" w:leftChars="-25" w:right="-53" w:rightChars="-25"/>
                    <w:rPr>
                      <w:rFonts w:ascii="Times New Roman" w:hAnsi="Times New Roman" w:eastAsia="宋体" w:cs="Times New Roman"/>
                      <w:b/>
                      <w:bCs w:val="0"/>
                      <w:color w:val="auto"/>
                      <w:kern w:val="2"/>
                      <w:sz w:val="21"/>
                      <w:szCs w:val="21"/>
                      <w:lang w:val="en-US" w:eastAsia="zh-CN" w:bidi="ar-SA"/>
                    </w:rPr>
                  </w:pPr>
                  <w:r>
                    <w:rPr>
                      <w:bCs w:val="0"/>
                      <w:color w:val="auto"/>
                      <w:sz w:val="21"/>
                      <w:szCs w:val="21"/>
                    </w:rPr>
                    <w:t>浓度mg/m</w:t>
                  </w:r>
                  <w:r>
                    <w:rPr>
                      <w:bCs w:val="0"/>
                      <w:color w:val="auto"/>
                      <w:sz w:val="21"/>
                      <w:szCs w:val="21"/>
                      <w:vertAlign w:val="superscript"/>
                    </w:rPr>
                    <w:t>3</w:t>
                  </w:r>
                </w:p>
              </w:tc>
              <w:tc>
                <w:tcPr>
                  <w:tcW w:w="298" w:type="pct"/>
                  <w:vAlign w:val="center"/>
                </w:tcPr>
                <w:p>
                  <w:pPr>
                    <w:pStyle w:val="14"/>
                    <w:ind w:left="-53" w:leftChars="-25" w:right="-53" w:rightChars="-25"/>
                    <w:rPr>
                      <w:bCs w:val="0"/>
                      <w:color w:val="auto"/>
                      <w:sz w:val="21"/>
                      <w:szCs w:val="21"/>
                    </w:rPr>
                  </w:pPr>
                  <w:r>
                    <w:rPr>
                      <w:bCs w:val="0"/>
                      <w:color w:val="auto"/>
                      <w:sz w:val="21"/>
                      <w:szCs w:val="21"/>
                    </w:rPr>
                    <w:t>收集效率/%</w:t>
                  </w:r>
                </w:p>
              </w:tc>
              <w:tc>
                <w:tcPr>
                  <w:tcW w:w="377" w:type="pct"/>
                  <w:vAlign w:val="center"/>
                </w:tcPr>
                <w:p>
                  <w:pPr>
                    <w:pStyle w:val="14"/>
                    <w:ind w:left="-53" w:leftChars="-25" w:right="-53" w:rightChars="-25"/>
                    <w:rPr>
                      <w:bCs w:val="0"/>
                      <w:color w:val="auto"/>
                      <w:sz w:val="21"/>
                      <w:szCs w:val="21"/>
                    </w:rPr>
                  </w:pPr>
                  <w:r>
                    <w:rPr>
                      <w:bCs w:val="0"/>
                      <w:color w:val="auto"/>
                      <w:sz w:val="21"/>
                      <w:szCs w:val="21"/>
                    </w:rPr>
                    <w:t>治理</w:t>
                  </w:r>
                </w:p>
                <w:p>
                  <w:pPr>
                    <w:pStyle w:val="14"/>
                    <w:ind w:left="-53" w:leftChars="-25" w:right="-53" w:rightChars="-25"/>
                    <w:rPr>
                      <w:bCs w:val="0"/>
                      <w:color w:val="auto"/>
                      <w:sz w:val="21"/>
                      <w:szCs w:val="21"/>
                    </w:rPr>
                  </w:pPr>
                  <w:r>
                    <w:rPr>
                      <w:bCs w:val="0"/>
                      <w:color w:val="auto"/>
                      <w:sz w:val="21"/>
                      <w:szCs w:val="21"/>
                    </w:rPr>
                    <w:t>工艺</w:t>
                  </w:r>
                </w:p>
              </w:tc>
              <w:tc>
                <w:tcPr>
                  <w:tcW w:w="288" w:type="pct"/>
                  <w:vAlign w:val="center"/>
                </w:tcPr>
                <w:p>
                  <w:pPr>
                    <w:pStyle w:val="14"/>
                    <w:ind w:left="-53" w:leftChars="-25" w:right="-53" w:rightChars="-25"/>
                    <w:rPr>
                      <w:bCs w:val="0"/>
                      <w:color w:val="auto"/>
                      <w:sz w:val="21"/>
                      <w:szCs w:val="21"/>
                    </w:rPr>
                  </w:pPr>
                  <w:r>
                    <w:rPr>
                      <w:bCs w:val="0"/>
                      <w:color w:val="auto"/>
                      <w:sz w:val="21"/>
                      <w:szCs w:val="21"/>
                    </w:rPr>
                    <w:t>是否为可行技术</w:t>
                  </w:r>
                </w:p>
              </w:tc>
              <w:tc>
                <w:tcPr>
                  <w:tcW w:w="300" w:type="pct"/>
                  <w:vAlign w:val="center"/>
                </w:tcPr>
                <w:p>
                  <w:pPr>
                    <w:pStyle w:val="14"/>
                    <w:ind w:left="-53" w:leftChars="-25" w:right="-53" w:rightChars="-25"/>
                    <w:rPr>
                      <w:bCs w:val="0"/>
                      <w:color w:val="auto"/>
                      <w:sz w:val="21"/>
                      <w:szCs w:val="21"/>
                    </w:rPr>
                  </w:pPr>
                  <w:r>
                    <w:rPr>
                      <w:bCs w:val="0"/>
                      <w:color w:val="auto"/>
                      <w:sz w:val="21"/>
                      <w:szCs w:val="21"/>
                    </w:rPr>
                    <w:t>处理效率/%</w:t>
                  </w:r>
                </w:p>
              </w:tc>
              <w:tc>
                <w:tcPr>
                  <w:tcW w:w="372" w:type="pct"/>
                  <w:vAlign w:val="center"/>
                </w:tcPr>
                <w:p>
                  <w:pPr>
                    <w:pStyle w:val="14"/>
                    <w:ind w:left="-53" w:leftChars="-25" w:right="-53" w:rightChars="-25"/>
                    <w:rPr>
                      <w:bCs w:val="0"/>
                      <w:color w:val="auto"/>
                      <w:sz w:val="21"/>
                      <w:szCs w:val="21"/>
                    </w:rPr>
                  </w:pPr>
                  <w:r>
                    <w:rPr>
                      <w:bCs w:val="0"/>
                      <w:color w:val="auto"/>
                      <w:sz w:val="21"/>
                      <w:szCs w:val="21"/>
                    </w:rPr>
                    <w:t>废气排放量t/a</w:t>
                  </w:r>
                </w:p>
              </w:tc>
              <w:tc>
                <w:tcPr>
                  <w:tcW w:w="366" w:type="pct"/>
                  <w:vAlign w:val="center"/>
                </w:tcPr>
                <w:p>
                  <w:pPr>
                    <w:pStyle w:val="14"/>
                    <w:ind w:left="-53" w:leftChars="-25" w:right="-53" w:rightChars="-25"/>
                    <w:rPr>
                      <w:bCs w:val="0"/>
                      <w:color w:val="auto"/>
                      <w:sz w:val="21"/>
                      <w:szCs w:val="21"/>
                    </w:rPr>
                  </w:pPr>
                  <w:r>
                    <w:rPr>
                      <w:rFonts w:hint="eastAsia"/>
                      <w:bCs w:val="0"/>
                      <w:color w:val="auto"/>
                      <w:sz w:val="21"/>
                      <w:szCs w:val="21"/>
                      <w:lang w:val="en-US" w:eastAsia="zh-CN"/>
                    </w:rPr>
                    <w:t>排放</w:t>
                  </w:r>
                  <w:r>
                    <w:rPr>
                      <w:bCs w:val="0"/>
                      <w:color w:val="auto"/>
                      <w:sz w:val="21"/>
                      <w:szCs w:val="21"/>
                    </w:rPr>
                    <w:t>速率kg/h</w:t>
                  </w:r>
                </w:p>
              </w:tc>
              <w:tc>
                <w:tcPr>
                  <w:tcW w:w="294" w:type="pct"/>
                  <w:vAlign w:val="center"/>
                </w:tcPr>
                <w:p>
                  <w:pPr>
                    <w:pStyle w:val="14"/>
                    <w:ind w:left="-53" w:leftChars="-25" w:right="-53" w:rightChars="-25"/>
                    <w:rPr>
                      <w:bCs w:val="0"/>
                      <w:color w:val="auto"/>
                      <w:sz w:val="21"/>
                      <w:szCs w:val="21"/>
                    </w:rPr>
                  </w:pPr>
                  <w:r>
                    <w:rPr>
                      <w:rFonts w:hint="eastAsia"/>
                      <w:bCs w:val="0"/>
                      <w:color w:val="auto"/>
                      <w:sz w:val="21"/>
                      <w:szCs w:val="21"/>
                      <w:lang w:val="en-US" w:eastAsia="zh-CN"/>
                    </w:rPr>
                    <w:t>排放</w:t>
                  </w:r>
                  <w:r>
                    <w:rPr>
                      <w:bCs w:val="0"/>
                      <w:color w:val="auto"/>
                      <w:sz w:val="21"/>
                      <w:szCs w:val="21"/>
                    </w:rPr>
                    <w:t>浓度mg/m</w:t>
                  </w:r>
                  <w:r>
                    <w:rPr>
                      <w:bCs w:val="0"/>
                      <w:color w:val="auto"/>
                      <w:sz w:val="21"/>
                      <w:szCs w:val="21"/>
                      <w:vertAlign w:val="superscript"/>
                    </w:rPr>
                    <w:t>3</w:t>
                  </w:r>
                </w:p>
              </w:tc>
              <w:tc>
                <w:tcPr>
                  <w:tcW w:w="300" w:type="pct"/>
                  <w:vMerge w:val="continue"/>
                  <w:vAlign w:val="center"/>
                </w:tcPr>
                <w:p>
                  <w:pPr>
                    <w:pStyle w:val="14"/>
                    <w:ind w:left="-53" w:leftChars="-25" w:right="-53" w:rightChars="-25"/>
                    <w:rPr>
                      <w:b w:val="0"/>
                      <w:color w:val="auto"/>
                      <w:sz w:val="21"/>
                      <w:szCs w:val="21"/>
                    </w:rPr>
                  </w:pPr>
                </w:p>
              </w:tc>
              <w:tc>
                <w:tcPr>
                  <w:tcW w:w="278" w:type="pct"/>
                  <w:vMerge w:val="continue"/>
                  <w:vAlign w:val="center"/>
                </w:tcPr>
                <w:p>
                  <w:pPr>
                    <w:pStyle w:val="14"/>
                    <w:ind w:left="-53" w:leftChars="-25" w:right="-53" w:rightChars="-25"/>
                    <w:rPr>
                      <w:b w:val="0"/>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87" w:type="pct"/>
                  <w:vMerge w:val="restart"/>
                  <w:vAlign w:val="center"/>
                </w:tcPr>
                <w:p>
                  <w:pPr>
                    <w:pStyle w:val="14"/>
                    <w:ind w:left="-53" w:leftChars="-25" w:right="-53" w:rightChars="-25"/>
                    <w:rPr>
                      <w:b w:val="0"/>
                      <w:color w:val="auto"/>
                      <w:sz w:val="21"/>
                      <w:szCs w:val="21"/>
                    </w:rPr>
                  </w:pPr>
                  <w:r>
                    <w:rPr>
                      <w:rFonts w:hint="eastAsia"/>
                      <w:b w:val="0"/>
                      <w:color w:val="auto"/>
                      <w:sz w:val="21"/>
                      <w:szCs w:val="21"/>
                    </w:rPr>
                    <w:t>发泡</w:t>
                  </w:r>
                </w:p>
              </w:tc>
              <w:tc>
                <w:tcPr>
                  <w:tcW w:w="378" w:type="pct"/>
                  <w:vAlign w:val="center"/>
                </w:tcPr>
                <w:p>
                  <w:pPr>
                    <w:jc w:val="center"/>
                    <w:rPr>
                      <w:rFonts w:hint="default" w:eastAsia="宋体"/>
                      <w:color w:val="auto"/>
                      <w:szCs w:val="21"/>
                      <w:lang w:val="en-US" w:eastAsia="zh-CN"/>
                    </w:rPr>
                  </w:pPr>
                  <w:r>
                    <w:rPr>
                      <w:rFonts w:hint="eastAsia"/>
                      <w:b w:val="0"/>
                      <w:color w:val="auto"/>
                      <w:sz w:val="21"/>
                      <w:szCs w:val="21"/>
                      <w:lang w:val="en-US" w:eastAsia="zh-CN"/>
                    </w:rPr>
                    <w:t>DA001</w:t>
                  </w:r>
                </w:p>
              </w:tc>
              <w:tc>
                <w:tcPr>
                  <w:tcW w:w="416"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非甲烷总烃</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7.74</w:t>
                  </w:r>
                </w:p>
              </w:tc>
              <w:tc>
                <w:tcPr>
                  <w:tcW w:w="42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1.29</w:t>
                  </w:r>
                </w:p>
              </w:tc>
              <w:tc>
                <w:tcPr>
                  <w:tcW w:w="30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99.91</w:t>
                  </w:r>
                </w:p>
              </w:tc>
              <w:tc>
                <w:tcPr>
                  <w:tcW w:w="298"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90</w:t>
                  </w:r>
                </w:p>
              </w:tc>
              <w:tc>
                <w:tcPr>
                  <w:tcW w:w="377" w:type="pct"/>
                  <w:vAlign w:val="center"/>
                </w:tcPr>
                <w:p>
                  <w:pPr>
                    <w:pStyle w:val="14"/>
                    <w:ind w:left="-53" w:leftChars="-25" w:right="-53" w:rightChars="-25"/>
                    <w:rPr>
                      <w:b w:val="0"/>
                      <w:color w:val="auto"/>
                      <w:sz w:val="21"/>
                      <w:szCs w:val="21"/>
                    </w:rPr>
                  </w:pPr>
                  <w:r>
                    <w:rPr>
                      <w:rFonts w:hint="eastAsia"/>
                      <w:b w:val="0"/>
                      <w:color w:val="auto"/>
                      <w:sz w:val="21"/>
                      <w:szCs w:val="21"/>
                    </w:rPr>
                    <w:t>干式过滤器+</w:t>
                  </w:r>
                  <w:r>
                    <w:rPr>
                      <w:b w:val="0"/>
                      <w:color w:val="auto"/>
                      <w:sz w:val="21"/>
                      <w:szCs w:val="21"/>
                    </w:rPr>
                    <w:t>二级活性炭吸附</w:t>
                  </w:r>
                </w:p>
              </w:tc>
              <w:tc>
                <w:tcPr>
                  <w:tcW w:w="288" w:type="pct"/>
                  <w:vAlign w:val="center"/>
                </w:tcPr>
                <w:p>
                  <w:pPr>
                    <w:pStyle w:val="14"/>
                    <w:ind w:left="-53" w:leftChars="-25" w:right="-53" w:rightChars="-25"/>
                    <w:rPr>
                      <w:b w:val="0"/>
                      <w:color w:val="auto"/>
                      <w:sz w:val="21"/>
                      <w:szCs w:val="21"/>
                    </w:rPr>
                  </w:pPr>
                  <w:r>
                    <w:rPr>
                      <w:rFonts w:hint="eastAsia"/>
                      <w:b w:val="0"/>
                      <w:color w:val="auto"/>
                      <w:sz w:val="21"/>
                      <w:szCs w:val="21"/>
                    </w:rPr>
                    <w:t>是</w:t>
                  </w:r>
                </w:p>
              </w:tc>
              <w:tc>
                <w:tcPr>
                  <w:tcW w:w="300"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75</w:t>
                  </w:r>
                </w:p>
              </w:tc>
              <w:tc>
                <w:tcPr>
                  <w:tcW w:w="372"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1.94</w:t>
                  </w:r>
                </w:p>
              </w:tc>
              <w:tc>
                <w:tcPr>
                  <w:tcW w:w="366"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0.32</w:t>
                  </w:r>
                </w:p>
              </w:tc>
              <w:tc>
                <w:tcPr>
                  <w:tcW w:w="294"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24.79</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rPr>
                    <w:t>6000</w:t>
                  </w:r>
                </w:p>
              </w:tc>
              <w:tc>
                <w:tcPr>
                  <w:tcW w:w="278" w:type="pct"/>
                  <w:vAlign w:val="center"/>
                </w:tcPr>
                <w:p>
                  <w:pPr>
                    <w:pStyle w:val="14"/>
                    <w:ind w:left="-53" w:leftChars="-25" w:right="-53" w:rightChars="-25"/>
                    <w:rPr>
                      <w:b w:val="0"/>
                      <w:color w:val="auto"/>
                      <w:sz w:val="21"/>
                      <w:szCs w:val="21"/>
                    </w:rPr>
                  </w:pPr>
                  <w:r>
                    <w:rPr>
                      <w:rFonts w:hint="eastAsia"/>
                      <w:b w:val="0"/>
                      <w:color w:val="auto"/>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continue"/>
                  <w:vAlign w:val="center"/>
                </w:tcPr>
                <w:p>
                  <w:pPr>
                    <w:pStyle w:val="14"/>
                    <w:ind w:left="-53" w:leftChars="-25" w:right="-53" w:rightChars="-25"/>
                    <w:rPr>
                      <w:b w:val="0"/>
                      <w:color w:val="auto"/>
                      <w:sz w:val="21"/>
                      <w:szCs w:val="21"/>
                    </w:rPr>
                  </w:pPr>
                </w:p>
              </w:tc>
              <w:tc>
                <w:tcPr>
                  <w:tcW w:w="378" w:type="pct"/>
                  <w:vAlign w:val="center"/>
                </w:tcPr>
                <w:p>
                  <w:pPr>
                    <w:pStyle w:val="14"/>
                    <w:ind w:left="-53" w:leftChars="-25" w:right="-53" w:rightChars="-25"/>
                    <w:jc w:val="center"/>
                    <w:rPr>
                      <w:b w:val="0"/>
                      <w:color w:val="auto"/>
                      <w:sz w:val="21"/>
                      <w:szCs w:val="21"/>
                    </w:rPr>
                  </w:pPr>
                  <w:r>
                    <w:rPr>
                      <w:b w:val="0"/>
                      <w:color w:val="auto"/>
                      <w:sz w:val="21"/>
                      <w:szCs w:val="21"/>
                    </w:rPr>
                    <w:t>无组织</w:t>
                  </w:r>
                </w:p>
                <w:p>
                  <w:pPr>
                    <w:pStyle w:val="14"/>
                    <w:ind w:left="-53" w:leftChars="-25" w:right="-53" w:rightChars="-25"/>
                    <w:jc w:val="center"/>
                    <w:rPr>
                      <w:b w:val="0"/>
                      <w:color w:val="auto"/>
                      <w:sz w:val="21"/>
                      <w:szCs w:val="21"/>
                    </w:rPr>
                  </w:pPr>
                  <w:r>
                    <w:rPr>
                      <w:b w:val="0"/>
                      <w:color w:val="auto"/>
                      <w:sz w:val="21"/>
                      <w:szCs w:val="21"/>
                    </w:rPr>
                    <w:t>（未被收集</w:t>
                  </w:r>
                  <w:r>
                    <w:rPr>
                      <w:rFonts w:hint="eastAsia"/>
                      <w:b w:val="0"/>
                      <w:color w:val="auto"/>
                      <w:sz w:val="21"/>
                      <w:szCs w:val="21"/>
                    </w:rPr>
                    <w:t>）</w:t>
                  </w:r>
                </w:p>
              </w:tc>
              <w:tc>
                <w:tcPr>
                  <w:tcW w:w="416"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非甲烷总烃</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1.93</w:t>
                  </w:r>
                </w:p>
              </w:tc>
              <w:tc>
                <w:tcPr>
                  <w:tcW w:w="423"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0.32</w:t>
                  </w:r>
                </w:p>
              </w:tc>
              <w:tc>
                <w:tcPr>
                  <w:tcW w:w="300"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w:t>
                  </w:r>
                </w:p>
              </w:tc>
              <w:tc>
                <w:tcPr>
                  <w:tcW w:w="298"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b w:val="0"/>
                      <w:color w:val="auto"/>
                      <w:sz w:val="21"/>
                      <w:szCs w:val="21"/>
                    </w:rPr>
                  </w:pPr>
                  <w:r>
                    <w:rPr>
                      <w:rFonts w:hint="eastAsia"/>
                      <w:b w:val="0"/>
                      <w:color w:val="auto"/>
                      <w:sz w:val="21"/>
                      <w:szCs w:val="21"/>
                    </w:rPr>
                    <w:t>厂房密闭</w:t>
                  </w:r>
                </w:p>
              </w:tc>
              <w:tc>
                <w:tcPr>
                  <w:tcW w:w="288" w:type="pct"/>
                  <w:vAlign w:val="center"/>
                </w:tcPr>
                <w:p>
                  <w:pPr>
                    <w:pStyle w:val="14"/>
                    <w:ind w:left="-53" w:leftChars="-25" w:right="-53" w:rightChars="-25"/>
                    <w:rPr>
                      <w:b w:val="0"/>
                      <w:color w:val="auto"/>
                      <w:sz w:val="21"/>
                      <w:szCs w:val="21"/>
                    </w:rPr>
                  </w:pPr>
                  <w:r>
                    <w:rPr>
                      <w:rFonts w:hint="eastAsia"/>
                      <w:b w:val="0"/>
                      <w:color w:val="auto"/>
                      <w:sz w:val="21"/>
                      <w:szCs w:val="21"/>
                    </w:rPr>
                    <w:t>/</w:t>
                  </w:r>
                </w:p>
              </w:tc>
              <w:tc>
                <w:tcPr>
                  <w:tcW w:w="300"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w:t>
                  </w:r>
                </w:p>
              </w:tc>
              <w:tc>
                <w:tcPr>
                  <w:tcW w:w="372"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1.93</w:t>
                  </w:r>
                </w:p>
              </w:tc>
              <w:tc>
                <w:tcPr>
                  <w:tcW w:w="366"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0.32</w:t>
                  </w:r>
                </w:p>
              </w:tc>
              <w:tc>
                <w:tcPr>
                  <w:tcW w:w="294"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rPr>
                    <w:t>6000</w:t>
                  </w:r>
                </w:p>
              </w:tc>
              <w:tc>
                <w:tcPr>
                  <w:tcW w:w="278" w:type="pct"/>
                  <w:vAlign w:val="center"/>
                </w:tcPr>
                <w:p>
                  <w:pPr>
                    <w:pStyle w:val="14"/>
                    <w:ind w:left="-53" w:leftChars="-25" w:right="-53" w:rightChars="-25"/>
                    <w:rPr>
                      <w:b w:val="0"/>
                      <w:color w:val="auto"/>
                      <w:sz w:val="21"/>
                      <w:szCs w:val="21"/>
                    </w:rPr>
                  </w:pPr>
                  <w:r>
                    <w:rPr>
                      <w:rFonts w:hint="eastAsia"/>
                      <w:b w:val="0"/>
                      <w:color w:val="auto"/>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restart"/>
                  <w:vAlign w:val="center"/>
                </w:tcPr>
                <w:p>
                  <w:pPr>
                    <w:pStyle w:val="14"/>
                    <w:ind w:left="-53" w:leftChars="-25" w:right="-53" w:rightChars="-25"/>
                    <w:rPr>
                      <w:b w:val="0"/>
                      <w:color w:val="auto"/>
                      <w:sz w:val="21"/>
                      <w:szCs w:val="21"/>
                    </w:rPr>
                  </w:pPr>
                  <w:r>
                    <w:rPr>
                      <w:rFonts w:hint="eastAsia"/>
                      <w:b w:val="0"/>
                      <w:color w:val="auto"/>
                      <w:sz w:val="21"/>
                      <w:szCs w:val="21"/>
                    </w:rPr>
                    <w:t>模压</w:t>
                  </w:r>
                </w:p>
              </w:tc>
              <w:tc>
                <w:tcPr>
                  <w:tcW w:w="378" w:type="pct"/>
                  <w:vAlign w:val="center"/>
                </w:tcPr>
                <w:p>
                  <w:pPr>
                    <w:pStyle w:val="14"/>
                    <w:ind w:left="-53" w:leftChars="-25" w:right="-53" w:rightChars="-25"/>
                    <w:jc w:val="center"/>
                    <w:rPr>
                      <w:rFonts w:hint="default" w:eastAsia="宋体"/>
                      <w:b w:val="0"/>
                      <w:color w:val="auto"/>
                      <w:sz w:val="21"/>
                      <w:szCs w:val="21"/>
                      <w:lang w:val="en-US" w:eastAsia="zh-CN"/>
                    </w:rPr>
                  </w:pPr>
                  <w:r>
                    <w:rPr>
                      <w:rFonts w:hint="eastAsia"/>
                      <w:b w:val="0"/>
                      <w:color w:val="auto"/>
                      <w:sz w:val="21"/>
                      <w:szCs w:val="21"/>
                      <w:lang w:val="en-US" w:eastAsia="zh-CN"/>
                    </w:rPr>
                    <w:t>DA002</w:t>
                  </w:r>
                </w:p>
              </w:tc>
              <w:tc>
                <w:tcPr>
                  <w:tcW w:w="416"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非甲烷总烃</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1.46</w:t>
                  </w:r>
                </w:p>
              </w:tc>
              <w:tc>
                <w:tcPr>
                  <w:tcW w:w="42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5.71</w:t>
                  </w:r>
                </w:p>
              </w:tc>
              <w:tc>
                <w:tcPr>
                  <w:tcW w:w="30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0.24</w:t>
                  </w:r>
                </w:p>
              </w:tc>
              <w:tc>
                <w:tcPr>
                  <w:tcW w:w="298"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b w:val="0"/>
                      <w:color w:val="auto"/>
                      <w:sz w:val="21"/>
                      <w:szCs w:val="21"/>
                    </w:rPr>
                  </w:pPr>
                  <w:r>
                    <w:rPr>
                      <w:rFonts w:hint="eastAsia"/>
                      <w:b w:val="0"/>
                      <w:color w:val="auto"/>
                      <w:sz w:val="21"/>
                      <w:szCs w:val="21"/>
                    </w:rPr>
                    <w:t>干式过滤器+</w:t>
                  </w:r>
                  <w:r>
                    <w:rPr>
                      <w:b w:val="0"/>
                      <w:color w:val="auto"/>
                      <w:sz w:val="21"/>
                      <w:szCs w:val="21"/>
                    </w:rPr>
                    <w:t>二级活性炭吸附</w:t>
                  </w:r>
                </w:p>
              </w:tc>
              <w:tc>
                <w:tcPr>
                  <w:tcW w:w="288" w:type="pct"/>
                  <w:vAlign w:val="center"/>
                </w:tcPr>
                <w:p>
                  <w:pPr>
                    <w:pStyle w:val="14"/>
                    <w:ind w:left="-53" w:leftChars="-25" w:right="-53" w:rightChars="-25"/>
                    <w:rPr>
                      <w:b w:val="0"/>
                      <w:color w:val="auto"/>
                      <w:sz w:val="21"/>
                      <w:szCs w:val="21"/>
                    </w:rPr>
                  </w:pPr>
                  <w:r>
                    <w:rPr>
                      <w:rFonts w:hint="eastAsia"/>
                      <w:b w:val="0"/>
                      <w:color w:val="auto"/>
                      <w:sz w:val="21"/>
                      <w:szCs w:val="21"/>
                    </w:rPr>
                    <w:t>是</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75</w:t>
                  </w:r>
                </w:p>
              </w:tc>
              <w:tc>
                <w:tcPr>
                  <w:tcW w:w="372"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0.22</w:t>
                  </w:r>
                </w:p>
              </w:tc>
              <w:tc>
                <w:tcPr>
                  <w:tcW w:w="366"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0.04</w:t>
                  </w:r>
                </w:p>
              </w:tc>
              <w:tc>
                <w:tcPr>
                  <w:tcW w:w="294"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0.95</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rPr>
                    <w:t>6000</w:t>
                  </w:r>
                </w:p>
              </w:tc>
              <w:tc>
                <w:tcPr>
                  <w:tcW w:w="278" w:type="pct"/>
                  <w:vAlign w:val="center"/>
                </w:tcPr>
                <w:p>
                  <w:pPr>
                    <w:pStyle w:val="14"/>
                    <w:ind w:left="-53" w:leftChars="-25" w:right="-53" w:rightChars="-25"/>
                    <w:rPr>
                      <w:b w:val="0"/>
                      <w:color w:val="auto"/>
                      <w:sz w:val="21"/>
                      <w:szCs w:val="21"/>
                    </w:rPr>
                  </w:pPr>
                  <w:r>
                    <w:rPr>
                      <w:rFonts w:hint="eastAsia"/>
                      <w:b w:val="0"/>
                      <w:color w:val="auto"/>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continue"/>
                  <w:vAlign w:val="center"/>
                </w:tcPr>
                <w:p>
                  <w:pPr>
                    <w:pStyle w:val="14"/>
                    <w:ind w:left="-53" w:leftChars="-25" w:right="-53" w:rightChars="-25"/>
                    <w:rPr>
                      <w:b w:val="0"/>
                      <w:color w:val="auto"/>
                      <w:sz w:val="21"/>
                      <w:szCs w:val="21"/>
                    </w:rPr>
                  </w:pPr>
                </w:p>
              </w:tc>
              <w:tc>
                <w:tcPr>
                  <w:tcW w:w="378" w:type="pct"/>
                  <w:vAlign w:val="center"/>
                </w:tcPr>
                <w:p>
                  <w:pPr>
                    <w:pStyle w:val="14"/>
                    <w:ind w:left="-53" w:leftChars="-25" w:right="-53" w:rightChars="-25"/>
                    <w:jc w:val="center"/>
                    <w:rPr>
                      <w:b w:val="0"/>
                      <w:color w:val="auto"/>
                      <w:sz w:val="21"/>
                      <w:szCs w:val="21"/>
                    </w:rPr>
                  </w:pPr>
                  <w:r>
                    <w:rPr>
                      <w:rFonts w:hint="eastAsia"/>
                      <w:b w:val="0"/>
                      <w:color w:val="auto"/>
                      <w:sz w:val="21"/>
                      <w:szCs w:val="21"/>
                    </w:rPr>
                    <w:t>无组织</w:t>
                  </w:r>
                </w:p>
                <w:p>
                  <w:pPr>
                    <w:jc w:val="center"/>
                    <w:rPr>
                      <w:color w:val="auto"/>
                      <w:szCs w:val="21"/>
                    </w:rPr>
                  </w:pPr>
                  <w:r>
                    <w:rPr>
                      <w:rFonts w:hint="eastAsia"/>
                      <w:color w:val="auto"/>
                      <w:szCs w:val="21"/>
                    </w:rPr>
                    <w:t>（未被收集）</w:t>
                  </w:r>
                </w:p>
              </w:tc>
              <w:tc>
                <w:tcPr>
                  <w:tcW w:w="416"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非甲烷总烃</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0.16</w:t>
                  </w:r>
                </w:p>
              </w:tc>
              <w:tc>
                <w:tcPr>
                  <w:tcW w:w="423"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0.03</w:t>
                  </w:r>
                </w:p>
              </w:tc>
              <w:tc>
                <w:tcPr>
                  <w:tcW w:w="300"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w:t>
                  </w:r>
                </w:p>
              </w:tc>
              <w:tc>
                <w:tcPr>
                  <w:tcW w:w="298"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b w:val="0"/>
                      <w:color w:val="auto"/>
                      <w:sz w:val="21"/>
                      <w:szCs w:val="21"/>
                    </w:rPr>
                  </w:pPr>
                  <w:r>
                    <w:rPr>
                      <w:rFonts w:hint="eastAsia"/>
                      <w:b w:val="0"/>
                      <w:color w:val="auto"/>
                      <w:sz w:val="21"/>
                      <w:szCs w:val="21"/>
                    </w:rPr>
                    <w:t>厂房密闭</w:t>
                  </w:r>
                </w:p>
              </w:tc>
              <w:tc>
                <w:tcPr>
                  <w:tcW w:w="288" w:type="pct"/>
                  <w:vAlign w:val="center"/>
                </w:tcPr>
                <w:p>
                  <w:pPr>
                    <w:pStyle w:val="14"/>
                    <w:ind w:left="-53" w:leftChars="-25" w:right="-53" w:rightChars="-25"/>
                    <w:rPr>
                      <w:b w:val="0"/>
                      <w:color w:val="auto"/>
                      <w:sz w:val="21"/>
                      <w:szCs w:val="21"/>
                    </w:rPr>
                  </w:pPr>
                  <w:r>
                    <w:rPr>
                      <w:rFonts w:hint="eastAsia"/>
                      <w:b w:val="0"/>
                      <w:color w:val="auto"/>
                      <w:sz w:val="21"/>
                      <w:szCs w:val="21"/>
                    </w:rPr>
                    <w:t>/</w:t>
                  </w:r>
                </w:p>
              </w:tc>
              <w:tc>
                <w:tcPr>
                  <w:tcW w:w="300"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w:t>
                  </w:r>
                </w:p>
              </w:tc>
              <w:tc>
                <w:tcPr>
                  <w:tcW w:w="372"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0.16</w:t>
                  </w:r>
                </w:p>
              </w:tc>
              <w:tc>
                <w:tcPr>
                  <w:tcW w:w="366"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0.03</w:t>
                  </w:r>
                </w:p>
              </w:tc>
              <w:tc>
                <w:tcPr>
                  <w:tcW w:w="294"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rPr>
                    <w:t>6000</w:t>
                  </w:r>
                </w:p>
              </w:tc>
              <w:tc>
                <w:tcPr>
                  <w:tcW w:w="278" w:type="pct"/>
                  <w:vAlign w:val="center"/>
                </w:tcPr>
                <w:p>
                  <w:pPr>
                    <w:pStyle w:val="14"/>
                    <w:ind w:left="-53" w:leftChars="-25" w:right="-53" w:rightChars="-25"/>
                    <w:rPr>
                      <w:b w:val="0"/>
                      <w:color w:val="auto"/>
                      <w:sz w:val="21"/>
                      <w:szCs w:val="21"/>
                    </w:rPr>
                  </w:pPr>
                  <w:r>
                    <w:rPr>
                      <w:rFonts w:hint="eastAsia"/>
                      <w:b w:val="0"/>
                      <w:color w:val="auto"/>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restart"/>
                  <w:vAlign w:val="center"/>
                </w:tcPr>
                <w:p>
                  <w:pPr>
                    <w:pStyle w:val="14"/>
                    <w:ind w:left="-53" w:leftChars="-25" w:right="-53" w:rightChars="-25"/>
                    <w:rPr>
                      <w:b w:val="0"/>
                      <w:color w:val="auto"/>
                      <w:sz w:val="21"/>
                      <w:szCs w:val="21"/>
                    </w:rPr>
                  </w:pPr>
                  <w:r>
                    <w:rPr>
                      <w:rFonts w:hint="eastAsia"/>
                      <w:b w:val="0"/>
                      <w:color w:val="auto"/>
                      <w:sz w:val="21"/>
                      <w:szCs w:val="21"/>
                    </w:rPr>
                    <w:t>模具清理</w:t>
                  </w:r>
                </w:p>
              </w:tc>
              <w:tc>
                <w:tcPr>
                  <w:tcW w:w="378" w:type="pct"/>
                  <w:vAlign w:val="center"/>
                </w:tcPr>
                <w:p>
                  <w:pPr>
                    <w:jc w:val="center"/>
                    <w:rPr>
                      <w:rFonts w:hint="default" w:eastAsia="宋体"/>
                      <w:color w:val="auto"/>
                      <w:szCs w:val="21"/>
                      <w:lang w:val="en-US" w:eastAsia="zh-CN"/>
                    </w:rPr>
                  </w:pPr>
                  <w:r>
                    <w:rPr>
                      <w:rFonts w:hint="eastAsia"/>
                      <w:color w:val="auto"/>
                      <w:szCs w:val="21"/>
                      <w:lang w:val="en-US" w:eastAsia="zh-CN"/>
                    </w:rPr>
                    <w:t>DA001</w:t>
                  </w:r>
                </w:p>
              </w:tc>
              <w:tc>
                <w:tcPr>
                  <w:tcW w:w="416" w:type="pct"/>
                  <w:vAlign w:val="center"/>
                </w:tcPr>
                <w:p>
                  <w:pPr>
                    <w:pStyle w:val="14"/>
                    <w:ind w:left="-53" w:leftChars="-25" w:right="-53" w:rightChars="-25"/>
                    <w:rPr>
                      <w:b w:val="0"/>
                      <w:color w:val="auto"/>
                      <w:sz w:val="21"/>
                      <w:szCs w:val="21"/>
                    </w:rPr>
                  </w:pPr>
                  <w:r>
                    <w:rPr>
                      <w:rFonts w:hint="eastAsia"/>
                      <w:b w:val="0"/>
                      <w:color w:val="auto"/>
                      <w:sz w:val="21"/>
                      <w:szCs w:val="21"/>
                    </w:rPr>
                    <w:t>颗粒物</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1.62</w:t>
                  </w:r>
                </w:p>
              </w:tc>
              <w:tc>
                <w:tcPr>
                  <w:tcW w:w="42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0.27</w:t>
                  </w:r>
                </w:p>
              </w:tc>
              <w:tc>
                <w:tcPr>
                  <w:tcW w:w="30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6.43</w:t>
                  </w:r>
                </w:p>
              </w:tc>
              <w:tc>
                <w:tcPr>
                  <w:tcW w:w="298"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b w:val="0"/>
                      <w:color w:val="auto"/>
                      <w:sz w:val="21"/>
                      <w:szCs w:val="21"/>
                    </w:rPr>
                  </w:pPr>
                  <w:r>
                    <w:rPr>
                      <w:rFonts w:hint="eastAsia"/>
                      <w:b w:val="0"/>
                      <w:color w:val="auto"/>
                      <w:sz w:val="21"/>
                      <w:szCs w:val="21"/>
                    </w:rPr>
                    <w:t>干式过滤器+</w:t>
                  </w:r>
                  <w:r>
                    <w:rPr>
                      <w:b w:val="0"/>
                      <w:color w:val="auto"/>
                      <w:sz w:val="21"/>
                      <w:szCs w:val="21"/>
                    </w:rPr>
                    <w:t>二级活性炭吸附</w:t>
                  </w:r>
                </w:p>
              </w:tc>
              <w:tc>
                <w:tcPr>
                  <w:tcW w:w="288" w:type="pct"/>
                  <w:vAlign w:val="center"/>
                </w:tcPr>
                <w:p>
                  <w:pPr>
                    <w:pStyle w:val="14"/>
                    <w:ind w:left="-53" w:leftChars="-25" w:right="-53" w:rightChars="-25"/>
                    <w:rPr>
                      <w:b w:val="0"/>
                      <w:color w:val="auto"/>
                      <w:sz w:val="21"/>
                      <w:szCs w:val="21"/>
                    </w:rPr>
                  </w:pPr>
                  <w:r>
                    <w:rPr>
                      <w:rFonts w:hint="eastAsia"/>
                      <w:b w:val="0"/>
                      <w:color w:val="auto"/>
                      <w:sz w:val="21"/>
                      <w:szCs w:val="21"/>
                    </w:rPr>
                    <w:t>是</w:t>
                  </w:r>
                </w:p>
              </w:tc>
              <w:tc>
                <w:tcPr>
                  <w:tcW w:w="300"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70</w:t>
                  </w:r>
                </w:p>
              </w:tc>
              <w:tc>
                <w:tcPr>
                  <w:tcW w:w="372"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0.49</w:t>
                  </w:r>
                </w:p>
              </w:tc>
              <w:tc>
                <w:tcPr>
                  <w:tcW w:w="366"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Cs w:val="21"/>
                      <w:highlight w:val="none"/>
                      <w:lang w:val="en-US" w:eastAsia="zh-CN"/>
                    </w:rPr>
                    <w:t>0.08</w:t>
                  </w:r>
                </w:p>
              </w:tc>
              <w:tc>
                <w:tcPr>
                  <w:tcW w:w="294"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Cs w:val="21"/>
                      <w:highlight w:val="none"/>
                      <w:lang w:val="en-US" w:eastAsia="zh-CN"/>
                    </w:rPr>
                    <w:t>1.90</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rPr>
                    <w:t>6000</w:t>
                  </w:r>
                </w:p>
              </w:tc>
              <w:tc>
                <w:tcPr>
                  <w:tcW w:w="278" w:type="pct"/>
                  <w:vAlign w:val="center"/>
                </w:tcPr>
                <w:p>
                  <w:pPr>
                    <w:pStyle w:val="14"/>
                    <w:ind w:left="-53" w:leftChars="-25" w:right="-53" w:rightChars="-25"/>
                    <w:rPr>
                      <w:b w:val="0"/>
                      <w:color w:val="auto"/>
                      <w:sz w:val="21"/>
                      <w:szCs w:val="21"/>
                    </w:rPr>
                  </w:pPr>
                  <w:r>
                    <w:rPr>
                      <w:rFonts w:hint="eastAsia"/>
                      <w:b w:val="0"/>
                      <w:color w:val="auto"/>
                      <w:sz w:val="21"/>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continue"/>
                  <w:vAlign w:val="center"/>
                </w:tcPr>
                <w:p>
                  <w:pPr>
                    <w:pStyle w:val="14"/>
                    <w:ind w:left="-53" w:leftChars="-25" w:right="-53" w:rightChars="-25"/>
                    <w:rPr>
                      <w:b w:val="0"/>
                      <w:color w:val="auto"/>
                      <w:sz w:val="21"/>
                      <w:szCs w:val="21"/>
                    </w:rPr>
                  </w:pPr>
                </w:p>
              </w:tc>
              <w:tc>
                <w:tcPr>
                  <w:tcW w:w="378" w:type="pct"/>
                  <w:vAlign w:val="center"/>
                </w:tcPr>
                <w:p>
                  <w:pPr>
                    <w:jc w:val="center"/>
                    <w:rPr>
                      <w:color w:val="auto"/>
                      <w:szCs w:val="21"/>
                    </w:rPr>
                  </w:pPr>
                  <w:r>
                    <w:rPr>
                      <w:rFonts w:hint="eastAsia"/>
                      <w:color w:val="auto"/>
                      <w:szCs w:val="21"/>
                    </w:rPr>
                    <w:t>无组织</w:t>
                  </w:r>
                  <w:r>
                    <w:rPr>
                      <w:b w:val="0"/>
                      <w:color w:val="auto"/>
                      <w:sz w:val="21"/>
                      <w:szCs w:val="21"/>
                    </w:rPr>
                    <w:t>（未被收集</w:t>
                  </w:r>
                  <w:r>
                    <w:rPr>
                      <w:rFonts w:hint="eastAsia"/>
                      <w:b w:val="0"/>
                      <w:color w:val="auto"/>
                      <w:sz w:val="21"/>
                      <w:szCs w:val="21"/>
                    </w:rPr>
                    <w:t>）</w:t>
                  </w:r>
                </w:p>
              </w:tc>
              <w:tc>
                <w:tcPr>
                  <w:tcW w:w="416" w:type="pct"/>
                  <w:vAlign w:val="center"/>
                </w:tcPr>
                <w:p>
                  <w:pPr>
                    <w:pStyle w:val="14"/>
                    <w:ind w:left="-53" w:leftChars="-25" w:right="-53" w:rightChars="-25"/>
                    <w:rPr>
                      <w:b w:val="0"/>
                      <w:color w:val="auto"/>
                      <w:sz w:val="21"/>
                      <w:szCs w:val="21"/>
                    </w:rPr>
                  </w:pPr>
                  <w:r>
                    <w:rPr>
                      <w:rFonts w:hint="eastAsia"/>
                      <w:b w:val="0"/>
                      <w:color w:val="auto"/>
                      <w:sz w:val="21"/>
                      <w:szCs w:val="21"/>
                    </w:rPr>
                    <w:t>颗粒物</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0.18</w:t>
                  </w:r>
                </w:p>
              </w:tc>
              <w:tc>
                <w:tcPr>
                  <w:tcW w:w="423"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0.03</w:t>
                  </w:r>
                </w:p>
              </w:tc>
              <w:tc>
                <w:tcPr>
                  <w:tcW w:w="300"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w:t>
                  </w:r>
                </w:p>
              </w:tc>
              <w:tc>
                <w:tcPr>
                  <w:tcW w:w="298" w:type="pct"/>
                  <w:vAlign w:val="center"/>
                </w:tcPr>
                <w:p>
                  <w:pPr>
                    <w:pStyle w:val="14"/>
                    <w:ind w:left="-53" w:leftChars="-25" w:right="-53" w:rightChars="-25"/>
                    <w:rPr>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b w:val="0"/>
                      <w:color w:val="auto"/>
                      <w:sz w:val="21"/>
                      <w:szCs w:val="21"/>
                    </w:rPr>
                  </w:pPr>
                  <w:r>
                    <w:rPr>
                      <w:rFonts w:hint="eastAsia"/>
                      <w:b w:val="0"/>
                      <w:color w:val="auto"/>
                      <w:sz w:val="21"/>
                      <w:szCs w:val="21"/>
                    </w:rPr>
                    <w:t>厂房密闭</w:t>
                  </w:r>
                </w:p>
              </w:tc>
              <w:tc>
                <w:tcPr>
                  <w:tcW w:w="288"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w:t>
                  </w:r>
                </w:p>
              </w:tc>
              <w:tc>
                <w:tcPr>
                  <w:tcW w:w="300"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w:t>
                  </w:r>
                </w:p>
              </w:tc>
              <w:tc>
                <w:tcPr>
                  <w:tcW w:w="372"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0.18</w:t>
                  </w:r>
                </w:p>
              </w:tc>
              <w:tc>
                <w:tcPr>
                  <w:tcW w:w="366"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0.03</w:t>
                  </w:r>
                </w:p>
              </w:tc>
              <w:tc>
                <w:tcPr>
                  <w:tcW w:w="294" w:type="pct"/>
                  <w:vAlign w:val="center"/>
                </w:tcPr>
                <w:p>
                  <w:pPr>
                    <w:pStyle w:val="14"/>
                    <w:ind w:left="-53" w:leftChars="-25" w:right="-53" w:rightChars="-25"/>
                    <w:rPr>
                      <w:rFonts w:hint="default"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w:t>
                  </w:r>
                </w:p>
              </w:tc>
              <w:tc>
                <w:tcPr>
                  <w:tcW w:w="300" w:type="pct"/>
                  <w:vAlign w:val="center"/>
                </w:tcPr>
                <w:p>
                  <w:pPr>
                    <w:pStyle w:val="14"/>
                    <w:ind w:left="-53" w:leftChars="-25" w:right="-53" w:rightChars="-25"/>
                    <w:rPr>
                      <w:b w:val="0"/>
                      <w:color w:val="auto"/>
                      <w:sz w:val="21"/>
                      <w:szCs w:val="21"/>
                    </w:rPr>
                  </w:pPr>
                  <w:r>
                    <w:rPr>
                      <w:rFonts w:hint="eastAsia"/>
                      <w:b w:val="0"/>
                      <w:color w:val="auto"/>
                      <w:sz w:val="21"/>
                      <w:szCs w:val="21"/>
                    </w:rPr>
                    <w:t>6000</w:t>
                  </w:r>
                </w:p>
              </w:tc>
              <w:tc>
                <w:tcPr>
                  <w:tcW w:w="278" w:type="pct"/>
                  <w:vAlign w:val="center"/>
                </w:tcPr>
                <w:p>
                  <w:pPr>
                    <w:pStyle w:val="14"/>
                    <w:ind w:left="-53" w:leftChars="-25" w:right="-53" w:rightChars="-25"/>
                    <w:rPr>
                      <w:b w:val="0"/>
                      <w:color w:val="auto"/>
                      <w:sz w:val="21"/>
                      <w:szCs w:val="21"/>
                    </w:rPr>
                  </w:pPr>
                  <w:r>
                    <w:rPr>
                      <w:rFonts w:hint="eastAsia"/>
                      <w:b w:val="0"/>
                      <w:color w:val="auto"/>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87" w:type="pct"/>
                  <w:vMerge w:val="continue"/>
                  <w:vAlign w:val="center"/>
                </w:tcPr>
                <w:p>
                  <w:pPr>
                    <w:pStyle w:val="14"/>
                    <w:ind w:left="-53" w:leftChars="-25" w:right="-53" w:rightChars="-25"/>
                    <w:rPr>
                      <w:b w:val="0"/>
                      <w:color w:val="auto"/>
                      <w:sz w:val="21"/>
                      <w:szCs w:val="21"/>
                    </w:rPr>
                  </w:pPr>
                </w:p>
              </w:tc>
              <w:tc>
                <w:tcPr>
                  <w:tcW w:w="378" w:type="pct"/>
                  <w:vAlign w:val="center"/>
                </w:tcPr>
                <w:p>
                  <w:pPr>
                    <w:jc w:val="center"/>
                    <w:rPr>
                      <w:rFonts w:hint="default" w:eastAsia="宋体"/>
                      <w:color w:val="auto"/>
                      <w:szCs w:val="21"/>
                      <w:lang w:val="en-US" w:eastAsia="zh-CN"/>
                    </w:rPr>
                  </w:pPr>
                  <w:r>
                    <w:rPr>
                      <w:rFonts w:hint="eastAsia"/>
                      <w:color w:val="auto"/>
                      <w:szCs w:val="21"/>
                      <w:lang w:val="en-US" w:eastAsia="zh-CN"/>
                    </w:rPr>
                    <w:t>DA002</w:t>
                  </w:r>
                </w:p>
              </w:tc>
              <w:tc>
                <w:tcPr>
                  <w:tcW w:w="416"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颗粒物</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2.70</w:t>
                  </w:r>
                </w:p>
              </w:tc>
              <w:tc>
                <w:tcPr>
                  <w:tcW w:w="42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0.45</w:t>
                  </w:r>
                </w:p>
              </w:tc>
              <w:tc>
                <w:tcPr>
                  <w:tcW w:w="30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10.71</w:t>
                  </w:r>
                </w:p>
              </w:tc>
              <w:tc>
                <w:tcPr>
                  <w:tcW w:w="298" w:type="pct"/>
                  <w:vAlign w:val="center"/>
                </w:tcPr>
                <w:p>
                  <w:pPr>
                    <w:pStyle w:val="14"/>
                    <w:ind w:left="-53" w:leftChars="-25" w:right="-53" w:rightChars="-25"/>
                    <w:rPr>
                      <w:rFonts w:hint="eastAsia"/>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rFonts w:hint="eastAsia"/>
                      <w:b w:val="0"/>
                      <w:color w:val="auto"/>
                      <w:sz w:val="21"/>
                      <w:szCs w:val="21"/>
                    </w:rPr>
                  </w:pPr>
                  <w:r>
                    <w:rPr>
                      <w:rFonts w:hint="eastAsia"/>
                      <w:b w:val="0"/>
                      <w:color w:val="auto"/>
                      <w:sz w:val="21"/>
                      <w:szCs w:val="21"/>
                    </w:rPr>
                    <w:t>干式过滤器+</w:t>
                  </w:r>
                  <w:r>
                    <w:rPr>
                      <w:b w:val="0"/>
                      <w:color w:val="auto"/>
                      <w:sz w:val="21"/>
                      <w:szCs w:val="21"/>
                    </w:rPr>
                    <w:t>二级活性炭吸附</w:t>
                  </w:r>
                </w:p>
              </w:tc>
              <w:tc>
                <w:tcPr>
                  <w:tcW w:w="288" w:type="pct"/>
                  <w:vAlign w:val="center"/>
                </w:tcPr>
                <w:p>
                  <w:pPr>
                    <w:pStyle w:val="14"/>
                    <w:ind w:left="-53" w:leftChars="-25" w:right="-53" w:rightChars="-25"/>
                    <w:rPr>
                      <w:b w:val="0"/>
                      <w:color w:val="auto"/>
                      <w:sz w:val="21"/>
                      <w:szCs w:val="21"/>
                    </w:rPr>
                  </w:pPr>
                  <w:r>
                    <w:rPr>
                      <w:rFonts w:hint="eastAsia"/>
                      <w:b w:val="0"/>
                      <w:color w:val="auto"/>
                      <w:sz w:val="21"/>
                      <w:szCs w:val="21"/>
                    </w:rPr>
                    <w:t>是</w:t>
                  </w:r>
                </w:p>
              </w:tc>
              <w:tc>
                <w:tcPr>
                  <w:tcW w:w="300"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70</w:t>
                  </w:r>
                </w:p>
              </w:tc>
              <w:tc>
                <w:tcPr>
                  <w:tcW w:w="372"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0.81</w:t>
                  </w:r>
                </w:p>
              </w:tc>
              <w:tc>
                <w:tcPr>
                  <w:tcW w:w="366"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0.14</w:t>
                  </w:r>
                </w:p>
              </w:tc>
              <w:tc>
                <w:tcPr>
                  <w:tcW w:w="294"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3.33</w:t>
                  </w:r>
                </w:p>
              </w:tc>
              <w:tc>
                <w:tcPr>
                  <w:tcW w:w="300"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6000</w:t>
                  </w:r>
                </w:p>
              </w:tc>
              <w:tc>
                <w:tcPr>
                  <w:tcW w:w="278"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87" w:type="pct"/>
                  <w:vMerge w:val="continue"/>
                  <w:vAlign w:val="center"/>
                </w:tcPr>
                <w:p>
                  <w:pPr>
                    <w:pStyle w:val="14"/>
                    <w:ind w:left="-53" w:leftChars="-25" w:right="-53" w:rightChars="-25"/>
                    <w:rPr>
                      <w:b w:val="0"/>
                      <w:color w:val="auto"/>
                      <w:sz w:val="21"/>
                      <w:szCs w:val="21"/>
                    </w:rPr>
                  </w:pPr>
                </w:p>
              </w:tc>
              <w:tc>
                <w:tcPr>
                  <w:tcW w:w="378" w:type="pct"/>
                  <w:vAlign w:val="center"/>
                </w:tcPr>
                <w:p>
                  <w:pPr>
                    <w:jc w:val="center"/>
                    <w:rPr>
                      <w:rFonts w:hint="eastAsia"/>
                      <w:color w:val="auto"/>
                      <w:szCs w:val="21"/>
                    </w:rPr>
                  </w:pPr>
                  <w:r>
                    <w:rPr>
                      <w:rFonts w:hint="eastAsia"/>
                      <w:color w:val="auto"/>
                      <w:szCs w:val="21"/>
                    </w:rPr>
                    <w:t>无组织</w:t>
                  </w:r>
                  <w:r>
                    <w:rPr>
                      <w:b w:val="0"/>
                      <w:color w:val="auto"/>
                      <w:sz w:val="21"/>
                      <w:szCs w:val="21"/>
                    </w:rPr>
                    <w:t>（未被收集</w:t>
                  </w:r>
                  <w:r>
                    <w:rPr>
                      <w:rFonts w:hint="eastAsia"/>
                      <w:b w:val="0"/>
                      <w:color w:val="auto"/>
                      <w:sz w:val="21"/>
                      <w:szCs w:val="21"/>
                    </w:rPr>
                    <w:t>）</w:t>
                  </w:r>
                </w:p>
              </w:tc>
              <w:tc>
                <w:tcPr>
                  <w:tcW w:w="416"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颗粒物</w:t>
                  </w:r>
                </w:p>
              </w:tc>
              <w:tc>
                <w:tcPr>
                  <w:tcW w:w="417"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0.30</w:t>
                  </w:r>
                </w:p>
              </w:tc>
              <w:tc>
                <w:tcPr>
                  <w:tcW w:w="423"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0.05</w:t>
                  </w:r>
                </w:p>
              </w:tc>
              <w:tc>
                <w:tcPr>
                  <w:tcW w:w="300" w:type="pct"/>
                  <w:vAlign w:val="center"/>
                </w:tcPr>
                <w:p>
                  <w:pPr>
                    <w:pStyle w:val="14"/>
                    <w:ind w:left="-53" w:leftChars="-25" w:right="-53" w:rightChars="-25"/>
                    <w:rPr>
                      <w:rFonts w:hint="default" w:eastAsia="宋体"/>
                      <w:b w:val="0"/>
                      <w:color w:val="auto"/>
                      <w:sz w:val="21"/>
                      <w:szCs w:val="21"/>
                      <w:lang w:val="en-US" w:eastAsia="zh-CN"/>
                    </w:rPr>
                  </w:pPr>
                  <w:r>
                    <w:rPr>
                      <w:rFonts w:hint="eastAsia"/>
                      <w:b w:val="0"/>
                      <w:color w:val="auto"/>
                      <w:sz w:val="21"/>
                      <w:szCs w:val="21"/>
                      <w:lang w:val="en-US" w:eastAsia="zh-CN"/>
                    </w:rPr>
                    <w:t>/</w:t>
                  </w:r>
                </w:p>
              </w:tc>
              <w:tc>
                <w:tcPr>
                  <w:tcW w:w="298" w:type="pct"/>
                  <w:vAlign w:val="center"/>
                </w:tcPr>
                <w:p>
                  <w:pPr>
                    <w:pStyle w:val="14"/>
                    <w:ind w:left="-53" w:leftChars="-25" w:right="-53" w:rightChars="-25"/>
                    <w:rPr>
                      <w:rFonts w:hint="eastAsia"/>
                      <w:b w:val="0"/>
                      <w:color w:val="auto"/>
                      <w:sz w:val="21"/>
                      <w:szCs w:val="21"/>
                    </w:rPr>
                  </w:pPr>
                  <w:r>
                    <w:rPr>
                      <w:rFonts w:hint="eastAsia"/>
                      <w:b w:val="0"/>
                      <w:color w:val="auto"/>
                      <w:sz w:val="21"/>
                      <w:szCs w:val="21"/>
                      <w:lang w:val="en-US" w:eastAsia="zh-CN"/>
                    </w:rPr>
                    <w:t>90</w:t>
                  </w:r>
                </w:p>
              </w:tc>
              <w:tc>
                <w:tcPr>
                  <w:tcW w:w="377" w:type="pct"/>
                  <w:vAlign w:val="center"/>
                </w:tcPr>
                <w:p>
                  <w:pPr>
                    <w:pStyle w:val="14"/>
                    <w:ind w:left="-53" w:leftChars="-25" w:right="-53" w:rightChars="-25"/>
                    <w:rPr>
                      <w:rFonts w:hint="eastAsia"/>
                      <w:b w:val="0"/>
                      <w:color w:val="auto"/>
                      <w:sz w:val="21"/>
                      <w:szCs w:val="21"/>
                    </w:rPr>
                  </w:pPr>
                  <w:r>
                    <w:rPr>
                      <w:rFonts w:hint="eastAsia"/>
                      <w:b w:val="0"/>
                      <w:color w:val="auto"/>
                      <w:sz w:val="21"/>
                      <w:szCs w:val="21"/>
                    </w:rPr>
                    <w:t>厂房密闭</w:t>
                  </w:r>
                </w:p>
              </w:tc>
              <w:tc>
                <w:tcPr>
                  <w:tcW w:w="288" w:type="pct"/>
                  <w:vAlign w:val="center"/>
                </w:tcPr>
                <w:p>
                  <w:pPr>
                    <w:pStyle w:val="14"/>
                    <w:ind w:left="-53" w:leftChars="-25" w:right="-53" w:rightChars="-25"/>
                    <w:rPr>
                      <w:rFonts w:hint="eastAsia" w:eastAsia="宋体"/>
                      <w:b w:val="0"/>
                      <w:color w:val="auto"/>
                      <w:sz w:val="21"/>
                      <w:szCs w:val="21"/>
                      <w:lang w:val="en-US" w:eastAsia="zh-CN"/>
                    </w:rPr>
                  </w:pPr>
                  <w:r>
                    <w:rPr>
                      <w:rFonts w:hint="eastAsia"/>
                      <w:b w:val="0"/>
                      <w:color w:val="auto"/>
                      <w:sz w:val="21"/>
                      <w:szCs w:val="21"/>
                      <w:lang w:val="en-US" w:eastAsia="zh-CN"/>
                    </w:rPr>
                    <w:t>/</w:t>
                  </w:r>
                </w:p>
              </w:tc>
              <w:tc>
                <w:tcPr>
                  <w:tcW w:w="300"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w:t>
                  </w:r>
                </w:p>
              </w:tc>
              <w:tc>
                <w:tcPr>
                  <w:tcW w:w="372"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0.30</w:t>
                  </w:r>
                </w:p>
              </w:tc>
              <w:tc>
                <w:tcPr>
                  <w:tcW w:w="366"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0.05</w:t>
                  </w:r>
                </w:p>
              </w:tc>
              <w:tc>
                <w:tcPr>
                  <w:tcW w:w="294"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lang w:val="en-US" w:eastAsia="zh-CN"/>
                    </w:rPr>
                    <w:t>/</w:t>
                  </w:r>
                </w:p>
              </w:tc>
              <w:tc>
                <w:tcPr>
                  <w:tcW w:w="300"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6000</w:t>
                  </w:r>
                </w:p>
              </w:tc>
              <w:tc>
                <w:tcPr>
                  <w:tcW w:w="278" w:type="pct"/>
                  <w:vAlign w:val="center"/>
                </w:tcPr>
                <w:p>
                  <w:pPr>
                    <w:pStyle w:val="14"/>
                    <w:ind w:left="-53" w:leftChars="-25" w:right="-53" w:rightChars="-25"/>
                    <w:rPr>
                      <w:rFonts w:hint="eastAsia" w:ascii="Times New Roman" w:hAnsi="Times New Roman" w:eastAsia="宋体" w:cs="Times New Roman"/>
                      <w:b w:val="0"/>
                      <w:bCs/>
                      <w:color w:val="auto"/>
                      <w:kern w:val="2"/>
                      <w:sz w:val="21"/>
                      <w:szCs w:val="21"/>
                      <w:lang w:val="en-US" w:eastAsia="zh-CN" w:bidi="ar-SA"/>
                    </w:rPr>
                  </w:pPr>
                  <w:r>
                    <w:rPr>
                      <w:rFonts w:hint="eastAsia"/>
                      <w:b w:val="0"/>
                      <w:color w:val="auto"/>
                      <w:sz w:val="21"/>
                      <w:szCs w:val="21"/>
                    </w:rPr>
                    <w:t>1.0</w:t>
                  </w:r>
                </w:p>
              </w:tc>
            </w:tr>
          </w:tbl>
          <w:p>
            <w:pPr>
              <w:adjustRightInd w:val="0"/>
              <w:snapToGrid w:val="0"/>
              <w:spacing w:line="360" w:lineRule="auto"/>
              <w:rPr>
                <w:rFonts w:ascii="宋体" w:cs="宋体"/>
                <w:b/>
                <w:color w:val="auto"/>
                <w:kern w:val="0"/>
                <w:sz w:val="28"/>
                <w:szCs w:val="28"/>
                <w:vertAlign w:val="baseline"/>
              </w:rPr>
            </w:pPr>
          </w:p>
        </w:tc>
      </w:tr>
    </w:tbl>
    <w:p>
      <w:pPr>
        <w:adjustRightInd w:val="0"/>
        <w:snapToGrid w:val="0"/>
        <w:spacing w:line="360" w:lineRule="auto"/>
        <w:rPr>
          <w:rFonts w:ascii="宋体" w:cs="宋体"/>
          <w:b/>
          <w:kern w:val="0"/>
          <w:sz w:val="28"/>
          <w:szCs w:val="28"/>
        </w:rPr>
      </w:pPr>
    </w:p>
    <w:p>
      <w:pPr>
        <w:adjustRightInd w:val="0"/>
        <w:snapToGrid w:val="0"/>
        <w:spacing w:line="360" w:lineRule="auto"/>
        <w:ind w:firstLine="562"/>
        <w:rPr>
          <w:rFonts w:ascii="宋体" w:cs="宋体"/>
          <w:b/>
          <w:kern w:val="0"/>
          <w:sz w:val="28"/>
          <w:szCs w:val="28"/>
        </w:rPr>
      </w:pPr>
    </w:p>
    <w:p>
      <w:pPr>
        <w:adjustRightInd w:val="0"/>
        <w:snapToGrid w:val="0"/>
        <w:spacing w:line="360" w:lineRule="auto"/>
        <w:ind w:firstLine="562"/>
        <w:rPr>
          <w:rFonts w:ascii="宋体" w:cs="宋体"/>
          <w:b/>
          <w:kern w:val="0"/>
          <w:sz w:val="28"/>
          <w:szCs w:val="28"/>
        </w:rPr>
        <w:sectPr>
          <w:footerReference r:id="rId8" w:type="default"/>
          <w:pgSz w:w="16840" w:h="11907" w:orient="landscape"/>
          <w:pgMar w:top="1531" w:right="1701" w:bottom="1531" w:left="2127" w:header="851" w:footer="851" w:gutter="0"/>
          <w:pgNumType w:fmt="decimal" w:start="50"/>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8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8" w:hRule="atLeast"/>
        </w:trPr>
        <w:tc>
          <w:tcPr>
            <w:tcW w:w="983" w:type="dxa"/>
          </w:tcPr>
          <w:p>
            <w:pPr>
              <w:adjustRightInd w:val="0"/>
              <w:snapToGrid w:val="0"/>
              <w:spacing w:line="360" w:lineRule="auto"/>
              <w:rPr>
                <w:rFonts w:ascii="宋体" w:cs="宋体"/>
                <w:b/>
                <w:color w:val="auto"/>
                <w:kern w:val="0"/>
                <w:sz w:val="28"/>
                <w:szCs w:val="28"/>
                <w:vertAlign w:val="baseline"/>
              </w:rPr>
            </w:pPr>
          </w:p>
        </w:tc>
        <w:tc>
          <w:tcPr>
            <w:tcW w:w="8078" w:type="dxa"/>
          </w:tcPr>
          <w:p>
            <w:pPr>
              <w:numPr>
                <w:ilvl w:val="0"/>
                <w:numId w:val="0"/>
              </w:numPr>
              <w:adjustRightInd w:val="0"/>
              <w:snapToGrid w:val="0"/>
              <w:spacing w:line="360" w:lineRule="auto"/>
              <w:ind w:firstLine="440" w:firstLineChars="200"/>
              <w:rPr>
                <w:rFonts w:hint="eastAsia" w:ascii="Times New Roman" w:hAnsi="Times New Roman" w:eastAsia="宋体" w:cs="Times New Roman"/>
                <w:bCs/>
                <w:color w:val="auto"/>
                <w:spacing w:val="-10"/>
                <w:sz w:val="24"/>
                <w:lang w:val="en-US" w:eastAsia="zh-CN"/>
              </w:rPr>
            </w:pPr>
            <w:r>
              <w:rPr>
                <w:rFonts w:hint="eastAsia" w:ascii="Times New Roman" w:hAnsi="Times New Roman" w:eastAsia="宋体" w:cs="Times New Roman"/>
                <w:bCs/>
                <w:color w:val="auto"/>
                <w:spacing w:val="-10"/>
                <w:kern w:val="2"/>
                <w:sz w:val="24"/>
                <w:szCs w:val="24"/>
                <w:lang w:val="en-US" w:eastAsia="zh-CN" w:bidi="ar-SA"/>
              </w:rPr>
              <w:t>（2）</w:t>
            </w:r>
            <w:r>
              <w:rPr>
                <w:rFonts w:hint="eastAsia" w:ascii="Times New Roman" w:hAnsi="Times New Roman" w:eastAsia="宋体" w:cs="Times New Roman"/>
                <w:bCs/>
                <w:color w:val="auto"/>
                <w:spacing w:val="-10"/>
                <w:sz w:val="24"/>
                <w:lang w:val="en-US" w:eastAsia="zh-CN"/>
              </w:rPr>
              <w:t>废气达标分析</w:t>
            </w:r>
          </w:p>
          <w:p>
            <w:pPr>
              <w:numPr>
                <w:ilvl w:val="0"/>
                <w:numId w:val="0"/>
              </w:num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①有组织达标分析</w:t>
            </w:r>
          </w:p>
          <w:p>
            <w:pPr>
              <w:pStyle w:val="17"/>
              <w:ind w:left="0" w:leftChars="0" w:firstLine="440" w:firstLineChars="200"/>
              <w:rPr>
                <w:rFonts w:hint="default" w:ascii="Times New Roman" w:hAnsi="Times New Roman" w:eastAsia="宋体" w:cs="Times New Roman"/>
                <w:color w:val="auto"/>
                <w:kern w:val="44"/>
                <w:sz w:val="24"/>
                <w:szCs w:val="24"/>
                <w:highlight w:val="none"/>
                <w:lang w:val="en-US" w:eastAsia="zh-CN" w:bidi="ar-SA"/>
              </w:rPr>
            </w:pPr>
            <w:r>
              <w:rPr>
                <w:rFonts w:eastAsia="宋体"/>
                <w:bCs/>
                <w:color w:val="auto"/>
                <w:spacing w:val="-10"/>
                <w:sz w:val="24"/>
              </w:rPr>
              <w:t>根据上述分析，</w:t>
            </w:r>
            <w:r>
              <w:rPr>
                <w:rFonts w:hint="eastAsia" w:ascii="Times New Roman" w:hAnsi="Times New Roman" w:eastAsia="宋体" w:cs="Times New Roman"/>
                <w:color w:val="auto"/>
                <w:kern w:val="44"/>
                <w:sz w:val="24"/>
                <w:szCs w:val="24"/>
                <w:highlight w:val="none"/>
                <w:lang w:val="en-US" w:eastAsia="zh-CN" w:bidi="ar-SA"/>
              </w:rPr>
              <w:t>本项目有组织废气中非甲烷总烃、颗粒物排放浓度均满足《合成树脂工业污染物排放标准》（GB31572-2015）（非甲烷总烃排放浓度60 mg/m</w:t>
            </w:r>
            <w:r>
              <w:rPr>
                <w:rFonts w:hint="eastAsia" w:ascii="Times New Roman" w:hAnsi="Times New Roman" w:eastAsia="宋体" w:cs="Times New Roman"/>
                <w:color w:val="auto"/>
                <w:kern w:val="44"/>
                <w:sz w:val="24"/>
                <w:szCs w:val="24"/>
                <w:highlight w:val="none"/>
                <w:vertAlign w:val="superscript"/>
                <w:lang w:val="en-US" w:eastAsia="zh-CN" w:bidi="ar-SA"/>
              </w:rPr>
              <w:t>3</w:t>
            </w:r>
            <w:r>
              <w:rPr>
                <w:rFonts w:hint="eastAsia" w:ascii="Times New Roman" w:hAnsi="Times New Roman" w:eastAsia="宋体" w:cs="Times New Roman"/>
                <w:color w:val="auto"/>
                <w:kern w:val="44"/>
                <w:sz w:val="24"/>
                <w:szCs w:val="24"/>
                <w:highlight w:val="none"/>
                <w:lang w:val="en-US" w:eastAsia="zh-CN" w:bidi="ar-SA"/>
              </w:rPr>
              <w:t>，颗粒物排放浓度20 mg/m</w:t>
            </w:r>
            <w:r>
              <w:rPr>
                <w:rFonts w:hint="eastAsia" w:ascii="Times New Roman" w:hAnsi="Times New Roman" w:eastAsia="宋体" w:cs="Times New Roman"/>
                <w:color w:val="auto"/>
                <w:kern w:val="44"/>
                <w:sz w:val="24"/>
                <w:szCs w:val="24"/>
                <w:highlight w:val="none"/>
                <w:vertAlign w:val="superscript"/>
                <w:lang w:val="en-US" w:eastAsia="zh-CN" w:bidi="ar-SA"/>
              </w:rPr>
              <w:t>3</w:t>
            </w:r>
            <w:r>
              <w:rPr>
                <w:rFonts w:hint="eastAsia" w:ascii="Times New Roman" w:hAnsi="Times New Roman" w:eastAsia="宋体" w:cs="Times New Roman"/>
                <w:color w:val="auto"/>
                <w:kern w:val="44"/>
                <w:sz w:val="24"/>
                <w:szCs w:val="24"/>
                <w:highlight w:val="none"/>
                <w:lang w:val="en-US" w:eastAsia="zh-CN" w:bidi="ar-SA"/>
              </w:rPr>
              <w:t>）标准限值要求。</w:t>
            </w:r>
          </w:p>
          <w:p>
            <w:pPr>
              <w:numPr>
                <w:ilvl w:val="0"/>
                <w:numId w:val="0"/>
              </w:numPr>
              <w:adjustRightInd w:val="0"/>
              <w:snapToGrid w:val="0"/>
              <w:spacing w:line="360" w:lineRule="auto"/>
              <w:jc w:val="center"/>
              <w:rPr>
                <w:rFonts w:hint="default"/>
                <w:bCs/>
                <w:color w:val="auto"/>
                <w:spacing w:val="-10"/>
                <w:sz w:val="24"/>
                <w:lang w:val="en-US" w:eastAsia="zh-CN"/>
              </w:rPr>
            </w:pPr>
            <w:r>
              <w:rPr>
                <w:rFonts w:eastAsia="宋体"/>
                <w:b/>
                <w:color w:val="auto"/>
                <w:sz w:val="21"/>
                <w:szCs w:val="21"/>
              </w:rPr>
              <w:t>表4-</w:t>
            </w:r>
            <w:r>
              <w:rPr>
                <w:rFonts w:hint="eastAsia" w:eastAsia="宋体"/>
                <w:b/>
                <w:color w:val="auto"/>
                <w:sz w:val="21"/>
                <w:szCs w:val="21"/>
              </w:rPr>
              <w:t>5</w:t>
            </w:r>
            <w:r>
              <w:rPr>
                <w:rFonts w:eastAsia="宋体"/>
                <w:b/>
                <w:color w:val="auto"/>
                <w:sz w:val="21"/>
                <w:szCs w:val="21"/>
              </w:rPr>
              <w:t xml:space="preserve">  </w:t>
            </w:r>
            <w:r>
              <w:rPr>
                <w:rFonts w:hint="eastAsia" w:eastAsia="宋体"/>
                <w:b/>
                <w:color w:val="auto"/>
                <w:sz w:val="21"/>
                <w:szCs w:val="21"/>
              </w:rPr>
              <w:t>有组织废气排放情况及其达标性分析一览表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784"/>
              <w:gridCol w:w="609"/>
              <w:gridCol w:w="619"/>
              <w:gridCol w:w="829"/>
              <w:gridCol w:w="724"/>
              <w:gridCol w:w="724"/>
              <w:gridCol w:w="416"/>
              <w:gridCol w:w="18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17" w:type="pct"/>
                  <w:vAlign w:val="center"/>
                </w:tcPr>
                <w:p>
                  <w:pPr>
                    <w:ind w:right="-73" w:rightChars="-35"/>
                    <w:jc w:val="center"/>
                    <w:rPr>
                      <w:b/>
                      <w:color w:val="auto"/>
                      <w:szCs w:val="21"/>
                    </w:rPr>
                  </w:pPr>
                  <w:r>
                    <w:rPr>
                      <w:b/>
                      <w:color w:val="auto"/>
                      <w:szCs w:val="21"/>
                    </w:rPr>
                    <w:t>污染源</w:t>
                  </w:r>
                </w:p>
              </w:tc>
              <w:tc>
                <w:tcPr>
                  <w:tcW w:w="498" w:type="pct"/>
                  <w:vAlign w:val="center"/>
                </w:tcPr>
                <w:p>
                  <w:pPr>
                    <w:ind w:right="-73" w:rightChars="-35"/>
                    <w:jc w:val="center"/>
                    <w:rPr>
                      <w:b/>
                      <w:color w:val="auto"/>
                      <w:szCs w:val="21"/>
                    </w:rPr>
                  </w:pPr>
                  <w:r>
                    <w:rPr>
                      <w:b/>
                      <w:color w:val="auto"/>
                      <w:szCs w:val="21"/>
                    </w:rPr>
                    <w:t>污染物名称</w:t>
                  </w:r>
                </w:p>
              </w:tc>
              <w:tc>
                <w:tcPr>
                  <w:tcW w:w="387" w:type="pct"/>
                  <w:vAlign w:val="center"/>
                </w:tcPr>
                <w:p>
                  <w:pPr>
                    <w:ind w:right="-73" w:rightChars="-35"/>
                    <w:jc w:val="center"/>
                    <w:rPr>
                      <w:b/>
                      <w:color w:val="auto"/>
                      <w:szCs w:val="21"/>
                    </w:rPr>
                  </w:pPr>
                  <w:r>
                    <w:rPr>
                      <w:b/>
                      <w:color w:val="auto"/>
                      <w:szCs w:val="21"/>
                    </w:rPr>
                    <w:t>产生量t/a</w:t>
                  </w:r>
                </w:p>
              </w:tc>
              <w:tc>
                <w:tcPr>
                  <w:tcW w:w="393" w:type="pct"/>
                  <w:vAlign w:val="center"/>
                </w:tcPr>
                <w:p>
                  <w:pPr>
                    <w:ind w:right="-73" w:rightChars="-35"/>
                    <w:jc w:val="center"/>
                    <w:rPr>
                      <w:b/>
                      <w:color w:val="auto"/>
                      <w:szCs w:val="21"/>
                    </w:rPr>
                  </w:pPr>
                  <w:r>
                    <w:rPr>
                      <w:b/>
                      <w:color w:val="auto"/>
                      <w:szCs w:val="21"/>
                    </w:rPr>
                    <w:t>排放量t/a</w:t>
                  </w:r>
                </w:p>
              </w:tc>
              <w:tc>
                <w:tcPr>
                  <w:tcW w:w="527" w:type="pct"/>
                  <w:vAlign w:val="center"/>
                </w:tcPr>
                <w:p>
                  <w:pPr>
                    <w:pStyle w:val="45"/>
                    <w:ind w:left="-73" w:leftChars="-35" w:right="-73" w:rightChars="-35"/>
                    <w:jc w:val="center"/>
                    <w:rPr>
                      <w:rFonts w:ascii="Times New Roman" w:cs="Times New Roman"/>
                      <w:b/>
                      <w:color w:val="auto"/>
                      <w:sz w:val="21"/>
                      <w:szCs w:val="21"/>
                    </w:rPr>
                  </w:pPr>
                  <w:r>
                    <w:rPr>
                      <w:rFonts w:ascii="Times New Roman" w:cs="Times New Roman"/>
                      <w:b/>
                      <w:color w:val="auto"/>
                      <w:sz w:val="21"/>
                      <w:szCs w:val="21"/>
                    </w:rPr>
                    <w:t>排放速率kg/h</w:t>
                  </w:r>
                </w:p>
              </w:tc>
              <w:tc>
                <w:tcPr>
                  <w:tcW w:w="460" w:type="pct"/>
                  <w:vAlign w:val="center"/>
                </w:tcPr>
                <w:p>
                  <w:pPr>
                    <w:ind w:right="-73" w:rightChars="-35"/>
                    <w:jc w:val="center"/>
                    <w:rPr>
                      <w:b/>
                      <w:color w:val="auto"/>
                      <w:szCs w:val="21"/>
                    </w:rPr>
                  </w:pPr>
                  <w:r>
                    <w:rPr>
                      <w:b/>
                      <w:color w:val="auto"/>
                      <w:szCs w:val="21"/>
                    </w:rPr>
                    <w:t>排放浓度mg/m</w:t>
                  </w:r>
                  <w:r>
                    <w:rPr>
                      <w:b/>
                      <w:color w:val="auto"/>
                      <w:szCs w:val="21"/>
                      <w:vertAlign w:val="superscript"/>
                    </w:rPr>
                    <w:t>3</w:t>
                  </w:r>
                </w:p>
              </w:tc>
              <w:tc>
                <w:tcPr>
                  <w:tcW w:w="460" w:type="pct"/>
                  <w:vAlign w:val="center"/>
                </w:tcPr>
                <w:p>
                  <w:pPr>
                    <w:ind w:right="-73" w:rightChars="-35"/>
                    <w:jc w:val="center"/>
                    <w:rPr>
                      <w:b/>
                      <w:color w:val="auto"/>
                      <w:szCs w:val="21"/>
                    </w:rPr>
                  </w:pPr>
                  <w:r>
                    <w:rPr>
                      <w:b/>
                      <w:color w:val="auto"/>
                      <w:szCs w:val="21"/>
                    </w:rPr>
                    <w:t>标准值mg/m</w:t>
                  </w:r>
                  <w:r>
                    <w:rPr>
                      <w:b/>
                      <w:color w:val="auto"/>
                      <w:szCs w:val="21"/>
                      <w:vertAlign w:val="superscript"/>
                    </w:rPr>
                    <w:t>3</w:t>
                  </w:r>
                </w:p>
              </w:tc>
              <w:tc>
                <w:tcPr>
                  <w:tcW w:w="264" w:type="pct"/>
                  <w:vAlign w:val="center"/>
                </w:tcPr>
                <w:p>
                  <w:pPr>
                    <w:pStyle w:val="46"/>
                    <w:adjustRightInd w:val="0"/>
                    <w:spacing w:line="240" w:lineRule="auto"/>
                    <w:ind w:left="-73" w:leftChars="-35" w:right="-73" w:rightChars="-35" w:firstLine="0" w:firstLineChars="0"/>
                    <w:jc w:val="center"/>
                    <w:rPr>
                      <w:b/>
                      <w:color w:val="auto"/>
                      <w:sz w:val="21"/>
                      <w:szCs w:val="21"/>
                    </w:rPr>
                  </w:pPr>
                  <w:r>
                    <w:rPr>
                      <w:b/>
                      <w:color w:val="auto"/>
                      <w:sz w:val="21"/>
                      <w:szCs w:val="21"/>
                      <w:lang w:val="en-US"/>
                    </w:rPr>
                    <w:t>是否达标</w:t>
                  </w:r>
                </w:p>
              </w:tc>
              <w:tc>
                <w:tcPr>
                  <w:tcW w:w="1189" w:type="pct"/>
                  <w:vAlign w:val="center"/>
                </w:tcPr>
                <w:p>
                  <w:pPr>
                    <w:pStyle w:val="46"/>
                    <w:adjustRightInd w:val="0"/>
                    <w:spacing w:line="240" w:lineRule="auto"/>
                    <w:ind w:left="-73" w:leftChars="-35" w:right="-73" w:rightChars="-35" w:firstLine="0" w:firstLineChars="0"/>
                    <w:jc w:val="center"/>
                    <w:rPr>
                      <w:b/>
                      <w:color w:val="auto"/>
                      <w:sz w:val="21"/>
                      <w:szCs w:val="21"/>
                    </w:rPr>
                  </w:pPr>
                  <w:r>
                    <w:rPr>
                      <w:b/>
                      <w:color w:val="auto"/>
                      <w:sz w:val="21"/>
                      <w:szCs w:val="21"/>
                      <w:lang w:val="en-US"/>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17" w:type="pct"/>
                  <w:vAlign w:val="center"/>
                </w:tcPr>
                <w:p>
                  <w:pPr>
                    <w:ind w:right="-73" w:rightChars="-35"/>
                    <w:jc w:val="center"/>
                    <w:rPr>
                      <w:bCs/>
                      <w:color w:val="auto"/>
                      <w:szCs w:val="21"/>
                    </w:rPr>
                  </w:pPr>
                  <w:r>
                    <w:rPr>
                      <w:rFonts w:hint="eastAsia"/>
                      <w:bCs/>
                      <w:color w:val="auto"/>
                      <w:szCs w:val="21"/>
                    </w:rPr>
                    <w:t>发泡废气（DA001）</w:t>
                  </w:r>
                </w:p>
              </w:tc>
              <w:tc>
                <w:tcPr>
                  <w:tcW w:w="498" w:type="pct"/>
                  <w:vAlign w:val="center"/>
                </w:tcPr>
                <w:p>
                  <w:pPr>
                    <w:ind w:right="-73" w:rightChars="-35"/>
                    <w:jc w:val="center"/>
                    <w:rPr>
                      <w:bCs/>
                      <w:color w:val="auto"/>
                      <w:szCs w:val="21"/>
                    </w:rPr>
                  </w:pPr>
                  <w:r>
                    <w:rPr>
                      <w:bCs/>
                      <w:color w:val="auto"/>
                      <w:szCs w:val="21"/>
                    </w:rPr>
                    <w:t>非甲烷总烃</w:t>
                  </w:r>
                </w:p>
              </w:tc>
              <w:tc>
                <w:tcPr>
                  <w:tcW w:w="387" w:type="pct"/>
                  <w:vAlign w:val="center"/>
                </w:tcPr>
                <w:p>
                  <w:pPr>
                    <w:ind w:right="-73" w:rightChars="-35"/>
                    <w:jc w:val="center"/>
                    <w:rPr>
                      <w:bCs/>
                      <w:color w:val="auto"/>
                      <w:szCs w:val="21"/>
                    </w:rPr>
                  </w:pPr>
                  <w:r>
                    <w:rPr>
                      <w:rFonts w:hint="eastAsia"/>
                      <w:b w:val="0"/>
                      <w:color w:val="auto"/>
                      <w:sz w:val="21"/>
                      <w:szCs w:val="21"/>
                      <w:lang w:val="en-US" w:eastAsia="zh-CN"/>
                    </w:rPr>
                    <w:t>7.74</w:t>
                  </w:r>
                </w:p>
              </w:tc>
              <w:tc>
                <w:tcPr>
                  <w:tcW w:w="39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1.94</w:t>
                  </w:r>
                </w:p>
              </w:tc>
              <w:tc>
                <w:tcPr>
                  <w:tcW w:w="527"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0.32</w:t>
                  </w:r>
                </w:p>
              </w:tc>
              <w:tc>
                <w:tcPr>
                  <w:tcW w:w="46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24.79</w:t>
                  </w:r>
                </w:p>
              </w:tc>
              <w:tc>
                <w:tcPr>
                  <w:tcW w:w="460" w:type="pct"/>
                  <w:vMerge w:val="restart"/>
                  <w:vAlign w:val="center"/>
                </w:tcPr>
                <w:p>
                  <w:pPr>
                    <w:ind w:right="-73" w:rightChars="-35"/>
                    <w:jc w:val="center"/>
                    <w:rPr>
                      <w:bCs/>
                      <w:color w:val="auto"/>
                      <w:szCs w:val="21"/>
                    </w:rPr>
                  </w:pPr>
                  <w:r>
                    <w:rPr>
                      <w:rFonts w:hint="eastAsia"/>
                      <w:bCs/>
                      <w:color w:val="auto"/>
                      <w:szCs w:val="21"/>
                    </w:rPr>
                    <w:t>6</w:t>
                  </w:r>
                  <w:r>
                    <w:rPr>
                      <w:bCs/>
                      <w:color w:val="auto"/>
                      <w:szCs w:val="21"/>
                    </w:rPr>
                    <w:t>0</w:t>
                  </w:r>
                </w:p>
              </w:tc>
              <w:tc>
                <w:tcPr>
                  <w:tcW w:w="264" w:type="pct"/>
                  <w:vAlign w:val="center"/>
                </w:tcPr>
                <w:p>
                  <w:pPr>
                    <w:ind w:right="-73" w:rightChars="-35"/>
                    <w:jc w:val="center"/>
                    <w:rPr>
                      <w:bCs/>
                      <w:color w:val="auto"/>
                      <w:szCs w:val="21"/>
                    </w:rPr>
                  </w:pPr>
                  <w:r>
                    <w:rPr>
                      <w:bCs/>
                      <w:color w:val="auto"/>
                      <w:szCs w:val="21"/>
                    </w:rPr>
                    <w:t>达标</w:t>
                  </w:r>
                </w:p>
              </w:tc>
              <w:tc>
                <w:tcPr>
                  <w:tcW w:w="1189" w:type="pct"/>
                  <w:vMerge w:val="restart"/>
                  <w:vAlign w:val="center"/>
                </w:tcPr>
                <w:p>
                  <w:pPr>
                    <w:ind w:right="-73" w:rightChars="-35"/>
                    <w:jc w:val="center"/>
                    <w:rPr>
                      <w:bCs/>
                      <w:color w:val="auto"/>
                      <w:szCs w:val="21"/>
                    </w:rPr>
                  </w:pPr>
                  <w:r>
                    <w:rPr>
                      <w:bCs/>
                      <w:color w:val="auto"/>
                      <w:szCs w:val="21"/>
                    </w:rPr>
                    <w:t>《合成树脂工业污染物排放标准》（GB31572-2015）中相关标准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17" w:type="pct"/>
                  <w:vAlign w:val="center"/>
                </w:tcPr>
                <w:p>
                  <w:pPr>
                    <w:ind w:right="-73" w:rightChars="-35"/>
                    <w:jc w:val="center"/>
                    <w:rPr>
                      <w:bCs/>
                      <w:color w:val="auto"/>
                      <w:szCs w:val="21"/>
                    </w:rPr>
                  </w:pPr>
                  <w:r>
                    <w:rPr>
                      <w:rFonts w:hint="eastAsia"/>
                      <w:bCs/>
                      <w:color w:val="auto"/>
                      <w:szCs w:val="21"/>
                    </w:rPr>
                    <w:t>模压废气（DA002）</w:t>
                  </w:r>
                </w:p>
              </w:tc>
              <w:tc>
                <w:tcPr>
                  <w:tcW w:w="498" w:type="pct"/>
                  <w:vAlign w:val="center"/>
                </w:tcPr>
                <w:p>
                  <w:pPr>
                    <w:ind w:right="-73" w:rightChars="-35"/>
                    <w:jc w:val="center"/>
                    <w:rPr>
                      <w:bCs/>
                      <w:color w:val="auto"/>
                      <w:szCs w:val="21"/>
                    </w:rPr>
                  </w:pPr>
                  <w:r>
                    <w:rPr>
                      <w:bCs/>
                      <w:color w:val="auto"/>
                      <w:szCs w:val="21"/>
                    </w:rPr>
                    <w:t>非甲烷总烃</w:t>
                  </w:r>
                </w:p>
              </w:tc>
              <w:tc>
                <w:tcPr>
                  <w:tcW w:w="387" w:type="pct"/>
                  <w:vAlign w:val="center"/>
                </w:tcPr>
                <w:p>
                  <w:pPr>
                    <w:ind w:right="-73" w:rightChars="-35"/>
                    <w:jc w:val="center"/>
                    <w:rPr>
                      <w:bCs/>
                      <w:color w:val="auto"/>
                      <w:szCs w:val="21"/>
                    </w:rPr>
                  </w:pPr>
                  <w:r>
                    <w:rPr>
                      <w:rFonts w:hint="eastAsia"/>
                      <w:b w:val="0"/>
                      <w:color w:val="auto"/>
                      <w:sz w:val="21"/>
                      <w:szCs w:val="21"/>
                      <w:lang w:val="en-US" w:eastAsia="zh-CN"/>
                    </w:rPr>
                    <w:t>1.46</w:t>
                  </w:r>
                </w:p>
              </w:tc>
              <w:tc>
                <w:tcPr>
                  <w:tcW w:w="39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0.22</w:t>
                  </w:r>
                </w:p>
              </w:tc>
              <w:tc>
                <w:tcPr>
                  <w:tcW w:w="527"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0.04</w:t>
                  </w:r>
                </w:p>
              </w:tc>
              <w:tc>
                <w:tcPr>
                  <w:tcW w:w="46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szCs w:val="21"/>
                      <w:highlight w:val="none"/>
                      <w:lang w:val="en-US" w:eastAsia="zh-CN"/>
                    </w:rPr>
                    <w:t>0.95</w:t>
                  </w:r>
                </w:p>
              </w:tc>
              <w:tc>
                <w:tcPr>
                  <w:tcW w:w="460" w:type="pct"/>
                  <w:vMerge w:val="continue"/>
                  <w:vAlign w:val="center"/>
                </w:tcPr>
                <w:p>
                  <w:pPr>
                    <w:ind w:left="-73" w:leftChars="-35" w:right="-73" w:rightChars="-35" w:firstLine="480"/>
                    <w:jc w:val="center"/>
                    <w:rPr>
                      <w:bCs/>
                      <w:color w:val="auto"/>
                      <w:szCs w:val="21"/>
                    </w:rPr>
                  </w:pPr>
                </w:p>
              </w:tc>
              <w:tc>
                <w:tcPr>
                  <w:tcW w:w="264" w:type="pct"/>
                  <w:vAlign w:val="center"/>
                </w:tcPr>
                <w:p>
                  <w:pPr>
                    <w:ind w:right="-73" w:rightChars="-35"/>
                    <w:jc w:val="center"/>
                    <w:rPr>
                      <w:bCs/>
                      <w:color w:val="auto"/>
                      <w:szCs w:val="21"/>
                    </w:rPr>
                  </w:pPr>
                  <w:r>
                    <w:rPr>
                      <w:bCs/>
                      <w:color w:val="auto"/>
                      <w:szCs w:val="21"/>
                    </w:rPr>
                    <w:t>达标</w:t>
                  </w:r>
                </w:p>
              </w:tc>
              <w:tc>
                <w:tcPr>
                  <w:tcW w:w="1189" w:type="pct"/>
                  <w:vMerge w:val="continue"/>
                  <w:vAlign w:val="center"/>
                </w:tcPr>
                <w:p>
                  <w:pPr>
                    <w:ind w:left="-73" w:leftChars="-35" w:right="-73" w:rightChars="-35" w:firstLine="480"/>
                    <w:jc w:val="center"/>
                    <w:rPr>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17" w:type="pct"/>
                  <w:vAlign w:val="center"/>
                </w:tcPr>
                <w:p>
                  <w:pPr>
                    <w:ind w:right="-73" w:rightChars="-35"/>
                    <w:jc w:val="center"/>
                    <w:rPr>
                      <w:bCs/>
                      <w:color w:val="auto"/>
                      <w:szCs w:val="21"/>
                    </w:rPr>
                  </w:pPr>
                  <w:r>
                    <w:rPr>
                      <w:rFonts w:hint="eastAsia"/>
                      <w:bCs/>
                      <w:color w:val="auto"/>
                      <w:szCs w:val="21"/>
                    </w:rPr>
                    <w:t>模具</w:t>
                  </w:r>
                  <w:r>
                    <w:rPr>
                      <w:rFonts w:hint="eastAsia"/>
                      <w:bCs/>
                      <w:color w:val="auto"/>
                      <w:szCs w:val="21"/>
                      <w:lang w:val="en-US" w:eastAsia="zh-CN"/>
                    </w:rPr>
                    <w:t>清</w:t>
                  </w:r>
                  <w:r>
                    <w:rPr>
                      <w:rFonts w:hint="eastAsia"/>
                      <w:bCs/>
                      <w:color w:val="auto"/>
                      <w:szCs w:val="21"/>
                    </w:rPr>
                    <w:t>理废气（DA001）</w:t>
                  </w:r>
                </w:p>
              </w:tc>
              <w:tc>
                <w:tcPr>
                  <w:tcW w:w="498" w:type="pct"/>
                  <w:vAlign w:val="center"/>
                </w:tcPr>
                <w:p>
                  <w:pPr>
                    <w:ind w:right="-73" w:rightChars="-35"/>
                    <w:jc w:val="center"/>
                    <w:rPr>
                      <w:bCs/>
                      <w:color w:val="auto"/>
                      <w:szCs w:val="21"/>
                    </w:rPr>
                  </w:pPr>
                  <w:r>
                    <w:rPr>
                      <w:rFonts w:hint="eastAsia"/>
                      <w:bCs/>
                      <w:color w:val="auto"/>
                      <w:szCs w:val="21"/>
                    </w:rPr>
                    <w:t>颗粒物</w:t>
                  </w:r>
                </w:p>
              </w:tc>
              <w:tc>
                <w:tcPr>
                  <w:tcW w:w="387" w:type="pct"/>
                  <w:vAlign w:val="center"/>
                </w:tcPr>
                <w:p>
                  <w:pPr>
                    <w:ind w:right="-73" w:rightChars="-35"/>
                    <w:jc w:val="center"/>
                    <w:rPr>
                      <w:bCs/>
                      <w:color w:val="auto"/>
                      <w:szCs w:val="21"/>
                    </w:rPr>
                  </w:pPr>
                  <w:r>
                    <w:rPr>
                      <w:rFonts w:hint="eastAsia"/>
                      <w:b w:val="0"/>
                      <w:color w:val="auto"/>
                      <w:sz w:val="21"/>
                      <w:szCs w:val="21"/>
                      <w:lang w:val="en-US" w:eastAsia="zh-CN"/>
                    </w:rPr>
                    <w:t>1.62</w:t>
                  </w:r>
                </w:p>
              </w:tc>
              <w:tc>
                <w:tcPr>
                  <w:tcW w:w="39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0.49</w:t>
                  </w:r>
                </w:p>
              </w:tc>
              <w:tc>
                <w:tcPr>
                  <w:tcW w:w="527"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Cs w:val="21"/>
                      <w:highlight w:val="none"/>
                      <w:lang w:val="en-US" w:eastAsia="zh-CN"/>
                    </w:rPr>
                    <w:t>0.08</w:t>
                  </w:r>
                </w:p>
              </w:tc>
              <w:tc>
                <w:tcPr>
                  <w:tcW w:w="46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Cs w:val="21"/>
                      <w:highlight w:val="none"/>
                      <w:lang w:val="en-US" w:eastAsia="zh-CN"/>
                    </w:rPr>
                    <w:t>1.90</w:t>
                  </w:r>
                </w:p>
              </w:tc>
              <w:tc>
                <w:tcPr>
                  <w:tcW w:w="460" w:type="pct"/>
                  <w:vMerge w:val="restart"/>
                  <w:vAlign w:val="center"/>
                </w:tcPr>
                <w:p>
                  <w:pPr>
                    <w:ind w:right="-73" w:rightChars="-35"/>
                    <w:jc w:val="center"/>
                    <w:rPr>
                      <w:bCs/>
                      <w:color w:val="auto"/>
                      <w:szCs w:val="21"/>
                    </w:rPr>
                  </w:pPr>
                  <w:r>
                    <w:rPr>
                      <w:rFonts w:hint="eastAsia"/>
                      <w:bCs/>
                      <w:color w:val="auto"/>
                      <w:szCs w:val="21"/>
                    </w:rPr>
                    <w:t>20</w:t>
                  </w:r>
                </w:p>
              </w:tc>
              <w:tc>
                <w:tcPr>
                  <w:tcW w:w="264" w:type="pct"/>
                  <w:vAlign w:val="center"/>
                </w:tcPr>
                <w:p>
                  <w:pPr>
                    <w:ind w:right="-73" w:rightChars="-35"/>
                    <w:jc w:val="center"/>
                    <w:rPr>
                      <w:bCs/>
                      <w:color w:val="auto"/>
                      <w:szCs w:val="21"/>
                    </w:rPr>
                  </w:pPr>
                  <w:r>
                    <w:rPr>
                      <w:bCs/>
                      <w:color w:val="auto"/>
                      <w:szCs w:val="21"/>
                    </w:rPr>
                    <w:t>达标</w:t>
                  </w:r>
                </w:p>
              </w:tc>
              <w:tc>
                <w:tcPr>
                  <w:tcW w:w="1189" w:type="pct"/>
                  <w:vMerge w:val="continue"/>
                  <w:vAlign w:val="center"/>
                </w:tcPr>
                <w:p>
                  <w:pPr>
                    <w:ind w:left="-73" w:leftChars="-35" w:right="-73" w:rightChars="-35" w:firstLine="480"/>
                    <w:jc w:val="center"/>
                    <w:rPr>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17" w:type="pct"/>
                  <w:vAlign w:val="center"/>
                </w:tcPr>
                <w:p>
                  <w:pPr>
                    <w:ind w:right="-73" w:rightChars="-35"/>
                    <w:jc w:val="center"/>
                    <w:rPr>
                      <w:rFonts w:hint="eastAsia"/>
                      <w:bCs/>
                      <w:color w:val="auto"/>
                      <w:szCs w:val="21"/>
                    </w:rPr>
                  </w:pPr>
                  <w:r>
                    <w:rPr>
                      <w:rFonts w:hint="eastAsia"/>
                      <w:bCs/>
                      <w:color w:val="auto"/>
                      <w:szCs w:val="21"/>
                    </w:rPr>
                    <w:t>模具</w:t>
                  </w:r>
                  <w:r>
                    <w:rPr>
                      <w:rFonts w:hint="eastAsia"/>
                      <w:bCs/>
                      <w:color w:val="auto"/>
                      <w:szCs w:val="21"/>
                      <w:lang w:val="en-US" w:eastAsia="zh-CN"/>
                    </w:rPr>
                    <w:t>清</w:t>
                  </w:r>
                  <w:r>
                    <w:rPr>
                      <w:rFonts w:hint="eastAsia"/>
                      <w:bCs/>
                      <w:color w:val="auto"/>
                      <w:szCs w:val="21"/>
                    </w:rPr>
                    <w:t>理废气（DA00</w:t>
                  </w:r>
                  <w:r>
                    <w:rPr>
                      <w:rFonts w:hint="eastAsia"/>
                      <w:bCs/>
                      <w:color w:val="auto"/>
                      <w:szCs w:val="21"/>
                      <w:lang w:val="en-US" w:eastAsia="zh-CN"/>
                    </w:rPr>
                    <w:t>2</w:t>
                  </w:r>
                  <w:r>
                    <w:rPr>
                      <w:rFonts w:hint="eastAsia"/>
                      <w:bCs/>
                      <w:color w:val="auto"/>
                      <w:szCs w:val="21"/>
                    </w:rPr>
                    <w:t>）</w:t>
                  </w:r>
                </w:p>
              </w:tc>
              <w:tc>
                <w:tcPr>
                  <w:tcW w:w="498" w:type="pct"/>
                  <w:vAlign w:val="center"/>
                </w:tcPr>
                <w:p>
                  <w:pPr>
                    <w:ind w:right="-73" w:rightChars="-35"/>
                    <w:jc w:val="center"/>
                    <w:rPr>
                      <w:rFonts w:hint="eastAsia"/>
                      <w:bCs/>
                      <w:color w:val="auto"/>
                      <w:szCs w:val="21"/>
                    </w:rPr>
                  </w:pPr>
                  <w:r>
                    <w:rPr>
                      <w:rFonts w:hint="eastAsia"/>
                      <w:bCs/>
                      <w:color w:val="auto"/>
                      <w:szCs w:val="21"/>
                    </w:rPr>
                    <w:t>颗粒物</w:t>
                  </w:r>
                </w:p>
              </w:tc>
              <w:tc>
                <w:tcPr>
                  <w:tcW w:w="387" w:type="pct"/>
                  <w:vAlign w:val="center"/>
                </w:tcPr>
                <w:p>
                  <w:pPr>
                    <w:ind w:right="-73" w:rightChars="-35"/>
                    <w:jc w:val="center"/>
                    <w:rPr>
                      <w:bCs/>
                      <w:color w:val="auto"/>
                      <w:szCs w:val="21"/>
                    </w:rPr>
                  </w:pPr>
                  <w:r>
                    <w:rPr>
                      <w:rFonts w:hint="eastAsia"/>
                      <w:b w:val="0"/>
                      <w:color w:val="auto"/>
                      <w:sz w:val="21"/>
                      <w:szCs w:val="21"/>
                      <w:lang w:val="en-US" w:eastAsia="zh-CN"/>
                    </w:rPr>
                    <w:t>2.70</w:t>
                  </w:r>
                </w:p>
              </w:tc>
              <w:tc>
                <w:tcPr>
                  <w:tcW w:w="393"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0.81</w:t>
                  </w:r>
                </w:p>
              </w:tc>
              <w:tc>
                <w:tcPr>
                  <w:tcW w:w="527"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0.14</w:t>
                  </w:r>
                </w:p>
              </w:tc>
              <w:tc>
                <w:tcPr>
                  <w:tcW w:w="460" w:type="pct"/>
                  <w:vAlign w:val="center"/>
                </w:tcPr>
                <w:p>
                  <w:pPr>
                    <w:keepNext w:val="0"/>
                    <w:keepLines w:val="0"/>
                    <w:suppressLineNumbers w:val="0"/>
                    <w:adjustRightInd w:val="0"/>
                    <w:snapToGrid w:val="0"/>
                    <w:spacing w:before="0" w:beforeAutospacing="0" w:after="0" w:afterAutospacing="0" w:line="240" w:lineRule="atLeast"/>
                    <w:ind w:left="0" w:leftChars="0" w:right="0" w:rightChars="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szCs w:val="21"/>
                      <w:highlight w:val="none"/>
                      <w:lang w:val="en-US" w:eastAsia="zh-CN"/>
                    </w:rPr>
                    <w:t>3.33</w:t>
                  </w:r>
                </w:p>
              </w:tc>
              <w:tc>
                <w:tcPr>
                  <w:tcW w:w="460" w:type="pct"/>
                  <w:vMerge w:val="continue"/>
                  <w:vAlign w:val="center"/>
                </w:tcPr>
                <w:p>
                  <w:pPr>
                    <w:ind w:right="-73" w:rightChars="-35"/>
                    <w:jc w:val="center"/>
                    <w:rPr>
                      <w:rFonts w:hint="eastAsia"/>
                      <w:bCs/>
                      <w:color w:val="auto"/>
                      <w:szCs w:val="21"/>
                    </w:rPr>
                  </w:pPr>
                </w:p>
              </w:tc>
              <w:tc>
                <w:tcPr>
                  <w:tcW w:w="264" w:type="pct"/>
                  <w:vAlign w:val="center"/>
                </w:tcPr>
                <w:p>
                  <w:pPr>
                    <w:ind w:right="-73" w:rightChars="-35"/>
                    <w:jc w:val="center"/>
                    <w:rPr>
                      <w:bCs/>
                      <w:color w:val="auto"/>
                      <w:szCs w:val="21"/>
                    </w:rPr>
                  </w:pPr>
                  <w:r>
                    <w:rPr>
                      <w:bCs/>
                      <w:color w:val="auto"/>
                      <w:szCs w:val="21"/>
                    </w:rPr>
                    <w:t>达标</w:t>
                  </w:r>
                </w:p>
              </w:tc>
              <w:tc>
                <w:tcPr>
                  <w:tcW w:w="1189" w:type="pct"/>
                  <w:vMerge w:val="continue"/>
                  <w:vAlign w:val="center"/>
                </w:tcPr>
                <w:p>
                  <w:pPr>
                    <w:ind w:left="-73" w:leftChars="-35" w:right="-73" w:rightChars="-35" w:firstLine="480"/>
                    <w:jc w:val="center"/>
                    <w:rPr>
                      <w:bCs/>
                      <w:color w:val="auto"/>
                      <w:szCs w:val="21"/>
                    </w:rPr>
                  </w:pPr>
                </w:p>
              </w:tc>
            </w:tr>
          </w:tbl>
          <w:p>
            <w:pPr>
              <w:adjustRightInd w:val="0"/>
              <w:snapToGrid w:val="0"/>
              <w:spacing w:line="360" w:lineRule="auto"/>
              <w:ind w:firstLine="440" w:firstLineChars="200"/>
              <w:rPr>
                <w:bCs/>
                <w:color w:val="auto"/>
                <w:spacing w:val="-10"/>
                <w:sz w:val="24"/>
              </w:rPr>
            </w:pPr>
            <w:r>
              <w:rPr>
                <w:rFonts w:hint="eastAsia"/>
                <w:bCs/>
                <w:color w:val="auto"/>
                <w:spacing w:val="-10"/>
                <w:sz w:val="24"/>
              </w:rPr>
              <w:t>②无组织达标分析</w:t>
            </w:r>
          </w:p>
          <w:p>
            <w:pPr>
              <w:adjustRightInd w:val="0"/>
              <w:snapToGrid w:val="0"/>
              <w:spacing w:line="360" w:lineRule="auto"/>
              <w:ind w:firstLine="440" w:firstLineChars="200"/>
              <w:rPr>
                <w:bCs/>
                <w:color w:val="auto"/>
                <w:spacing w:val="-10"/>
                <w:sz w:val="24"/>
              </w:rPr>
            </w:pPr>
            <w:r>
              <w:rPr>
                <w:rFonts w:hint="eastAsia"/>
                <w:bCs/>
                <w:color w:val="auto"/>
                <w:spacing w:val="-10"/>
                <w:sz w:val="24"/>
              </w:rPr>
              <w:t>无组织废气包括未收集的发泡废气、未收集的</w:t>
            </w:r>
            <w:r>
              <w:rPr>
                <w:rFonts w:hint="eastAsia"/>
                <w:bCs/>
                <w:color w:val="auto"/>
                <w:spacing w:val="-10"/>
                <w:sz w:val="24"/>
                <w:lang w:eastAsia="zh-CN"/>
              </w:rPr>
              <w:t>模压废气</w:t>
            </w:r>
            <w:r>
              <w:rPr>
                <w:rFonts w:hint="eastAsia"/>
                <w:bCs/>
                <w:color w:val="auto"/>
                <w:spacing w:val="-10"/>
                <w:sz w:val="24"/>
              </w:rPr>
              <w:t>、模具</w:t>
            </w:r>
            <w:r>
              <w:rPr>
                <w:rFonts w:hint="eastAsia"/>
                <w:bCs/>
                <w:color w:val="auto"/>
                <w:spacing w:val="-10"/>
                <w:sz w:val="24"/>
                <w:lang w:val="en-US" w:eastAsia="zh-CN"/>
              </w:rPr>
              <w:t>清</w:t>
            </w:r>
            <w:r>
              <w:rPr>
                <w:rFonts w:hint="eastAsia"/>
                <w:bCs/>
                <w:color w:val="auto"/>
                <w:spacing w:val="-10"/>
                <w:sz w:val="24"/>
              </w:rPr>
              <w:t>理过程中产生的颗粒物废气。</w:t>
            </w:r>
          </w:p>
          <w:p>
            <w:pPr>
              <w:adjustRightInd w:val="0"/>
              <w:snapToGrid w:val="0"/>
              <w:spacing w:line="360" w:lineRule="auto"/>
              <w:ind w:firstLine="440" w:firstLineChars="200"/>
              <w:rPr>
                <w:bCs/>
                <w:color w:val="auto"/>
                <w:spacing w:val="-10"/>
                <w:sz w:val="24"/>
              </w:rPr>
            </w:pPr>
            <w:r>
              <w:rPr>
                <w:bCs/>
                <w:color w:val="auto"/>
                <w:spacing w:val="-10"/>
                <w:sz w:val="24"/>
              </w:rPr>
              <w:t>经过厂房阻隔后少量无组织逸散，对环境影响较小。本次环评主要针对未收集的发泡废气</w:t>
            </w:r>
            <w:r>
              <w:rPr>
                <w:rFonts w:hint="eastAsia"/>
                <w:bCs/>
                <w:color w:val="auto"/>
                <w:spacing w:val="-10"/>
                <w:sz w:val="24"/>
                <w:lang w:eastAsia="zh-CN"/>
              </w:rPr>
              <w:t>、模压废气、</w:t>
            </w:r>
            <w:r>
              <w:rPr>
                <w:rFonts w:hint="eastAsia"/>
                <w:bCs/>
                <w:color w:val="auto"/>
                <w:spacing w:val="-10"/>
                <w:sz w:val="24"/>
                <w:lang w:val="en-US" w:eastAsia="zh-CN"/>
              </w:rPr>
              <w:t>模具清理废气</w:t>
            </w:r>
            <w:r>
              <w:rPr>
                <w:bCs/>
                <w:color w:val="auto"/>
                <w:spacing w:val="-10"/>
                <w:sz w:val="24"/>
              </w:rPr>
              <w:t>进行分析。</w:t>
            </w:r>
            <w:r>
              <w:rPr>
                <w:rFonts w:hint="eastAsia"/>
                <w:bCs/>
                <w:color w:val="auto"/>
                <w:spacing w:val="-10"/>
                <w:sz w:val="24"/>
              </w:rPr>
              <w:t>项目无组织废气排放参数见表4-6。</w:t>
            </w:r>
          </w:p>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表4-</w:t>
            </w:r>
            <w:r>
              <w:rPr>
                <w:rFonts w:hint="eastAsia" w:ascii="Times New Roman" w:hAnsi="Times New Roman" w:cs="Times New Roman"/>
                <w:b/>
                <w:color w:val="auto"/>
                <w:szCs w:val="21"/>
                <w:highlight w:val="none"/>
                <w:lang w:val="en-US" w:eastAsia="zh-CN"/>
              </w:rPr>
              <w:t>6</w:t>
            </w:r>
            <w:r>
              <w:rPr>
                <w:rFonts w:hint="default" w:ascii="Times New Roman" w:hAnsi="Times New Roman" w:cs="Times New Roman"/>
                <w:b/>
                <w:color w:val="auto"/>
                <w:szCs w:val="21"/>
                <w:highlight w:val="none"/>
              </w:rPr>
              <w:t xml:space="preserve"> 项目无组织废气产排情况</w:t>
            </w:r>
          </w:p>
          <w:tbl>
            <w:tblPr>
              <w:tblStyle w:val="18"/>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1167"/>
              <w:gridCol w:w="528"/>
              <w:gridCol w:w="544"/>
              <w:gridCol w:w="723"/>
              <w:gridCol w:w="871"/>
              <w:gridCol w:w="1035"/>
              <w:gridCol w:w="1219"/>
              <w:gridCol w:w="12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产生源</w:t>
                  </w:r>
                </w:p>
              </w:tc>
              <w:tc>
                <w:tcPr>
                  <w:tcW w:w="742"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参数</w:t>
                  </w:r>
                </w:p>
              </w:tc>
              <w:tc>
                <w:tcPr>
                  <w:tcW w:w="682" w:type="pct"/>
                  <w:gridSpan w:val="2"/>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lang w:val="en-US" w:eastAsia="zh-CN"/>
                    </w:rPr>
                  </w:pPr>
                  <w:r>
                    <w:rPr>
                      <w:rFonts w:hint="eastAsia" w:ascii="Times New Roman" w:eastAsia="宋体" w:cs="Times New Roman"/>
                      <w:b/>
                      <w:color w:val="auto"/>
                      <w:sz w:val="21"/>
                      <w:szCs w:val="21"/>
                      <w:highlight w:val="none"/>
                      <w:lang w:val="en-US" w:eastAsia="zh-CN"/>
                    </w:rPr>
                    <w:t>污染工序/生产线</w:t>
                  </w:r>
                </w:p>
              </w:tc>
              <w:tc>
                <w:tcPr>
                  <w:tcW w:w="460"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污染物</w:t>
                  </w:r>
                </w:p>
              </w:tc>
              <w:tc>
                <w:tcPr>
                  <w:tcW w:w="554"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排放量（</w:t>
                  </w:r>
                  <w:r>
                    <w:rPr>
                      <w:rFonts w:hint="eastAsia" w:ascii="Times New Roman" w:hAnsi="Times New Roman" w:eastAsia="宋体" w:cs="Times New Roman"/>
                      <w:b/>
                      <w:color w:val="auto"/>
                      <w:sz w:val="21"/>
                      <w:szCs w:val="21"/>
                      <w:highlight w:val="none"/>
                    </w:rPr>
                    <w:t>t</w:t>
                  </w:r>
                  <w:r>
                    <w:rPr>
                      <w:rFonts w:hint="default" w:ascii="Times New Roman" w:hAnsi="Times New Roman" w:eastAsia="宋体" w:cs="Times New Roman"/>
                      <w:b/>
                      <w:color w:val="auto"/>
                      <w:sz w:val="21"/>
                      <w:szCs w:val="21"/>
                      <w:highlight w:val="none"/>
                    </w:rPr>
                    <w:t>/a）</w:t>
                  </w:r>
                </w:p>
              </w:tc>
              <w:tc>
                <w:tcPr>
                  <w:tcW w:w="658"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速率</w:t>
                  </w:r>
                </w:p>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（kg/h）</w:t>
                  </w:r>
                </w:p>
              </w:tc>
              <w:tc>
                <w:tcPr>
                  <w:tcW w:w="775"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浓度（mg/m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p>
              </w:tc>
              <w:tc>
                <w:tcPr>
                  <w:tcW w:w="776"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执行标准（mg/m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49" w:type="pct"/>
                  <w:vMerge w:val="restar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r>
                    <w:rPr>
                      <w:rFonts w:hint="eastAsia" w:ascii="Times New Roman" w:eastAsia="宋体" w:cs="Times New Roman"/>
                      <w:bCs/>
                      <w:color w:val="auto"/>
                      <w:sz w:val="21"/>
                      <w:szCs w:val="21"/>
                      <w:highlight w:val="none"/>
                      <w:lang w:val="en-US" w:eastAsia="zh-CN"/>
                    </w:rPr>
                    <w:t>11</w:t>
                  </w:r>
                  <w:r>
                    <w:rPr>
                      <w:rFonts w:hint="default" w:ascii="Times New Roman" w:hAnsi="Times New Roman" w:eastAsia="宋体" w:cs="Times New Roman"/>
                      <w:bCs/>
                      <w:color w:val="auto"/>
                      <w:sz w:val="21"/>
                      <w:szCs w:val="21"/>
                      <w:highlight w:val="none"/>
                    </w:rPr>
                    <w:t>#厂房</w:t>
                  </w:r>
                </w:p>
              </w:tc>
              <w:tc>
                <w:tcPr>
                  <w:tcW w:w="742" w:type="pct"/>
                  <w:vMerge w:val="restar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长</w:t>
                  </w:r>
                  <w:r>
                    <w:rPr>
                      <w:rFonts w:hint="eastAsia" w:ascii="Times New Roman" w:eastAsia="宋体" w:cs="Times New Roman"/>
                      <w:bCs/>
                      <w:color w:val="auto"/>
                      <w:sz w:val="21"/>
                      <w:szCs w:val="21"/>
                      <w:highlight w:val="none"/>
                      <w:lang w:val="en-US" w:eastAsia="zh-CN"/>
                    </w:rPr>
                    <w:t>128.75</w:t>
                  </w:r>
                  <w:r>
                    <w:rPr>
                      <w:rFonts w:hint="default" w:ascii="Times New Roman" w:hAnsi="Times New Roman" w:eastAsia="宋体" w:cs="Times New Roman"/>
                      <w:bCs/>
                      <w:color w:val="auto"/>
                      <w:sz w:val="21"/>
                      <w:szCs w:val="21"/>
                      <w:highlight w:val="none"/>
                    </w:rPr>
                    <w:t>m，宽</w:t>
                  </w:r>
                  <w:r>
                    <w:rPr>
                      <w:rFonts w:hint="eastAsia" w:ascii="Times New Roman" w:eastAsia="宋体" w:cs="Times New Roman"/>
                      <w:bCs/>
                      <w:color w:val="auto"/>
                      <w:sz w:val="21"/>
                      <w:szCs w:val="21"/>
                      <w:highlight w:val="none"/>
                      <w:lang w:val="en-US" w:eastAsia="zh-CN"/>
                    </w:rPr>
                    <w:t>129.51</w:t>
                  </w:r>
                  <w:r>
                    <w:rPr>
                      <w:rFonts w:hint="default" w:ascii="Times New Roman" w:hAnsi="Times New Roman" w:eastAsia="宋体" w:cs="Times New Roman"/>
                      <w:bCs/>
                      <w:color w:val="auto"/>
                      <w:sz w:val="21"/>
                      <w:szCs w:val="21"/>
                      <w:highlight w:val="none"/>
                    </w:rPr>
                    <w:t>m</w:t>
                  </w:r>
                </w:p>
              </w:tc>
              <w:tc>
                <w:tcPr>
                  <w:tcW w:w="682" w:type="pct"/>
                  <w:gridSpan w:val="2"/>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eastAsia="宋体" w:cs="Times New Roman"/>
                      <w:bCs/>
                      <w:color w:val="auto"/>
                      <w:sz w:val="21"/>
                      <w:szCs w:val="21"/>
                      <w:highlight w:val="none"/>
                      <w:lang w:val="en-US" w:eastAsia="zh-CN"/>
                    </w:rPr>
                    <w:t>发泡</w:t>
                  </w:r>
                </w:p>
              </w:tc>
              <w:tc>
                <w:tcPr>
                  <w:tcW w:w="460" w:type="pct"/>
                  <w:vMerge w:val="restar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非甲烷总烃</w:t>
                  </w:r>
                </w:p>
              </w:tc>
              <w:tc>
                <w:tcPr>
                  <w:tcW w:w="554"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1.93</w:t>
                  </w:r>
                </w:p>
              </w:tc>
              <w:tc>
                <w:tcPr>
                  <w:tcW w:w="658"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0.32</w:t>
                  </w:r>
                </w:p>
              </w:tc>
              <w:tc>
                <w:tcPr>
                  <w:tcW w:w="775" w:type="pct"/>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w:t>
                  </w:r>
                </w:p>
              </w:tc>
              <w:tc>
                <w:tcPr>
                  <w:tcW w:w="776" w:type="pct"/>
                  <w:vMerge w:val="restar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vMerge w:val="continue"/>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p>
              </w:tc>
              <w:tc>
                <w:tcPr>
                  <w:tcW w:w="742" w:type="pct"/>
                  <w:vMerge w:val="continue"/>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p>
              </w:tc>
              <w:tc>
                <w:tcPr>
                  <w:tcW w:w="682" w:type="pct"/>
                  <w:gridSpan w:val="2"/>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eastAsia="宋体" w:cs="Times New Roman"/>
                      <w:bCs/>
                      <w:color w:val="auto"/>
                      <w:sz w:val="21"/>
                      <w:szCs w:val="21"/>
                      <w:highlight w:val="none"/>
                      <w:lang w:val="en-US" w:eastAsia="zh-CN"/>
                    </w:rPr>
                    <w:t>模压</w:t>
                  </w:r>
                </w:p>
              </w:tc>
              <w:tc>
                <w:tcPr>
                  <w:tcW w:w="460" w:type="pct"/>
                  <w:vMerge w:val="continue"/>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p>
              </w:tc>
              <w:tc>
                <w:tcPr>
                  <w:tcW w:w="554"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0.16</w:t>
                  </w:r>
                </w:p>
              </w:tc>
              <w:tc>
                <w:tcPr>
                  <w:tcW w:w="658"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0.03</w:t>
                  </w:r>
                </w:p>
              </w:tc>
              <w:tc>
                <w:tcPr>
                  <w:tcW w:w="775" w:type="pct"/>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w:t>
                  </w:r>
                </w:p>
              </w:tc>
              <w:tc>
                <w:tcPr>
                  <w:tcW w:w="776" w:type="pct"/>
                  <w:vMerge w:val="continue"/>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vMerge w:val="continue"/>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p>
              </w:tc>
              <w:tc>
                <w:tcPr>
                  <w:tcW w:w="742" w:type="pct"/>
                  <w:vMerge w:val="continue"/>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p>
              </w:tc>
              <w:tc>
                <w:tcPr>
                  <w:tcW w:w="336"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eastAsia="宋体" w:cs="Times New Roman"/>
                      <w:bCs/>
                      <w:color w:val="auto"/>
                      <w:sz w:val="21"/>
                      <w:szCs w:val="21"/>
                      <w:highlight w:val="none"/>
                      <w:lang w:val="en-US" w:eastAsia="zh-CN"/>
                    </w:rPr>
                  </w:pPr>
                  <w:r>
                    <w:rPr>
                      <w:rFonts w:hint="eastAsia" w:ascii="Times New Roman" w:eastAsia="宋体" w:cs="Times New Roman"/>
                      <w:bCs/>
                      <w:color w:val="auto"/>
                      <w:sz w:val="21"/>
                      <w:szCs w:val="21"/>
                      <w:highlight w:val="none"/>
                      <w:lang w:val="en-US" w:eastAsia="zh-CN"/>
                    </w:rPr>
                    <w:t>发泡</w:t>
                  </w:r>
                </w:p>
              </w:tc>
              <w:tc>
                <w:tcPr>
                  <w:tcW w:w="346" w:type="pct"/>
                  <w:vMerge w:val="restart"/>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r>
                    <w:rPr>
                      <w:rFonts w:hint="eastAsia" w:ascii="Times New Roman" w:eastAsia="宋体" w:cs="Times New Roman"/>
                      <w:bCs/>
                      <w:color w:val="auto"/>
                      <w:sz w:val="21"/>
                      <w:szCs w:val="21"/>
                      <w:highlight w:val="none"/>
                      <w:lang w:val="en-US" w:eastAsia="zh-CN"/>
                    </w:rPr>
                    <w:t>模具清理</w:t>
                  </w:r>
                </w:p>
              </w:tc>
              <w:tc>
                <w:tcPr>
                  <w:tcW w:w="460" w:type="pct"/>
                  <w:vMerge w:val="restart"/>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eastAsia="宋体" w:cs="Times New Roman"/>
                      <w:bCs/>
                      <w:color w:val="auto"/>
                      <w:sz w:val="21"/>
                      <w:szCs w:val="21"/>
                      <w:highlight w:val="none"/>
                      <w:lang w:val="en-US" w:eastAsia="zh-CN"/>
                    </w:rPr>
                    <w:t>颗粒物</w:t>
                  </w:r>
                </w:p>
              </w:tc>
              <w:tc>
                <w:tcPr>
                  <w:tcW w:w="554"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0.18</w:t>
                  </w:r>
                </w:p>
              </w:tc>
              <w:tc>
                <w:tcPr>
                  <w:tcW w:w="658"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0.03</w:t>
                  </w:r>
                </w:p>
              </w:tc>
              <w:tc>
                <w:tcPr>
                  <w:tcW w:w="775" w:type="pct"/>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w:t>
                  </w:r>
                </w:p>
              </w:tc>
              <w:tc>
                <w:tcPr>
                  <w:tcW w:w="776" w:type="pct"/>
                  <w:vMerge w:val="restar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9" w:type="pct"/>
                  <w:vMerge w:val="continue"/>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p>
              </w:tc>
              <w:tc>
                <w:tcPr>
                  <w:tcW w:w="742" w:type="pct"/>
                  <w:vMerge w:val="continue"/>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p>
              </w:tc>
              <w:tc>
                <w:tcPr>
                  <w:tcW w:w="336" w:type="pct"/>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r>
                    <w:rPr>
                      <w:rFonts w:hint="eastAsia" w:ascii="Times New Roman" w:eastAsia="宋体" w:cs="Times New Roman"/>
                      <w:bCs/>
                      <w:color w:val="auto"/>
                      <w:sz w:val="21"/>
                      <w:szCs w:val="21"/>
                      <w:highlight w:val="none"/>
                      <w:lang w:val="en-US" w:eastAsia="zh-CN"/>
                    </w:rPr>
                    <w:t>模压</w:t>
                  </w:r>
                </w:p>
              </w:tc>
              <w:tc>
                <w:tcPr>
                  <w:tcW w:w="346" w:type="pct"/>
                  <w:vMerge w:val="continue"/>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p>
              </w:tc>
              <w:tc>
                <w:tcPr>
                  <w:tcW w:w="460" w:type="pct"/>
                  <w:vMerge w:val="continue"/>
                  <w:noWrap w:val="0"/>
                  <w:vAlign w:val="center"/>
                </w:tcPr>
                <w:p>
                  <w:pPr>
                    <w:pStyle w:val="41"/>
                    <w:keepNext w:val="0"/>
                    <w:keepLines w:val="0"/>
                    <w:suppressLineNumbers w:val="0"/>
                    <w:spacing w:before="0" w:beforeAutospacing="0" w:after="0" w:afterAutospacing="0"/>
                    <w:ind w:left="0" w:right="0"/>
                    <w:jc w:val="center"/>
                    <w:rPr>
                      <w:rFonts w:hint="eastAsia" w:ascii="Times New Roman" w:eastAsia="宋体" w:cs="Times New Roman"/>
                      <w:bCs/>
                      <w:color w:val="auto"/>
                      <w:sz w:val="21"/>
                      <w:szCs w:val="21"/>
                      <w:highlight w:val="none"/>
                      <w:lang w:val="en-US" w:eastAsia="zh-CN"/>
                    </w:rPr>
                  </w:pPr>
                </w:p>
              </w:tc>
              <w:tc>
                <w:tcPr>
                  <w:tcW w:w="554"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0.30</w:t>
                  </w:r>
                </w:p>
              </w:tc>
              <w:tc>
                <w:tcPr>
                  <w:tcW w:w="658" w:type="pct"/>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0.05</w:t>
                  </w:r>
                </w:p>
              </w:tc>
              <w:tc>
                <w:tcPr>
                  <w:tcW w:w="775" w:type="pct"/>
                  <w:noWrap w:val="0"/>
                  <w:vAlign w:val="center"/>
                </w:tcPr>
                <w:p>
                  <w:pPr>
                    <w:pStyle w:val="41"/>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w:t>
                  </w:r>
                </w:p>
              </w:tc>
              <w:tc>
                <w:tcPr>
                  <w:tcW w:w="776" w:type="pct"/>
                  <w:vMerge w:val="continue"/>
                  <w:noWrap w:val="0"/>
                  <w:vAlign w:val="center"/>
                </w:tcPr>
                <w:p>
                  <w:pPr>
                    <w:pStyle w:val="41"/>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p>
              </w:tc>
            </w:tr>
          </w:tbl>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综上，本项目无组织废气非甲烷总烃排放速率符合《合成树脂工业污染物排放标准》（GB31572-2015）。</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lang w:val="en-US" w:eastAsia="zh-CN"/>
              </w:rPr>
              <w:t>（3）</w:t>
            </w:r>
            <w:r>
              <w:rPr>
                <w:rFonts w:hint="eastAsia"/>
                <w:bCs/>
                <w:color w:val="auto"/>
                <w:spacing w:val="-10"/>
                <w:sz w:val="24"/>
                <w:highlight w:val="none"/>
              </w:rPr>
              <w:t>措施可行性</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rPr>
              <w:t>①有组织废气处理措施可行性分析</w:t>
            </w:r>
          </w:p>
          <w:p>
            <w:pPr>
              <w:adjustRightInd w:val="0"/>
              <w:snapToGrid w:val="0"/>
              <w:spacing w:line="360" w:lineRule="auto"/>
              <w:ind w:firstLine="440" w:firstLineChars="200"/>
              <w:rPr>
                <w:rFonts w:hint="eastAsia" w:eastAsia="宋体"/>
                <w:bCs/>
                <w:color w:val="auto"/>
                <w:spacing w:val="-10"/>
                <w:sz w:val="24"/>
                <w:highlight w:val="none"/>
                <w:lang w:eastAsia="zh-CN"/>
              </w:rPr>
            </w:pPr>
            <w:r>
              <w:rPr>
                <w:rFonts w:hint="eastAsia"/>
                <w:bCs/>
                <w:color w:val="auto"/>
                <w:spacing w:val="-10"/>
                <w:sz w:val="24"/>
                <w:highlight w:val="none"/>
              </w:rPr>
              <w:t>本项目发泡过程在密闭模具中进行，发泡过程中产生的废气主要为发泡剂挥发废气，且生产线上均设置集气罩对产生的发泡废气进行收集，收集后统一进入一个干式过滤器+二级活性炭吸附装置进行处理</w:t>
            </w:r>
            <w:r>
              <w:rPr>
                <w:rFonts w:hint="eastAsia"/>
                <w:bCs/>
                <w:color w:val="auto"/>
                <w:spacing w:val="-10"/>
                <w:sz w:val="24"/>
                <w:highlight w:val="none"/>
                <w:lang w:eastAsia="zh-CN"/>
              </w:rPr>
              <w:t>，</w:t>
            </w:r>
            <w:r>
              <w:rPr>
                <w:rFonts w:hint="eastAsia"/>
                <w:bCs/>
                <w:color w:val="auto"/>
                <w:spacing w:val="-10"/>
                <w:sz w:val="24"/>
                <w:highlight w:val="none"/>
              </w:rPr>
              <w:t>经过排气筒（DA00</w:t>
            </w:r>
            <w:r>
              <w:rPr>
                <w:rFonts w:hint="eastAsia"/>
                <w:bCs/>
                <w:color w:val="auto"/>
                <w:spacing w:val="-10"/>
                <w:sz w:val="24"/>
                <w:highlight w:val="none"/>
                <w:lang w:val="en-US" w:eastAsia="zh-CN"/>
              </w:rPr>
              <w:t>1</w:t>
            </w:r>
            <w:r>
              <w:rPr>
                <w:rFonts w:hint="eastAsia"/>
                <w:bCs/>
                <w:color w:val="auto"/>
                <w:spacing w:val="-10"/>
                <w:sz w:val="24"/>
                <w:highlight w:val="none"/>
              </w:rPr>
              <w:t>）有组织排放</w:t>
            </w:r>
            <w:r>
              <w:rPr>
                <w:rFonts w:hint="eastAsia"/>
                <w:bCs/>
                <w:color w:val="auto"/>
                <w:spacing w:val="-10"/>
                <w:sz w:val="24"/>
                <w:highlight w:val="none"/>
                <w:lang w:eastAsia="zh-CN"/>
              </w:rPr>
              <w:t>；</w:t>
            </w:r>
            <w:r>
              <w:rPr>
                <w:rFonts w:hint="eastAsia"/>
                <w:bCs/>
                <w:color w:val="auto"/>
                <w:spacing w:val="-10"/>
                <w:sz w:val="24"/>
                <w:highlight w:val="none"/>
              </w:rPr>
              <w:t>模压加热过程加热时间较短，产生的有机废气量很少，为了减少有组织挥发性有机废气的排放，企业对模压废气使用集气罩收集，通过干式过滤器+二级活性炭处理装置进行处理后，经过排气筒（DA002）有组织排放。</w:t>
            </w:r>
            <w:r>
              <w:rPr>
                <w:rFonts w:hint="eastAsia"/>
                <w:bCs/>
                <w:color w:val="auto"/>
                <w:spacing w:val="-10"/>
                <w:sz w:val="24"/>
                <w:highlight w:val="none"/>
                <w:lang w:eastAsia="zh-CN"/>
              </w:rPr>
              <w:t>模具清理</w:t>
            </w:r>
            <w:r>
              <w:rPr>
                <w:rFonts w:hint="eastAsia"/>
                <w:bCs/>
                <w:color w:val="auto"/>
                <w:spacing w:val="-10"/>
                <w:sz w:val="24"/>
                <w:highlight w:val="none"/>
              </w:rPr>
              <w:t>过程产生的少量颗粒物经用集气罩收集，通过干式过滤器+二级活性炭处理装置进行处理后，经过排气筒（DA001</w:t>
            </w:r>
            <w:r>
              <w:rPr>
                <w:rFonts w:hint="eastAsia"/>
                <w:bCs/>
                <w:color w:val="auto"/>
                <w:spacing w:val="-10"/>
                <w:sz w:val="24"/>
                <w:highlight w:val="none"/>
                <w:lang w:eastAsia="zh-CN"/>
              </w:rPr>
              <w:t>、</w:t>
            </w:r>
            <w:r>
              <w:rPr>
                <w:rFonts w:hint="eastAsia"/>
                <w:bCs/>
                <w:color w:val="auto"/>
                <w:spacing w:val="-10"/>
                <w:sz w:val="24"/>
                <w:highlight w:val="none"/>
              </w:rPr>
              <w:t>DA002）有组织排放</w:t>
            </w:r>
            <w:r>
              <w:rPr>
                <w:rFonts w:hint="eastAsia"/>
                <w:bCs/>
                <w:color w:val="auto"/>
                <w:spacing w:val="-10"/>
                <w:sz w:val="24"/>
                <w:highlight w:val="none"/>
                <w:lang w:eastAsia="zh-CN"/>
              </w:rPr>
              <w:t>。</w:t>
            </w:r>
          </w:p>
          <w:p>
            <w:pPr>
              <w:adjustRightInd w:val="0"/>
              <w:snapToGrid w:val="0"/>
              <w:spacing w:line="360" w:lineRule="auto"/>
              <w:ind w:firstLine="440" w:firstLineChars="200"/>
              <w:rPr>
                <w:rFonts w:hint="eastAsia"/>
                <w:bCs/>
                <w:color w:val="auto"/>
                <w:spacing w:val="-10"/>
                <w:sz w:val="24"/>
                <w:highlight w:val="none"/>
                <w:lang w:eastAsia="zh-CN"/>
              </w:rPr>
            </w:pPr>
            <w:r>
              <w:rPr>
                <w:rFonts w:hint="eastAsia"/>
                <w:bCs/>
                <w:color w:val="auto"/>
                <w:spacing w:val="-10"/>
                <w:sz w:val="24"/>
                <w:highlight w:val="none"/>
              </w:rPr>
              <w:t>本项目采用干式过滤器</w:t>
            </w:r>
            <w:r>
              <w:rPr>
                <w:bCs/>
                <w:color w:val="auto"/>
                <w:spacing w:val="-10"/>
                <w:sz w:val="24"/>
              </w:rPr>
              <w:t>（处理效率以</w:t>
            </w:r>
            <w:r>
              <w:rPr>
                <w:rFonts w:hint="eastAsia"/>
                <w:bCs/>
                <w:color w:val="auto"/>
                <w:spacing w:val="-10"/>
                <w:sz w:val="24"/>
                <w:lang w:val="en-US" w:eastAsia="zh-CN"/>
              </w:rPr>
              <w:t>70</w:t>
            </w:r>
            <w:r>
              <w:rPr>
                <w:bCs/>
                <w:color w:val="auto"/>
                <w:spacing w:val="-10"/>
                <w:sz w:val="24"/>
              </w:rPr>
              <w:t>%计）</w:t>
            </w:r>
            <w:r>
              <w:rPr>
                <w:rFonts w:hint="eastAsia"/>
                <w:bCs/>
                <w:color w:val="auto"/>
                <w:spacing w:val="-10"/>
                <w:sz w:val="24"/>
                <w:highlight w:val="none"/>
              </w:rPr>
              <w:t>+二级活性炭吸附</w:t>
            </w:r>
            <w:r>
              <w:rPr>
                <w:bCs/>
                <w:color w:val="auto"/>
                <w:spacing w:val="-10"/>
                <w:sz w:val="24"/>
              </w:rPr>
              <w:t>（处理效率以</w:t>
            </w:r>
            <w:r>
              <w:rPr>
                <w:rFonts w:hint="eastAsia"/>
                <w:bCs/>
                <w:color w:val="auto"/>
                <w:spacing w:val="-10"/>
                <w:sz w:val="24"/>
                <w:lang w:val="en-US" w:eastAsia="zh-CN"/>
              </w:rPr>
              <w:t>75</w:t>
            </w:r>
            <w:r>
              <w:rPr>
                <w:bCs/>
                <w:color w:val="auto"/>
                <w:spacing w:val="-10"/>
                <w:sz w:val="24"/>
              </w:rPr>
              <w:t>%计）</w:t>
            </w:r>
            <w:r>
              <w:rPr>
                <w:rFonts w:hint="eastAsia"/>
                <w:bCs/>
                <w:color w:val="auto"/>
                <w:spacing w:val="-10"/>
                <w:sz w:val="24"/>
                <w:highlight w:val="none"/>
              </w:rPr>
              <w:t>对发泡废气处理，处理后通过一根15 m高的排气筒有组织排放，根据上述分析，本项目发泡废气排气筒有组织非甲烷总烃排放浓度为</w:t>
            </w:r>
            <w:r>
              <w:rPr>
                <w:rFonts w:hint="eastAsia"/>
                <w:bCs/>
                <w:color w:val="auto"/>
                <w:spacing w:val="-10"/>
                <w:sz w:val="24"/>
                <w:highlight w:val="none"/>
                <w:lang w:val="en-US" w:eastAsia="zh-CN"/>
              </w:rPr>
              <w:t>24.79</w:t>
            </w:r>
            <w:r>
              <w:rPr>
                <w:rFonts w:hint="eastAsia"/>
                <w:bCs/>
                <w:color w:val="auto"/>
                <w:spacing w:val="-10"/>
                <w:sz w:val="24"/>
                <w:highlight w:val="none"/>
              </w:rPr>
              <w:t xml:space="preserve"> mg/m</w:t>
            </w:r>
            <w:r>
              <w:rPr>
                <w:rFonts w:hint="eastAsia"/>
                <w:bCs/>
                <w:color w:val="auto"/>
                <w:spacing w:val="-10"/>
                <w:sz w:val="24"/>
                <w:highlight w:val="none"/>
                <w:vertAlign w:val="superscript"/>
              </w:rPr>
              <w:t>3</w:t>
            </w:r>
            <w:r>
              <w:rPr>
                <w:rFonts w:hint="eastAsia"/>
                <w:bCs/>
                <w:color w:val="auto"/>
                <w:spacing w:val="-10"/>
                <w:sz w:val="24"/>
                <w:highlight w:val="none"/>
              </w:rPr>
              <w:t>，排放速率为</w:t>
            </w:r>
            <w:r>
              <w:rPr>
                <w:rFonts w:hint="eastAsia"/>
                <w:bCs/>
                <w:color w:val="auto"/>
                <w:spacing w:val="-10"/>
                <w:sz w:val="24"/>
                <w:highlight w:val="none"/>
                <w:lang w:val="en-US" w:eastAsia="zh-CN"/>
              </w:rPr>
              <w:t>0.32</w:t>
            </w:r>
            <w:r>
              <w:rPr>
                <w:rFonts w:hint="eastAsia"/>
                <w:bCs/>
                <w:color w:val="auto"/>
                <w:spacing w:val="-10"/>
                <w:sz w:val="24"/>
                <w:highlight w:val="none"/>
              </w:rPr>
              <w:t xml:space="preserve"> kg/h，排放量为</w:t>
            </w:r>
            <w:r>
              <w:rPr>
                <w:rFonts w:hint="eastAsia"/>
                <w:bCs/>
                <w:color w:val="auto"/>
                <w:spacing w:val="-10"/>
                <w:sz w:val="24"/>
                <w:highlight w:val="none"/>
                <w:lang w:val="en-US" w:eastAsia="zh-CN"/>
              </w:rPr>
              <w:t>1.94</w:t>
            </w:r>
            <w:r>
              <w:rPr>
                <w:rFonts w:hint="eastAsia"/>
                <w:bCs/>
                <w:color w:val="auto"/>
                <w:spacing w:val="-10"/>
                <w:sz w:val="24"/>
                <w:highlight w:val="none"/>
              </w:rPr>
              <w:t xml:space="preserve"> t/a</w:t>
            </w:r>
            <w:r>
              <w:rPr>
                <w:rFonts w:hint="eastAsia"/>
                <w:bCs/>
                <w:color w:val="auto"/>
                <w:spacing w:val="-10"/>
                <w:sz w:val="24"/>
                <w:highlight w:val="none"/>
                <w:lang w:eastAsia="zh-CN"/>
              </w:rPr>
              <w:t>。</w:t>
            </w:r>
            <w:r>
              <w:rPr>
                <w:rFonts w:hint="eastAsia"/>
                <w:bCs/>
                <w:color w:val="auto"/>
                <w:spacing w:val="-10"/>
                <w:sz w:val="24"/>
                <w:highlight w:val="none"/>
              </w:rPr>
              <w:t>根据《排污许可证申请与核发技术规范 汽车制造业》（HJ 971-2018）中树脂纤维加工废气的污染防治设施，本项目发泡工序产生的非甲烷总烃废气通过集气罩收集、干式过滤器+二级活性炭吸附装置处理属于可行性技术。</w:t>
            </w:r>
          </w:p>
          <w:p>
            <w:pPr>
              <w:adjustRightInd w:val="0"/>
              <w:snapToGrid w:val="0"/>
              <w:spacing w:line="360" w:lineRule="auto"/>
              <w:ind w:firstLine="440" w:firstLineChars="200"/>
              <w:rPr>
                <w:rFonts w:hint="eastAsia"/>
                <w:bCs/>
                <w:color w:val="auto"/>
                <w:spacing w:val="-10"/>
                <w:sz w:val="24"/>
                <w:highlight w:val="none"/>
              </w:rPr>
            </w:pPr>
            <w:r>
              <w:rPr>
                <w:rFonts w:hint="eastAsia"/>
                <w:bCs/>
                <w:color w:val="auto"/>
                <w:spacing w:val="-10"/>
                <w:sz w:val="24"/>
                <w:highlight w:val="none"/>
              </w:rPr>
              <w:t>本项目</w:t>
            </w:r>
            <w:r>
              <w:rPr>
                <w:rFonts w:hint="eastAsia"/>
                <w:bCs/>
                <w:color w:val="auto"/>
                <w:spacing w:val="-10"/>
                <w:sz w:val="24"/>
                <w:highlight w:val="none"/>
                <w:lang w:eastAsia="zh-CN"/>
              </w:rPr>
              <w:t>模压废气</w:t>
            </w:r>
            <w:r>
              <w:rPr>
                <w:rFonts w:hint="eastAsia"/>
                <w:bCs/>
                <w:color w:val="auto"/>
                <w:spacing w:val="-10"/>
                <w:sz w:val="24"/>
                <w:highlight w:val="none"/>
              </w:rPr>
              <w:t>非甲烷总烃产生量</w:t>
            </w:r>
            <w:r>
              <w:rPr>
                <w:rFonts w:hint="eastAsia"/>
                <w:bCs/>
                <w:color w:val="auto"/>
                <w:spacing w:val="-10"/>
                <w:sz w:val="24"/>
                <w:highlight w:val="none"/>
                <w:lang w:val="en-US" w:eastAsia="zh-CN"/>
              </w:rPr>
              <w:t>1.62</w:t>
            </w:r>
            <w:r>
              <w:rPr>
                <w:rFonts w:hint="eastAsia"/>
                <w:bCs/>
                <w:color w:val="auto"/>
                <w:spacing w:val="-10"/>
                <w:sz w:val="24"/>
                <w:highlight w:val="none"/>
              </w:rPr>
              <w:t xml:space="preserve"> t/a，加热设备上方设有集气罩（收集效率</w:t>
            </w:r>
            <w:r>
              <w:rPr>
                <w:rFonts w:hint="eastAsia"/>
                <w:bCs/>
                <w:color w:val="auto"/>
                <w:spacing w:val="-10"/>
                <w:sz w:val="24"/>
                <w:highlight w:val="none"/>
                <w:lang w:val="en-US" w:eastAsia="zh-CN"/>
              </w:rPr>
              <w:t>9</w:t>
            </w:r>
            <w:r>
              <w:rPr>
                <w:rFonts w:hint="eastAsia"/>
                <w:bCs/>
                <w:color w:val="auto"/>
                <w:spacing w:val="-10"/>
                <w:sz w:val="24"/>
                <w:highlight w:val="none"/>
              </w:rPr>
              <w:t>0%）</w:t>
            </w:r>
            <w:r>
              <w:rPr>
                <w:rFonts w:hint="eastAsia"/>
                <w:bCs/>
                <w:color w:val="auto"/>
                <w:spacing w:val="-10"/>
                <w:sz w:val="24"/>
                <w:highlight w:val="none"/>
                <w:lang w:val="en-US" w:eastAsia="zh-CN"/>
              </w:rPr>
              <w:t>，</w:t>
            </w:r>
            <w:r>
              <w:rPr>
                <w:rFonts w:hint="eastAsia"/>
                <w:bCs/>
                <w:color w:val="auto"/>
                <w:spacing w:val="-10"/>
                <w:sz w:val="24"/>
                <w:highlight w:val="none"/>
              </w:rPr>
              <w:t>风机风量为42000 m</w:t>
            </w:r>
            <w:r>
              <w:rPr>
                <w:rFonts w:hint="eastAsia"/>
                <w:bCs/>
                <w:color w:val="auto"/>
                <w:spacing w:val="-10"/>
                <w:sz w:val="24"/>
                <w:highlight w:val="none"/>
                <w:vertAlign w:val="superscript"/>
              </w:rPr>
              <w:t>3</w:t>
            </w:r>
            <w:r>
              <w:rPr>
                <w:rFonts w:hint="eastAsia"/>
                <w:bCs/>
                <w:color w:val="auto"/>
                <w:spacing w:val="-10"/>
                <w:sz w:val="24"/>
                <w:highlight w:val="none"/>
              </w:rPr>
              <w:t>/h产生的非甲烷总烃经集气罩收集后干式过滤器</w:t>
            </w:r>
            <w:r>
              <w:rPr>
                <w:bCs/>
                <w:color w:val="auto"/>
                <w:spacing w:val="-10"/>
                <w:sz w:val="24"/>
              </w:rPr>
              <w:t>（处理效率以</w:t>
            </w:r>
            <w:r>
              <w:rPr>
                <w:rFonts w:hint="eastAsia"/>
                <w:bCs/>
                <w:color w:val="auto"/>
                <w:spacing w:val="-10"/>
                <w:sz w:val="24"/>
                <w:lang w:val="en-US" w:eastAsia="zh-CN"/>
              </w:rPr>
              <w:t>70</w:t>
            </w:r>
            <w:r>
              <w:rPr>
                <w:bCs/>
                <w:color w:val="auto"/>
                <w:spacing w:val="-10"/>
                <w:sz w:val="24"/>
              </w:rPr>
              <w:t>%计）</w:t>
            </w:r>
            <w:r>
              <w:rPr>
                <w:rFonts w:hint="eastAsia"/>
                <w:bCs/>
                <w:color w:val="auto"/>
                <w:spacing w:val="-10"/>
                <w:sz w:val="24"/>
                <w:highlight w:val="none"/>
              </w:rPr>
              <w:t>+二级活性炭吸附</w:t>
            </w:r>
            <w:r>
              <w:rPr>
                <w:rFonts w:hint="eastAsia"/>
                <w:bCs/>
                <w:color w:val="auto"/>
                <w:spacing w:val="-10"/>
                <w:sz w:val="24"/>
              </w:rPr>
              <w:t>（</w:t>
            </w:r>
            <w:r>
              <w:rPr>
                <w:bCs/>
                <w:color w:val="auto"/>
                <w:spacing w:val="-10"/>
                <w:sz w:val="24"/>
              </w:rPr>
              <w:t>处理效率以</w:t>
            </w:r>
            <w:r>
              <w:rPr>
                <w:rFonts w:hint="eastAsia"/>
                <w:bCs/>
                <w:color w:val="auto"/>
                <w:spacing w:val="-10"/>
                <w:sz w:val="24"/>
                <w:lang w:val="en-US" w:eastAsia="zh-CN"/>
              </w:rPr>
              <w:t>75</w:t>
            </w:r>
            <w:r>
              <w:rPr>
                <w:bCs/>
                <w:color w:val="auto"/>
                <w:spacing w:val="-10"/>
                <w:sz w:val="24"/>
              </w:rPr>
              <w:t>%计）</w:t>
            </w:r>
            <w:r>
              <w:rPr>
                <w:rFonts w:hint="eastAsia"/>
                <w:bCs/>
                <w:color w:val="auto"/>
                <w:spacing w:val="-10"/>
                <w:sz w:val="24"/>
                <w:highlight w:val="none"/>
              </w:rPr>
              <w:t>通过15m高排气筒排放，非甲烷总烃的排放量为0.</w:t>
            </w:r>
            <w:r>
              <w:rPr>
                <w:rFonts w:hint="eastAsia"/>
                <w:bCs/>
                <w:color w:val="auto"/>
                <w:spacing w:val="-10"/>
                <w:sz w:val="24"/>
                <w:highlight w:val="none"/>
                <w:lang w:val="en-US" w:eastAsia="zh-CN"/>
              </w:rPr>
              <w:t>22</w:t>
            </w:r>
            <w:r>
              <w:rPr>
                <w:rFonts w:hint="eastAsia"/>
                <w:bCs/>
                <w:color w:val="auto"/>
                <w:spacing w:val="-10"/>
                <w:sz w:val="24"/>
                <w:highlight w:val="none"/>
              </w:rPr>
              <w:t xml:space="preserve"> t/a，排放速率为</w:t>
            </w:r>
            <w:r>
              <w:rPr>
                <w:rFonts w:hint="eastAsia"/>
                <w:bCs/>
                <w:color w:val="auto"/>
                <w:spacing w:val="-10"/>
                <w:sz w:val="24"/>
                <w:highlight w:val="none"/>
                <w:lang w:val="en-US" w:eastAsia="zh-CN"/>
              </w:rPr>
              <w:t>0.04</w:t>
            </w:r>
            <w:r>
              <w:rPr>
                <w:rFonts w:hint="eastAsia"/>
                <w:bCs/>
                <w:color w:val="auto"/>
                <w:spacing w:val="-10"/>
                <w:sz w:val="24"/>
                <w:highlight w:val="none"/>
              </w:rPr>
              <w:t xml:space="preserve"> kg/h，排放浓度为</w:t>
            </w:r>
            <w:r>
              <w:rPr>
                <w:rFonts w:hint="eastAsia"/>
                <w:bCs/>
                <w:color w:val="auto"/>
                <w:spacing w:val="-10"/>
                <w:sz w:val="24"/>
                <w:highlight w:val="none"/>
                <w:lang w:val="en-US" w:eastAsia="zh-CN"/>
              </w:rPr>
              <w:t>0.95</w:t>
            </w:r>
            <w:r>
              <w:rPr>
                <w:rFonts w:hint="eastAsia"/>
                <w:bCs/>
                <w:color w:val="auto"/>
                <w:spacing w:val="-10"/>
                <w:sz w:val="24"/>
                <w:highlight w:val="none"/>
              </w:rPr>
              <w:t xml:space="preserve"> mg/m</w:t>
            </w:r>
            <w:r>
              <w:rPr>
                <w:rFonts w:hint="eastAsia"/>
                <w:bCs/>
                <w:color w:val="auto"/>
                <w:spacing w:val="-10"/>
                <w:sz w:val="24"/>
                <w:highlight w:val="none"/>
                <w:vertAlign w:val="superscript"/>
              </w:rPr>
              <w:t>3</w:t>
            </w:r>
            <w:r>
              <w:rPr>
                <w:rFonts w:hint="eastAsia"/>
                <w:bCs/>
                <w:color w:val="auto"/>
                <w:spacing w:val="-10"/>
                <w:sz w:val="24"/>
                <w:highlight w:val="none"/>
              </w:rPr>
              <w:t>，能够满足《合成树脂工业污染物排放标准》（GB31572-2015）（排放浓度60 mg/m</w:t>
            </w:r>
            <w:r>
              <w:rPr>
                <w:rFonts w:hint="eastAsia"/>
                <w:bCs/>
                <w:color w:val="auto"/>
                <w:spacing w:val="-10"/>
                <w:sz w:val="24"/>
                <w:highlight w:val="none"/>
                <w:vertAlign w:val="superscript"/>
              </w:rPr>
              <w:t>3</w:t>
            </w:r>
            <w:r>
              <w:rPr>
                <w:rFonts w:hint="eastAsia"/>
                <w:bCs/>
                <w:color w:val="auto"/>
                <w:spacing w:val="-10"/>
                <w:sz w:val="24"/>
                <w:highlight w:val="none"/>
              </w:rPr>
              <w:t>）。本项目模压工序产生的非甲烷总烃废气通过集气罩收集、干式过滤器+二级活性炭吸附装置处理属于可行性技术。</w:t>
            </w:r>
          </w:p>
          <w:p>
            <w:pPr>
              <w:adjustRightInd w:val="0"/>
              <w:snapToGrid w:val="0"/>
              <w:spacing w:line="360" w:lineRule="auto"/>
              <w:ind w:firstLine="440" w:firstLineChars="200"/>
              <w:rPr>
                <w:rFonts w:hint="eastAsia"/>
                <w:bCs/>
                <w:color w:val="auto"/>
                <w:spacing w:val="-10"/>
                <w:sz w:val="24"/>
                <w:highlight w:val="none"/>
              </w:rPr>
            </w:pPr>
            <w:r>
              <w:rPr>
                <w:rFonts w:hint="eastAsia"/>
                <w:bCs/>
                <w:color w:val="auto"/>
                <w:spacing w:val="-10"/>
                <w:sz w:val="24"/>
                <w:highlight w:val="none"/>
                <w:lang w:val="en-US" w:eastAsia="zh-CN"/>
              </w:rPr>
              <w:t>本项目发泡生产线</w:t>
            </w:r>
            <w:r>
              <w:rPr>
                <w:rFonts w:hint="eastAsia" w:eastAsia="宋体"/>
                <w:bCs/>
                <w:color w:val="auto"/>
                <w:spacing w:val="-10"/>
                <w:sz w:val="24"/>
                <w:highlight w:val="none"/>
                <w:lang w:val="en-US" w:eastAsia="zh-CN"/>
              </w:rPr>
              <w:t>模具</w:t>
            </w:r>
            <w:r>
              <w:rPr>
                <w:rFonts w:hint="eastAsia"/>
                <w:bCs/>
                <w:color w:val="auto"/>
                <w:spacing w:val="-10"/>
                <w:sz w:val="24"/>
                <w:highlight w:val="none"/>
                <w:lang w:val="en-US" w:eastAsia="zh-CN"/>
              </w:rPr>
              <w:t>清理</w:t>
            </w:r>
            <w:r>
              <w:rPr>
                <w:rFonts w:hint="eastAsia" w:eastAsia="宋体"/>
                <w:bCs/>
                <w:color w:val="auto"/>
                <w:spacing w:val="-10"/>
                <w:sz w:val="24"/>
                <w:highlight w:val="none"/>
                <w:lang w:val="en-US" w:eastAsia="zh-CN"/>
              </w:rPr>
              <w:t>废气</w:t>
            </w:r>
            <w:r>
              <w:rPr>
                <w:rFonts w:hint="eastAsia"/>
                <w:bCs/>
                <w:color w:val="auto"/>
                <w:spacing w:val="-10"/>
                <w:sz w:val="24"/>
                <w:highlight w:val="none"/>
                <w:lang w:val="en-US" w:eastAsia="zh-CN"/>
              </w:rPr>
              <w:t>颗粒物产生量为1.80</w:t>
            </w:r>
            <w:r>
              <w:rPr>
                <w:rFonts w:hint="eastAsia"/>
                <w:bCs/>
                <w:color w:val="auto"/>
                <w:spacing w:val="-10"/>
                <w:sz w:val="24"/>
                <w:highlight w:val="none"/>
              </w:rPr>
              <w:t xml:space="preserve"> t/a</w:t>
            </w:r>
            <w:r>
              <w:rPr>
                <w:rFonts w:hint="eastAsia"/>
                <w:bCs/>
                <w:color w:val="auto"/>
                <w:spacing w:val="-10"/>
                <w:sz w:val="24"/>
                <w:highlight w:val="none"/>
                <w:lang w:eastAsia="zh-CN"/>
              </w:rPr>
              <w:t>，</w:t>
            </w:r>
            <w:r>
              <w:rPr>
                <w:rFonts w:hint="eastAsia"/>
                <w:bCs/>
                <w:color w:val="auto"/>
                <w:spacing w:val="-10"/>
                <w:sz w:val="24"/>
                <w:highlight w:val="none"/>
              </w:rPr>
              <w:t>设备上方设有集气罩（收集效率</w:t>
            </w:r>
            <w:r>
              <w:rPr>
                <w:rFonts w:hint="eastAsia"/>
                <w:bCs/>
                <w:color w:val="auto"/>
                <w:spacing w:val="-10"/>
                <w:sz w:val="24"/>
                <w:highlight w:val="none"/>
                <w:lang w:val="en-US" w:eastAsia="zh-CN"/>
              </w:rPr>
              <w:t>9</w:t>
            </w:r>
            <w:r>
              <w:rPr>
                <w:rFonts w:hint="eastAsia"/>
                <w:bCs/>
                <w:color w:val="auto"/>
                <w:spacing w:val="-10"/>
                <w:sz w:val="24"/>
                <w:highlight w:val="none"/>
              </w:rPr>
              <w:t>0%），风机风量为42000 m</w:t>
            </w:r>
            <w:r>
              <w:rPr>
                <w:rFonts w:hint="eastAsia"/>
                <w:bCs/>
                <w:color w:val="auto"/>
                <w:spacing w:val="-10"/>
                <w:sz w:val="24"/>
                <w:highlight w:val="none"/>
                <w:vertAlign w:val="superscript"/>
              </w:rPr>
              <w:t>3</w:t>
            </w:r>
            <w:r>
              <w:rPr>
                <w:rFonts w:hint="eastAsia"/>
                <w:bCs/>
                <w:color w:val="auto"/>
                <w:spacing w:val="-10"/>
                <w:sz w:val="24"/>
                <w:highlight w:val="none"/>
              </w:rPr>
              <w:t>/h产生的非甲烷总烃经集气罩收集后干式过滤器</w:t>
            </w:r>
            <w:r>
              <w:rPr>
                <w:bCs/>
                <w:color w:val="auto"/>
                <w:spacing w:val="-10"/>
                <w:sz w:val="24"/>
              </w:rPr>
              <w:t>（处理效率以</w:t>
            </w:r>
            <w:r>
              <w:rPr>
                <w:rFonts w:hint="eastAsia"/>
                <w:bCs/>
                <w:color w:val="auto"/>
                <w:spacing w:val="-10"/>
                <w:sz w:val="24"/>
                <w:lang w:val="en-US" w:eastAsia="zh-CN"/>
              </w:rPr>
              <w:t>70</w:t>
            </w:r>
            <w:r>
              <w:rPr>
                <w:bCs/>
                <w:color w:val="auto"/>
                <w:spacing w:val="-10"/>
                <w:sz w:val="24"/>
              </w:rPr>
              <w:t>%计）</w:t>
            </w:r>
            <w:r>
              <w:rPr>
                <w:rFonts w:hint="eastAsia"/>
                <w:bCs/>
                <w:color w:val="auto"/>
                <w:spacing w:val="-10"/>
                <w:sz w:val="24"/>
                <w:highlight w:val="none"/>
              </w:rPr>
              <w:t>+二级活性炭吸附</w:t>
            </w:r>
            <w:r>
              <w:rPr>
                <w:rFonts w:hint="eastAsia"/>
                <w:bCs/>
                <w:color w:val="auto"/>
                <w:spacing w:val="-10"/>
                <w:sz w:val="24"/>
              </w:rPr>
              <w:t>（</w:t>
            </w:r>
            <w:r>
              <w:rPr>
                <w:bCs/>
                <w:color w:val="auto"/>
                <w:spacing w:val="-10"/>
                <w:sz w:val="24"/>
              </w:rPr>
              <w:t>处理效率以</w:t>
            </w:r>
            <w:r>
              <w:rPr>
                <w:rFonts w:hint="eastAsia"/>
                <w:bCs/>
                <w:color w:val="auto"/>
                <w:spacing w:val="-10"/>
                <w:sz w:val="24"/>
                <w:lang w:val="en-US" w:eastAsia="zh-CN"/>
              </w:rPr>
              <w:t>75</w:t>
            </w:r>
            <w:r>
              <w:rPr>
                <w:bCs/>
                <w:color w:val="auto"/>
                <w:spacing w:val="-10"/>
                <w:sz w:val="24"/>
              </w:rPr>
              <w:t>%计）</w:t>
            </w:r>
            <w:r>
              <w:rPr>
                <w:rFonts w:hint="eastAsia"/>
                <w:bCs/>
                <w:color w:val="auto"/>
                <w:spacing w:val="-10"/>
                <w:sz w:val="24"/>
                <w:highlight w:val="none"/>
              </w:rPr>
              <w:t>通过15m高排气筒排放</w:t>
            </w:r>
            <w:r>
              <w:rPr>
                <w:rFonts w:hint="eastAsia"/>
                <w:bCs/>
                <w:color w:val="auto"/>
                <w:spacing w:val="-10"/>
                <w:sz w:val="24"/>
                <w:highlight w:val="none"/>
                <w:lang w:eastAsia="zh-CN"/>
              </w:rPr>
              <w:t>，</w:t>
            </w:r>
            <w:r>
              <w:rPr>
                <w:rFonts w:hint="eastAsia" w:eastAsia="宋体"/>
                <w:bCs/>
                <w:color w:val="auto"/>
                <w:spacing w:val="-10"/>
                <w:sz w:val="24"/>
                <w:highlight w:val="none"/>
                <w:lang w:val="en-US" w:eastAsia="zh-CN"/>
              </w:rPr>
              <w:t>颗粒物的</w:t>
            </w:r>
            <w:r>
              <w:rPr>
                <w:rFonts w:hint="eastAsia"/>
                <w:bCs/>
                <w:color w:val="auto"/>
                <w:spacing w:val="-10"/>
                <w:sz w:val="24"/>
                <w:highlight w:val="none"/>
              </w:rPr>
              <w:t>排放量为</w:t>
            </w:r>
            <w:r>
              <w:rPr>
                <w:rFonts w:hint="eastAsia"/>
                <w:bCs/>
                <w:color w:val="auto"/>
                <w:spacing w:val="-10"/>
                <w:sz w:val="24"/>
                <w:highlight w:val="none"/>
                <w:lang w:val="en-US" w:eastAsia="zh-CN"/>
              </w:rPr>
              <w:t xml:space="preserve">0.49 </w:t>
            </w:r>
            <w:r>
              <w:rPr>
                <w:rFonts w:hint="eastAsia"/>
                <w:bCs/>
                <w:color w:val="auto"/>
                <w:spacing w:val="-10"/>
                <w:sz w:val="24"/>
                <w:highlight w:val="none"/>
              </w:rPr>
              <w:t>t/a，排放速率为0</w:t>
            </w:r>
            <w:r>
              <w:rPr>
                <w:rFonts w:hint="eastAsia"/>
                <w:bCs/>
                <w:color w:val="auto"/>
                <w:spacing w:val="-10"/>
                <w:sz w:val="24"/>
                <w:highlight w:val="none"/>
                <w:lang w:val="en-US" w:eastAsia="zh-CN"/>
              </w:rPr>
              <w:t xml:space="preserve">.08 </w:t>
            </w:r>
            <w:r>
              <w:rPr>
                <w:rFonts w:hint="eastAsia"/>
                <w:bCs/>
                <w:color w:val="auto"/>
                <w:spacing w:val="-10"/>
                <w:sz w:val="24"/>
                <w:highlight w:val="none"/>
              </w:rPr>
              <w:t>kg/h，排放浓度为</w:t>
            </w:r>
            <w:r>
              <w:rPr>
                <w:rFonts w:hint="eastAsia"/>
                <w:bCs/>
                <w:color w:val="auto"/>
                <w:spacing w:val="-10"/>
                <w:sz w:val="24"/>
                <w:highlight w:val="none"/>
                <w:lang w:val="en-US" w:eastAsia="zh-CN"/>
              </w:rPr>
              <w:t xml:space="preserve">1.90 </w:t>
            </w:r>
            <w:r>
              <w:rPr>
                <w:rFonts w:hint="eastAsia"/>
                <w:bCs/>
                <w:color w:val="auto"/>
                <w:spacing w:val="-10"/>
                <w:sz w:val="24"/>
                <w:highlight w:val="none"/>
              </w:rPr>
              <w:t>mg/m</w:t>
            </w:r>
            <w:r>
              <w:rPr>
                <w:rFonts w:hint="eastAsia"/>
                <w:bCs/>
                <w:color w:val="auto"/>
                <w:spacing w:val="-10"/>
                <w:sz w:val="24"/>
                <w:highlight w:val="none"/>
                <w:vertAlign w:val="superscript"/>
              </w:rPr>
              <w:t>3</w:t>
            </w:r>
            <w:r>
              <w:rPr>
                <w:rFonts w:hint="eastAsia"/>
                <w:bCs/>
                <w:color w:val="auto"/>
                <w:spacing w:val="-10"/>
                <w:sz w:val="24"/>
                <w:highlight w:val="none"/>
                <w:vertAlign w:val="baseline"/>
                <w:lang w:eastAsia="zh-CN"/>
              </w:rPr>
              <w:t>；</w:t>
            </w:r>
            <w:r>
              <w:rPr>
                <w:rFonts w:hint="eastAsia"/>
                <w:bCs/>
                <w:color w:val="auto"/>
                <w:spacing w:val="-10"/>
                <w:sz w:val="24"/>
                <w:highlight w:val="none"/>
                <w:vertAlign w:val="baseline"/>
                <w:lang w:val="en-US" w:eastAsia="zh-CN"/>
              </w:rPr>
              <w:t>模压生产线</w:t>
            </w:r>
            <w:r>
              <w:rPr>
                <w:rFonts w:hint="eastAsia" w:eastAsia="宋体"/>
                <w:bCs/>
                <w:color w:val="auto"/>
                <w:spacing w:val="-10"/>
                <w:sz w:val="24"/>
                <w:highlight w:val="none"/>
                <w:lang w:val="en-US" w:eastAsia="zh-CN"/>
              </w:rPr>
              <w:t>颗粒物</w:t>
            </w:r>
            <w:r>
              <w:rPr>
                <w:rFonts w:hint="eastAsia"/>
                <w:bCs/>
                <w:color w:val="auto"/>
                <w:spacing w:val="-10"/>
                <w:sz w:val="24"/>
                <w:highlight w:val="none"/>
                <w:lang w:val="en-US" w:eastAsia="zh-CN"/>
              </w:rPr>
              <w:t xml:space="preserve">产生量为3.0 </w:t>
            </w:r>
            <w:r>
              <w:rPr>
                <w:rFonts w:hint="eastAsia"/>
                <w:bCs/>
                <w:color w:val="auto"/>
                <w:spacing w:val="-10"/>
                <w:sz w:val="24"/>
                <w:highlight w:val="none"/>
              </w:rPr>
              <w:t>t/a</w:t>
            </w:r>
            <w:r>
              <w:rPr>
                <w:rFonts w:hint="eastAsia"/>
                <w:bCs/>
                <w:color w:val="auto"/>
                <w:spacing w:val="-10"/>
                <w:sz w:val="24"/>
                <w:highlight w:val="none"/>
                <w:lang w:eastAsia="zh-CN"/>
              </w:rPr>
              <w:t>，</w:t>
            </w:r>
            <w:r>
              <w:rPr>
                <w:rFonts w:hint="eastAsia"/>
                <w:bCs/>
                <w:color w:val="auto"/>
                <w:spacing w:val="-10"/>
                <w:sz w:val="24"/>
                <w:highlight w:val="none"/>
              </w:rPr>
              <w:t>设备上方设有集气罩（收集效率</w:t>
            </w:r>
            <w:r>
              <w:rPr>
                <w:rFonts w:hint="eastAsia"/>
                <w:bCs/>
                <w:color w:val="auto"/>
                <w:spacing w:val="-10"/>
                <w:sz w:val="24"/>
                <w:highlight w:val="none"/>
                <w:lang w:val="en-US" w:eastAsia="zh-CN"/>
              </w:rPr>
              <w:t>9</w:t>
            </w:r>
            <w:r>
              <w:rPr>
                <w:rFonts w:hint="eastAsia"/>
                <w:bCs/>
                <w:color w:val="auto"/>
                <w:spacing w:val="-10"/>
                <w:sz w:val="24"/>
                <w:highlight w:val="none"/>
              </w:rPr>
              <w:t>0%），风机风量为42000 m</w:t>
            </w:r>
            <w:r>
              <w:rPr>
                <w:rFonts w:hint="eastAsia"/>
                <w:bCs/>
                <w:color w:val="auto"/>
                <w:spacing w:val="-10"/>
                <w:sz w:val="24"/>
                <w:highlight w:val="none"/>
                <w:vertAlign w:val="superscript"/>
              </w:rPr>
              <w:t>3</w:t>
            </w:r>
            <w:r>
              <w:rPr>
                <w:rFonts w:hint="eastAsia"/>
                <w:bCs/>
                <w:color w:val="auto"/>
                <w:spacing w:val="-10"/>
                <w:sz w:val="24"/>
                <w:highlight w:val="none"/>
              </w:rPr>
              <w:t>/h产生的非甲烷总烃经集气罩收集后干式过滤器</w:t>
            </w:r>
            <w:r>
              <w:rPr>
                <w:bCs/>
                <w:color w:val="auto"/>
                <w:spacing w:val="-10"/>
                <w:sz w:val="24"/>
              </w:rPr>
              <w:t>（处理效率以</w:t>
            </w:r>
            <w:r>
              <w:rPr>
                <w:rFonts w:hint="eastAsia"/>
                <w:bCs/>
                <w:color w:val="auto"/>
                <w:spacing w:val="-10"/>
                <w:sz w:val="24"/>
                <w:lang w:val="en-US" w:eastAsia="zh-CN"/>
              </w:rPr>
              <w:t>70</w:t>
            </w:r>
            <w:r>
              <w:rPr>
                <w:bCs/>
                <w:color w:val="auto"/>
                <w:spacing w:val="-10"/>
                <w:sz w:val="24"/>
              </w:rPr>
              <w:t>%计）</w:t>
            </w:r>
            <w:r>
              <w:rPr>
                <w:rFonts w:hint="eastAsia"/>
                <w:bCs/>
                <w:color w:val="auto"/>
                <w:spacing w:val="-10"/>
                <w:sz w:val="24"/>
                <w:highlight w:val="none"/>
              </w:rPr>
              <w:t>+二级活性炭吸附</w:t>
            </w:r>
            <w:r>
              <w:rPr>
                <w:rFonts w:hint="eastAsia"/>
                <w:bCs/>
                <w:color w:val="auto"/>
                <w:spacing w:val="-10"/>
                <w:sz w:val="24"/>
              </w:rPr>
              <w:t>（</w:t>
            </w:r>
            <w:r>
              <w:rPr>
                <w:bCs/>
                <w:color w:val="auto"/>
                <w:spacing w:val="-10"/>
                <w:sz w:val="24"/>
              </w:rPr>
              <w:t>处理效率以</w:t>
            </w:r>
            <w:r>
              <w:rPr>
                <w:rFonts w:hint="eastAsia"/>
                <w:bCs/>
                <w:color w:val="auto"/>
                <w:spacing w:val="-10"/>
                <w:sz w:val="24"/>
                <w:lang w:val="en-US" w:eastAsia="zh-CN"/>
              </w:rPr>
              <w:t>75</w:t>
            </w:r>
            <w:r>
              <w:rPr>
                <w:bCs/>
                <w:color w:val="auto"/>
                <w:spacing w:val="-10"/>
                <w:sz w:val="24"/>
              </w:rPr>
              <w:t>%计）</w:t>
            </w:r>
            <w:r>
              <w:rPr>
                <w:rFonts w:hint="eastAsia"/>
                <w:bCs/>
                <w:color w:val="auto"/>
                <w:spacing w:val="-10"/>
                <w:sz w:val="24"/>
                <w:highlight w:val="none"/>
              </w:rPr>
              <w:t>通过15m高排气筒排放</w:t>
            </w:r>
            <w:r>
              <w:rPr>
                <w:rFonts w:hint="eastAsia"/>
                <w:bCs/>
                <w:color w:val="auto"/>
                <w:spacing w:val="-10"/>
                <w:sz w:val="24"/>
                <w:highlight w:val="none"/>
                <w:lang w:eastAsia="zh-CN"/>
              </w:rPr>
              <w:t>，</w:t>
            </w:r>
            <w:r>
              <w:rPr>
                <w:rFonts w:hint="eastAsia" w:eastAsia="宋体"/>
                <w:bCs/>
                <w:color w:val="auto"/>
                <w:spacing w:val="-10"/>
                <w:sz w:val="24"/>
                <w:highlight w:val="none"/>
                <w:lang w:val="en-US" w:eastAsia="zh-CN"/>
              </w:rPr>
              <w:t>颗粒物的</w:t>
            </w:r>
            <w:r>
              <w:rPr>
                <w:rFonts w:hint="eastAsia"/>
                <w:bCs/>
                <w:color w:val="auto"/>
                <w:spacing w:val="-10"/>
                <w:sz w:val="24"/>
                <w:highlight w:val="none"/>
              </w:rPr>
              <w:t>排放量为</w:t>
            </w:r>
            <w:r>
              <w:rPr>
                <w:rFonts w:hint="eastAsia"/>
                <w:bCs/>
                <w:color w:val="auto"/>
                <w:spacing w:val="-10"/>
                <w:sz w:val="24"/>
                <w:highlight w:val="none"/>
                <w:lang w:val="en-US" w:eastAsia="zh-CN"/>
              </w:rPr>
              <w:t xml:space="preserve">0.81 </w:t>
            </w:r>
            <w:r>
              <w:rPr>
                <w:rFonts w:hint="eastAsia"/>
                <w:bCs/>
                <w:color w:val="auto"/>
                <w:spacing w:val="-10"/>
                <w:sz w:val="24"/>
                <w:highlight w:val="none"/>
              </w:rPr>
              <w:t>t/a，排放速率为</w:t>
            </w:r>
            <w:r>
              <w:rPr>
                <w:rFonts w:hint="eastAsia"/>
                <w:bCs/>
                <w:color w:val="auto"/>
                <w:spacing w:val="-10"/>
                <w:sz w:val="24"/>
                <w:highlight w:val="none"/>
                <w:lang w:val="en-US" w:eastAsia="zh-CN"/>
              </w:rPr>
              <w:t xml:space="preserve">0.14 </w:t>
            </w:r>
            <w:r>
              <w:rPr>
                <w:rFonts w:hint="eastAsia"/>
                <w:bCs/>
                <w:color w:val="auto"/>
                <w:spacing w:val="-10"/>
                <w:sz w:val="24"/>
                <w:highlight w:val="none"/>
              </w:rPr>
              <w:t>kg/h，排放浓度为</w:t>
            </w:r>
            <w:r>
              <w:rPr>
                <w:rFonts w:hint="eastAsia"/>
                <w:bCs/>
                <w:color w:val="auto"/>
                <w:spacing w:val="-10"/>
                <w:sz w:val="24"/>
                <w:highlight w:val="none"/>
                <w:lang w:val="en-US" w:eastAsia="zh-CN"/>
              </w:rPr>
              <w:t xml:space="preserve">3.33 </w:t>
            </w:r>
            <w:r>
              <w:rPr>
                <w:rFonts w:hint="eastAsia"/>
                <w:bCs/>
                <w:color w:val="auto"/>
                <w:spacing w:val="-10"/>
                <w:sz w:val="24"/>
                <w:highlight w:val="none"/>
              </w:rPr>
              <w:t>mg/m</w:t>
            </w:r>
            <w:r>
              <w:rPr>
                <w:rFonts w:hint="eastAsia"/>
                <w:bCs/>
                <w:color w:val="auto"/>
                <w:spacing w:val="-10"/>
                <w:sz w:val="24"/>
                <w:highlight w:val="none"/>
                <w:vertAlign w:val="superscript"/>
              </w:rPr>
              <w:t>3</w:t>
            </w:r>
            <w:r>
              <w:rPr>
                <w:rFonts w:hint="eastAsia"/>
                <w:bCs/>
                <w:color w:val="auto"/>
                <w:spacing w:val="-10"/>
                <w:sz w:val="24"/>
                <w:highlight w:val="none"/>
                <w:vertAlign w:val="baseline"/>
                <w:lang w:eastAsia="zh-CN"/>
              </w:rPr>
              <w:t>，</w:t>
            </w:r>
            <w:r>
              <w:rPr>
                <w:rFonts w:hint="eastAsia"/>
                <w:bCs/>
                <w:color w:val="auto"/>
                <w:spacing w:val="-10"/>
                <w:sz w:val="24"/>
                <w:highlight w:val="none"/>
                <w:vertAlign w:val="baseline"/>
                <w:lang w:val="en-US" w:eastAsia="zh-CN"/>
              </w:rPr>
              <w:t>本项目</w:t>
            </w:r>
            <w:r>
              <w:rPr>
                <w:rFonts w:hint="eastAsia" w:eastAsia="宋体"/>
                <w:bCs/>
                <w:color w:val="auto"/>
                <w:spacing w:val="-10"/>
                <w:sz w:val="24"/>
                <w:highlight w:val="none"/>
                <w:lang w:val="en-US" w:eastAsia="zh-CN"/>
              </w:rPr>
              <w:t>模具</w:t>
            </w:r>
            <w:r>
              <w:rPr>
                <w:rFonts w:hint="eastAsia"/>
                <w:bCs/>
                <w:color w:val="auto"/>
                <w:spacing w:val="-10"/>
                <w:sz w:val="24"/>
                <w:highlight w:val="none"/>
                <w:lang w:val="en-US" w:eastAsia="zh-CN"/>
              </w:rPr>
              <w:t>清理工序产生的颗粒物</w:t>
            </w:r>
            <w:r>
              <w:rPr>
                <w:rFonts w:hint="eastAsia"/>
                <w:bCs/>
                <w:color w:val="auto"/>
                <w:spacing w:val="-10"/>
                <w:sz w:val="24"/>
                <w:highlight w:val="none"/>
              </w:rPr>
              <w:t>通过集气罩收集、干式过滤器+二级活性炭吸附装置处理属于可行性技术。</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rPr>
              <w:t>②无组织废气处理措施可行性分析</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rPr>
              <w:t>本项目无组织废气主要是未收集的发泡废气、</w:t>
            </w:r>
            <w:r>
              <w:rPr>
                <w:rFonts w:hint="eastAsia"/>
                <w:bCs/>
                <w:color w:val="auto"/>
                <w:spacing w:val="-10"/>
                <w:sz w:val="24"/>
                <w:highlight w:val="none"/>
                <w:lang w:eastAsia="zh-CN"/>
              </w:rPr>
              <w:t>模压废气</w:t>
            </w:r>
            <w:r>
              <w:rPr>
                <w:rFonts w:hint="eastAsia"/>
                <w:bCs/>
                <w:color w:val="auto"/>
                <w:spacing w:val="-10"/>
                <w:sz w:val="24"/>
                <w:highlight w:val="none"/>
              </w:rPr>
              <w:t>、</w:t>
            </w:r>
            <w:r>
              <w:rPr>
                <w:rFonts w:hint="eastAsia"/>
                <w:bCs/>
                <w:color w:val="auto"/>
                <w:spacing w:val="-10"/>
                <w:sz w:val="24"/>
                <w:highlight w:val="none"/>
                <w:lang w:eastAsia="zh-CN"/>
              </w:rPr>
              <w:t>模具清理</w:t>
            </w:r>
            <w:r>
              <w:rPr>
                <w:rFonts w:hint="eastAsia"/>
                <w:bCs/>
                <w:color w:val="auto"/>
                <w:spacing w:val="-10"/>
                <w:sz w:val="24"/>
                <w:highlight w:val="none"/>
              </w:rPr>
              <w:t>废气。</w:t>
            </w:r>
          </w:p>
          <w:p>
            <w:pPr>
              <w:adjustRightInd w:val="0"/>
              <w:snapToGrid w:val="0"/>
              <w:spacing w:line="360" w:lineRule="auto"/>
              <w:ind w:firstLine="440" w:firstLineChars="200"/>
              <w:rPr>
                <w:bCs/>
                <w:color w:val="auto"/>
                <w:spacing w:val="-10"/>
                <w:sz w:val="24"/>
                <w:highlight w:val="none"/>
              </w:rPr>
            </w:pPr>
            <w:r>
              <w:rPr>
                <w:bCs/>
                <w:color w:val="auto"/>
                <w:spacing w:val="-10"/>
                <w:sz w:val="24"/>
                <w:highlight w:val="none"/>
              </w:rPr>
              <w:t>经过厂房阻隔后少量无组织逸散，对环境影响较小。未收集的发泡废气</w:t>
            </w:r>
            <w:r>
              <w:rPr>
                <w:rFonts w:hint="eastAsia"/>
                <w:bCs/>
                <w:color w:val="auto"/>
                <w:spacing w:val="-10"/>
                <w:sz w:val="24"/>
                <w:highlight w:val="none"/>
              </w:rPr>
              <w:t>、</w:t>
            </w:r>
            <w:r>
              <w:rPr>
                <w:rFonts w:hint="eastAsia"/>
                <w:bCs/>
                <w:color w:val="auto"/>
                <w:spacing w:val="-10"/>
                <w:sz w:val="24"/>
                <w:highlight w:val="none"/>
                <w:lang w:eastAsia="zh-CN"/>
              </w:rPr>
              <w:t>模压废气、模具清理</w:t>
            </w:r>
            <w:r>
              <w:rPr>
                <w:rFonts w:hint="eastAsia"/>
                <w:bCs/>
                <w:color w:val="auto"/>
                <w:spacing w:val="-10"/>
                <w:sz w:val="24"/>
                <w:highlight w:val="none"/>
              </w:rPr>
              <w:t>废气</w:t>
            </w:r>
            <w:r>
              <w:rPr>
                <w:bCs/>
                <w:color w:val="auto"/>
                <w:spacing w:val="-10"/>
                <w:sz w:val="24"/>
                <w:highlight w:val="none"/>
              </w:rPr>
              <w:t>能够满足《合成树脂工业污染物排放标准》（GB31572-2015）要求，因此，无组织废气的处理措施可行。</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lang w:eastAsia="zh-CN"/>
              </w:rPr>
              <w:t>（</w:t>
            </w:r>
            <w:r>
              <w:rPr>
                <w:rFonts w:hint="eastAsia"/>
                <w:bCs/>
                <w:color w:val="auto"/>
                <w:spacing w:val="-10"/>
                <w:sz w:val="24"/>
                <w:highlight w:val="none"/>
                <w:lang w:val="en-US" w:eastAsia="zh-CN"/>
              </w:rPr>
              <w:t>4</w:t>
            </w:r>
            <w:r>
              <w:rPr>
                <w:rFonts w:hint="eastAsia"/>
                <w:bCs/>
                <w:color w:val="auto"/>
                <w:spacing w:val="-10"/>
                <w:sz w:val="24"/>
                <w:highlight w:val="none"/>
                <w:lang w:eastAsia="zh-CN"/>
              </w:rPr>
              <w:t>）</w:t>
            </w:r>
            <w:r>
              <w:rPr>
                <w:rFonts w:hint="eastAsia"/>
                <w:bCs/>
                <w:color w:val="auto"/>
                <w:spacing w:val="-10"/>
                <w:sz w:val="24"/>
                <w:highlight w:val="none"/>
              </w:rPr>
              <w:t>废气污染物监测计划</w:t>
            </w:r>
          </w:p>
          <w:p>
            <w:pPr>
              <w:pStyle w:val="17"/>
              <w:ind w:firstLine="440"/>
              <w:rPr>
                <w:rFonts w:eastAsia="宋体"/>
                <w:bCs/>
                <w:color w:val="auto"/>
                <w:spacing w:val="-10"/>
                <w:sz w:val="24"/>
                <w:highlight w:val="none"/>
              </w:rPr>
            </w:pPr>
            <w:r>
              <w:rPr>
                <w:rFonts w:eastAsia="宋体"/>
                <w:bCs/>
                <w:color w:val="auto"/>
                <w:spacing w:val="-10"/>
                <w:sz w:val="24"/>
                <w:highlight w:val="none"/>
              </w:rPr>
              <w:t>排气筒监测计划参考《排污许可证申请与核发技术规范 汽车制造业》（HJ 971-2018）中树脂纤维加工-高分子材料注射、挤压、吹塑、发泡成型废气排放口工序自行监测要求及《排污单位自行监测技术指南 总则》相关要求。</w:t>
            </w:r>
          </w:p>
          <w:p>
            <w:pPr>
              <w:ind w:firstLine="482"/>
              <w:jc w:val="center"/>
              <w:rPr>
                <w:b/>
                <w:color w:val="auto"/>
                <w:szCs w:val="21"/>
                <w:highlight w:val="none"/>
              </w:rPr>
            </w:pPr>
            <w:r>
              <w:rPr>
                <w:b/>
                <w:color w:val="auto"/>
                <w:szCs w:val="21"/>
                <w:highlight w:val="none"/>
              </w:rPr>
              <w:t>表4-</w:t>
            </w:r>
            <w:r>
              <w:rPr>
                <w:rFonts w:hint="eastAsia"/>
                <w:b/>
                <w:color w:val="auto"/>
                <w:szCs w:val="21"/>
                <w:highlight w:val="none"/>
              </w:rPr>
              <w:t>7</w:t>
            </w:r>
            <w:r>
              <w:rPr>
                <w:b/>
                <w:color w:val="auto"/>
                <w:szCs w:val="21"/>
                <w:highlight w:val="none"/>
              </w:rPr>
              <w:t xml:space="preserve"> 废气污染物监测计划一览表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345"/>
              <w:gridCol w:w="1463"/>
              <w:gridCol w:w="1088"/>
              <w:gridCol w:w="27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803" w:type="pct"/>
                  <w:vAlign w:val="center"/>
                </w:tcPr>
                <w:p>
                  <w:pPr>
                    <w:pStyle w:val="47"/>
                    <w:shd w:val="clear" w:color="auto" w:fill="auto"/>
                    <w:snapToGrid w:val="0"/>
                    <w:spacing w:after="0" w:line="240" w:lineRule="auto"/>
                    <w:ind w:firstLine="0"/>
                    <w:jc w:val="center"/>
                    <w:rPr>
                      <w:rStyle w:val="48"/>
                      <w:rFonts w:ascii="Times New Roman" w:hAnsi="Times New Roman" w:eastAsia="宋体" w:cs="Times New Roman"/>
                      <w:b/>
                      <w:color w:val="auto"/>
                      <w:highlight w:val="none"/>
                    </w:rPr>
                  </w:pPr>
                  <w:r>
                    <w:rPr>
                      <w:rFonts w:ascii="Times New Roman" w:hAnsi="Times New Roman" w:eastAsia="宋体" w:cs="Times New Roman"/>
                      <w:b/>
                      <w:color w:val="auto"/>
                      <w:sz w:val="21"/>
                      <w:highlight w:val="none"/>
                    </w:rPr>
                    <w:t>检测类别</w:t>
                  </w:r>
                </w:p>
              </w:tc>
              <w:tc>
                <w:tcPr>
                  <w:tcW w:w="830" w:type="pct"/>
                  <w:vAlign w:val="center"/>
                </w:tcPr>
                <w:p>
                  <w:pPr>
                    <w:pStyle w:val="47"/>
                    <w:shd w:val="clear" w:color="auto" w:fill="auto"/>
                    <w:snapToGrid w:val="0"/>
                    <w:spacing w:after="0" w:line="240" w:lineRule="auto"/>
                    <w:ind w:firstLine="0"/>
                    <w:jc w:val="center"/>
                    <w:rPr>
                      <w:rFonts w:ascii="Times New Roman" w:hAnsi="Times New Roman" w:eastAsia="宋体" w:cs="Times New Roman"/>
                      <w:b/>
                      <w:color w:val="auto"/>
                      <w:sz w:val="21"/>
                      <w:highlight w:val="none"/>
                    </w:rPr>
                  </w:pPr>
                  <w:r>
                    <w:rPr>
                      <w:rStyle w:val="48"/>
                      <w:rFonts w:ascii="Times New Roman" w:hAnsi="Times New Roman" w:eastAsia="宋体" w:cs="Times New Roman"/>
                      <w:b/>
                      <w:color w:val="auto"/>
                      <w:highlight w:val="none"/>
                    </w:rPr>
                    <w:t>监测点位</w:t>
                  </w:r>
                </w:p>
              </w:tc>
              <w:tc>
                <w:tcPr>
                  <w:tcW w:w="936" w:type="pct"/>
                  <w:vAlign w:val="center"/>
                </w:tcPr>
                <w:p>
                  <w:pPr>
                    <w:pStyle w:val="47"/>
                    <w:shd w:val="clear" w:color="auto" w:fill="auto"/>
                    <w:snapToGrid w:val="0"/>
                    <w:spacing w:after="0" w:line="240" w:lineRule="auto"/>
                    <w:ind w:firstLine="0"/>
                    <w:jc w:val="center"/>
                    <w:rPr>
                      <w:rFonts w:ascii="Times New Roman" w:hAnsi="Times New Roman" w:eastAsia="宋体" w:cs="Times New Roman"/>
                      <w:b/>
                      <w:color w:val="auto"/>
                      <w:sz w:val="21"/>
                      <w:highlight w:val="none"/>
                    </w:rPr>
                  </w:pPr>
                  <w:r>
                    <w:rPr>
                      <w:rStyle w:val="48"/>
                      <w:rFonts w:ascii="Times New Roman" w:hAnsi="Times New Roman" w:eastAsia="宋体" w:cs="Times New Roman"/>
                      <w:b/>
                      <w:color w:val="auto"/>
                      <w:highlight w:val="none"/>
                    </w:rPr>
                    <w:t>监测项目</w:t>
                  </w:r>
                </w:p>
              </w:tc>
              <w:tc>
                <w:tcPr>
                  <w:tcW w:w="698" w:type="pct"/>
                  <w:vAlign w:val="center"/>
                </w:tcPr>
                <w:p>
                  <w:pPr>
                    <w:pStyle w:val="47"/>
                    <w:shd w:val="clear" w:color="auto" w:fill="auto"/>
                    <w:snapToGrid w:val="0"/>
                    <w:spacing w:after="0" w:line="240" w:lineRule="auto"/>
                    <w:ind w:firstLine="0"/>
                    <w:jc w:val="center"/>
                    <w:rPr>
                      <w:rFonts w:ascii="Times New Roman" w:hAnsi="Times New Roman" w:eastAsia="宋体" w:cs="Times New Roman"/>
                      <w:b/>
                      <w:color w:val="auto"/>
                      <w:sz w:val="21"/>
                      <w:highlight w:val="none"/>
                    </w:rPr>
                  </w:pPr>
                  <w:r>
                    <w:rPr>
                      <w:rStyle w:val="48"/>
                      <w:rFonts w:ascii="Times New Roman" w:hAnsi="Times New Roman" w:eastAsia="宋体" w:cs="Times New Roman"/>
                      <w:b/>
                      <w:color w:val="auto"/>
                      <w:highlight w:val="none"/>
                    </w:rPr>
                    <w:t>监测频次</w:t>
                  </w:r>
                </w:p>
              </w:tc>
              <w:tc>
                <w:tcPr>
                  <w:tcW w:w="1730" w:type="pct"/>
                  <w:vAlign w:val="center"/>
                </w:tcPr>
                <w:p>
                  <w:pPr>
                    <w:jc w:val="center"/>
                    <w:rPr>
                      <w:b/>
                      <w:color w:val="auto"/>
                      <w:szCs w:val="21"/>
                      <w:highlight w:val="none"/>
                    </w:rPr>
                  </w:pPr>
                  <w:r>
                    <w:rPr>
                      <w:rStyle w:val="48"/>
                      <w:rFonts w:ascii="Times New Roman" w:hAnsi="Times New Roman" w:eastAsia="宋体" w:cs="Times New Roman"/>
                      <w:b/>
                      <w:color w:val="auto"/>
                      <w:highlight w:val="none"/>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803" w:type="pct"/>
                  <w:vMerge w:val="restart"/>
                  <w:vAlign w:val="center"/>
                </w:tcPr>
                <w:p>
                  <w:pPr>
                    <w:pStyle w:val="47"/>
                    <w:snapToGrid w:val="0"/>
                    <w:spacing w:after="0" w:line="240" w:lineRule="auto"/>
                    <w:ind w:firstLine="0"/>
                    <w:jc w:val="center"/>
                    <w:rPr>
                      <w:rFonts w:ascii="Times New Roman" w:hAnsi="Times New Roman" w:eastAsia="宋体" w:cs="Times New Roman"/>
                      <w:b/>
                      <w:bCs/>
                      <w:color w:val="auto"/>
                      <w:sz w:val="21"/>
                      <w:highlight w:val="none"/>
                    </w:rPr>
                  </w:pPr>
                  <w:r>
                    <w:rPr>
                      <w:rFonts w:ascii="Times New Roman" w:hAnsi="Times New Roman" w:eastAsia="宋体" w:cs="Times New Roman"/>
                      <w:color w:val="auto"/>
                      <w:sz w:val="21"/>
                      <w:highlight w:val="none"/>
                    </w:rPr>
                    <w:t>有组织废气</w:t>
                  </w:r>
                </w:p>
              </w:tc>
              <w:tc>
                <w:tcPr>
                  <w:tcW w:w="830" w:type="pct"/>
                  <w:vMerge w:val="restart"/>
                  <w:vAlign w:val="center"/>
                </w:tcPr>
                <w:p>
                  <w:pPr>
                    <w:pStyle w:val="47"/>
                    <w:shd w:val="clear" w:color="auto" w:fill="auto"/>
                    <w:snapToGrid w:val="0"/>
                    <w:spacing w:after="0" w:line="240" w:lineRule="auto"/>
                    <w:ind w:firstLine="0"/>
                    <w:jc w:val="center"/>
                    <w:rPr>
                      <w:rFonts w:ascii="Times New Roman" w:hAnsi="Times New Roman" w:cs="Times New Roman"/>
                      <w:color w:val="auto"/>
                      <w:sz w:val="21"/>
                      <w:highlight w:val="none"/>
                    </w:rPr>
                  </w:pPr>
                  <w:r>
                    <w:rPr>
                      <w:rFonts w:hint="eastAsia" w:ascii="Times New Roman" w:hAnsi="Times New Roman" w:eastAsia="宋体" w:cs="Times New Roman"/>
                      <w:color w:val="auto"/>
                      <w:sz w:val="21"/>
                      <w:highlight w:val="none"/>
                    </w:rPr>
                    <w:t>排气筒（DA001、DA002）</w:t>
                  </w:r>
                </w:p>
              </w:tc>
              <w:tc>
                <w:tcPr>
                  <w:tcW w:w="936" w:type="pct"/>
                  <w:vAlign w:val="center"/>
                </w:tcPr>
                <w:p>
                  <w:pPr>
                    <w:pStyle w:val="47"/>
                    <w:shd w:val="clear" w:color="auto" w:fill="auto"/>
                    <w:snapToGrid w:val="0"/>
                    <w:spacing w:after="0" w:line="240" w:lineRule="auto"/>
                    <w:ind w:firstLine="0"/>
                    <w:jc w:val="center"/>
                    <w:rPr>
                      <w:rFonts w:ascii="Times New Roman" w:hAnsi="Times New Roman" w:cs="Times New Roman"/>
                      <w:color w:val="auto"/>
                      <w:sz w:val="21"/>
                      <w:highlight w:val="none"/>
                    </w:rPr>
                  </w:pPr>
                  <w:r>
                    <w:rPr>
                      <w:rFonts w:ascii="Times New Roman" w:hAnsi="Times New Roman" w:eastAsia="宋体" w:cs="Times New Roman"/>
                      <w:color w:val="auto"/>
                      <w:sz w:val="21"/>
                      <w:highlight w:val="none"/>
                    </w:rPr>
                    <w:t>非甲烷总烃</w:t>
                  </w:r>
                </w:p>
              </w:tc>
              <w:tc>
                <w:tcPr>
                  <w:tcW w:w="698" w:type="pc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pacing w:val="0"/>
                      <w:kern w:val="2"/>
                      <w:sz w:val="21"/>
                      <w:highlight w:val="none"/>
                    </w:rPr>
                  </w:pPr>
                  <w:r>
                    <w:rPr>
                      <w:rFonts w:ascii="Times New Roman" w:hAnsi="Times New Roman" w:eastAsia="宋体" w:cs="Times New Roman"/>
                      <w:color w:val="auto"/>
                      <w:spacing w:val="0"/>
                      <w:kern w:val="2"/>
                      <w:sz w:val="21"/>
                      <w:highlight w:val="none"/>
                    </w:rPr>
                    <w:t>1次/年</w:t>
                  </w:r>
                </w:p>
              </w:tc>
              <w:tc>
                <w:tcPr>
                  <w:tcW w:w="1730" w:type="pct"/>
                  <w:vAlign w:val="center"/>
                </w:tcPr>
                <w:p>
                  <w:pPr>
                    <w:jc w:val="center"/>
                    <w:rPr>
                      <w:iCs/>
                      <w:color w:val="auto"/>
                      <w:szCs w:val="21"/>
                      <w:highlight w:val="none"/>
                    </w:rPr>
                  </w:pPr>
                  <w:r>
                    <w:rPr>
                      <w:color w:val="auto"/>
                      <w:szCs w:val="21"/>
                      <w:highlight w:val="none"/>
                    </w:rPr>
                    <w:t>《合成树脂工业污染物排放标准》（GB31572-2015）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803" w:type="pct"/>
                  <w:vMerge w:val="continue"/>
                  <w:vAlign w:val="center"/>
                </w:tcPr>
                <w:p>
                  <w:pPr>
                    <w:pStyle w:val="47"/>
                    <w:snapToGrid w:val="0"/>
                    <w:spacing w:after="0" w:line="240" w:lineRule="auto"/>
                    <w:ind w:firstLine="0"/>
                    <w:jc w:val="center"/>
                    <w:rPr>
                      <w:rFonts w:ascii="Times New Roman" w:hAnsi="Times New Roman" w:eastAsia="宋体" w:cs="Times New Roman"/>
                      <w:color w:val="auto"/>
                      <w:sz w:val="21"/>
                      <w:highlight w:val="none"/>
                    </w:rPr>
                  </w:pPr>
                </w:p>
              </w:tc>
              <w:tc>
                <w:tcPr>
                  <w:tcW w:w="830" w:type="pct"/>
                  <w:vMerge w:val="continue"/>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z w:val="21"/>
                      <w:highlight w:val="none"/>
                    </w:rPr>
                  </w:pPr>
                </w:p>
              </w:tc>
              <w:tc>
                <w:tcPr>
                  <w:tcW w:w="936" w:type="pc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颗粒物</w:t>
                  </w:r>
                </w:p>
              </w:tc>
              <w:tc>
                <w:tcPr>
                  <w:tcW w:w="698" w:type="pc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pacing w:val="0"/>
                      <w:kern w:val="2"/>
                      <w:sz w:val="21"/>
                      <w:highlight w:val="none"/>
                    </w:rPr>
                  </w:pPr>
                  <w:r>
                    <w:rPr>
                      <w:rFonts w:ascii="Times New Roman" w:hAnsi="Times New Roman" w:eastAsia="宋体" w:cs="Times New Roman"/>
                      <w:color w:val="auto"/>
                      <w:spacing w:val="0"/>
                      <w:kern w:val="2"/>
                      <w:sz w:val="21"/>
                      <w:highlight w:val="none"/>
                    </w:rPr>
                    <w:t>1次/年</w:t>
                  </w:r>
                </w:p>
              </w:tc>
              <w:tc>
                <w:tcPr>
                  <w:tcW w:w="1730" w:type="pct"/>
                  <w:vAlign w:val="center"/>
                </w:tcPr>
                <w:p>
                  <w:pPr>
                    <w:jc w:val="center"/>
                    <w:rPr>
                      <w:color w:val="auto"/>
                      <w:szCs w:val="21"/>
                      <w:highlight w:val="none"/>
                    </w:rPr>
                  </w:pPr>
                  <w:r>
                    <w:rPr>
                      <w:color w:val="auto"/>
                      <w:szCs w:val="21"/>
                      <w:highlight w:val="none"/>
                    </w:rPr>
                    <w:t>《合成树脂工业污染物排放标准》（GB31572-2015）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803" w:type="pct"/>
                  <w:vMerge w:val="restar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z w:val="21"/>
                      <w:highlight w:val="none"/>
                    </w:rPr>
                  </w:pPr>
                  <w:r>
                    <w:rPr>
                      <w:rFonts w:ascii="Times New Roman" w:hAnsi="Times New Roman" w:eastAsia="宋体" w:cs="Times New Roman"/>
                      <w:color w:val="auto"/>
                      <w:sz w:val="21"/>
                      <w:highlight w:val="none"/>
                    </w:rPr>
                    <w:t>无组织废气</w:t>
                  </w:r>
                </w:p>
              </w:tc>
              <w:tc>
                <w:tcPr>
                  <w:tcW w:w="830" w:type="pct"/>
                  <w:vMerge w:val="restart"/>
                  <w:vAlign w:val="center"/>
                </w:tcPr>
                <w:p>
                  <w:pPr>
                    <w:pStyle w:val="47"/>
                    <w:shd w:val="clear" w:color="auto" w:fill="auto"/>
                    <w:snapToGrid w:val="0"/>
                    <w:spacing w:after="0" w:line="240" w:lineRule="auto"/>
                    <w:ind w:firstLine="0"/>
                    <w:jc w:val="center"/>
                    <w:rPr>
                      <w:rStyle w:val="48"/>
                      <w:rFonts w:ascii="Times New Roman" w:hAnsi="Times New Roman" w:eastAsia="宋体" w:cs="Times New Roman"/>
                      <w:color w:val="auto"/>
                      <w:highlight w:val="none"/>
                      <w:lang w:eastAsia="zh-TW"/>
                    </w:rPr>
                  </w:pPr>
                  <w:r>
                    <w:rPr>
                      <w:rStyle w:val="48"/>
                      <w:rFonts w:ascii="Times New Roman" w:hAnsi="Times New Roman" w:eastAsia="宋体" w:cs="Times New Roman"/>
                      <w:color w:val="auto"/>
                      <w:highlight w:val="none"/>
                    </w:rPr>
                    <w:t>厂界</w:t>
                  </w:r>
                </w:p>
              </w:tc>
              <w:tc>
                <w:tcPr>
                  <w:tcW w:w="936" w:type="pct"/>
                  <w:vAlign w:val="center"/>
                </w:tcPr>
                <w:p>
                  <w:pPr>
                    <w:pStyle w:val="47"/>
                    <w:shd w:val="clear" w:color="auto" w:fill="auto"/>
                    <w:snapToGrid w:val="0"/>
                    <w:spacing w:after="0" w:line="240" w:lineRule="auto"/>
                    <w:ind w:firstLine="0"/>
                    <w:jc w:val="center"/>
                    <w:rPr>
                      <w:rFonts w:ascii="Times New Roman" w:hAnsi="Times New Roman" w:cs="Times New Roman"/>
                      <w:color w:val="auto"/>
                      <w:sz w:val="21"/>
                      <w:highlight w:val="none"/>
                    </w:rPr>
                  </w:pPr>
                  <w:r>
                    <w:rPr>
                      <w:rFonts w:ascii="Times New Roman" w:hAnsi="Times New Roman" w:eastAsia="宋体" w:cs="Times New Roman"/>
                      <w:color w:val="auto"/>
                      <w:sz w:val="21"/>
                      <w:highlight w:val="none"/>
                    </w:rPr>
                    <w:t>非甲烷总烃</w:t>
                  </w:r>
                </w:p>
              </w:tc>
              <w:tc>
                <w:tcPr>
                  <w:tcW w:w="698" w:type="pc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pacing w:val="0"/>
                      <w:kern w:val="2"/>
                      <w:sz w:val="21"/>
                      <w:highlight w:val="none"/>
                    </w:rPr>
                  </w:pPr>
                  <w:r>
                    <w:rPr>
                      <w:rFonts w:ascii="Times New Roman" w:hAnsi="Times New Roman" w:eastAsia="宋体" w:cs="Times New Roman"/>
                      <w:color w:val="auto"/>
                      <w:spacing w:val="0"/>
                      <w:kern w:val="2"/>
                      <w:sz w:val="21"/>
                      <w:highlight w:val="none"/>
                    </w:rPr>
                    <w:t>1次/年</w:t>
                  </w:r>
                </w:p>
              </w:tc>
              <w:tc>
                <w:tcPr>
                  <w:tcW w:w="1730" w:type="pct"/>
                  <w:vAlign w:val="center"/>
                </w:tcPr>
                <w:p>
                  <w:pPr>
                    <w:jc w:val="center"/>
                    <w:rPr>
                      <w:color w:val="auto"/>
                      <w:szCs w:val="21"/>
                      <w:highlight w:val="none"/>
                    </w:rPr>
                  </w:pPr>
                  <w:r>
                    <w:rPr>
                      <w:color w:val="auto"/>
                      <w:szCs w:val="21"/>
                      <w:highlight w:val="none"/>
                    </w:rPr>
                    <w:t>《合成树脂工业污染物排放标准》（GB31572-2015）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803" w:type="pct"/>
                  <w:vMerge w:val="continue"/>
                  <w:vAlign w:val="center"/>
                </w:tcPr>
                <w:p>
                  <w:pPr>
                    <w:pStyle w:val="47"/>
                    <w:shd w:val="clear" w:color="auto" w:fill="auto"/>
                    <w:snapToGrid w:val="0"/>
                    <w:spacing w:after="0" w:line="240" w:lineRule="auto"/>
                    <w:ind w:firstLine="460"/>
                    <w:jc w:val="center"/>
                    <w:rPr>
                      <w:rFonts w:ascii="Times New Roman" w:hAnsi="Times New Roman" w:eastAsia="宋体" w:cs="Times New Roman"/>
                      <w:color w:val="auto"/>
                      <w:sz w:val="21"/>
                      <w:highlight w:val="none"/>
                    </w:rPr>
                  </w:pPr>
                </w:p>
              </w:tc>
              <w:tc>
                <w:tcPr>
                  <w:tcW w:w="830" w:type="pct"/>
                  <w:vMerge w:val="continue"/>
                  <w:vAlign w:val="center"/>
                </w:tcPr>
                <w:p>
                  <w:pPr>
                    <w:pStyle w:val="47"/>
                    <w:shd w:val="clear" w:color="auto" w:fill="auto"/>
                    <w:snapToGrid w:val="0"/>
                    <w:spacing w:after="0" w:line="240" w:lineRule="auto"/>
                    <w:ind w:firstLine="460"/>
                    <w:jc w:val="center"/>
                    <w:rPr>
                      <w:rStyle w:val="48"/>
                      <w:rFonts w:ascii="Times New Roman" w:hAnsi="Times New Roman" w:eastAsia="宋体" w:cs="Times New Roman"/>
                      <w:color w:val="auto"/>
                      <w:highlight w:val="none"/>
                    </w:rPr>
                  </w:pPr>
                </w:p>
              </w:tc>
              <w:tc>
                <w:tcPr>
                  <w:tcW w:w="936" w:type="pc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颗粒物</w:t>
                  </w:r>
                </w:p>
              </w:tc>
              <w:tc>
                <w:tcPr>
                  <w:tcW w:w="698" w:type="pct"/>
                  <w:vAlign w:val="center"/>
                </w:tcPr>
                <w:p>
                  <w:pPr>
                    <w:pStyle w:val="47"/>
                    <w:shd w:val="clear" w:color="auto" w:fill="auto"/>
                    <w:snapToGrid w:val="0"/>
                    <w:spacing w:after="0" w:line="240" w:lineRule="auto"/>
                    <w:ind w:firstLine="0"/>
                    <w:jc w:val="center"/>
                    <w:rPr>
                      <w:rFonts w:ascii="Times New Roman" w:hAnsi="Times New Roman" w:eastAsia="宋体" w:cs="Times New Roman"/>
                      <w:color w:val="auto"/>
                      <w:spacing w:val="0"/>
                      <w:kern w:val="2"/>
                      <w:sz w:val="21"/>
                      <w:highlight w:val="none"/>
                    </w:rPr>
                  </w:pPr>
                  <w:r>
                    <w:rPr>
                      <w:rFonts w:ascii="Times New Roman" w:hAnsi="Times New Roman" w:eastAsia="宋体" w:cs="Times New Roman"/>
                      <w:color w:val="auto"/>
                      <w:spacing w:val="0"/>
                      <w:kern w:val="2"/>
                      <w:sz w:val="21"/>
                      <w:highlight w:val="none"/>
                    </w:rPr>
                    <w:t>1次/年</w:t>
                  </w:r>
                </w:p>
              </w:tc>
              <w:tc>
                <w:tcPr>
                  <w:tcW w:w="1730" w:type="pct"/>
                  <w:vAlign w:val="center"/>
                </w:tcPr>
                <w:p>
                  <w:pPr>
                    <w:jc w:val="center"/>
                    <w:rPr>
                      <w:color w:val="auto"/>
                      <w:szCs w:val="21"/>
                      <w:highlight w:val="none"/>
                    </w:rPr>
                  </w:pPr>
                  <w:r>
                    <w:rPr>
                      <w:color w:val="auto"/>
                      <w:szCs w:val="21"/>
                      <w:highlight w:val="none"/>
                    </w:rPr>
                    <w:t>《合成树脂工业污染物排放标准》（GB31572-2015）</w:t>
                  </w:r>
                </w:p>
              </w:tc>
            </w:tr>
          </w:tbl>
          <w:p>
            <w:pPr>
              <w:adjustRightInd w:val="0"/>
              <w:snapToGrid w:val="0"/>
              <w:spacing w:line="360" w:lineRule="auto"/>
              <w:ind w:firstLine="442"/>
              <w:rPr>
                <w:b/>
                <w:color w:val="auto"/>
                <w:spacing w:val="-10"/>
                <w:sz w:val="24"/>
                <w:highlight w:val="none"/>
              </w:rPr>
            </w:pPr>
            <w:r>
              <w:rPr>
                <w:rFonts w:hint="eastAsia"/>
                <w:b/>
                <w:color w:val="auto"/>
                <w:spacing w:val="-10"/>
                <w:sz w:val="24"/>
                <w:highlight w:val="none"/>
              </w:rPr>
              <w:t>2</w:t>
            </w:r>
            <w:r>
              <w:rPr>
                <w:b/>
                <w:color w:val="auto"/>
                <w:spacing w:val="-10"/>
                <w:sz w:val="24"/>
                <w:highlight w:val="none"/>
              </w:rPr>
              <w:t>、</w:t>
            </w:r>
            <w:r>
              <w:rPr>
                <w:rFonts w:hint="eastAsia"/>
                <w:b/>
                <w:color w:val="auto"/>
                <w:spacing w:val="-10"/>
                <w:sz w:val="24"/>
                <w:highlight w:val="none"/>
              </w:rPr>
              <w:t>废水</w:t>
            </w:r>
          </w:p>
          <w:p>
            <w:pPr>
              <w:pStyle w:val="17"/>
              <w:ind w:firstLine="440"/>
              <w:rPr>
                <w:rFonts w:eastAsia="宋体"/>
                <w:bCs/>
                <w:color w:val="auto"/>
                <w:spacing w:val="-10"/>
                <w:sz w:val="24"/>
                <w:highlight w:val="none"/>
              </w:rPr>
            </w:pPr>
            <w:r>
              <w:rPr>
                <w:rFonts w:eastAsia="宋体"/>
                <w:bCs/>
                <w:color w:val="auto"/>
                <w:spacing w:val="-10"/>
                <w:sz w:val="24"/>
                <w:highlight w:val="none"/>
              </w:rPr>
              <w:t>（1）废水源强及达标情况</w:t>
            </w:r>
          </w:p>
          <w:p>
            <w:pPr>
              <w:pStyle w:val="17"/>
              <w:ind w:firstLine="440"/>
              <w:rPr>
                <w:rFonts w:eastAsia="宋体"/>
                <w:bCs/>
                <w:color w:val="auto"/>
                <w:spacing w:val="-10"/>
                <w:sz w:val="24"/>
                <w:highlight w:val="none"/>
              </w:rPr>
            </w:pPr>
            <w:r>
              <w:rPr>
                <w:rFonts w:hint="eastAsia" w:eastAsia="宋体"/>
                <w:bCs/>
                <w:color w:val="auto"/>
                <w:spacing w:val="-10"/>
                <w:sz w:val="24"/>
                <w:highlight w:val="none"/>
              </w:rPr>
              <w:t>1）生活污水</w:t>
            </w:r>
          </w:p>
          <w:p>
            <w:pPr>
              <w:pStyle w:val="17"/>
              <w:ind w:firstLine="440"/>
              <w:rPr>
                <w:rFonts w:eastAsia="宋体"/>
                <w:bCs/>
                <w:color w:val="auto"/>
                <w:spacing w:val="-10"/>
                <w:sz w:val="24"/>
                <w:highlight w:val="none"/>
              </w:rPr>
            </w:pPr>
            <w:r>
              <w:rPr>
                <w:rFonts w:eastAsia="宋体"/>
                <w:bCs/>
                <w:color w:val="auto"/>
                <w:spacing w:val="-10"/>
                <w:sz w:val="24"/>
                <w:highlight w:val="none"/>
              </w:rPr>
              <w:t>本项目废水为生活污水</w:t>
            </w:r>
            <w:r>
              <w:rPr>
                <w:rFonts w:hint="eastAsia" w:eastAsia="宋体"/>
                <w:bCs/>
                <w:color w:val="auto"/>
                <w:spacing w:val="-10"/>
                <w:sz w:val="24"/>
                <w:highlight w:val="none"/>
              </w:rPr>
              <w:t>、生产废水</w:t>
            </w:r>
            <w:r>
              <w:rPr>
                <w:rFonts w:eastAsia="宋体"/>
                <w:bCs/>
                <w:color w:val="auto"/>
                <w:spacing w:val="-10"/>
                <w:sz w:val="24"/>
                <w:highlight w:val="none"/>
              </w:rPr>
              <w:t>。根据前文计算可知，本项目生活污水量为</w:t>
            </w:r>
            <w:r>
              <w:rPr>
                <w:rFonts w:hint="eastAsia" w:eastAsia="宋体"/>
                <w:bCs/>
                <w:color w:val="auto"/>
                <w:spacing w:val="-10"/>
                <w:sz w:val="24"/>
                <w:highlight w:val="none"/>
              </w:rPr>
              <w:t xml:space="preserve">17.28 </w:t>
            </w:r>
            <w:r>
              <w:rPr>
                <w:rFonts w:eastAsia="宋体"/>
                <w:bCs/>
                <w:color w:val="auto"/>
                <w:spacing w:val="-10"/>
                <w:sz w:val="24"/>
                <w:highlight w:val="none"/>
              </w:rPr>
              <w:t>m</w:t>
            </w:r>
            <w:r>
              <w:rPr>
                <w:rFonts w:eastAsia="宋体"/>
                <w:bCs/>
                <w:color w:val="auto"/>
                <w:spacing w:val="-10"/>
                <w:sz w:val="24"/>
                <w:highlight w:val="none"/>
                <w:vertAlign w:val="superscript"/>
              </w:rPr>
              <w:t>3</w:t>
            </w:r>
            <w:r>
              <w:rPr>
                <w:rFonts w:eastAsia="宋体"/>
                <w:bCs/>
                <w:color w:val="auto"/>
                <w:spacing w:val="-10"/>
                <w:sz w:val="24"/>
                <w:highlight w:val="none"/>
              </w:rPr>
              <w:t>/d（</w:t>
            </w:r>
            <w:r>
              <w:rPr>
                <w:rFonts w:hint="eastAsia" w:eastAsia="宋体"/>
                <w:bCs/>
                <w:color w:val="auto"/>
                <w:spacing w:val="-10"/>
                <w:sz w:val="24"/>
                <w:highlight w:val="none"/>
              </w:rPr>
              <w:t xml:space="preserve">5184 </w:t>
            </w:r>
            <w:r>
              <w:rPr>
                <w:rFonts w:eastAsia="宋体"/>
                <w:bCs/>
                <w:color w:val="auto"/>
                <w:spacing w:val="-10"/>
                <w:sz w:val="24"/>
                <w:highlight w:val="none"/>
              </w:rPr>
              <w:t>m</w:t>
            </w:r>
            <w:r>
              <w:rPr>
                <w:rFonts w:eastAsia="宋体"/>
                <w:bCs/>
                <w:color w:val="auto"/>
                <w:spacing w:val="-10"/>
                <w:sz w:val="24"/>
                <w:highlight w:val="none"/>
                <w:vertAlign w:val="superscript"/>
              </w:rPr>
              <w:t>3</w:t>
            </w:r>
            <w:r>
              <w:rPr>
                <w:rFonts w:eastAsia="宋体"/>
                <w:bCs/>
                <w:color w:val="auto"/>
                <w:spacing w:val="-10"/>
                <w:sz w:val="24"/>
                <w:highlight w:val="none"/>
              </w:rPr>
              <w:t>/a），主要污染物包括COD、BOD</w:t>
            </w:r>
            <w:r>
              <w:rPr>
                <w:rFonts w:eastAsia="宋体"/>
                <w:bCs/>
                <w:color w:val="auto"/>
                <w:spacing w:val="-10"/>
                <w:sz w:val="24"/>
                <w:highlight w:val="none"/>
                <w:vertAlign w:val="subscript"/>
              </w:rPr>
              <w:t>5</w:t>
            </w:r>
            <w:r>
              <w:rPr>
                <w:rFonts w:eastAsia="宋体"/>
                <w:bCs/>
                <w:color w:val="auto"/>
                <w:spacing w:val="-10"/>
                <w:sz w:val="24"/>
                <w:highlight w:val="none"/>
              </w:rPr>
              <w:t>、SS、</w:t>
            </w:r>
            <w:r>
              <w:rPr>
                <w:rFonts w:hint="eastAsia" w:eastAsia="宋体"/>
                <w:bCs/>
                <w:color w:val="auto"/>
                <w:spacing w:val="-10"/>
                <w:sz w:val="24"/>
                <w:highlight w:val="none"/>
              </w:rPr>
              <w:t>氨氮</w:t>
            </w:r>
            <w:r>
              <w:rPr>
                <w:rFonts w:hint="eastAsia" w:eastAsia="宋体"/>
                <w:bCs/>
                <w:color w:val="auto"/>
                <w:spacing w:val="-10"/>
                <w:sz w:val="24"/>
                <w:highlight w:val="none"/>
                <w:lang w:eastAsia="zh-CN"/>
              </w:rPr>
              <w:t>、</w:t>
            </w:r>
            <w:r>
              <w:rPr>
                <w:rFonts w:hint="eastAsia" w:eastAsia="宋体"/>
                <w:bCs/>
                <w:color w:val="auto"/>
                <w:spacing w:val="-10"/>
                <w:sz w:val="24"/>
                <w:highlight w:val="none"/>
                <w:lang w:val="en-US" w:eastAsia="zh-CN"/>
              </w:rPr>
              <w:t>动植物油、TP、TN</w:t>
            </w:r>
            <w:r>
              <w:rPr>
                <w:rFonts w:eastAsia="宋体"/>
                <w:bCs/>
                <w:color w:val="auto"/>
                <w:spacing w:val="-10"/>
                <w:sz w:val="24"/>
                <w:highlight w:val="none"/>
              </w:rPr>
              <w:t>，经比亚迪新能源汽车零部件产业园厂区化粪池处理后，水质满足《污水综合排放标准》（GB8978-1996）三级标准及《污水排入城镇下水道水质标准》（GB/T31962-2015）B 级标准要求后排入园区市政污水管网，最终进入集贤产业园污水处理厂集中处理。</w:t>
            </w:r>
          </w:p>
          <w:p>
            <w:pPr>
              <w:pStyle w:val="17"/>
              <w:ind w:firstLine="440"/>
              <w:rPr>
                <w:rFonts w:eastAsia="宋体"/>
                <w:bCs/>
                <w:color w:val="auto"/>
                <w:spacing w:val="-10"/>
                <w:sz w:val="24"/>
                <w:highlight w:val="none"/>
              </w:rPr>
            </w:pPr>
            <w:r>
              <w:rPr>
                <w:rFonts w:hint="eastAsia" w:eastAsia="宋体"/>
                <w:bCs/>
                <w:color w:val="auto"/>
                <w:spacing w:val="-10"/>
                <w:sz w:val="24"/>
                <w:highlight w:val="none"/>
              </w:rPr>
              <w:t>2）生产废水</w:t>
            </w:r>
          </w:p>
          <w:p>
            <w:pPr>
              <w:pStyle w:val="17"/>
              <w:ind w:firstLine="440"/>
              <w:rPr>
                <w:rFonts w:eastAsia="宋体"/>
                <w:bCs/>
                <w:color w:val="auto"/>
                <w:spacing w:val="-10"/>
                <w:sz w:val="24"/>
                <w:highlight w:val="none"/>
              </w:rPr>
            </w:pPr>
            <w:r>
              <w:rPr>
                <w:rFonts w:hint="eastAsia" w:eastAsia="宋体"/>
                <w:bCs/>
                <w:color w:val="auto"/>
                <w:spacing w:val="-10"/>
                <w:sz w:val="24"/>
                <w:highlight w:val="none"/>
              </w:rPr>
              <w:t>水刀切割废水，产量预计为300</w:t>
            </w:r>
            <w:r>
              <w:rPr>
                <w:rFonts w:hint="eastAsia" w:eastAsia="宋体"/>
                <w:bCs/>
                <w:color w:val="auto"/>
                <w:spacing w:val="-10"/>
                <w:sz w:val="24"/>
                <w:highlight w:val="none"/>
                <w:lang w:val="en-US" w:eastAsia="zh-CN"/>
              </w:rPr>
              <w:t xml:space="preserve"> </w:t>
            </w:r>
            <w:r>
              <w:rPr>
                <w:rFonts w:hint="eastAsia" w:eastAsia="宋体"/>
                <w:bCs/>
                <w:color w:val="auto"/>
                <w:spacing w:val="-10"/>
                <w:sz w:val="24"/>
                <w:highlight w:val="none"/>
              </w:rPr>
              <w:t>t/a。根据企业提供资料，水刀切割产物系数为0.175</w:t>
            </w:r>
            <w:r>
              <w:rPr>
                <w:rFonts w:hint="eastAsia" w:eastAsia="宋体"/>
                <w:bCs/>
                <w:color w:val="auto"/>
                <w:spacing w:val="-10"/>
                <w:sz w:val="24"/>
                <w:highlight w:val="none"/>
                <w:lang w:val="en-US" w:eastAsia="zh-CN"/>
              </w:rPr>
              <w:t xml:space="preserve"> </w:t>
            </w:r>
            <w:r>
              <w:rPr>
                <w:rFonts w:hint="eastAsia" w:eastAsia="宋体"/>
                <w:bCs/>
                <w:color w:val="auto"/>
                <w:spacing w:val="-10"/>
                <w:sz w:val="24"/>
                <w:highlight w:val="none"/>
              </w:rPr>
              <w:t>kg/t，本项目需要采用水刀切割的材料</w:t>
            </w:r>
            <w:r>
              <w:rPr>
                <w:rFonts w:hint="eastAsia" w:eastAsia="宋体"/>
                <w:bCs/>
                <w:color w:val="auto"/>
                <w:spacing w:val="-10"/>
                <w:sz w:val="24"/>
                <w:highlight w:val="none"/>
                <w:lang w:val="en-US" w:eastAsia="zh-CN"/>
              </w:rPr>
              <w:t>为毛毡</w:t>
            </w:r>
            <w:r>
              <w:rPr>
                <w:rFonts w:hint="eastAsia" w:eastAsia="宋体"/>
                <w:bCs/>
                <w:color w:val="auto"/>
                <w:spacing w:val="-10"/>
                <w:sz w:val="24"/>
                <w:highlight w:val="none"/>
              </w:rPr>
              <w:t>合计约为3000</w:t>
            </w:r>
            <w:r>
              <w:rPr>
                <w:rFonts w:hint="eastAsia" w:eastAsia="宋体"/>
                <w:bCs/>
                <w:color w:val="auto"/>
                <w:spacing w:val="-10"/>
                <w:sz w:val="24"/>
                <w:highlight w:val="none"/>
                <w:lang w:val="en-US" w:eastAsia="zh-CN"/>
              </w:rPr>
              <w:t xml:space="preserve"> </w:t>
            </w:r>
            <w:r>
              <w:rPr>
                <w:rFonts w:hint="eastAsia" w:eastAsia="宋体"/>
                <w:bCs/>
                <w:color w:val="auto"/>
                <w:spacing w:val="-10"/>
                <w:sz w:val="24"/>
                <w:highlight w:val="none"/>
              </w:rPr>
              <w:t>t/a，设碎屑全部进入废水中，各材料在常温常压下物化性质稳定，不会产生其他污染物，则水中SS的产生量约为0.525</w:t>
            </w:r>
            <w:r>
              <w:rPr>
                <w:rFonts w:hint="eastAsia" w:eastAsia="宋体"/>
                <w:bCs/>
                <w:color w:val="auto"/>
                <w:spacing w:val="-10"/>
                <w:sz w:val="24"/>
                <w:highlight w:val="none"/>
                <w:lang w:val="en-US" w:eastAsia="zh-CN"/>
              </w:rPr>
              <w:t xml:space="preserve"> </w:t>
            </w:r>
            <w:r>
              <w:rPr>
                <w:rFonts w:hint="eastAsia" w:eastAsia="宋体"/>
                <w:bCs/>
                <w:color w:val="auto"/>
                <w:spacing w:val="-10"/>
                <w:sz w:val="24"/>
                <w:highlight w:val="none"/>
              </w:rPr>
              <w:t>t/a，本项目采用过滤器进行过滤，滤芯为无纺布，过滤效率可达90%，则</w:t>
            </w:r>
            <w:r>
              <w:rPr>
                <w:rFonts w:hint="eastAsia" w:eastAsia="宋体"/>
                <w:bCs/>
                <w:color w:val="auto"/>
                <w:spacing w:val="-10"/>
                <w:sz w:val="24"/>
                <w:highlight w:val="none"/>
                <w:lang w:val="en-US" w:eastAsia="zh-CN"/>
              </w:rPr>
              <w:t>水刀</w:t>
            </w:r>
            <w:r>
              <w:rPr>
                <w:rFonts w:hint="eastAsia" w:eastAsia="宋体"/>
                <w:bCs/>
                <w:color w:val="auto"/>
                <w:spacing w:val="-10"/>
                <w:sz w:val="24"/>
                <w:highlight w:val="none"/>
              </w:rPr>
              <w:t>切割废水中SS的年排放量约为0.053</w:t>
            </w:r>
            <w:r>
              <w:rPr>
                <w:rFonts w:hint="eastAsia" w:eastAsia="宋体"/>
                <w:bCs/>
                <w:color w:val="auto"/>
                <w:spacing w:val="-10"/>
                <w:sz w:val="24"/>
                <w:highlight w:val="none"/>
                <w:lang w:val="en-US" w:eastAsia="zh-CN"/>
              </w:rPr>
              <w:t xml:space="preserve"> </w:t>
            </w:r>
            <w:r>
              <w:rPr>
                <w:rFonts w:hint="eastAsia" w:eastAsia="宋体"/>
                <w:bCs/>
                <w:color w:val="auto"/>
                <w:spacing w:val="-10"/>
                <w:sz w:val="24"/>
                <w:highlight w:val="none"/>
              </w:rPr>
              <w:t>t/a，排放浓度为176.67</w:t>
            </w:r>
            <w:r>
              <w:rPr>
                <w:rFonts w:hint="eastAsia" w:eastAsia="宋体"/>
                <w:bCs/>
                <w:color w:val="auto"/>
                <w:spacing w:val="-10"/>
                <w:sz w:val="24"/>
                <w:highlight w:val="none"/>
                <w:lang w:val="en-US" w:eastAsia="zh-CN"/>
              </w:rPr>
              <w:t xml:space="preserve">0 </w:t>
            </w:r>
            <w:r>
              <w:rPr>
                <w:rFonts w:eastAsia="宋体"/>
                <w:bCs/>
                <w:color w:val="auto"/>
                <w:spacing w:val="-10"/>
                <w:sz w:val="24"/>
                <w:highlight w:val="none"/>
              </w:rPr>
              <w:t>mg/L</w:t>
            </w:r>
            <w:r>
              <w:rPr>
                <w:rFonts w:hint="eastAsia" w:eastAsia="宋体"/>
                <w:bCs/>
                <w:color w:val="auto"/>
                <w:spacing w:val="-10"/>
                <w:sz w:val="24"/>
                <w:highlight w:val="none"/>
              </w:rPr>
              <w:t>。</w:t>
            </w:r>
          </w:p>
          <w:p>
            <w:pPr>
              <w:pStyle w:val="17"/>
              <w:ind w:firstLine="440"/>
              <w:rPr>
                <w:rFonts w:eastAsia="宋体"/>
                <w:bCs/>
                <w:color w:val="auto"/>
                <w:spacing w:val="-10"/>
                <w:sz w:val="24"/>
                <w:highlight w:val="none"/>
              </w:rPr>
            </w:pPr>
            <w:r>
              <w:rPr>
                <w:rFonts w:hint="eastAsia" w:eastAsia="宋体"/>
                <w:bCs/>
                <w:color w:val="auto"/>
                <w:spacing w:val="-10"/>
                <w:sz w:val="24"/>
                <w:highlight w:val="none"/>
              </w:rPr>
              <w:t>发泡机水箱循环废水，循环使用，定期更换，一季度更换一次，则发泡机水箱废水的排放量为9.6m</w:t>
            </w:r>
            <w:r>
              <w:rPr>
                <w:rFonts w:hint="eastAsia" w:eastAsia="宋体"/>
                <w:bCs/>
                <w:color w:val="auto"/>
                <w:spacing w:val="-10"/>
                <w:sz w:val="24"/>
                <w:highlight w:val="none"/>
                <w:vertAlign w:val="superscript"/>
              </w:rPr>
              <w:t>3</w:t>
            </w:r>
            <w:r>
              <w:rPr>
                <w:rFonts w:hint="eastAsia" w:eastAsia="宋体"/>
                <w:bCs/>
                <w:color w:val="auto"/>
                <w:spacing w:val="-10"/>
                <w:sz w:val="24"/>
                <w:highlight w:val="none"/>
              </w:rPr>
              <w:t>/a（0.032m</w:t>
            </w:r>
            <w:r>
              <w:rPr>
                <w:rFonts w:hint="eastAsia" w:eastAsia="宋体"/>
                <w:bCs/>
                <w:color w:val="auto"/>
                <w:spacing w:val="-10"/>
                <w:sz w:val="24"/>
                <w:highlight w:val="none"/>
                <w:vertAlign w:val="superscript"/>
              </w:rPr>
              <w:t>3</w:t>
            </w:r>
            <w:r>
              <w:rPr>
                <w:rFonts w:hint="eastAsia" w:eastAsia="宋体"/>
                <w:bCs/>
                <w:color w:val="auto"/>
                <w:spacing w:val="-10"/>
                <w:sz w:val="24"/>
                <w:highlight w:val="none"/>
              </w:rPr>
              <w:t>/d）。</w:t>
            </w:r>
          </w:p>
          <w:p>
            <w:pPr>
              <w:pStyle w:val="17"/>
              <w:ind w:firstLine="440"/>
              <w:rPr>
                <w:rFonts w:eastAsia="宋体"/>
                <w:bCs/>
                <w:color w:val="auto"/>
                <w:spacing w:val="-10"/>
                <w:sz w:val="24"/>
                <w:highlight w:val="none"/>
              </w:rPr>
            </w:pPr>
            <w:r>
              <w:rPr>
                <w:rFonts w:eastAsia="宋体"/>
                <w:bCs/>
                <w:color w:val="auto"/>
                <w:spacing w:val="-10"/>
                <w:sz w:val="24"/>
                <w:highlight w:val="none"/>
              </w:rPr>
              <w:t>本项目生活污水</w:t>
            </w:r>
            <w:r>
              <w:rPr>
                <w:rFonts w:hint="eastAsia" w:eastAsia="宋体"/>
                <w:bCs/>
                <w:color w:val="auto"/>
                <w:spacing w:val="-10"/>
                <w:sz w:val="24"/>
                <w:highlight w:val="none"/>
              </w:rPr>
              <w:t>、生产废水</w:t>
            </w:r>
            <w:r>
              <w:rPr>
                <w:rFonts w:eastAsia="宋体"/>
                <w:bCs/>
                <w:color w:val="auto"/>
                <w:spacing w:val="-10"/>
                <w:sz w:val="24"/>
                <w:highlight w:val="none"/>
              </w:rPr>
              <w:t>污染源源强核算结果及相关参数见表4-</w:t>
            </w:r>
            <w:r>
              <w:rPr>
                <w:rFonts w:hint="eastAsia" w:eastAsia="宋体"/>
                <w:bCs/>
                <w:color w:val="auto"/>
                <w:spacing w:val="-10"/>
                <w:sz w:val="24"/>
                <w:highlight w:val="none"/>
                <w:lang w:val="en-US" w:eastAsia="zh-CN"/>
              </w:rPr>
              <w:t>8</w:t>
            </w:r>
            <w:r>
              <w:rPr>
                <w:rFonts w:eastAsia="宋体"/>
                <w:bCs/>
                <w:color w:val="auto"/>
                <w:spacing w:val="-10"/>
                <w:sz w:val="24"/>
                <w:highlight w:val="none"/>
              </w:rPr>
              <w:t>。</w:t>
            </w:r>
          </w:p>
          <w:p>
            <w:pPr>
              <w:pStyle w:val="17"/>
              <w:ind w:firstLine="440"/>
              <w:rPr>
                <w:rFonts w:hint="eastAsia"/>
                <w:bCs/>
                <w:color w:val="auto"/>
                <w:spacing w:val="-10"/>
                <w:sz w:val="24"/>
                <w:highlight w:val="none"/>
              </w:rPr>
            </w:pPr>
            <w:r>
              <w:rPr>
                <w:rFonts w:eastAsia="宋体"/>
                <w:bCs/>
                <w:color w:val="auto"/>
                <w:spacing w:val="-10"/>
                <w:sz w:val="24"/>
                <w:highlight w:val="none"/>
              </w:rPr>
              <w:t>根据《环境影响评价技术导则 地表水环境》（HJ 2.3-2018）中表1水污染影响型建设项目评价等级判定，本项目地表水评价等级为三级B，分析依托现有污水处理工程的可行性。</w:t>
            </w:r>
          </w:p>
        </w:tc>
      </w:tr>
    </w:tbl>
    <w:p>
      <w:pPr>
        <w:adjustRightInd w:val="0"/>
        <w:snapToGrid w:val="0"/>
        <w:spacing w:line="360" w:lineRule="auto"/>
        <w:rPr>
          <w:rFonts w:ascii="宋体" w:cs="宋体"/>
          <w:b/>
          <w:kern w:val="0"/>
          <w:sz w:val="28"/>
          <w:szCs w:val="28"/>
        </w:rPr>
        <w:sectPr>
          <w:footerReference r:id="rId9" w:type="default"/>
          <w:pgSz w:w="11907" w:h="16840"/>
          <w:pgMar w:top="1701" w:right="1531" w:bottom="2127" w:left="1531" w:header="851" w:footer="851" w:gutter="0"/>
          <w:pgNumType w:fmt="decimal" w:start="52"/>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6" w:hRule="atLeast"/>
        </w:trPr>
        <w:tc>
          <w:tcPr>
            <w:tcW w:w="569" w:type="dxa"/>
          </w:tcPr>
          <w:p>
            <w:pPr>
              <w:adjustRightInd w:val="0"/>
              <w:snapToGrid w:val="0"/>
              <w:spacing w:line="360" w:lineRule="auto"/>
              <w:rPr>
                <w:rFonts w:ascii="宋体" w:cs="宋体"/>
                <w:b/>
                <w:kern w:val="0"/>
                <w:sz w:val="28"/>
                <w:szCs w:val="28"/>
                <w:vertAlign w:val="baseline"/>
              </w:rPr>
            </w:pPr>
          </w:p>
        </w:tc>
        <w:tc>
          <w:tcPr>
            <w:tcW w:w="12659" w:type="dxa"/>
          </w:tcPr>
          <w:p>
            <w:pPr>
              <w:adjustRightInd w:val="0"/>
              <w:snapToGrid w:val="0"/>
              <w:spacing w:line="360" w:lineRule="auto"/>
              <w:jc w:val="center"/>
              <w:rPr>
                <w:b/>
                <w:color w:val="auto"/>
                <w:szCs w:val="21"/>
                <w:highlight w:val="none"/>
              </w:rPr>
            </w:pPr>
            <w:r>
              <w:rPr>
                <w:b/>
                <w:color w:val="auto"/>
                <w:szCs w:val="21"/>
                <w:highlight w:val="none"/>
              </w:rPr>
              <w:t>表4-</w:t>
            </w:r>
            <w:r>
              <w:rPr>
                <w:rFonts w:hint="eastAsia"/>
                <w:b/>
                <w:color w:val="auto"/>
                <w:szCs w:val="21"/>
                <w:highlight w:val="none"/>
                <w:lang w:val="en-US" w:eastAsia="zh-CN"/>
              </w:rPr>
              <w:t>8</w:t>
            </w:r>
            <w:r>
              <w:rPr>
                <w:b/>
                <w:color w:val="auto"/>
                <w:szCs w:val="21"/>
                <w:highlight w:val="none"/>
              </w:rPr>
              <w:t xml:space="preserve"> 本项目生活污水污染源源强核算结果及相关参数一览</w:t>
            </w:r>
          </w:p>
          <w:tbl>
            <w:tblPr>
              <w:tblStyle w:val="19"/>
              <w:tblpPr w:leftFromText="180" w:rightFromText="180" w:vertAnchor="text" w:horzAnchor="page" w:tblpX="95" w:tblpY="273"/>
              <w:tblOverlap w:val="never"/>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765"/>
              <w:gridCol w:w="683"/>
              <w:gridCol w:w="1317"/>
              <w:gridCol w:w="927"/>
              <w:gridCol w:w="1519"/>
              <w:gridCol w:w="1183"/>
              <w:gridCol w:w="1004"/>
              <w:gridCol w:w="1082"/>
              <w:gridCol w:w="1238"/>
              <w:gridCol w:w="1183"/>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 w:type="pct"/>
                  <w:vMerge w:val="restar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工序/生产线</w:t>
                  </w:r>
                </w:p>
              </w:tc>
              <w:tc>
                <w:tcPr>
                  <w:tcW w:w="307" w:type="pct"/>
                  <w:vMerge w:val="restar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装置</w:t>
                  </w:r>
                </w:p>
              </w:tc>
              <w:tc>
                <w:tcPr>
                  <w:tcW w:w="274" w:type="pct"/>
                  <w:vMerge w:val="restar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污染源</w:t>
                  </w:r>
                </w:p>
              </w:tc>
              <w:tc>
                <w:tcPr>
                  <w:tcW w:w="530" w:type="pct"/>
                  <w:vMerge w:val="restar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污染物</w:t>
                  </w:r>
                </w:p>
              </w:tc>
              <w:tc>
                <w:tcPr>
                  <w:tcW w:w="1460" w:type="pct"/>
                  <w:gridSpan w:val="3"/>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污染物产生</w:t>
                  </w:r>
                </w:p>
              </w:tc>
              <w:tc>
                <w:tcPr>
                  <w:tcW w:w="404" w:type="pct"/>
                  <w:vMerge w:val="restar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治理措施</w:t>
                  </w:r>
                </w:p>
              </w:tc>
              <w:tc>
                <w:tcPr>
                  <w:tcW w:w="1410" w:type="pct"/>
                  <w:gridSpan w:val="3"/>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污染物排放</w:t>
                  </w:r>
                </w:p>
              </w:tc>
              <w:tc>
                <w:tcPr>
                  <w:tcW w:w="372" w:type="pct"/>
                  <w:vMerge w:val="restar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 w:type="pct"/>
                  <w:vMerge w:val="continue"/>
                  <w:vAlign w:val="center"/>
                </w:tcPr>
                <w:p>
                  <w:pPr>
                    <w:pStyle w:val="17"/>
                    <w:ind w:firstLine="0" w:firstLineChars="0"/>
                    <w:jc w:val="center"/>
                    <w:rPr>
                      <w:rFonts w:eastAsia="宋体"/>
                      <w:b/>
                      <w:color w:val="auto"/>
                      <w:spacing w:val="-10"/>
                      <w:sz w:val="21"/>
                      <w:szCs w:val="21"/>
                      <w:highlight w:val="none"/>
                    </w:rPr>
                  </w:pPr>
                </w:p>
              </w:tc>
              <w:tc>
                <w:tcPr>
                  <w:tcW w:w="307" w:type="pct"/>
                  <w:vMerge w:val="continue"/>
                  <w:vAlign w:val="center"/>
                </w:tcPr>
                <w:p>
                  <w:pPr>
                    <w:pStyle w:val="17"/>
                    <w:ind w:firstLine="0" w:firstLineChars="0"/>
                    <w:jc w:val="center"/>
                    <w:rPr>
                      <w:rFonts w:eastAsia="宋体"/>
                      <w:b/>
                      <w:color w:val="auto"/>
                      <w:spacing w:val="-10"/>
                      <w:sz w:val="21"/>
                      <w:szCs w:val="21"/>
                      <w:highlight w:val="none"/>
                    </w:rPr>
                  </w:pPr>
                </w:p>
              </w:tc>
              <w:tc>
                <w:tcPr>
                  <w:tcW w:w="274" w:type="pct"/>
                  <w:vMerge w:val="continue"/>
                  <w:vAlign w:val="center"/>
                </w:tcPr>
                <w:p>
                  <w:pPr>
                    <w:pStyle w:val="17"/>
                    <w:ind w:firstLine="0" w:firstLineChars="0"/>
                    <w:jc w:val="center"/>
                    <w:rPr>
                      <w:rFonts w:eastAsia="宋体"/>
                      <w:b/>
                      <w:color w:val="auto"/>
                      <w:spacing w:val="-10"/>
                      <w:sz w:val="21"/>
                      <w:szCs w:val="21"/>
                      <w:highlight w:val="none"/>
                    </w:rPr>
                  </w:pPr>
                </w:p>
              </w:tc>
              <w:tc>
                <w:tcPr>
                  <w:tcW w:w="530" w:type="pct"/>
                  <w:vMerge w:val="continue"/>
                  <w:vAlign w:val="center"/>
                </w:tcPr>
                <w:p>
                  <w:pPr>
                    <w:pStyle w:val="17"/>
                    <w:ind w:firstLine="0" w:firstLineChars="0"/>
                    <w:jc w:val="center"/>
                    <w:rPr>
                      <w:rFonts w:eastAsia="宋体"/>
                      <w:b/>
                      <w:color w:val="auto"/>
                      <w:spacing w:val="-10"/>
                      <w:sz w:val="21"/>
                      <w:szCs w:val="21"/>
                      <w:highlight w:val="none"/>
                    </w:rPr>
                  </w:pPr>
                </w:p>
              </w:tc>
              <w:tc>
                <w:tcPr>
                  <w:tcW w:w="373" w:type="pc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产生废水量（</w:t>
                  </w:r>
                  <w:r>
                    <w:rPr>
                      <w:rFonts w:hint="eastAsia" w:eastAsia="宋体"/>
                      <w:b/>
                      <w:color w:val="auto"/>
                      <w:sz w:val="21"/>
                      <w:szCs w:val="21"/>
                      <w:highlight w:val="none"/>
                    </w:rPr>
                    <w:t>m</w:t>
                  </w:r>
                  <w:r>
                    <w:rPr>
                      <w:rFonts w:hint="eastAsia" w:eastAsia="宋体"/>
                      <w:b/>
                      <w:color w:val="auto"/>
                      <w:sz w:val="21"/>
                      <w:szCs w:val="21"/>
                      <w:highlight w:val="none"/>
                      <w:vertAlign w:val="superscript"/>
                    </w:rPr>
                    <w:t>3</w:t>
                  </w:r>
                  <w:r>
                    <w:rPr>
                      <w:rFonts w:hint="eastAsia" w:eastAsia="宋体"/>
                      <w:b/>
                      <w:color w:val="auto"/>
                      <w:sz w:val="21"/>
                      <w:szCs w:val="21"/>
                      <w:highlight w:val="none"/>
                    </w:rPr>
                    <w:t>/d</w:t>
                  </w:r>
                  <w:r>
                    <w:rPr>
                      <w:rFonts w:hint="eastAsia" w:eastAsia="宋体"/>
                      <w:b/>
                      <w:color w:val="auto"/>
                      <w:spacing w:val="-10"/>
                      <w:sz w:val="21"/>
                      <w:szCs w:val="21"/>
                      <w:highlight w:val="none"/>
                    </w:rPr>
                    <w:t>）</w:t>
                  </w:r>
                </w:p>
              </w:tc>
              <w:tc>
                <w:tcPr>
                  <w:tcW w:w="611" w:type="pc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产生浓度（mg/L）</w:t>
                  </w:r>
                </w:p>
              </w:tc>
              <w:tc>
                <w:tcPr>
                  <w:tcW w:w="476" w:type="pc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产生量（t/a）</w:t>
                  </w:r>
                </w:p>
              </w:tc>
              <w:tc>
                <w:tcPr>
                  <w:tcW w:w="404" w:type="pct"/>
                  <w:vMerge w:val="continue"/>
                  <w:vAlign w:val="center"/>
                </w:tcPr>
                <w:p>
                  <w:pPr>
                    <w:pStyle w:val="17"/>
                    <w:ind w:firstLine="0" w:firstLineChars="0"/>
                    <w:jc w:val="center"/>
                    <w:rPr>
                      <w:rFonts w:eastAsia="宋体"/>
                      <w:b/>
                      <w:color w:val="auto"/>
                      <w:spacing w:val="-10"/>
                      <w:sz w:val="21"/>
                      <w:szCs w:val="21"/>
                      <w:highlight w:val="none"/>
                    </w:rPr>
                  </w:pPr>
                </w:p>
              </w:tc>
              <w:tc>
                <w:tcPr>
                  <w:tcW w:w="435" w:type="pc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废水排放量（</w:t>
                  </w:r>
                  <w:r>
                    <w:rPr>
                      <w:rFonts w:hint="eastAsia" w:eastAsia="宋体"/>
                      <w:b/>
                      <w:color w:val="auto"/>
                      <w:sz w:val="21"/>
                      <w:szCs w:val="21"/>
                      <w:highlight w:val="none"/>
                    </w:rPr>
                    <w:t>m</w:t>
                  </w:r>
                  <w:r>
                    <w:rPr>
                      <w:rFonts w:hint="eastAsia" w:eastAsia="宋体"/>
                      <w:b/>
                      <w:color w:val="auto"/>
                      <w:sz w:val="21"/>
                      <w:szCs w:val="21"/>
                      <w:highlight w:val="none"/>
                      <w:vertAlign w:val="superscript"/>
                    </w:rPr>
                    <w:t>3</w:t>
                  </w:r>
                  <w:r>
                    <w:rPr>
                      <w:rFonts w:hint="eastAsia" w:eastAsia="宋体"/>
                      <w:b/>
                      <w:color w:val="auto"/>
                      <w:sz w:val="21"/>
                      <w:szCs w:val="21"/>
                      <w:highlight w:val="none"/>
                    </w:rPr>
                    <w:t>/d</w:t>
                  </w:r>
                  <w:r>
                    <w:rPr>
                      <w:rFonts w:hint="eastAsia" w:eastAsia="宋体"/>
                      <w:b/>
                      <w:color w:val="auto"/>
                      <w:spacing w:val="-10"/>
                      <w:sz w:val="21"/>
                      <w:szCs w:val="21"/>
                      <w:highlight w:val="none"/>
                    </w:rPr>
                    <w:t>）</w:t>
                  </w:r>
                </w:p>
              </w:tc>
              <w:tc>
                <w:tcPr>
                  <w:tcW w:w="498" w:type="pc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排放浓度（mg/L）</w:t>
                  </w:r>
                </w:p>
              </w:tc>
              <w:tc>
                <w:tcPr>
                  <w:tcW w:w="476" w:type="pct"/>
                  <w:vAlign w:val="center"/>
                </w:tcPr>
                <w:p>
                  <w:pPr>
                    <w:pStyle w:val="17"/>
                    <w:ind w:firstLine="0" w:firstLineChars="0"/>
                    <w:jc w:val="center"/>
                    <w:rPr>
                      <w:rFonts w:eastAsia="宋体"/>
                      <w:b/>
                      <w:color w:val="auto"/>
                      <w:spacing w:val="-10"/>
                      <w:sz w:val="21"/>
                      <w:szCs w:val="21"/>
                      <w:highlight w:val="none"/>
                    </w:rPr>
                  </w:pPr>
                  <w:r>
                    <w:rPr>
                      <w:rFonts w:hint="eastAsia" w:eastAsia="宋体"/>
                      <w:b/>
                      <w:color w:val="auto"/>
                      <w:spacing w:val="-10"/>
                      <w:sz w:val="21"/>
                      <w:szCs w:val="21"/>
                      <w:highlight w:val="none"/>
                    </w:rPr>
                    <w:t>排放量（t/a）</w:t>
                  </w:r>
                </w:p>
              </w:tc>
              <w:tc>
                <w:tcPr>
                  <w:tcW w:w="372" w:type="pct"/>
                  <w:vMerge w:val="continue"/>
                  <w:vAlign w:val="center"/>
                </w:tcPr>
                <w:p>
                  <w:pPr>
                    <w:pStyle w:val="17"/>
                    <w:ind w:firstLine="0" w:firstLineChars="0"/>
                    <w:jc w:val="center"/>
                    <w:rPr>
                      <w:rFonts w:eastAsia="宋体"/>
                      <w:b/>
                      <w:color w:val="auto"/>
                      <w:spacing w:val="-1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restart"/>
                  <w:vAlign w:val="center"/>
                </w:tcPr>
                <w:p>
                  <w:pPr>
                    <w:pStyle w:val="17"/>
                    <w:ind w:firstLine="0" w:firstLineChars="0"/>
                    <w:jc w:val="center"/>
                    <w:rPr>
                      <w:rFonts w:eastAsia="宋体"/>
                      <w:bCs/>
                      <w:color w:val="auto"/>
                      <w:spacing w:val="-10"/>
                      <w:sz w:val="21"/>
                      <w:szCs w:val="21"/>
                      <w:highlight w:val="none"/>
                    </w:rPr>
                  </w:pPr>
                  <w:r>
                    <w:rPr>
                      <w:rFonts w:eastAsia="宋体"/>
                      <w:bCs/>
                      <w:color w:val="auto"/>
                      <w:spacing w:val="-10"/>
                      <w:sz w:val="21"/>
                      <w:szCs w:val="21"/>
                      <w:highlight w:val="none"/>
                    </w:rPr>
                    <w:t>办公生活</w:t>
                  </w:r>
                </w:p>
              </w:tc>
              <w:tc>
                <w:tcPr>
                  <w:tcW w:w="307" w:type="pct"/>
                  <w:vMerge w:val="restar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日常办公生活</w:t>
                  </w:r>
                </w:p>
              </w:tc>
              <w:tc>
                <w:tcPr>
                  <w:tcW w:w="274" w:type="pct"/>
                  <w:vMerge w:val="restar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生活污水</w:t>
                  </w:r>
                </w:p>
              </w:tc>
              <w:tc>
                <w:tcPr>
                  <w:tcW w:w="530" w:type="pct"/>
                  <w:vAlign w:val="center"/>
                </w:tcPr>
                <w:p>
                  <w:pPr>
                    <w:adjustRightInd w:val="0"/>
                    <w:snapToGrid w:val="0"/>
                    <w:jc w:val="center"/>
                    <w:rPr>
                      <w:bCs/>
                      <w:color w:val="auto"/>
                      <w:spacing w:val="-10"/>
                      <w:szCs w:val="21"/>
                      <w:highlight w:val="none"/>
                    </w:rPr>
                  </w:pPr>
                  <w:r>
                    <w:rPr>
                      <w:bCs/>
                      <w:color w:val="auto"/>
                      <w:spacing w:val="-10"/>
                      <w:szCs w:val="21"/>
                      <w:highlight w:val="none"/>
                    </w:rPr>
                    <w:t>COD</w:t>
                  </w:r>
                </w:p>
              </w:tc>
              <w:tc>
                <w:tcPr>
                  <w:tcW w:w="373" w:type="pct"/>
                  <w:vMerge w:val="restar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17.28</w:t>
                  </w:r>
                </w:p>
              </w:tc>
              <w:tc>
                <w:tcPr>
                  <w:tcW w:w="611"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530</w:t>
                  </w:r>
                </w:p>
              </w:tc>
              <w:tc>
                <w:tcPr>
                  <w:tcW w:w="476" w:type="pct"/>
                  <w:vAlign w:val="center"/>
                </w:tcPr>
                <w:p>
                  <w:pPr>
                    <w:jc w:val="center"/>
                    <w:rPr>
                      <w:color w:val="auto"/>
                      <w:szCs w:val="21"/>
                      <w:highlight w:val="none"/>
                    </w:rPr>
                  </w:pPr>
                  <w:r>
                    <w:rPr>
                      <w:rFonts w:hint="eastAsia"/>
                      <w:color w:val="auto"/>
                      <w:szCs w:val="21"/>
                      <w:highlight w:val="none"/>
                    </w:rPr>
                    <w:t>2.75</w:t>
                  </w:r>
                </w:p>
              </w:tc>
              <w:tc>
                <w:tcPr>
                  <w:tcW w:w="404" w:type="pct"/>
                  <w:vMerge w:val="restar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隔油池/化粪池</w:t>
                  </w:r>
                </w:p>
              </w:tc>
              <w:tc>
                <w:tcPr>
                  <w:tcW w:w="435" w:type="pct"/>
                  <w:vMerge w:val="restar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17.28</w:t>
                  </w:r>
                </w:p>
              </w:tc>
              <w:tc>
                <w:tcPr>
                  <w:tcW w:w="498"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85*</w:t>
                  </w:r>
                </w:p>
              </w:tc>
              <w:tc>
                <w:tcPr>
                  <w:tcW w:w="476" w:type="pct"/>
                  <w:vAlign w:val="center"/>
                </w:tcPr>
                <w:p>
                  <w:pPr>
                    <w:jc w:val="center"/>
                    <w:rPr>
                      <w:color w:val="auto"/>
                      <w:szCs w:val="21"/>
                      <w:highlight w:val="none"/>
                    </w:rPr>
                  </w:pPr>
                  <w:r>
                    <w:rPr>
                      <w:rFonts w:hint="eastAsia"/>
                      <w:color w:val="auto"/>
                      <w:szCs w:val="21"/>
                      <w:highlight w:val="none"/>
                    </w:rPr>
                    <w:t>0.44</w:t>
                  </w:r>
                </w:p>
              </w:tc>
              <w:tc>
                <w:tcPr>
                  <w:tcW w:w="372" w:type="pct"/>
                  <w:vMerge w:val="restart"/>
                  <w:vAlign w:val="center"/>
                </w:tcPr>
                <w:p>
                  <w:pPr>
                    <w:jc w:val="center"/>
                    <w:rPr>
                      <w:color w:val="auto"/>
                      <w:sz w:val="21"/>
                      <w:szCs w:val="21"/>
                      <w:highlight w:val="none"/>
                    </w:rPr>
                  </w:pPr>
                  <w:r>
                    <w:rPr>
                      <w:rFonts w:hint="eastAsia"/>
                      <w:bCs/>
                      <w:color w:val="auto"/>
                      <w:sz w:val="21"/>
                      <w:szCs w:val="21"/>
                      <w:highlight w:val="none"/>
                    </w:rPr>
                    <w:t>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continue"/>
                  <w:vAlign w:val="center"/>
                </w:tcPr>
                <w:p>
                  <w:pPr>
                    <w:pStyle w:val="17"/>
                    <w:ind w:firstLine="0" w:firstLineChars="0"/>
                    <w:jc w:val="center"/>
                    <w:rPr>
                      <w:color w:val="auto"/>
                      <w:highlight w:val="none"/>
                    </w:rPr>
                  </w:pPr>
                </w:p>
              </w:tc>
              <w:tc>
                <w:tcPr>
                  <w:tcW w:w="307" w:type="pct"/>
                  <w:vMerge w:val="continue"/>
                  <w:vAlign w:val="center"/>
                </w:tcPr>
                <w:p>
                  <w:pPr>
                    <w:pStyle w:val="17"/>
                    <w:ind w:firstLine="0" w:firstLineChars="0"/>
                    <w:jc w:val="center"/>
                    <w:rPr>
                      <w:color w:val="auto"/>
                      <w:highlight w:val="none"/>
                    </w:rPr>
                  </w:pPr>
                </w:p>
              </w:tc>
              <w:tc>
                <w:tcPr>
                  <w:tcW w:w="274" w:type="pct"/>
                  <w:vMerge w:val="continue"/>
                  <w:vAlign w:val="center"/>
                </w:tcPr>
                <w:p>
                  <w:pPr>
                    <w:pStyle w:val="17"/>
                    <w:ind w:firstLine="0" w:firstLineChars="0"/>
                    <w:jc w:val="center"/>
                    <w:rPr>
                      <w:color w:val="auto"/>
                      <w:highlight w:val="none"/>
                    </w:rPr>
                  </w:pPr>
                </w:p>
              </w:tc>
              <w:tc>
                <w:tcPr>
                  <w:tcW w:w="530" w:type="pct"/>
                  <w:vAlign w:val="center"/>
                </w:tcPr>
                <w:p>
                  <w:pPr>
                    <w:adjustRightInd w:val="0"/>
                    <w:snapToGrid w:val="0"/>
                    <w:jc w:val="center"/>
                    <w:rPr>
                      <w:bCs/>
                      <w:color w:val="auto"/>
                      <w:spacing w:val="-10"/>
                      <w:szCs w:val="21"/>
                      <w:highlight w:val="none"/>
                      <w:vertAlign w:val="subscript"/>
                    </w:rPr>
                  </w:pPr>
                  <w:r>
                    <w:rPr>
                      <w:bCs/>
                      <w:color w:val="auto"/>
                      <w:spacing w:val="-10"/>
                      <w:szCs w:val="21"/>
                      <w:highlight w:val="none"/>
                    </w:rPr>
                    <w:t>BOD</w:t>
                  </w:r>
                  <w:r>
                    <w:rPr>
                      <w:bCs/>
                      <w:color w:val="auto"/>
                      <w:spacing w:val="-10"/>
                      <w:szCs w:val="21"/>
                      <w:highlight w:val="none"/>
                      <w:vertAlign w:val="subscript"/>
                    </w:rPr>
                    <w:t>5</w:t>
                  </w:r>
                </w:p>
              </w:tc>
              <w:tc>
                <w:tcPr>
                  <w:tcW w:w="373" w:type="pct"/>
                  <w:vMerge w:val="continue"/>
                  <w:vAlign w:val="center"/>
                </w:tcPr>
                <w:p>
                  <w:pPr>
                    <w:pStyle w:val="17"/>
                    <w:ind w:firstLine="0" w:firstLineChars="0"/>
                    <w:jc w:val="center"/>
                    <w:rPr>
                      <w:rFonts w:eastAsia="宋体"/>
                      <w:bCs/>
                      <w:color w:val="auto"/>
                      <w:spacing w:val="-10"/>
                      <w:sz w:val="21"/>
                      <w:szCs w:val="21"/>
                      <w:highlight w:val="none"/>
                    </w:rPr>
                  </w:pPr>
                </w:p>
              </w:tc>
              <w:tc>
                <w:tcPr>
                  <w:tcW w:w="611"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350</w:t>
                  </w:r>
                </w:p>
              </w:tc>
              <w:tc>
                <w:tcPr>
                  <w:tcW w:w="476" w:type="pct"/>
                  <w:vAlign w:val="center"/>
                </w:tcPr>
                <w:p>
                  <w:pPr>
                    <w:jc w:val="center"/>
                    <w:rPr>
                      <w:color w:val="auto"/>
                      <w:szCs w:val="21"/>
                      <w:highlight w:val="none"/>
                    </w:rPr>
                  </w:pPr>
                  <w:r>
                    <w:rPr>
                      <w:rFonts w:hint="eastAsia"/>
                      <w:color w:val="auto"/>
                      <w:szCs w:val="21"/>
                      <w:highlight w:val="none"/>
                    </w:rPr>
                    <w:t>1.81</w:t>
                  </w:r>
                </w:p>
              </w:tc>
              <w:tc>
                <w:tcPr>
                  <w:tcW w:w="404" w:type="pct"/>
                  <w:vMerge w:val="continue"/>
                  <w:vAlign w:val="center"/>
                </w:tcPr>
                <w:p>
                  <w:pPr>
                    <w:pStyle w:val="17"/>
                    <w:ind w:firstLine="0" w:firstLineChars="0"/>
                    <w:jc w:val="center"/>
                    <w:rPr>
                      <w:rFonts w:eastAsia="宋体"/>
                      <w:bCs/>
                      <w:color w:val="auto"/>
                      <w:spacing w:val="-10"/>
                      <w:sz w:val="21"/>
                      <w:szCs w:val="21"/>
                      <w:highlight w:val="none"/>
                    </w:rPr>
                  </w:pPr>
                </w:p>
              </w:tc>
              <w:tc>
                <w:tcPr>
                  <w:tcW w:w="435" w:type="pct"/>
                  <w:vMerge w:val="continue"/>
                  <w:vAlign w:val="center"/>
                </w:tcPr>
                <w:p>
                  <w:pPr>
                    <w:pStyle w:val="17"/>
                    <w:ind w:firstLine="0" w:firstLineChars="0"/>
                    <w:jc w:val="center"/>
                    <w:rPr>
                      <w:rFonts w:eastAsia="宋体"/>
                      <w:bCs/>
                      <w:color w:val="auto"/>
                      <w:spacing w:val="-10"/>
                      <w:sz w:val="21"/>
                      <w:szCs w:val="21"/>
                      <w:highlight w:val="none"/>
                    </w:rPr>
                  </w:pPr>
                </w:p>
              </w:tc>
              <w:tc>
                <w:tcPr>
                  <w:tcW w:w="498"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26*</w:t>
                  </w:r>
                </w:p>
              </w:tc>
              <w:tc>
                <w:tcPr>
                  <w:tcW w:w="476" w:type="pct"/>
                  <w:vAlign w:val="center"/>
                </w:tcPr>
                <w:p>
                  <w:pPr>
                    <w:jc w:val="center"/>
                    <w:rPr>
                      <w:color w:val="auto"/>
                      <w:szCs w:val="21"/>
                      <w:highlight w:val="none"/>
                    </w:rPr>
                  </w:pPr>
                  <w:r>
                    <w:rPr>
                      <w:rFonts w:hint="eastAsia"/>
                      <w:color w:val="auto"/>
                      <w:szCs w:val="21"/>
                      <w:highlight w:val="none"/>
                    </w:rPr>
                    <w:t>0.13</w:t>
                  </w:r>
                </w:p>
              </w:tc>
              <w:tc>
                <w:tcPr>
                  <w:tcW w:w="372" w:type="pct"/>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continue"/>
                  <w:vAlign w:val="center"/>
                </w:tcPr>
                <w:p>
                  <w:pPr>
                    <w:pStyle w:val="17"/>
                    <w:ind w:firstLine="0" w:firstLineChars="0"/>
                    <w:jc w:val="center"/>
                    <w:rPr>
                      <w:rFonts w:eastAsia="宋体"/>
                      <w:bCs/>
                      <w:color w:val="auto"/>
                      <w:spacing w:val="-10"/>
                      <w:sz w:val="21"/>
                      <w:szCs w:val="21"/>
                      <w:highlight w:val="none"/>
                    </w:rPr>
                  </w:pPr>
                </w:p>
              </w:tc>
              <w:tc>
                <w:tcPr>
                  <w:tcW w:w="307" w:type="pct"/>
                  <w:vMerge w:val="continue"/>
                  <w:vAlign w:val="center"/>
                </w:tcPr>
                <w:p>
                  <w:pPr>
                    <w:pStyle w:val="17"/>
                    <w:ind w:firstLine="0" w:firstLineChars="0"/>
                    <w:jc w:val="center"/>
                    <w:rPr>
                      <w:rFonts w:eastAsia="宋体"/>
                      <w:bCs/>
                      <w:color w:val="auto"/>
                      <w:spacing w:val="-10"/>
                      <w:sz w:val="21"/>
                      <w:szCs w:val="21"/>
                      <w:highlight w:val="none"/>
                    </w:rPr>
                  </w:pPr>
                </w:p>
              </w:tc>
              <w:tc>
                <w:tcPr>
                  <w:tcW w:w="274" w:type="pct"/>
                  <w:vMerge w:val="continue"/>
                  <w:vAlign w:val="center"/>
                </w:tcPr>
                <w:p>
                  <w:pPr>
                    <w:pStyle w:val="17"/>
                    <w:ind w:firstLine="0" w:firstLineChars="0"/>
                    <w:jc w:val="center"/>
                    <w:rPr>
                      <w:rFonts w:eastAsia="宋体"/>
                      <w:bCs/>
                      <w:color w:val="auto"/>
                      <w:spacing w:val="-10"/>
                      <w:sz w:val="21"/>
                      <w:szCs w:val="21"/>
                      <w:highlight w:val="none"/>
                    </w:rPr>
                  </w:pPr>
                </w:p>
              </w:tc>
              <w:tc>
                <w:tcPr>
                  <w:tcW w:w="530" w:type="pct"/>
                  <w:vAlign w:val="center"/>
                </w:tcPr>
                <w:p>
                  <w:pPr>
                    <w:adjustRightInd w:val="0"/>
                    <w:snapToGrid w:val="0"/>
                    <w:jc w:val="center"/>
                    <w:rPr>
                      <w:bCs/>
                      <w:color w:val="auto"/>
                      <w:spacing w:val="-10"/>
                      <w:szCs w:val="21"/>
                      <w:highlight w:val="none"/>
                    </w:rPr>
                  </w:pPr>
                  <w:r>
                    <w:rPr>
                      <w:bCs/>
                      <w:color w:val="auto"/>
                      <w:spacing w:val="-10"/>
                      <w:szCs w:val="21"/>
                      <w:highlight w:val="none"/>
                    </w:rPr>
                    <w:t>SS</w:t>
                  </w:r>
                </w:p>
              </w:tc>
              <w:tc>
                <w:tcPr>
                  <w:tcW w:w="373" w:type="pct"/>
                  <w:vMerge w:val="continue"/>
                  <w:vAlign w:val="center"/>
                </w:tcPr>
                <w:p>
                  <w:pPr>
                    <w:pStyle w:val="17"/>
                    <w:ind w:firstLine="0" w:firstLineChars="0"/>
                    <w:jc w:val="center"/>
                    <w:rPr>
                      <w:rFonts w:eastAsia="宋体"/>
                      <w:bCs/>
                      <w:color w:val="auto"/>
                      <w:spacing w:val="-10"/>
                      <w:sz w:val="21"/>
                      <w:szCs w:val="21"/>
                      <w:highlight w:val="none"/>
                    </w:rPr>
                  </w:pPr>
                </w:p>
              </w:tc>
              <w:tc>
                <w:tcPr>
                  <w:tcW w:w="611"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400</w:t>
                  </w:r>
                </w:p>
              </w:tc>
              <w:tc>
                <w:tcPr>
                  <w:tcW w:w="476" w:type="pct"/>
                  <w:vAlign w:val="center"/>
                </w:tcPr>
                <w:p>
                  <w:pPr>
                    <w:jc w:val="center"/>
                    <w:rPr>
                      <w:color w:val="auto"/>
                      <w:szCs w:val="21"/>
                      <w:highlight w:val="none"/>
                    </w:rPr>
                  </w:pPr>
                  <w:r>
                    <w:rPr>
                      <w:rFonts w:hint="eastAsia"/>
                      <w:color w:val="auto"/>
                      <w:szCs w:val="21"/>
                      <w:highlight w:val="none"/>
                    </w:rPr>
                    <w:t>2.07</w:t>
                  </w:r>
                </w:p>
              </w:tc>
              <w:tc>
                <w:tcPr>
                  <w:tcW w:w="404" w:type="pct"/>
                  <w:vMerge w:val="continue"/>
                  <w:vAlign w:val="center"/>
                </w:tcPr>
                <w:p>
                  <w:pPr>
                    <w:pStyle w:val="17"/>
                    <w:ind w:firstLine="0" w:firstLineChars="0"/>
                    <w:jc w:val="center"/>
                    <w:rPr>
                      <w:rFonts w:eastAsia="宋体"/>
                      <w:bCs/>
                      <w:color w:val="auto"/>
                      <w:spacing w:val="-10"/>
                      <w:sz w:val="21"/>
                      <w:szCs w:val="21"/>
                      <w:highlight w:val="none"/>
                    </w:rPr>
                  </w:pPr>
                </w:p>
              </w:tc>
              <w:tc>
                <w:tcPr>
                  <w:tcW w:w="435" w:type="pct"/>
                  <w:vMerge w:val="continue"/>
                  <w:vAlign w:val="center"/>
                </w:tcPr>
                <w:p>
                  <w:pPr>
                    <w:pStyle w:val="17"/>
                    <w:ind w:firstLine="0" w:firstLineChars="0"/>
                    <w:jc w:val="center"/>
                    <w:rPr>
                      <w:rFonts w:eastAsia="宋体"/>
                      <w:bCs/>
                      <w:color w:val="auto"/>
                      <w:spacing w:val="-10"/>
                      <w:sz w:val="21"/>
                      <w:szCs w:val="21"/>
                      <w:highlight w:val="none"/>
                    </w:rPr>
                  </w:pPr>
                </w:p>
              </w:tc>
              <w:tc>
                <w:tcPr>
                  <w:tcW w:w="498"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31*</w:t>
                  </w:r>
                </w:p>
              </w:tc>
              <w:tc>
                <w:tcPr>
                  <w:tcW w:w="476" w:type="pct"/>
                  <w:vAlign w:val="center"/>
                </w:tcPr>
                <w:p>
                  <w:pPr>
                    <w:jc w:val="center"/>
                    <w:rPr>
                      <w:color w:val="auto"/>
                      <w:szCs w:val="21"/>
                      <w:highlight w:val="none"/>
                    </w:rPr>
                  </w:pPr>
                  <w:r>
                    <w:rPr>
                      <w:rFonts w:hint="eastAsia"/>
                      <w:color w:val="auto"/>
                      <w:szCs w:val="21"/>
                      <w:highlight w:val="none"/>
                    </w:rPr>
                    <w:t>0.16</w:t>
                  </w:r>
                </w:p>
              </w:tc>
              <w:tc>
                <w:tcPr>
                  <w:tcW w:w="372" w:type="pct"/>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continue"/>
                  <w:vAlign w:val="center"/>
                </w:tcPr>
                <w:p>
                  <w:pPr>
                    <w:pStyle w:val="17"/>
                    <w:ind w:firstLine="0" w:firstLineChars="0"/>
                    <w:jc w:val="center"/>
                    <w:rPr>
                      <w:rFonts w:eastAsia="宋体"/>
                      <w:bCs/>
                      <w:color w:val="auto"/>
                      <w:spacing w:val="-10"/>
                      <w:sz w:val="21"/>
                      <w:szCs w:val="21"/>
                      <w:highlight w:val="none"/>
                    </w:rPr>
                  </w:pPr>
                </w:p>
              </w:tc>
              <w:tc>
                <w:tcPr>
                  <w:tcW w:w="307" w:type="pct"/>
                  <w:vMerge w:val="continue"/>
                  <w:vAlign w:val="center"/>
                </w:tcPr>
                <w:p>
                  <w:pPr>
                    <w:pStyle w:val="17"/>
                    <w:ind w:firstLine="0" w:firstLineChars="0"/>
                    <w:jc w:val="center"/>
                    <w:rPr>
                      <w:rFonts w:eastAsia="宋体"/>
                      <w:bCs/>
                      <w:color w:val="auto"/>
                      <w:spacing w:val="-10"/>
                      <w:sz w:val="21"/>
                      <w:szCs w:val="21"/>
                      <w:highlight w:val="none"/>
                    </w:rPr>
                  </w:pPr>
                </w:p>
              </w:tc>
              <w:tc>
                <w:tcPr>
                  <w:tcW w:w="274" w:type="pct"/>
                  <w:vMerge w:val="continue"/>
                  <w:vAlign w:val="center"/>
                </w:tcPr>
                <w:p>
                  <w:pPr>
                    <w:pStyle w:val="17"/>
                    <w:ind w:firstLine="0" w:firstLineChars="0"/>
                    <w:jc w:val="center"/>
                    <w:rPr>
                      <w:rFonts w:eastAsia="宋体"/>
                      <w:bCs/>
                      <w:color w:val="auto"/>
                      <w:spacing w:val="-10"/>
                      <w:sz w:val="21"/>
                      <w:szCs w:val="21"/>
                      <w:highlight w:val="none"/>
                    </w:rPr>
                  </w:pPr>
                </w:p>
              </w:tc>
              <w:tc>
                <w:tcPr>
                  <w:tcW w:w="530"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氨氮</w:t>
                  </w:r>
                </w:p>
              </w:tc>
              <w:tc>
                <w:tcPr>
                  <w:tcW w:w="373" w:type="pct"/>
                  <w:vMerge w:val="continue"/>
                  <w:vAlign w:val="center"/>
                </w:tcPr>
                <w:p>
                  <w:pPr>
                    <w:pStyle w:val="17"/>
                    <w:ind w:firstLine="0" w:firstLineChars="0"/>
                    <w:jc w:val="center"/>
                    <w:rPr>
                      <w:rFonts w:eastAsia="宋体"/>
                      <w:bCs/>
                      <w:color w:val="auto"/>
                      <w:spacing w:val="-10"/>
                      <w:sz w:val="21"/>
                      <w:szCs w:val="21"/>
                      <w:highlight w:val="none"/>
                    </w:rPr>
                  </w:pPr>
                </w:p>
              </w:tc>
              <w:tc>
                <w:tcPr>
                  <w:tcW w:w="611"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30</w:t>
                  </w:r>
                </w:p>
              </w:tc>
              <w:tc>
                <w:tcPr>
                  <w:tcW w:w="476" w:type="pct"/>
                  <w:vAlign w:val="center"/>
                </w:tcPr>
                <w:p>
                  <w:pPr>
                    <w:jc w:val="center"/>
                    <w:rPr>
                      <w:color w:val="auto"/>
                      <w:szCs w:val="21"/>
                      <w:highlight w:val="none"/>
                    </w:rPr>
                  </w:pPr>
                  <w:r>
                    <w:rPr>
                      <w:rFonts w:hint="eastAsia"/>
                      <w:color w:val="auto"/>
                      <w:szCs w:val="21"/>
                      <w:highlight w:val="none"/>
                    </w:rPr>
                    <w:t>0.16</w:t>
                  </w:r>
                </w:p>
              </w:tc>
              <w:tc>
                <w:tcPr>
                  <w:tcW w:w="404" w:type="pct"/>
                  <w:vMerge w:val="continue"/>
                  <w:vAlign w:val="center"/>
                </w:tcPr>
                <w:p>
                  <w:pPr>
                    <w:pStyle w:val="17"/>
                    <w:ind w:firstLine="0" w:firstLineChars="0"/>
                    <w:jc w:val="center"/>
                    <w:rPr>
                      <w:rFonts w:eastAsia="宋体"/>
                      <w:bCs/>
                      <w:color w:val="auto"/>
                      <w:spacing w:val="-10"/>
                      <w:sz w:val="21"/>
                      <w:szCs w:val="21"/>
                      <w:highlight w:val="none"/>
                    </w:rPr>
                  </w:pPr>
                </w:p>
              </w:tc>
              <w:tc>
                <w:tcPr>
                  <w:tcW w:w="435" w:type="pct"/>
                  <w:vMerge w:val="continue"/>
                  <w:vAlign w:val="center"/>
                </w:tcPr>
                <w:p>
                  <w:pPr>
                    <w:pStyle w:val="17"/>
                    <w:ind w:firstLine="0" w:firstLineChars="0"/>
                    <w:jc w:val="center"/>
                    <w:rPr>
                      <w:rFonts w:eastAsia="宋体"/>
                      <w:bCs/>
                      <w:color w:val="auto"/>
                      <w:spacing w:val="-10"/>
                      <w:sz w:val="21"/>
                      <w:szCs w:val="21"/>
                      <w:highlight w:val="none"/>
                    </w:rPr>
                  </w:pPr>
                </w:p>
              </w:tc>
              <w:tc>
                <w:tcPr>
                  <w:tcW w:w="498"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44.2*</w:t>
                  </w:r>
                </w:p>
              </w:tc>
              <w:tc>
                <w:tcPr>
                  <w:tcW w:w="476" w:type="pct"/>
                  <w:vAlign w:val="center"/>
                </w:tcPr>
                <w:p>
                  <w:pPr>
                    <w:jc w:val="center"/>
                    <w:rPr>
                      <w:color w:val="auto"/>
                      <w:szCs w:val="21"/>
                      <w:highlight w:val="none"/>
                    </w:rPr>
                  </w:pPr>
                  <w:r>
                    <w:rPr>
                      <w:rFonts w:hint="eastAsia"/>
                      <w:color w:val="auto"/>
                      <w:szCs w:val="21"/>
                      <w:highlight w:val="none"/>
                    </w:rPr>
                    <w:t>0.23</w:t>
                  </w:r>
                </w:p>
              </w:tc>
              <w:tc>
                <w:tcPr>
                  <w:tcW w:w="372" w:type="pct"/>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continue"/>
                  <w:vAlign w:val="center"/>
                </w:tcPr>
                <w:p>
                  <w:pPr>
                    <w:pStyle w:val="17"/>
                    <w:ind w:firstLine="0" w:firstLineChars="0"/>
                    <w:jc w:val="center"/>
                    <w:rPr>
                      <w:rFonts w:eastAsia="宋体"/>
                      <w:bCs/>
                      <w:color w:val="auto"/>
                      <w:spacing w:val="-10"/>
                      <w:sz w:val="21"/>
                      <w:szCs w:val="21"/>
                      <w:highlight w:val="none"/>
                    </w:rPr>
                  </w:pPr>
                </w:p>
              </w:tc>
              <w:tc>
                <w:tcPr>
                  <w:tcW w:w="307" w:type="pct"/>
                  <w:vMerge w:val="continue"/>
                  <w:vAlign w:val="center"/>
                </w:tcPr>
                <w:p>
                  <w:pPr>
                    <w:pStyle w:val="17"/>
                    <w:ind w:firstLine="0" w:firstLineChars="0"/>
                    <w:jc w:val="center"/>
                    <w:rPr>
                      <w:rFonts w:eastAsia="宋体"/>
                      <w:bCs/>
                      <w:color w:val="auto"/>
                      <w:spacing w:val="-10"/>
                      <w:sz w:val="21"/>
                      <w:szCs w:val="21"/>
                      <w:highlight w:val="none"/>
                    </w:rPr>
                  </w:pPr>
                </w:p>
              </w:tc>
              <w:tc>
                <w:tcPr>
                  <w:tcW w:w="274" w:type="pct"/>
                  <w:vMerge w:val="continue"/>
                  <w:vAlign w:val="center"/>
                </w:tcPr>
                <w:p>
                  <w:pPr>
                    <w:pStyle w:val="17"/>
                    <w:ind w:firstLine="0" w:firstLineChars="0"/>
                    <w:jc w:val="center"/>
                    <w:rPr>
                      <w:rFonts w:eastAsia="宋体"/>
                      <w:bCs/>
                      <w:color w:val="auto"/>
                      <w:spacing w:val="-10"/>
                      <w:sz w:val="21"/>
                      <w:szCs w:val="21"/>
                      <w:highlight w:val="none"/>
                    </w:rPr>
                  </w:pPr>
                </w:p>
              </w:tc>
              <w:tc>
                <w:tcPr>
                  <w:tcW w:w="530" w:type="pct"/>
                  <w:vAlign w:val="center"/>
                </w:tcPr>
                <w:p>
                  <w:pPr>
                    <w:adjustRightInd w:val="0"/>
                    <w:snapToGrid w:val="0"/>
                    <w:jc w:val="center"/>
                    <w:rPr>
                      <w:rFonts w:hint="eastAsia" w:eastAsia="宋体"/>
                      <w:bCs/>
                      <w:color w:val="auto"/>
                      <w:spacing w:val="-10"/>
                      <w:szCs w:val="21"/>
                      <w:highlight w:val="none"/>
                      <w:lang w:val="en-US" w:eastAsia="zh-CN"/>
                    </w:rPr>
                  </w:pPr>
                  <w:r>
                    <w:rPr>
                      <w:rFonts w:hint="eastAsia"/>
                      <w:bCs/>
                      <w:color w:val="auto"/>
                      <w:spacing w:val="-10"/>
                      <w:szCs w:val="21"/>
                      <w:highlight w:val="none"/>
                      <w:lang w:val="en-US" w:eastAsia="zh-CN"/>
                    </w:rPr>
                    <w:t>动植物油</w:t>
                  </w:r>
                </w:p>
              </w:tc>
              <w:tc>
                <w:tcPr>
                  <w:tcW w:w="373" w:type="pct"/>
                  <w:vMerge w:val="continue"/>
                  <w:vAlign w:val="center"/>
                </w:tcPr>
                <w:p>
                  <w:pPr>
                    <w:pStyle w:val="17"/>
                    <w:ind w:firstLine="0" w:firstLineChars="0"/>
                    <w:jc w:val="center"/>
                    <w:rPr>
                      <w:rFonts w:eastAsia="宋体"/>
                      <w:bCs/>
                      <w:color w:val="auto"/>
                      <w:spacing w:val="-10"/>
                      <w:sz w:val="21"/>
                      <w:szCs w:val="21"/>
                      <w:highlight w:val="none"/>
                    </w:rPr>
                  </w:pPr>
                </w:p>
              </w:tc>
              <w:tc>
                <w:tcPr>
                  <w:tcW w:w="611" w:type="pct"/>
                  <w:vAlign w:val="center"/>
                </w:tcPr>
                <w:p>
                  <w:pPr>
                    <w:adjustRightInd w:val="0"/>
                    <w:snapToGrid w:val="0"/>
                    <w:jc w:val="center"/>
                    <w:rPr>
                      <w:rFonts w:hint="default" w:eastAsia="宋体"/>
                      <w:bCs/>
                      <w:color w:val="auto"/>
                      <w:spacing w:val="-10"/>
                      <w:szCs w:val="21"/>
                      <w:highlight w:val="none"/>
                      <w:lang w:val="en-US" w:eastAsia="zh-CN"/>
                    </w:rPr>
                  </w:pPr>
                  <w:r>
                    <w:rPr>
                      <w:rFonts w:hint="eastAsia"/>
                      <w:bCs/>
                      <w:color w:val="auto"/>
                      <w:spacing w:val="-10"/>
                      <w:szCs w:val="21"/>
                      <w:highlight w:val="none"/>
                      <w:lang w:val="en-US" w:eastAsia="zh-CN"/>
                    </w:rPr>
                    <w:t>150</w:t>
                  </w:r>
                </w:p>
              </w:tc>
              <w:tc>
                <w:tcPr>
                  <w:tcW w:w="476" w:type="pct"/>
                  <w:vAlign w:val="center"/>
                </w:tcPr>
                <w:p>
                  <w:pPr>
                    <w:jc w:val="center"/>
                    <w:rPr>
                      <w:rFonts w:hint="eastAsia"/>
                      <w:color w:val="auto"/>
                      <w:szCs w:val="21"/>
                      <w:highlight w:val="none"/>
                    </w:rPr>
                  </w:pPr>
                  <w:r>
                    <w:rPr>
                      <w:rFonts w:hint="eastAsia"/>
                      <w:bCs/>
                      <w:color w:val="auto"/>
                      <w:spacing w:val="-10"/>
                      <w:szCs w:val="21"/>
                      <w:highlight w:val="none"/>
                      <w:lang w:val="en-US" w:eastAsia="zh-CN"/>
                    </w:rPr>
                    <w:t>5.62</w:t>
                  </w:r>
                </w:p>
              </w:tc>
              <w:tc>
                <w:tcPr>
                  <w:tcW w:w="404" w:type="pct"/>
                  <w:vMerge w:val="continue"/>
                  <w:vAlign w:val="center"/>
                </w:tcPr>
                <w:p>
                  <w:pPr>
                    <w:pStyle w:val="17"/>
                    <w:ind w:firstLine="0" w:firstLineChars="0"/>
                    <w:jc w:val="center"/>
                    <w:rPr>
                      <w:rFonts w:eastAsia="宋体"/>
                      <w:bCs/>
                      <w:color w:val="auto"/>
                      <w:spacing w:val="-10"/>
                      <w:sz w:val="21"/>
                      <w:szCs w:val="21"/>
                      <w:highlight w:val="none"/>
                    </w:rPr>
                  </w:pPr>
                </w:p>
              </w:tc>
              <w:tc>
                <w:tcPr>
                  <w:tcW w:w="435" w:type="pct"/>
                  <w:vMerge w:val="continue"/>
                  <w:vAlign w:val="center"/>
                </w:tcPr>
                <w:p>
                  <w:pPr>
                    <w:pStyle w:val="17"/>
                    <w:ind w:firstLine="0" w:firstLineChars="0"/>
                    <w:jc w:val="center"/>
                    <w:rPr>
                      <w:rFonts w:eastAsia="宋体"/>
                      <w:bCs/>
                      <w:color w:val="auto"/>
                      <w:spacing w:val="-10"/>
                      <w:sz w:val="21"/>
                      <w:szCs w:val="21"/>
                      <w:highlight w:val="none"/>
                    </w:rPr>
                  </w:pPr>
                </w:p>
              </w:tc>
              <w:tc>
                <w:tcPr>
                  <w:tcW w:w="498" w:type="pct"/>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15</w:t>
                  </w:r>
                </w:p>
              </w:tc>
              <w:tc>
                <w:tcPr>
                  <w:tcW w:w="476" w:type="pct"/>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0.56</w:t>
                  </w:r>
                </w:p>
              </w:tc>
              <w:tc>
                <w:tcPr>
                  <w:tcW w:w="372" w:type="pct"/>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continue"/>
                  <w:vAlign w:val="center"/>
                </w:tcPr>
                <w:p>
                  <w:pPr>
                    <w:pStyle w:val="17"/>
                    <w:ind w:firstLine="0" w:firstLineChars="0"/>
                    <w:jc w:val="center"/>
                    <w:rPr>
                      <w:rFonts w:eastAsia="宋体"/>
                      <w:bCs/>
                      <w:color w:val="auto"/>
                      <w:spacing w:val="-10"/>
                      <w:sz w:val="21"/>
                      <w:szCs w:val="21"/>
                      <w:highlight w:val="none"/>
                    </w:rPr>
                  </w:pPr>
                </w:p>
              </w:tc>
              <w:tc>
                <w:tcPr>
                  <w:tcW w:w="307" w:type="pct"/>
                  <w:vMerge w:val="continue"/>
                  <w:vAlign w:val="center"/>
                </w:tcPr>
                <w:p>
                  <w:pPr>
                    <w:pStyle w:val="17"/>
                    <w:ind w:firstLine="0" w:firstLineChars="0"/>
                    <w:jc w:val="center"/>
                    <w:rPr>
                      <w:rFonts w:eastAsia="宋体"/>
                      <w:bCs/>
                      <w:color w:val="auto"/>
                      <w:spacing w:val="-10"/>
                      <w:sz w:val="21"/>
                      <w:szCs w:val="21"/>
                      <w:highlight w:val="none"/>
                    </w:rPr>
                  </w:pPr>
                </w:p>
              </w:tc>
              <w:tc>
                <w:tcPr>
                  <w:tcW w:w="274" w:type="pct"/>
                  <w:vMerge w:val="continue"/>
                  <w:vAlign w:val="center"/>
                </w:tcPr>
                <w:p>
                  <w:pPr>
                    <w:pStyle w:val="17"/>
                    <w:ind w:firstLine="0" w:firstLineChars="0"/>
                    <w:jc w:val="center"/>
                    <w:rPr>
                      <w:rFonts w:eastAsia="宋体"/>
                      <w:bCs/>
                      <w:color w:val="auto"/>
                      <w:spacing w:val="-10"/>
                      <w:sz w:val="21"/>
                      <w:szCs w:val="21"/>
                      <w:highlight w:val="none"/>
                    </w:rPr>
                  </w:pPr>
                </w:p>
              </w:tc>
              <w:tc>
                <w:tcPr>
                  <w:tcW w:w="530" w:type="pct"/>
                  <w:vAlign w:val="center"/>
                </w:tcPr>
                <w:p>
                  <w:pPr>
                    <w:adjustRightInd w:val="0"/>
                    <w:snapToGrid w:val="0"/>
                    <w:jc w:val="center"/>
                    <w:rPr>
                      <w:rFonts w:hint="default" w:eastAsia="宋体"/>
                      <w:bCs/>
                      <w:color w:val="auto"/>
                      <w:spacing w:val="-10"/>
                      <w:szCs w:val="21"/>
                      <w:highlight w:val="none"/>
                      <w:lang w:val="en-US" w:eastAsia="zh-CN"/>
                    </w:rPr>
                  </w:pPr>
                  <w:r>
                    <w:rPr>
                      <w:rFonts w:hint="eastAsia"/>
                      <w:bCs/>
                      <w:color w:val="auto"/>
                      <w:spacing w:val="-10"/>
                      <w:szCs w:val="21"/>
                      <w:highlight w:val="none"/>
                      <w:lang w:val="en-US" w:eastAsia="zh-CN"/>
                    </w:rPr>
                    <w:t>TP</w:t>
                  </w:r>
                </w:p>
              </w:tc>
              <w:tc>
                <w:tcPr>
                  <w:tcW w:w="373" w:type="pct"/>
                  <w:vMerge w:val="continue"/>
                  <w:vAlign w:val="center"/>
                </w:tcPr>
                <w:p>
                  <w:pPr>
                    <w:pStyle w:val="17"/>
                    <w:ind w:firstLine="0" w:firstLineChars="0"/>
                    <w:jc w:val="center"/>
                    <w:rPr>
                      <w:rFonts w:eastAsia="宋体"/>
                      <w:bCs/>
                      <w:color w:val="auto"/>
                      <w:spacing w:val="-10"/>
                      <w:sz w:val="21"/>
                      <w:szCs w:val="21"/>
                      <w:highlight w:val="none"/>
                    </w:rPr>
                  </w:pPr>
                </w:p>
              </w:tc>
              <w:tc>
                <w:tcPr>
                  <w:tcW w:w="611" w:type="pct"/>
                  <w:vAlign w:val="center"/>
                </w:tcPr>
                <w:p>
                  <w:pPr>
                    <w:adjustRightInd w:val="0"/>
                    <w:snapToGrid w:val="0"/>
                    <w:jc w:val="center"/>
                    <w:rPr>
                      <w:rFonts w:hint="eastAsia" w:eastAsia="宋体"/>
                      <w:bCs/>
                      <w:color w:val="auto"/>
                      <w:spacing w:val="-10"/>
                      <w:szCs w:val="21"/>
                      <w:highlight w:val="none"/>
                      <w:lang w:val="en-US" w:eastAsia="zh-CN"/>
                    </w:rPr>
                  </w:pPr>
                  <w:r>
                    <w:rPr>
                      <w:rFonts w:hint="eastAsia"/>
                      <w:bCs/>
                      <w:color w:val="auto"/>
                      <w:spacing w:val="-10"/>
                      <w:szCs w:val="21"/>
                      <w:highlight w:val="none"/>
                      <w:lang w:val="en-US" w:eastAsia="zh-CN"/>
                    </w:rPr>
                    <w:t>8</w:t>
                  </w:r>
                </w:p>
              </w:tc>
              <w:tc>
                <w:tcPr>
                  <w:tcW w:w="476"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0.30</w:t>
                  </w:r>
                </w:p>
              </w:tc>
              <w:tc>
                <w:tcPr>
                  <w:tcW w:w="404" w:type="pct"/>
                  <w:vMerge w:val="continue"/>
                  <w:vAlign w:val="center"/>
                </w:tcPr>
                <w:p>
                  <w:pPr>
                    <w:pStyle w:val="17"/>
                    <w:ind w:firstLine="0" w:firstLineChars="0"/>
                    <w:jc w:val="center"/>
                    <w:rPr>
                      <w:rFonts w:eastAsia="宋体"/>
                      <w:bCs/>
                      <w:color w:val="auto"/>
                      <w:spacing w:val="-10"/>
                      <w:sz w:val="21"/>
                      <w:szCs w:val="21"/>
                      <w:highlight w:val="none"/>
                    </w:rPr>
                  </w:pPr>
                </w:p>
              </w:tc>
              <w:tc>
                <w:tcPr>
                  <w:tcW w:w="435" w:type="pct"/>
                  <w:vMerge w:val="continue"/>
                  <w:vAlign w:val="center"/>
                </w:tcPr>
                <w:p>
                  <w:pPr>
                    <w:pStyle w:val="17"/>
                    <w:ind w:firstLine="0" w:firstLineChars="0"/>
                    <w:jc w:val="center"/>
                    <w:rPr>
                      <w:rFonts w:eastAsia="宋体"/>
                      <w:bCs/>
                      <w:color w:val="auto"/>
                      <w:spacing w:val="-10"/>
                      <w:sz w:val="21"/>
                      <w:szCs w:val="21"/>
                      <w:highlight w:val="none"/>
                    </w:rPr>
                  </w:pPr>
                </w:p>
              </w:tc>
              <w:tc>
                <w:tcPr>
                  <w:tcW w:w="498" w:type="pct"/>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6.78</w:t>
                  </w:r>
                </w:p>
              </w:tc>
              <w:tc>
                <w:tcPr>
                  <w:tcW w:w="476" w:type="pct"/>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0.25</w:t>
                  </w:r>
                </w:p>
              </w:tc>
              <w:tc>
                <w:tcPr>
                  <w:tcW w:w="372" w:type="pct"/>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Merge w:val="continue"/>
                  <w:vAlign w:val="center"/>
                </w:tcPr>
                <w:p>
                  <w:pPr>
                    <w:pStyle w:val="17"/>
                    <w:ind w:firstLine="0" w:firstLineChars="0"/>
                    <w:jc w:val="center"/>
                    <w:rPr>
                      <w:rFonts w:eastAsia="宋体"/>
                      <w:bCs/>
                      <w:color w:val="auto"/>
                      <w:spacing w:val="-10"/>
                      <w:sz w:val="21"/>
                      <w:szCs w:val="21"/>
                      <w:highlight w:val="none"/>
                    </w:rPr>
                  </w:pPr>
                </w:p>
              </w:tc>
              <w:tc>
                <w:tcPr>
                  <w:tcW w:w="307" w:type="pct"/>
                  <w:vMerge w:val="continue"/>
                  <w:vAlign w:val="center"/>
                </w:tcPr>
                <w:p>
                  <w:pPr>
                    <w:pStyle w:val="17"/>
                    <w:ind w:firstLine="0" w:firstLineChars="0"/>
                    <w:jc w:val="center"/>
                    <w:rPr>
                      <w:rFonts w:eastAsia="宋体"/>
                      <w:bCs/>
                      <w:color w:val="auto"/>
                      <w:spacing w:val="-10"/>
                      <w:sz w:val="21"/>
                      <w:szCs w:val="21"/>
                      <w:highlight w:val="none"/>
                    </w:rPr>
                  </w:pPr>
                </w:p>
              </w:tc>
              <w:tc>
                <w:tcPr>
                  <w:tcW w:w="274" w:type="pct"/>
                  <w:vMerge w:val="continue"/>
                  <w:vAlign w:val="center"/>
                </w:tcPr>
                <w:p>
                  <w:pPr>
                    <w:pStyle w:val="17"/>
                    <w:ind w:firstLine="0" w:firstLineChars="0"/>
                    <w:jc w:val="center"/>
                    <w:rPr>
                      <w:rFonts w:eastAsia="宋体"/>
                      <w:bCs/>
                      <w:color w:val="auto"/>
                      <w:spacing w:val="-10"/>
                      <w:sz w:val="21"/>
                      <w:szCs w:val="21"/>
                      <w:highlight w:val="none"/>
                    </w:rPr>
                  </w:pPr>
                </w:p>
              </w:tc>
              <w:tc>
                <w:tcPr>
                  <w:tcW w:w="530" w:type="pct"/>
                  <w:vAlign w:val="center"/>
                </w:tcPr>
                <w:p>
                  <w:pPr>
                    <w:adjustRightInd w:val="0"/>
                    <w:snapToGrid w:val="0"/>
                    <w:jc w:val="center"/>
                    <w:rPr>
                      <w:rFonts w:hint="default" w:eastAsia="宋体"/>
                      <w:bCs/>
                      <w:color w:val="auto"/>
                      <w:spacing w:val="-10"/>
                      <w:szCs w:val="21"/>
                      <w:highlight w:val="none"/>
                      <w:lang w:val="en-US" w:eastAsia="zh-CN"/>
                    </w:rPr>
                  </w:pPr>
                  <w:r>
                    <w:rPr>
                      <w:rFonts w:hint="eastAsia"/>
                      <w:bCs/>
                      <w:color w:val="auto"/>
                      <w:spacing w:val="-10"/>
                      <w:szCs w:val="21"/>
                      <w:highlight w:val="none"/>
                      <w:lang w:val="en-US" w:eastAsia="zh-CN"/>
                    </w:rPr>
                    <w:t>TN</w:t>
                  </w:r>
                </w:p>
              </w:tc>
              <w:tc>
                <w:tcPr>
                  <w:tcW w:w="373" w:type="pct"/>
                  <w:vMerge w:val="continue"/>
                  <w:vAlign w:val="center"/>
                </w:tcPr>
                <w:p>
                  <w:pPr>
                    <w:pStyle w:val="17"/>
                    <w:ind w:firstLine="0" w:firstLineChars="0"/>
                    <w:jc w:val="center"/>
                    <w:rPr>
                      <w:rFonts w:eastAsia="宋体"/>
                      <w:bCs/>
                      <w:color w:val="auto"/>
                      <w:spacing w:val="-10"/>
                      <w:sz w:val="21"/>
                      <w:szCs w:val="21"/>
                      <w:highlight w:val="none"/>
                    </w:rPr>
                  </w:pPr>
                </w:p>
              </w:tc>
              <w:tc>
                <w:tcPr>
                  <w:tcW w:w="611" w:type="pct"/>
                  <w:vAlign w:val="center"/>
                </w:tcPr>
                <w:p>
                  <w:pPr>
                    <w:adjustRightInd w:val="0"/>
                    <w:snapToGrid w:val="0"/>
                    <w:jc w:val="center"/>
                    <w:rPr>
                      <w:rFonts w:hint="eastAsia" w:eastAsia="宋体"/>
                      <w:bCs/>
                      <w:color w:val="auto"/>
                      <w:spacing w:val="-10"/>
                      <w:szCs w:val="21"/>
                      <w:highlight w:val="none"/>
                      <w:lang w:val="en-US" w:eastAsia="zh-CN"/>
                    </w:rPr>
                  </w:pPr>
                  <w:r>
                    <w:rPr>
                      <w:rFonts w:hint="eastAsia"/>
                      <w:bCs/>
                      <w:color w:val="auto"/>
                      <w:spacing w:val="-10"/>
                      <w:szCs w:val="21"/>
                      <w:highlight w:val="none"/>
                      <w:lang w:val="en-US" w:eastAsia="zh-CN"/>
                    </w:rPr>
                    <w:t>9</w:t>
                  </w:r>
                </w:p>
              </w:tc>
              <w:tc>
                <w:tcPr>
                  <w:tcW w:w="476" w:type="pc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0.37</w:t>
                  </w:r>
                </w:p>
              </w:tc>
              <w:tc>
                <w:tcPr>
                  <w:tcW w:w="404" w:type="pct"/>
                  <w:vMerge w:val="continue"/>
                  <w:vAlign w:val="center"/>
                </w:tcPr>
                <w:p>
                  <w:pPr>
                    <w:pStyle w:val="17"/>
                    <w:ind w:firstLine="0" w:firstLineChars="0"/>
                    <w:jc w:val="center"/>
                    <w:rPr>
                      <w:rFonts w:eastAsia="宋体"/>
                      <w:bCs/>
                      <w:color w:val="auto"/>
                      <w:spacing w:val="-10"/>
                      <w:sz w:val="21"/>
                      <w:szCs w:val="21"/>
                      <w:highlight w:val="none"/>
                    </w:rPr>
                  </w:pPr>
                </w:p>
              </w:tc>
              <w:tc>
                <w:tcPr>
                  <w:tcW w:w="435" w:type="pct"/>
                  <w:vMerge w:val="continue"/>
                  <w:vAlign w:val="center"/>
                </w:tcPr>
                <w:p>
                  <w:pPr>
                    <w:pStyle w:val="17"/>
                    <w:ind w:firstLine="0" w:firstLineChars="0"/>
                    <w:jc w:val="center"/>
                    <w:rPr>
                      <w:rFonts w:eastAsia="宋体"/>
                      <w:bCs/>
                      <w:color w:val="auto"/>
                      <w:spacing w:val="-10"/>
                      <w:sz w:val="21"/>
                      <w:szCs w:val="21"/>
                      <w:highlight w:val="none"/>
                    </w:rPr>
                  </w:pPr>
                </w:p>
              </w:tc>
              <w:tc>
                <w:tcPr>
                  <w:tcW w:w="498" w:type="pct"/>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7.7</w:t>
                  </w:r>
                </w:p>
              </w:tc>
              <w:tc>
                <w:tcPr>
                  <w:tcW w:w="476" w:type="pct"/>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0.2</w:t>
                  </w:r>
                  <w:r>
                    <w:rPr>
                      <w:rFonts w:hint="eastAsia"/>
                      <w:szCs w:val="21"/>
                      <w:lang w:val="en-US" w:eastAsia="zh-CN"/>
                    </w:rPr>
                    <w:t>9</w:t>
                  </w:r>
                </w:p>
              </w:tc>
              <w:tc>
                <w:tcPr>
                  <w:tcW w:w="372" w:type="pct"/>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地毯项目</w:t>
                  </w:r>
                </w:p>
              </w:tc>
              <w:tc>
                <w:tcPr>
                  <w:tcW w:w="307"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水刀切割装置</w:t>
                  </w:r>
                </w:p>
              </w:tc>
              <w:tc>
                <w:tcPr>
                  <w:tcW w:w="274"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水刀切割废水</w:t>
                  </w:r>
                </w:p>
              </w:tc>
              <w:tc>
                <w:tcPr>
                  <w:tcW w:w="530"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SS</w:t>
                  </w:r>
                </w:p>
              </w:tc>
              <w:tc>
                <w:tcPr>
                  <w:tcW w:w="373"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1</w:t>
                  </w:r>
                </w:p>
              </w:tc>
              <w:tc>
                <w:tcPr>
                  <w:tcW w:w="611" w:type="pct"/>
                  <w:vAlign w:val="center"/>
                </w:tcPr>
                <w:p>
                  <w:pPr>
                    <w:adjustRightInd w:val="0"/>
                    <w:snapToGrid w:val="0"/>
                    <w:jc w:val="center"/>
                    <w:rPr>
                      <w:rFonts w:hint="eastAsia" w:eastAsia="宋体"/>
                      <w:bCs/>
                      <w:color w:val="auto"/>
                      <w:spacing w:val="-10"/>
                      <w:szCs w:val="21"/>
                      <w:highlight w:val="none"/>
                      <w:lang w:val="en-US" w:eastAsia="zh-CN"/>
                    </w:rPr>
                  </w:pPr>
                  <w:r>
                    <w:rPr>
                      <w:rFonts w:hint="eastAsia"/>
                      <w:bCs/>
                      <w:color w:val="auto"/>
                      <w:spacing w:val="-10"/>
                      <w:szCs w:val="21"/>
                      <w:highlight w:val="none"/>
                    </w:rPr>
                    <w:t>508.72</w:t>
                  </w:r>
                  <w:r>
                    <w:rPr>
                      <w:rFonts w:hint="eastAsia"/>
                      <w:bCs/>
                      <w:color w:val="auto"/>
                      <w:spacing w:val="-10"/>
                      <w:szCs w:val="21"/>
                      <w:highlight w:val="none"/>
                      <w:lang w:val="en-US" w:eastAsia="zh-CN"/>
                    </w:rPr>
                    <w:t>0</w:t>
                  </w:r>
                </w:p>
              </w:tc>
              <w:tc>
                <w:tcPr>
                  <w:tcW w:w="476" w:type="pct"/>
                  <w:vAlign w:val="center"/>
                </w:tcPr>
                <w:p>
                  <w:pPr>
                    <w:jc w:val="center"/>
                    <w:rPr>
                      <w:color w:val="auto"/>
                      <w:szCs w:val="21"/>
                      <w:highlight w:val="none"/>
                    </w:rPr>
                  </w:pPr>
                  <w:r>
                    <w:rPr>
                      <w:rFonts w:hint="eastAsia"/>
                      <w:color w:val="auto"/>
                      <w:szCs w:val="21"/>
                      <w:highlight w:val="none"/>
                    </w:rPr>
                    <w:t>0.525</w:t>
                  </w:r>
                </w:p>
              </w:tc>
              <w:tc>
                <w:tcPr>
                  <w:tcW w:w="404"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过滤</w:t>
                  </w:r>
                </w:p>
              </w:tc>
              <w:tc>
                <w:tcPr>
                  <w:tcW w:w="435"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1</w:t>
                  </w:r>
                </w:p>
              </w:tc>
              <w:tc>
                <w:tcPr>
                  <w:tcW w:w="498" w:type="pct"/>
                  <w:vAlign w:val="center"/>
                </w:tcPr>
                <w:p>
                  <w:pPr>
                    <w:adjustRightInd w:val="0"/>
                    <w:snapToGrid w:val="0"/>
                    <w:jc w:val="center"/>
                    <w:rPr>
                      <w:rFonts w:hint="eastAsia" w:eastAsia="宋体"/>
                      <w:bCs/>
                      <w:color w:val="auto"/>
                      <w:spacing w:val="-10"/>
                      <w:szCs w:val="21"/>
                      <w:highlight w:val="none"/>
                      <w:lang w:val="en-US" w:eastAsia="zh-CN"/>
                    </w:rPr>
                  </w:pPr>
                  <w:r>
                    <w:rPr>
                      <w:rFonts w:hint="eastAsia"/>
                      <w:bCs/>
                      <w:color w:val="auto"/>
                      <w:spacing w:val="-10"/>
                      <w:szCs w:val="21"/>
                      <w:highlight w:val="none"/>
                    </w:rPr>
                    <w:t>51.36</w:t>
                  </w:r>
                  <w:r>
                    <w:rPr>
                      <w:rFonts w:hint="eastAsia"/>
                      <w:bCs/>
                      <w:color w:val="auto"/>
                      <w:spacing w:val="-10"/>
                      <w:szCs w:val="21"/>
                      <w:highlight w:val="none"/>
                      <w:lang w:val="en-US" w:eastAsia="zh-CN"/>
                    </w:rPr>
                    <w:t>0</w:t>
                  </w:r>
                </w:p>
              </w:tc>
              <w:tc>
                <w:tcPr>
                  <w:tcW w:w="476" w:type="pct"/>
                  <w:vAlign w:val="center"/>
                </w:tcPr>
                <w:p>
                  <w:pPr>
                    <w:jc w:val="center"/>
                    <w:rPr>
                      <w:color w:val="auto"/>
                      <w:szCs w:val="21"/>
                      <w:highlight w:val="none"/>
                    </w:rPr>
                  </w:pPr>
                  <w:r>
                    <w:rPr>
                      <w:rFonts w:hint="eastAsia"/>
                      <w:color w:val="auto"/>
                      <w:szCs w:val="21"/>
                      <w:highlight w:val="none"/>
                    </w:rPr>
                    <w:t>0.053</w:t>
                  </w:r>
                </w:p>
              </w:tc>
              <w:tc>
                <w:tcPr>
                  <w:tcW w:w="372" w:type="pct"/>
                  <w:vAlign w:val="center"/>
                </w:tcPr>
                <w:p>
                  <w:pPr>
                    <w:jc w:val="center"/>
                    <w:rPr>
                      <w:color w:val="auto"/>
                      <w:sz w:val="21"/>
                      <w:szCs w:val="21"/>
                      <w:highlight w:val="none"/>
                    </w:rPr>
                  </w:pPr>
                  <w:r>
                    <w:rPr>
                      <w:rFonts w:hint="eastAsia"/>
                      <w:bCs/>
                      <w:color w:val="auto"/>
                      <w:sz w:val="21"/>
                      <w:szCs w:val="21"/>
                      <w:highlight w:val="none"/>
                    </w:rPr>
                    <w:t>厂区污水处理站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9"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发泡</w:t>
                  </w:r>
                </w:p>
              </w:tc>
              <w:tc>
                <w:tcPr>
                  <w:tcW w:w="307"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发泡机</w:t>
                  </w:r>
                </w:p>
              </w:tc>
              <w:tc>
                <w:tcPr>
                  <w:tcW w:w="274"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发泡机水箱废水</w:t>
                  </w:r>
                </w:p>
              </w:tc>
              <w:tc>
                <w:tcPr>
                  <w:tcW w:w="530"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SS</w:t>
                  </w:r>
                </w:p>
              </w:tc>
              <w:tc>
                <w:tcPr>
                  <w:tcW w:w="373"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0.032</w:t>
                  </w:r>
                </w:p>
              </w:tc>
              <w:tc>
                <w:tcPr>
                  <w:tcW w:w="611"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400</w:t>
                  </w:r>
                </w:p>
              </w:tc>
              <w:tc>
                <w:tcPr>
                  <w:tcW w:w="476" w:type="pct"/>
                  <w:vAlign w:val="center"/>
                </w:tcPr>
                <w:p>
                  <w:pPr>
                    <w:jc w:val="center"/>
                    <w:rPr>
                      <w:rFonts w:hint="eastAsia" w:eastAsia="宋体"/>
                      <w:color w:val="auto"/>
                      <w:szCs w:val="21"/>
                      <w:highlight w:val="none"/>
                      <w:lang w:val="en-US" w:eastAsia="zh-CN"/>
                    </w:rPr>
                  </w:pPr>
                  <w:r>
                    <w:rPr>
                      <w:rFonts w:hint="eastAsia"/>
                      <w:color w:val="auto"/>
                      <w:szCs w:val="21"/>
                      <w:highlight w:val="none"/>
                    </w:rPr>
                    <w:t>0.12</w:t>
                  </w:r>
                  <w:r>
                    <w:rPr>
                      <w:rFonts w:hint="eastAsia"/>
                      <w:color w:val="auto"/>
                      <w:szCs w:val="21"/>
                      <w:highlight w:val="none"/>
                      <w:lang w:val="en-US" w:eastAsia="zh-CN"/>
                    </w:rPr>
                    <w:t>0</w:t>
                  </w:r>
                </w:p>
              </w:tc>
              <w:tc>
                <w:tcPr>
                  <w:tcW w:w="404" w:type="pct"/>
                  <w:vAlign w:val="center"/>
                </w:tcPr>
                <w:p>
                  <w:pPr>
                    <w:pStyle w:val="17"/>
                    <w:ind w:firstLine="0" w:firstLineChars="0"/>
                    <w:jc w:val="center"/>
                    <w:rPr>
                      <w:rFonts w:hint="eastAsia" w:eastAsia="宋体"/>
                      <w:bCs/>
                      <w:color w:val="auto"/>
                      <w:spacing w:val="-10"/>
                      <w:sz w:val="21"/>
                      <w:szCs w:val="21"/>
                      <w:highlight w:val="none"/>
                      <w:lang w:eastAsia="zh-CN"/>
                    </w:rPr>
                  </w:pPr>
                  <w:r>
                    <w:rPr>
                      <w:rFonts w:hint="eastAsia" w:eastAsia="宋体"/>
                      <w:bCs/>
                      <w:color w:val="auto"/>
                      <w:spacing w:val="-10"/>
                      <w:sz w:val="21"/>
                      <w:szCs w:val="21"/>
                      <w:highlight w:val="none"/>
                      <w:lang w:val="en-US" w:eastAsia="zh-CN"/>
                    </w:rPr>
                    <w:t>过滤</w:t>
                  </w:r>
                </w:p>
              </w:tc>
              <w:tc>
                <w:tcPr>
                  <w:tcW w:w="435" w:type="pct"/>
                  <w:vAlign w:val="center"/>
                </w:tcPr>
                <w:p>
                  <w:pPr>
                    <w:pStyle w:val="17"/>
                    <w:ind w:firstLine="0" w:firstLineChars="0"/>
                    <w:jc w:val="center"/>
                    <w:rPr>
                      <w:rFonts w:eastAsia="宋体"/>
                      <w:bCs/>
                      <w:color w:val="auto"/>
                      <w:spacing w:val="-10"/>
                      <w:sz w:val="21"/>
                      <w:szCs w:val="21"/>
                      <w:highlight w:val="none"/>
                    </w:rPr>
                  </w:pPr>
                  <w:r>
                    <w:rPr>
                      <w:rFonts w:hint="eastAsia" w:eastAsia="宋体"/>
                      <w:bCs/>
                      <w:color w:val="auto"/>
                      <w:spacing w:val="-10"/>
                      <w:sz w:val="21"/>
                      <w:szCs w:val="21"/>
                      <w:highlight w:val="none"/>
                    </w:rPr>
                    <w:t>0.032</w:t>
                  </w:r>
                </w:p>
              </w:tc>
              <w:tc>
                <w:tcPr>
                  <w:tcW w:w="498" w:type="pct"/>
                  <w:vAlign w:val="center"/>
                </w:tcPr>
                <w:p>
                  <w:pPr>
                    <w:adjustRightInd w:val="0"/>
                    <w:snapToGrid w:val="0"/>
                    <w:jc w:val="center"/>
                    <w:rPr>
                      <w:bCs/>
                      <w:color w:val="auto"/>
                      <w:spacing w:val="-10"/>
                      <w:szCs w:val="21"/>
                      <w:highlight w:val="none"/>
                    </w:rPr>
                  </w:pPr>
                  <w:r>
                    <w:rPr>
                      <w:rFonts w:hint="eastAsia"/>
                      <w:bCs/>
                      <w:color w:val="auto"/>
                      <w:spacing w:val="-10"/>
                      <w:szCs w:val="21"/>
                      <w:highlight w:val="none"/>
                    </w:rPr>
                    <w:t>9</w:t>
                  </w:r>
                </w:p>
              </w:tc>
              <w:tc>
                <w:tcPr>
                  <w:tcW w:w="476" w:type="pct"/>
                  <w:vAlign w:val="center"/>
                </w:tcPr>
                <w:p>
                  <w:pPr>
                    <w:jc w:val="center"/>
                    <w:rPr>
                      <w:color w:val="auto"/>
                      <w:szCs w:val="21"/>
                      <w:highlight w:val="none"/>
                    </w:rPr>
                  </w:pPr>
                  <w:r>
                    <w:rPr>
                      <w:rFonts w:hint="eastAsia"/>
                      <w:color w:val="auto"/>
                      <w:szCs w:val="21"/>
                      <w:highlight w:val="none"/>
                    </w:rPr>
                    <w:t>0.003</w:t>
                  </w:r>
                </w:p>
              </w:tc>
              <w:tc>
                <w:tcPr>
                  <w:tcW w:w="372" w:type="pct"/>
                  <w:vAlign w:val="center"/>
                </w:tcPr>
                <w:p>
                  <w:pPr>
                    <w:jc w:val="center"/>
                    <w:rPr>
                      <w:color w:val="auto"/>
                      <w:sz w:val="21"/>
                      <w:szCs w:val="21"/>
                      <w:highlight w:val="none"/>
                    </w:rPr>
                  </w:pPr>
                  <w:r>
                    <w:rPr>
                      <w:rFonts w:hint="eastAsia"/>
                      <w:bCs/>
                      <w:color w:val="auto"/>
                      <w:sz w:val="21"/>
                      <w:szCs w:val="21"/>
                      <w:highlight w:val="none"/>
                    </w:rPr>
                    <w:t>厂区污水处理站</w:t>
                  </w:r>
                </w:p>
              </w:tc>
            </w:tr>
          </w:tbl>
          <w:p>
            <w:pPr>
              <w:pStyle w:val="17"/>
              <w:ind w:firstLine="440"/>
              <w:rPr>
                <w:b/>
                <w:color w:val="auto"/>
                <w:szCs w:val="21"/>
                <w:highlight w:val="none"/>
              </w:rPr>
            </w:pPr>
            <w:r>
              <w:rPr>
                <w:rFonts w:eastAsia="宋体"/>
                <w:bCs/>
                <w:color w:val="auto"/>
                <w:spacing w:val="-10"/>
                <w:sz w:val="24"/>
                <w:highlight w:val="none"/>
              </w:rPr>
              <w:t>注*：本项目生活污水排放浓度根据例行监测数据分析（附件</w:t>
            </w:r>
            <w:r>
              <w:rPr>
                <w:rFonts w:hint="eastAsia" w:eastAsia="宋体"/>
                <w:bCs/>
                <w:color w:val="auto"/>
                <w:spacing w:val="-10"/>
                <w:sz w:val="24"/>
                <w:highlight w:val="none"/>
                <w:lang w:val="en-US" w:eastAsia="zh-CN"/>
              </w:rPr>
              <w:t>8</w:t>
            </w:r>
            <w:r>
              <w:rPr>
                <w:rFonts w:eastAsia="宋体"/>
                <w:bCs/>
                <w:color w:val="auto"/>
                <w:spacing w:val="-10"/>
                <w:sz w:val="24"/>
                <w:highlight w:val="none"/>
              </w:rPr>
              <w:t>）</w:t>
            </w:r>
            <w:r>
              <w:rPr>
                <w:rFonts w:hint="eastAsia" w:eastAsia="宋体"/>
                <w:bCs/>
                <w:color w:val="auto"/>
                <w:spacing w:val="-10"/>
                <w:sz w:val="24"/>
                <w:highlight w:val="none"/>
              </w:rPr>
              <w:t>，类比《年产30万套汽车内饰件建设项目》</w:t>
            </w:r>
          </w:p>
        </w:tc>
      </w:tr>
    </w:tbl>
    <w:p>
      <w:pPr>
        <w:adjustRightInd w:val="0"/>
        <w:snapToGrid w:val="0"/>
        <w:spacing w:line="360" w:lineRule="auto"/>
        <w:rPr>
          <w:rFonts w:ascii="宋体" w:cs="宋体"/>
          <w:b/>
          <w:kern w:val="0"/>
          <w:sz w:val="28"/>
          <w:szCs w:val="28"/>
        </w:rPr>
        <w:sectPr>
          <w:footerReference r:id="rId10" w:type="default"/>
          <w:pgSz w:w="16840" w:h="11907" w:orient="landscape"/>
          <w:pgMar w:top="1531" w:right="1701" w:bottom="1531" w:left="2127" w:header="851" w:footer="851" w:gutter="0"/>
          <w:pgNumType w:fmt="decimal" w:start="56"/>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adjustRightInd w:val="0"/>
              <w:snapToGrid w:val="0"/>
              <w:spacing w:line="360" w:lineRule="auto"/>
              <w:rPr>
                <w:rFonts w:ascii="宋体" w:cs="宋体"/>
                <w:b/>
                <w:kern w:val="0"/>
                <w:sz w:val="28"/>
                <w:szCs w:val="28"/>
                <w:vertAlign w:val="baseline"/>
              </w:rPr>
            </w:pPr>
          </w:p>
        </w:tc>
        <w:tc>
          <w:tcPr>
            <w:tcW w:w="8401" w:type="dxa"/>
          </w:tcPr>
          <w:p>
            <w:pPr>
              <w:adjustRightInd w:val="0"/>
              <w:snapToGrid w:val="0"/>
              <w:spacing w:line="360" w:lineRule="auto"/>
              <w:ind w:firstLine="440" w:firstLineChars="200"/>
              <w:rPr>
                <w:rFonts w:ascii="宋体" w:hAnsi="宋体" w:cs="宋体"/>
                <w:color w:val="auto"/>
                <w:kern w:val="0"/>
                <w:sz w:val="24"/>
                <w:highlight w:val="none"/>
              </w:rPr>
            </w:pPr>
            <w:r>
              <w:rPr>
                <w:bCs/>
                <w:color w:val="auto"/>
                <w:spacing w:val="-10"/>
                <w:sz w:val="24"/>
                <w:highlight w:val="none"/>
              </w:rPr>
              <w:t>本项目运营期</w:t>
            </w:r>
            <w:r>
              <w:rPr>
                <w:rFonts w:hint="eastAsia"/>
                <w:bCs/>
                <w:color w:val="auto"/>
                <w:spacing w:val="-10"/>
                <w:sz w:val="24"/>
                <w:highlight w:val="none"/>
              </w:rPr>
              <w:t>生活污水经化粪池、隔油池处理后由市政污水管网排入西安市集贤产业园园区污水处理厂。</w:t>
            </w:r>
          </w:p>
          <w:p>
            <w:pPr>
              <w:adjustRightInd w:val="0"/>
              <w:snapToGrid w:val="0"/>
              <w:spacing w:line="360" w:lineRule="auto"/>
              <w:ind w:firstLine="480" w:firstLineChars="200"/>
              <w:rPr>
                <w:rFonts w:hint="eastAsia" w:eastAsia="宋体"/>
                <w:color w:val="auto"/>
                <w:highlight w:val="none"/>
                <w:lang w:eastAsia="zh-CN"/>
              </w:rPr>
            </w:pPr>
            <w:r>
              <w:rPr>
                <w:rFonts w:hint="eastAsia" w:ascii="宋体" w:hAnsi="宋体" w:cs="宋体"/>
                <w:color w:val="auto"/>
                <w:kern w:val="0"/>
                <w:sz w:val="24"/>
                <w:highlight w:val="none"/>
              </w:rPr>
              <w:t>本项目切割废水经过滤处理后</w:t>
            </w:r>
            <w:r>
              <w:rPr>
                <w:rFonts w:hint="eastAsia"/>
                <w:color w:val="auto"/>
                <w:sz w:val="24"/>
                <w:highlight w:val="none"/>
              </w:rPr>
              <w:t>经管道输送至项目厂界外南侧360m西安比亚迪汽车零部件有限公司集贤新能源汽车零部件产业园项目厂区污水处理站处理，达标后排入西安市集贤产业园园区污水处理厂；发泡机水箱废水</w:t>
            </w:r>
            <w:r>
              <w:rPr>
                <w:rFonts w:hint="eastAsia"/>
                <w:color w:val="auto"/>
                <w:sz w:val="24"/>
                <w:highlight w:val="none"/>
                <w:lang w:val="en-US" w:eastAsia="zh-CN"/>
              </w:rPr>
              <w:t>过滤后</w:t>
            </w:r>
            <w:r>
              <w:rPr>
                <w:rFonts w:hint="eastAsia"/>
                <w:color w:val="auto"/>
                <w:sz w:val="24"/>
                <w:highlight w:val="none"/>
              </w:rPr>
              <w:t>经管道输送至项目厂界外南侧360m西安比亚迪汽车零部件有限公司集贤新能源汽车零部件产业园项目厂区污水处理站处理，达标后排入西安市集贤产业园园区污水处理厂</w:t>
            </w:r>
            <w:r>
              <w:rPr>
                <w:rFonts w:hint="eastAsia"/>
                <w:color w:val="auto"/>
                <w:sz w:val="24"/>
                <w:highlight w:val="none"/>
                <w:lang w:eastAsia="zh-CN"/>
              </w:rPr>
              <w:t>。</w:t>
            </w:r>
          </w:p>
          <w:p>
            <w:pPr>
              <w:pStyle w:val="17"/>
              <w:ind w:firstLine="440"/>
              <w:rPr>
                <w:rFonts w:eastAsia="宋体"/>
                <w:bCs/>
                <w:color w:val="auto"/>
                <w:spacing w:val="-10"/>
                <w:sz w:val="24"/>
                <w:highlight w:val="none"/>
              </w:rPr>
            </w:pPr>
            <w:r>
              <w:rPr>
                <w:rFonts w:eastAsia="宋体"/>
                <w:bCs/>
                <w:color w:val="auto"/>
                <w:spacing w:val="-10"/>
                <w:sz w:val="24"/>
                <w:highlight w:val="none"/>
              </w:rPr>
              <w:t>（2）依托现有污水处理措施可行性</w:t>
            </w:r>
          </w:p>
          <w:p>
            <w:pPr>
              <w:pStyle w:val="17"/>
              <w:ind w:firstLine="440"/>
              <w:rPr>
                <w:rFonts w:eastAsia="宋体"/>
                <w:bCs/>
                <w:color w:val="auto"/>
                <w:spacing w:val="-10"/>
                <w:sz w:val="24"/>
                <w:highlight w:val="none"/>
              </w:rPr>
            </w:pPr>
            <w:r>
              <w:rPr>
                <w:rFonts w:hint="eastAsia" w:eastAsia="宋体"/>
                <w:bCs/>
                <w:color w:val="auto"/>
                <w:spacing w:val="-10"/>
                <w:sz w:val="24"/>
                <w:highlight w:val="none"/>
              </w:rPr>
              <w:t>企业产生的生活污水依托厂区现有</w:t>
            </w:r>
            <w:r>
              <w:rPr>
                <w:rFonts w:hint="eastAsia" w:eastAsia="宋体"/>
                <w:bCs/>
                <w:color w:val="auto"/>
                <w:spacing w:val="-10"/>
                <w:sz w:val="24"/>
                <w:highlight w:val="none"/>
                <w:lang w:val="en-US" w:eastAsia="zh-CN"/>
              </w:rPr>
              <w:t>化</w:t>
            </w:r>
            <w:r>
              <w:rPr>
                <w:rFonts w:hint="eastAsia" w:eastAsia="宋体"/>
                <w:bCs/>
                <w:color w:val="auto"/>
                <w:spacing w:val="-10"/>
                <w:sz w:val="24"/>
                <w:highlight w:val="none"/>
              </w:rPr>
              <w:t>粪池与处理后排入集贤产业园污水处理厂处理；生产废水经过滤后依托现有西安比亚迪汽车零部件有限公司集贤新能源汽车零部件产业园项目厂区污水处理站处理，达标后排入西安市集贤产业园园区污水处理厂。</w:t>
            </w:r>
          </w:p>
          <w:p>
            <w:pPr>
              <w:adjustRightInd w:val="0"/>
              <w:snapToGrid w:val="0"/>
              <w:spacing w:line="360" w:lineRule="auto"/>
              <w:ind w:firstLine="440" w:firstLineChars="200"/>
              <w:rPr>
                <w:bCs/>
                <w:color w:val="auto"/>
                <w:spacing w:val="-10"/>
                <w:sz w:val="24"/>
                <w:highlight w:val="none"/>
              </w:rPr>
            </w:pPr>
            <w:r>
              <w:rPr>
                <w:bCs/>
                <w:color w:val="auto"/>
                <w:spacing w:val="-10"/>
                <w:sz w:val="24"/>
                <w:highlight w:val="none"/>
              </w:rPr>
              <w:t>集贤产业园污水处理设计总处理规模为2万 m</w:t>
            </w:r>
            <w:r>
              <w:rPr>
                <w:bCs/>
                <w:color w:val="auto"/>
                <w:spacing w:val="-10"/>
                <w:sz w:val="24"/>
                <w:highlight w:val="none"/>
                <w:vertAlign w:val="superscript"/>
              </w:rPr>
              <w:t>3</w:t>
            </w:r>
            <w:r>
              <w:rPr>
                <w:bCs/>
                <w:color w:val="auto"/>
                <w:spacing w:val="-10"/>
                <w:sz w:val="24"/>
                <w:highlight w:val="none"/>
              </w:rPr>
              <w:t>/d，分两期建设，一期 5000</w:t>
            </w:r>
            <w:r>
              <w:rPr>
                <w:rFonts w:hint="eastAsia"/>
                <w:bCs/>
                <w:color w:val="auto"/>
                <w:spacing w:val="-10"/>
                <w:sz w:val="24"/>
                <w:highlight w:val="none"/>
              </w:rPr>
              <w:t xml:space="preserve"> </w:t>
            </w:r>
            <w:r>
              <w:rPr>
                <w:bCs/>
                <w:color w:val="auto"/>
                <w:spacing w:val="-10"/>
                <w:sz w:val="24"/>
                <w:highlight w:val="none"/>
              </w:rPr>
              <w:t>m</w:t>
            </w:r>
            <w:r>
              <w:rPr>
                <w:bCs/>
                <w:color w:val="auto"/>
                <w:spacing w:val="-10"/>
                <w:sz w:val="24"/>
                <w:highlight w:val="none"/>
                <w:vertAlign w:val="superscript"/>
              </w:rPr>
              <w:t>3</w:t>
            </w:r>
            <w:r>
              <w:rPr>
                <w:bCs/>
                <w:color w:val="auto"/>
                <w:spacing w:val="-10"/>
                <w:sz w:val="24"/>
                <w:highlight w:val="none"/>
              </w:rPr>
              <w:t xml:space="preserve">/d </w:t>
            </w:r>
            <w:r>
              <w:rPr>
                <w:rFonts w:hint="eastAsia"/>
                <w:bCs/>
                <w:color w:val="auto"/>
                <w:spacing w:val="-10"/>
                <w:sz w:val="24"/>
                <w:highlight w:val="none"/>
              </w:rPr>
              <w:t>，</w:t>
            </w:r>
            <w:r>
              <w:rPr>
                <w:bCs/>
                <w:color w:val="auto"/>
                <w:spacing w:val="-10"/>
                <w:sz w:val="24"/>
                <w:highlight w:val="none"/>
              </w:rPr>
              <w:t>已经于 2016 建成运行，目前实际处理水量 3200</w:t>
            </w:r>
            <w:r>
              <w:rPr>
                <w:rFonts w:hint="eastAsia"/>
                <w:bCs/>
                <w:color w:val="auto"/>
                <w:spacing w:val="-10"/>
                <w:sz w:val="24"/>
                <w:highlight w:val="none"/>
              </w:rPr>
              <w:t xml:space="preserve"> </w:t>
            </w:r>
            <w:r>
              <w:rPr>
                <w:bCs/>
                <w:color w:val="auto"/>
                <w:spacing w:val="-10"/>
                <w:sz w:val="24"/>
                <w:highlight w:val="none"/>
              </w:rPr>
              <w:t>m</w:t>
            </w:r>
            <w:r>
              <w:rPr>
                <w:bCs/>
                <w:color w:val="auto"/>
                <w:spacing w:val="-10"/>
                <w:sz w:val="24"/>
                <w:highlight w:val="none"/>
                <w:vertAlign w:val="superscript"/>
              </w:rPr>
              <w:t>3</w:t>
            </w:r>
            <w:r>
              <w:rPr>
                <w:bCs/>
                <w:color w:val="auto"/>
                <w:spacing w:val="-10"/>
                <w:sz w:val="24"/>
                <w:highlight w:val="none"/>
              </w:rPr>
              <w:t>/d，尚有 1800</w:t>
            </w:r>
            <w:r>
              <w:rPr>
                <w:rFonts w:hint="eastAsia"/>
                <w:bCs/>
                <w:color w:val="auto"/>
                <w:spacing w:val="-10"/>
                <w:sz w:val="24"/>
                <w:highlight w:val="none"/>
              </w:rPr>
              <w:t xml:space="preserve"> </w:t>
            </w:r>
            <w:r>
              <w:rPr>
                <w:bCs/>
                <w:color w:val="auto"/>
                <w:spacing w:val="-10"/>
                <w:sz w:val="24"/>
                <w:highlight w:val="none"/>
              </w:rPr>
              <w:t>m</w:t>
            </w:r>
            <w:r>
              <w:rPr>
                <w:bCs/>
                <w:color w:val="auto"/>
                <w:spacing w:val="-10"/>
                <w:sz w:val="24"/>
                <w:highlight w:val="none"/>
                <w:vertAlign w:val="superscript"/>
              </w:rPr>
              <w:t>3</w:t>
            </w:r>
            <w:r>
              <w:rPr>
                <w:bCs/>
                <w:color w:val="auto"/>
                <w:spacing w:val="-10"/>
                <w:sz w:val="24"/>
                <w:highlight w:val="none"/>
              </w:rPr>
              <w:t>/d 的处理能力；二期建成后处理能力达到 2 万 m</w:t>
            </w:r>
            <w:r>
              <w:rPr>
                <w:bCs/>
                <w:color w:val="auto"/>
                <w:spacing w:val="-10"/>
                <w:sz w:val="24"/>
                <w:highlight w:val="none"/>
                <w:vertAlign w:val="superscript"/>
              </w:rPr>
              <w:t>3</w:t>
            </w:r>
            <w:r>
              <w:rPr>
                <w:bCs/>
                <w:color w:val="auto"/>
                <w:spacing w:val="-10"/>
                <w:sz w:val="24"/>
                <w:highlight w:val="none"/>
              </w:rPr>
              <w:t>/d，二期工程</w:t>
            </w:r>
            <w:r>
              <w:rPr>
                <w:rFonts w:hint="eastAsia"/>
                <w:bCs/>
                <w:color w:val="auto"/>
                <w:spacing w:val="-10"/>
                <w:sz w:val="24"/>
                <w:highlight w:val="none"/>
                <w:lang w:val="en-US" w:eastAsia="zh-CN"/>
              </w:rPr>
              <w:t>将</w:t>
            </w:r>
            <w:r>
              <w:rPr>
                <w:rFonts w:hint="eastAsia"/>
                <w:bCs/>
                <w:color w:val="auto"/>
                <w:spacing w:val="-10"/>
                <w:sz w:val="24"/>
                <w:highlight w:val="none"/>
              </w:rPr>
              <w:t>于</w:t>
            </w:r>
            <w:r>
              <w:rPr>
                <w:bCs/>
                <w:color w:val="auto"/>
                <w:spacing w:val="-10"/>
                <w:sz w:val="24"/>
                <w:highlight w:val="none"/>
              </w:rPr>
              <w:t>年底建成运行。</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rPr>
              <w:t>根据企业提供资料，园区污水厂采用粗格栅+细格栅+旋流沉砂池+A</w:t>
            </w:r>
            <w:r>
              <w:rPr>
                <w:rFonts w:hint="eastAsia"/>
                <w:bCs/>
                <w:color w:val="auto"/>
                <w:spacing w:val="-10"/>
                <w:sz w:val="24"/>
                <w:highlight w:val="none"/>
                <w:vertAlign w:val="superscript"/>
              </w:rPr>
              <w:t>2</w:t>
            </w:r>
            <w:r>
              <w:rPr>
                <w:rFonts w:hint="eastAsia"/>
                <w:bCs/>
                <w:color w:val="auto"/>
                <w:spacing w:val="-10"/>
                <w:sz w:val="24"/>
                <w:highlight w:val="none"/>
              </w:rPr>
              <w:t xml:space="preserve">/O+絮凝沉淀+纤维转盘过滤+二氧化氯消毒的处理工艺，处理后出水达到《城镇污水厂污染物排放标准》（GB18918-2002）一级A标准后排入耿峪河。本项目生活污水排放量仅为11.52 </w:t>
            </w:r>
            <w:r>
              <w:rPr>
                <w:bCs/>
                <w:color w:val="auto"/>
                <w:spacing w:val="-10"/>
                <w:sz w:val="24"/>
                <w:highlight w:val="none"/>
              </w:rPr>
              <w:t>m</w:t>
            </w:r>
            <w:r>
              <w:rPr>
                <w:bCs/>
                <w:color w:val="auto"/>
                <w:spacing w:val="-10"/>
                <w:sz w:val="24"/>
                <w:highlight w:val="none"/>
                <w:vertAlign w:val="superscript"/>
              </w:rPr>
              <w:t>3</w:t>
            </w:r>
            <w:r>
              <w:rPr>
                <w:bCs/>
                <w:color w:val="auto"/>
                <w:spacing w:val="-10"/>
                <w:sz w:val="24"/>
                <w:highlight w:val="none"/>
              </w:rPr>
              <w:t>/d</w:t>
            </w:r>
            <w:r>
              <w:rPr>
                <w:rFonts w:hint="eastAsia"/>
                <w:bCs/>
                <w:color w:val="auto"/>
                <w:spacing w:val="-10"/>
                <w:sz w:val="24"/>
                <w:highlight w:val="none"/>
              </w:rPr>
              <w:t>，仅占生活污水处理站剩余容量的0.64%，因此厂区现有污</w:t>
            </w:r>
            <w:r>
              <w:rPr>
                <w:rFonts w:hint="eastAsia" w:ascii="宋体" w:hAnsi="宋体" w:cs="宋体"/>
                <w:color w:val="auto"/>
                <w:kern w:val="0"/>
                <w:sz w:val="24"/>
                <w:highlight w:val="none"/>
              </w:rPr>
              <w:t>水处理站的容量可满足项目污水处理要求。</w:t>
            </w:r>
          </w:p>
          <w:p>
            <w:pPr>
              <w:adjustRightInd w:val="0"/>
              <w:snapToGrid w:val="0"/>
              <w:spacing w:line="360" w:lineRule="auto"/>
              <w:ind w:firstLine="440" w:firstLineChars="200"/>
              <w:rPr>
                <w:rFonts w:hint="eastAsia" w:eastAsia="宋体"/>
                <w:bCs/>
                <w:color w:val="auto"/>
                <w:spacing w:val="-10"/>
                <w:sz w:val="24"/>
                <w:highlight w:val="none"/>
                <w:lang w:eastAsia="zh-CN"/>
              </w:rPr>
            </w:pPr>
            <w:r>
              <w:rPr>
                <w:rFonts w:hint="eastAsia"/>
                <w:bCs/>
                <w:color w:val="auto"/>
                <w:spacing w:val="-10"/>
                <w:sz w:val="24"/>
                <w:highlight w:val="none"/>
              </w:rPr>
              <w:t>生产废水处理规模为1300</w:t>
            </w:r>
            <w:r>
              <w:rPr>
                <w:bCs/>
                <w:color w:val="auto"/>
                <w:spacing w:val="-10"/>
                <w:sz w:val="24"/>
                <w:highlight w:val="none"/>
              </w:rPr>
              <w:t>m</w:t>
            </w:r>
            <w:r>
              <w:rPr>
                <w:bCs/>
                <w:color w:val="auto"/>
                <w:spacing w:val="-10"/>
                <w:sz w:val="24"/>
                <w:highlight w:val="none"/>
                <w:vertAlign w:val="superscript"/>
              </w:rPr>
              <w:t>3</w:t>
            </w:r>
            <w:r>
              <w:rPr>
                <w:bCs/>
                <w:color w:val="auto"/>
                <w:spacing w:val="-10"/>
                <w:sz w:val="24"/>
                <w:highlight w:val="none"/>
              </w:rPr>
              <w:t>/d</w:t>
            </w:r>
            <w:r>
              <w:rPr>
                <w:rFonts w:hint="eastAsia"/>
                <w:bCs/>
                <w:color w:val="auto"/>
                <w:spacing w:val="-10"/>
                <w:sz w:val="24"/>
                <w:highlight w:val="none"/>
              </w:rPr>
              <w:t>，采用酸化反应池+破乳+混凝+絮凝+隔油池的处理工艺，生产废水及处理后尾水氨氮、总磷执行《污水排入城镇下水道水质标准》</w:t>
            </w:r>
            <w:r>
              <w:rPr>
                <w:rFonts w:hint="eastAsia"/>
                <w:bCs/>
                <w:color w:val="auto"/>
                <w:spacing w:val="-10"/>
                <w:sz w:val="24"/>
                <w:highlight w:val="none"/>
                <w:lang w:eastAsia="zh-CN"/>
              </w:rPr>
              <w:t>（</w:t>
            </w:r>
            <w:r>
              <w:rPr>
                <w:rFonts w:hint="eastAsia"/>
                <w:bCs/>
                <w:color w:val="auto"/>
                <w:spacing w:val="-10"/>
                <w:sz w:val="24"/>
                <w:highlight w:val="none"/>
              </w:rPr>
              <w:t>GB/T 31962-2015</w:t>
            </w:r>
            <w:r>
              <w:rPr>
                <w:rFonts w:hint="eastAsia"/>
                <w:bCs/>
                <w:color w:val="auto"/>
                <w:spacing w:val="-10"/>
                <w:sz w:val="24"/>
                <w:highlight w:val="none"/>
                <w:lang w:eastAsia="zh-CN"/>
              </w:rPr>
              <w:t>）</w:t>
            </w:r>
            <w:r>
              <w:rPr>
                <w:rFonts w:hint="eastAsia"/>
                <w:bCs/>
                <w:color w:val="auto"/>
                <w:spacing w:val="-10"/>
                <w:sz w:val="24"/>
                <w:highlight w:val="none"/>
              </w:rPr>
              <w:t>，其它污染物排放执行《污水综合排放标准》（GB 8978-1996）表4三级标准。本项目生产废水排放量为</w:t>
            </w:r>
            <w:r>
              <w:rPr>
                <w:rFonts w:hint="eastAsia"/>
                <w:bCs/>
                <w:color w:val="auto"/>
                <w:spacing w:val="-10"/>
                <w:sz w:val="24"/>
                <w:highlight w:val="none"/>
                <w:lang w:val="en-US" w:eastAsia="zh-CN"/>
              </w:rPr>
              <w:t>1.032</w:t>
            </w:r>
            <w:r>
              <w:rPr>
                <w:bCs/>
                <w:color w:val="auto"/>
                <w:spacing w:val="-10"/>
                <w:sz w:val="24"/>
                <w:highlight w:val="none"/>
              </w:rPr>
              <w:t>m</w:t>
            </w:r>
            <w:r>
              <w:rPr>
                <w:bCs/>
                <w:color w:val="auto"/>
                <w:spacing w:val="-10"/>
                <w:sz w:val="24"/>
                <w:highlight w:val="none"/>
                <w:vertAlign w:val="superscript"/>
              </w:rPr>
              <w:t>3</w:t>
            </w:r>
            <w:r>
              <w:rPr>
                <w:bCs/>
                <w:color w:val="auto"/>
                <w:spacing w:val="-10"/>
                <w:sz w:val="24"/>
                <w:highlight w:val="none"/>
              </w:rPr>
              <w:t>/d</w:t>
            </w:r>
            <w:r>
              <w:rPr>
                <w:rFonts w:hint="eastAsia"/>
                <w:bCs/>
                <w:color w:val="auto"/>
                <w:spacing w:val="-10"/>
                <w:sz w:val="24"/>
                <w:highlight w:val="none"/>
              </w:rPr>
              <w:t>，仅占生产废水处理规模的0.0</w:t>
            </w:r>
            <w:r>
              <w:rPr>
                <w:rFonts w:hint="eastAsia"/>
                <w:bCs/>
                <w:color w:val="auto"/>
                <w:spacing w:val="-10"/>
                <w:sz w:val="24"/>
                <w:highlight w:val="none"/>
                <w:lang w:val="en-US" w:eastAsia="zh-CN"/>
              </w:rPr>
              <w:t>8</w:t>
            </w:r>
            <w:r>
              <w:rPr>
                <w:rFonts w:hint="eastAsia"/>
                <w:bCs/>
                <w:color w:val="auto"/>
                <w:spacing w:val="-10"/>
                <w:sz w:val="24"/>
                <w:highlight w:val="none"/>
              </w:rPr>
              <w:t>%，因此厂区现有污</w:t>
            </w:r>
            <w:r>
              <w:rPr>
                <w:rFonts w:hint="eastAsia" w:ascii="宋体" w:hAnsi="宋体" w:cs="宋体"/>
                <w:color w:val="auto"/>
                <w:kern w:val="0"/>
                <w:sz w:val="24"/>
                <w:highlight w:val="none"/>
              </w:rPr>
              <w:t>水处理站的容量可满足项目污水处理要求。</w:t>
            </w:r>
            <w:r>
              <w:rPr>
                <w:rFonts w:hint="eastAsia"/>
                <w:color w:val="auto"/>
                <w:sz w:val="24"/>
                <w:highlight w:val="none"/>
              </w:rPr>
              <w:t>本项目污水监测应纳入西安比亚迪汽车零部件有限公司集贤新能源汽车零部件产业园项目厂区自行监测计划</w:t>
            </w:r>
            <w:r>
              <w:rPr>
                <w:rFonts w:hint="eastAsia"/>
                <w:color w:val="auto"/>
                <w:sz w:val="24"/>
                <w:highlight w:val="none"/>
                <w:lang w:eastAsia="zh-CN"/>
              </w:rPr>
              <w:t>。</w:t>
            </w:r>
          </w:p>
          <w:p>
            <w:pP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综上，本项目废水对周围地表水环境影响较小。</w:t>
            </w:r>
          </w:p>
          <w:p>
            <w:pPr>
              <w:adjustRightInd w:val="0"/>
              <w:snapToGrid w:val="0"/>
              <w:spacing w:line="360" w:lineRule="auto"/>
              <w:ind w:firstLine="482"/>
              <w:rPr>
                <w:rFonts w:ascii="宋体" w:hAnsi="宋体" w:cs="宋体"/>
                <w:b/>
                <w:bCs/>
                <w:color w:val="auto"/>
                <w:kern w:val="0"/>
                <w:sz w:val="24"/>
                <w:highlight w:val="none"/>
              </w:rPr>
            </w:pPr>
            <w:r>
              <w:rPr>
                <w:rFonts w:hint="eastAsia" w:ascii="宋体" w:hAnsi="宋体" w:cs="宋体"/>
                <w:b/>
                <w:bCs/>
                <w:color w:val="auto"/>
                <w:kern w:val="0"/>
                <w:sz w:val="24"/>
                <w:highlight w:val="none"/>
              </w:rPr>
              <w:t>3、噪声</w:t>
            </w:r>
          </w:p>
          <w:p>
            <w:pPr>
              <w:adjustRightInd w:val="0"/>
              <w:snapToGrid w:val="0"/>
              <w:spacing w:line="360" w:lineRule="auto"/>
              <w:ind w:firstLine="440" w:firstLineChars="200"/>
              <w:rPr>
                <w:bCs/>
                <w:color w:val="auto"/>
                <w:spacing w:val="-10"/>
                <w:sz w:val="24"/>
                <w:highlight w:val="none"/>
              </w:rPr>
            </w:pPr>
            <w:r>
              <w:rPr>
                <w:rFonts w:hint="eastAsia"/>
                <w:bCs/>
                <w:color w:val="auto"/>
                <w:spacing w:val="-10"/>
                <w:sz w:val="24"/>
                <w:highlight w:val="none"/>
              </w:rPr>
              <w:t>（1）噪声源强及降噪措施</w:t>
            </w:r>
          </w:p>
          <w:p>
            <w:pPr>
              <w:pStyle w:val="17"/>
              <w:ind w:firstLine="440"/>
              <w:rPr>
                <w:rFonts w:eastAsia="宋体"/>
                <w:bCs/>
                <w:color w:val="auto"/>
                <w:spacing w:val="-10"/>
                <w:sz w:val="24"/>
                <w:highlight w:val="none"/>
              </w:rPr>
            </w:pPr>
            <w:r>
              <w:rPr>
                <w:rFonts w:hint="eastAsia" w:eastAsia="宋体"/>
                <w:bCs/>
                <w:color w:val="auto"/>
                <w:spacing w:val="-10"/>
                <w:sz w:val="24"/>
                <w:highlight w:val="none"/>
              </w:rPr>
              <w:t>本项目噪声主要为设备生产噪声，主要噪声源包括模压机、发泡机</w:t>
            </w:r>
            <w:r>
              <w:rPr>
                <w:rFonts w:hint="eastAsia" w:eastAsia="宋体"/>
                <w:bCs/>
                <w:color w:val="auto"/>
                <w:spacing w:val="-10"/>
                <w:sz w:val="24"/>
                <w:highlight w:val="none"/>
                <w:lang w:eastAsia="zh-CN"/>
              </w:rPr>
              <w:t>、</w:t>
            </w:r>
            <w:r>
              <w:rPr>
                <w:rFonts w:hint="eastAsia" w:eastAsia="宋体"/>
                <w:bCs/>
                <w:color w:val="auto"/>
                <w:spacing w:val="-10"/>
                <w:sz w:val="24"/>
                <w:highlight w:val="none"/>
              </w:rPr>
              <w:t>水刀</w:t>
            </w:r>
            <w:r>
              <w:rPr>
                <w:rFonts w:hint="eastAsia" w:eastAsia="宋体"/>
                <w:bCs/>
                <w:color w:val="auto"/>
                <w:spacing w:val="-10"/>
                <w:sz w:val="24"/>
                <w:highlight w:val="none"/>
                <w:lang w:val="en-US" w:eastAsia="zh-CN"/>
              </w:rPr>
              <w:t>切割设备</w:t>
            </w:r>
            <w:r>
              <w:rPr>
                <w:rFonts w:hint="eastAsia" w:eastAsia="宋体"/>
                <w:bCs/>
                <w:color w:val="auto"/>
                <w:spacing w:val="-10"/>
                <w:sz w:val="24"/>
                <w:highlight w:val="none"/>
              </w:rPr>
              <w:t>等设备产生的噪声，源强范围为85-90 dB(A)，建设单位采取合理布局设备位置，厂房隔声、基础减振等措施，可使噪声源减小。运营期主要噪声设备降噪措施及治理后声级值见下表。以厂区西南角为（0</w:t>
            </w:r>
            <w:r>
              <w:rPr>
                <w:rFonts w:hint="eastAsia" w:eastAsia="宋体"/>
                <w:bCs/>
                <w:color w:val="auto"/>
                <w:spacing w:val="-10"/>
                <w:sz w:val="24"/>
                <w:highlight w:val="none"/>
                <w:lang w:eastAsia="zh-CN"/>
              </w:rPr>
              <w:t>，</w:t>
            </w:r>
            <w:r>
              <w:rPr>
                <w:rFonts w:hint="eastAsia" w:eastAsia="宋体"/>
                <w:bCs/>
                <w:color w:val="auto"/>
                <w:spacing w:val="-10"/>
                <w:sz w:val="24"/>
                <w:highlight w:val="none"/>
              </w:rPr>
              <w:t>0）。</w:t>
            </w:r>
          </w:p>
          <w:p>
            <w:pPr>
              <w:adjustRightInd w:val="0"/>
              <w:snapToGrid w:val="0"/>
              <w:spacing w:line="360" w:lineRule="auto"/>
              <w:rPr>
                <w:rFonts w:ascii="宋体" w:cs="宋体"/>
                <w:b/>
                <w:kern w:val="0"/>
                <w:sz w:val="28"/>
                <w:szCs w:val="28"/>
                <w:vertAlign w:val="baseline"/>
              </w:rPr>
            </w:pPr>
          </w:p>
        </w:tc>
      </w:tr>
    </w:tbl>
    <w:p>
      <w:pPr>
        <w:adjustRightInd w:val="0"/>
        <w:snapToGrid w:val="0"/>
        <w:spacing w:line="360" w:lineRule="auto"/>
        <w:rPr>
          <w:rFonts w:ascii="宋体" w:cs="宋体"/>
          <w:b/>
          <w:kern w:val="0"/>
          <w:sz w:val="28"/>
          <w:szCs w:val="28"/>
        </w:rPr>
      </w:pPr>
    </w:p>
    <w:p>
      <w:pPr>
        <w:adjustRightInd w:val="0"/>
        <w:snapToGrid w:val="0"/>
        <w:spacing w:line="360" w:lineRule="auto"/>
        <w:rPr>
          <w:rFonts w:ascii="宋体" w:cs="宋体"/>
          <w:b/>
          <w:kern w:val="0"/>
          <w:sz w:val="28"/>
          <w:szCs w:val="28"/>
        </w:rPr>
      </w:pPr>
    </w:p>
    <w:p>
      <w:pPr>
        <w:adjustRightInd w:val="0"/>
        <w:snapToGrid w:val="0"/>
        <w:spacing w:line="360" w:lineRule="auto"/>
        <w:rPr>
          <w:rFonts w:ascii="宋体" w:cs="宋体"/>
          <w:b/>
          <w:kern w:val="0"/>
          <w:sz w:val="28"/>
          <w:szCs w:val="28"/>
        </w:rPr>
        <w:sectPr>
          <w:footerReference r:id="rId11" w:type="default"/>
          <w:pgSz w:w="11907" w:h="16840"/>
          <w:pgMar w:top="1701" w:right="1531" w:bottom="2127" w:left="1531" w:header="851" w:footer="851" w:gutter="0"/>
          <w:pgNumType w:fmt="decimal" w:start="57"/>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3" w:hRule="atLeast"/>
        </w:trPr>
        <w:tc>
          <w:tcPr>
            <w:tcW w:w="702" w:type="dxa"/>
          </w:tcPr>
          <w:p>
            <w:pPr>
              <w:adjustRightInd w:val="0"/>
              <w:snapToGrid w:val="0"/>
              <w:spacing w:line="360" w:lineRule="auto"/>
              <w:ind w:firstLine="562"/>
              <w:rPr>
                <w:rFonts w:ascii="宋体" w:cs="宋体"/>
                <w:b/>
                <w:kern w:val="0"/>
                <w:sz w:val="28"/>
                <w:szCs w:val="28"/>
              </w:rPr>
            </w:pPr>
          </w:p>
        </w:tc>
        <w:tc>
          <w:tcPr>
            <w:tcW w:w="12526" w:type="dxa"/>
          </w:tcPr>
          <w:p>
            <w:pPr>
              <w:jc w:val="center"/>
            </w:pPr>
            <w:r>
              <w:rPr>
                <w:b/>
                <w:szCs w:val="21"/>
              </w:rPr>
              <w:t>表4-</w:t>
            </w:r>
            <w:r>
              <w:rPr>
                <w:rFonts w:hint="eastAsia"/>
                <w:b/>
                <w:szCs w:val="21"/>
              </w:rPr>
              <w:t>9</w:t>
            </w:r>
            <w:r>
              <w:rPr>
                <w:b/>
                <w:szCs w:val="21"/>
              </w:rPr>
              <w:t xml:space="preserve"> 工业企业噪声源强调查清单（室内声源）</w:t>
            </w:r>
          </w:p>
          <w:tbl>
            <w:tblPr>
              <w:tblStyle w:val="19"/>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2"/>
              <w:gridCol w:w="739"/>
              <w:gridCol w:w="784"/>
              <w:gridCol w:w="651"/>
              <w:gridCol w:w="796"/>
              <w:gridCol w:w="1661"/>
              <w:gridCol w:w="773"/>
              <w:gridCol w:w="773"/>
              <w:gridCol w:w="597"/>
              <w:gridCol w:w="763"/>
              <w:gridCol w:w="873"/>
              <w:gridCol w:w="698"/>
              <w:gridCol w:w="956"/>
              <w:gridCol w:w="873"/>
              <w:gridCol w:w="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592" w:type="dxa"/>
                  <w:vMerge w:val="restart"/>
                  <w:vAlign w:val="center"/>
                </w:tcPr>
                <w:p>
                  <w:pPr>
                    <w:jc w:val="center"/>
                    <w:rPr>
                      <w:b/>
                      <w:bCs/>
                      <w:szCs w:val="21"/>
                    </w:rPr>
                  </w:pPr>
                  <w:r>
                    <w:rPr>
                      <w:rFonts w:hint="eastAsia"/>
                      <w:b/>
                      <w:bCs/>
                      <w:szCs w:val="21"/>
                    </w:rPr>
                    <w:t>序号</w:t>
                  </w:r>
                </w:p>
              </w:tc>
              <w:tc>
                <w:tcPr>
                  <w:tcW w:w="739" w:type="dxa"/>
                  <w:vMerge w:val="restart"/>
                  <w:vAlign w:val="center"/>
                </w:tcPr>
                <w:p>
                  <w:pPr>
                    <w:jc w:val="center"/>
                    <w:rPr>
                      <w:b/>
                      <w:bCs/>
                      <w:szCs w:val="21"/>
                    </w:rPr>
                  </w:pPr>
                  <w:r>
                    <w:rPr>
                      <w:rFonts w:hint="eastAsia"/>
                      <w:b/>
                      <w:bCs/>
                      <w:szCs w:val="21"/>
                    </w:rPr>
                    <w:t>建筑物名称</w:t>
                  </w:r>
                </w:p>
              </w:tc>
              <w:tc>
                <w:tcPr>
                  <w:tcW w:w="784" w:type="dxa"/>
                  <w:vMerge w:val="restart"/>
                  <w:vAlign w:val="center"/>
                </w:tcPr>
                <w:p>
                  <w:pPr>
                    <w:jc w:val="center"/>
                    <w:rPr>
                      <w:b/>
                      <w:bCs/>
                      <w:szCs w:val="21"/>
                    </w:rPr>
                  </w:pPr>
                  <w:r>
                    <w:rPr>
                      <w:rFonts w:hint="eastAsia"/>
                      <w:b/>
                      <w:bCs/>
                      <w:szCs w:val="21"/>
                    </w:rPr>
                    <w:t>声源名称</w:t>
                  </w:r>
                </w:p>
              </w:tc>
              <w:tc>
                <w:tcPr>
                  <w:tcW w:w="651" w:type="dxa"/>
                  <w:vMerge w:val="restart"/>
                  <w:vAlign w:val="center"/>
                </w:tcPr>
                <w:p>
                  <w:pPr>
                    <w:jc w:val="center"/>
                    <w:rPr>
                      <w:b/>
                      <w:bCs/>
                      <w:szCs w:val="21"/>
                    </w:rPr>
                  </w:pPr>
                  <w:r>
                    <w:rPr>
                      <w:rFonts w:hint="eastAsia"/>
                      <w:b/>
                      <w:bCs/>
                      <w:szCs w:val="21"/>
                    </w:rPr>
                    <w:t>型号</w:t>
                  </w:r>
                </w:p>
              </w:tc>
              <w:tc>
                <w:tcPr>
                  <w:tcW w:w="796" w:type="dxa"/>
                  <w:vAlign w:val="center"/>
                </w:tcPr>
                <w:p>
                  <w:pPr>
                    <w:jc w:val="center"/>
                    <w:rPr>
                      <w:b/>
                      <w:bCs/>
                      <w:szCs w:val="21"/>
                    </w:rPr>
                  </w:pPr>
                  <w:r>
                    <w:rPr>
                      <w:rFonts w:hint="eastAsia"/>
                      <w:b/>
                      <w:bCs/>
                      <w:szCs w:val="21"/>
                    </w:rPr>
                    <w:t>声源源强</w:t>
                  </w:r>
                </w:p>
              </w:tc>
              <w:tc>
                <w:tcPr>
                  <w:tcW w:w="1661" w:type="dxa"/>
                  <w:vMerge w:val="restart"/>
                  <w:vAlign w:val="center"/>
                </w:tcPr>
                <w:p>
                  <w:pPr>
                    <w:jc w:val="center"/>
                    <w:rPr>
                      <w:b/>
                      <w:bCs/>
                      <w:szCs w:val="21"/>
                    </w:rPr>
                  </w:pPr>
                  <w:r>
                    <w:rPr>
                      <w:rFonts w:hint="eastAsia"/>
                      <w:b/>
                      <w:bCs/>
                      <w:szCs w:val="21"/>
                    </w:rPr>
                    <w:t>声源控制措施</w:t>
                  </w:r>
                </w:p>
              </w:tc>
              <w:tc>
                <w:tcPr>
                  <w:tcW w:w="2143" w:type="dxa"/>
                  <w:gridSpan w:val="3"/>
                  <w:vAlign w:val="center"/>
                </w:tcPr>
                <w:p>
                  <w:pPr>
                    <w:jc w:val="center"/>
                    <w:rPr>
                      <w:b/>
                      <w:bCs/>
                      <w:szCs w:val="21"/>
                    </w:rPr>
                  </w:pPr>
                  <w:r>
                    <w:rPr>
                      <w:rFonts w:hint="eastAsia"/>
                      <w:b/>
                      <w:bCs/>
                      <w:szCs w:val="21"/>
                    </w:rPr>
                    <w:t>空间相对位置/m</w:t>
                  </w:r>
                </w:p>
              </w:tc>
              <w:tc>
                <w:tcPr>
                  <w:tcW w:w="763" w:type="dxa"/>
                  <w:vMerge w:val="restart"/>
                  <w:vAlign w:val="center"/>
                </w:tcPr>
                <w:p>
                  <w:pPr>
                    <w:jc w:val="center"/>
                    <w:rPr>
                      <w:b/>
                      <w:bCs/>
                      <w:szCs w:val="21"/>
                    </w:rPr>
                  </w:pPr>
                  <w:r>
                    <w:rPr>
                      <w:rFonts w:hint="eastAsia"/>
                      <w:b/>
                      <w:bCs/>
                      <w:szCs w:val="21"/>
                    </w:rPr>
                    <w:t>距离内边界距离/m</w:t>
                  </w:r>
                </w:p>
              </w:tc>
              <w:tc>
                <w:tcPr>
                  <w:tcW w:w="873" w:type="dxa"/>
                  <w:vMerge w:val="restart"/>
                  <w:vAlign w:val="center"/>
                </w:tcPr>
                <w:p>
                  <w:pPr>
                    <w:jc w:val="center"/>
                    <w:rPr>
                      <w:b/>
                      <w:bCs/>
                      <w:szCs w:val="21"/>
                    </w:rPr>
                  </w:pPr>
                  <w:r>
                    <w:rPr>
                      <w:rFonts w:hint="eastAsia"/>
                      <w:b/>
                      <w:bCs/>
                      <w:szCs w:val="21"/>
                    </w:rPr>
                    <w:t>室内边界声级/dB(A)</w:t>
                  </w:r>
                </w:p>
              </w:tc>
              <w:tc>
                <w:tcPr>
                  <w:tcW w:w="698" w:type="dxa"/>
                  <w:vMerge w:val="restart"/>
                  <w:vAlign w:val="center"/>
                </w:tcPr>
                <w:p>
                  <w:pPr>
                    <w:jc w:val="center"/>
                    <w:rPr>
                      <w:b/>
                      <w:bCs/>
                      <w:szCs w:val="21"/>
                    </w:rPr>
                  </w:pPr>
                  <w:r>
                    <w:rPr>
                      <w:rFonts w:hint="eastAsia"/>
                      <w:b/>
                      <w:bCs/>
                      <w:szCs w:val="21"/>
                    </w:rPr>
                    <w:t>运行时段</w:t>
                  </w:r>
                </w:p>
              </w:tc>
              <w:tc>
                <w:tcPr>
                  <w:tcW w:w="956" w:type="dxa"/>
                  <w:vMerge w:val="restart"/>
                  <w:vAlign w:val="center"/>
                </w:tcPr>
                <w:p>
                  <w:pPr>
                    <w:widowControl/>
                    <w:jc w:val="center"/>
                    <w:rPr>
                      <w:b/>
                      <w:bCs/>
                      <w:szCs w:val="21"/>
                    </w:rPr>
                  </w:pPr>
                  <w:r>
                    <w:rPr>
                      <w:rFonts w:hint="eastAsia" w:ascii="宋体" w:hAnsi="宋体" w:cs="宋体"/>
                      <w:b/>
                      <w:bCs/>
                      <w:kern w:val="0"/>
                      <w:szCs w:val="21"/>
                      <w:lang w:bidi="ar"/>
                    </w:rPr>
                    <w:t>建筑物插入损失</w:t>
                  </w:r>
                  <w:r>
                    <w:rPr>
                      <w:b/>
                      <w:bCs/>
                      <w:kern w:val="0"/>
                      <w:szCs w:val="21"/>
                      <w:lang w:bidi="ar"/>
                    </w:rPr>
                    <w:t>/dB(A)</w:t>
                  </w:r>
                </w:p>
              </w:tc>
              <w:tc>
                <w:tcPr>
                  <w:tcW w:w="1644" w:type="dxa"/>
                  <w:gridSpan w:val="2"/>
                  <w:vAlign w:val="center"/>
                </w:tcPr>
                <w:p>
                  <w:pPr>
                    <w:widowControl/>
                    <w:jc w:val="center"/>
                    <w:rPr>
                      <w:b/>
                      <w:bCs/>
                      <w:szCs w:val="21"/>
                    </w:rPr>
                  </w:pPr>
                  <w:r>
                    <w:rPr>
                      <w:rFonts w:hint="eastAsia" w:ascii="宋体" w:hAnsi="宋体" w:cs="宋体"/>
                      <w:b/>
                      <w:bCs/>
                      <w:kern w:val="0"/>
                      <w:szCs w:val="21"/>
                      <w:lang w:bidi="ar"/>
                    </w:rPr>
                    <w:t>建筑物外噪声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592" w:type="dxa"/>
                  <w:vMerge w:val="continue"/>
                  <w:vAlign w:val="center"/>
                </w:tcPr>
                <w:p>
                  <w:pPr>
                    <w:jc w:val="center"/>
                    <w:rPr>
                      <w:b/>
                      <w:bCs/>
                      <w:szCs w:val="21"/>
                    </w:rPr>
                  </w:pPr>
                </w:p>
              </w:tc>
              <w:tc>
                <w:tcPr>
                  <w:tcW w:w="739" w:type="dxa"/>
                  <w:vMerge w:val="continue"/>
                  <w:vAlign w:val="center"/>
                </w:tcPr>
                <w:p>
                  <w:pPr>
                    <w:jc w:val="center"/>
                    <w:rPr>
                      <w:b/>
                      <w:bCs/>
                      <w:szCs w:val="21"/>
                    </w:rPr>
                  </w:pPr>
                </w:p>
              </w:tc>
              <w:tc>
                <w:tcPr>
                  <w:tcW w:w="784" w:type="dxa"/>
                  <w:vMerge w:val="continue"/>
                  <w:vAlign w:val="center"/>
                </w:tcPr>
                <w:p>
                  <w:pPr>
                    <w:jc w:val="center"/>
                    <w:rPr>
                      <w:b/>
                      <w:bCs/>
                      <w:szCs w:val="21"/>
                    </w:rPr>
                  </w:pPr>
                </w:p>
              </w:tc>
              <w:tc>
                <w:tcPr>
                  <w:tcW w:w="651" w:type="dxa"/>
                  <w:vMerge w:val="continue"/>
                  <w:vAlign w:val="center"/>
                </w:tcPr>
                <w:p>
                  <w:pPr>
                    <w:jc w:val="center"/>
                    <w:rPr>
                      <w:b/>
                      <w:bCs/>
                      <w:szCs w:val="21"/>
                    </w:rPr>
                  </w:pPr>
                </w:p>
              </w:tc>
              <w:tc>
                <w:tcPr>
                  <w:tcW w:w="796" w:type="dxa"/>
                  <w:vAlign w:val="center"/>
                </w:tcPr>
                <w:p>
                  <w:pPr>
                    <w:jc w:val="center"/>
                    <w:rPr>
                      <w:b/>
                      <w:bCs/>
                      <w:szCs w:val="21"/>
                    </w:rPr>
                  </w:pPr>
                  <w:r>
                    <w:rPr>
                      <w:b/>
                      <w:bCs/>
                      <w:szCs w:val="21"/>
                    </w:rPr>
                    <w:t>1</w:t>
                  </w:r>
                  <w:r>
                    <w:rPr>
                      <w:rFonts w:hint="eastAsia"/>
                      <w:b/>
                      <w:bCs/>
                      <w:szCs w:val="21"/>
                    </w:rPr>
                    <w:t>m处声压级</w:t>
                  </w:r>
                  <w:r>
                    <w:rPr>
                      <w:b/>
                      <w:bCs/>
                      <w:szCs w:val="21"/>
                    </w:rPr>
                    <w:t>/dB(A)</w:t>
                  </w:r>
                </w:p>
              </w:tc>
              <w:tc>
                <w:tcPr>
                  <w:tcW w:w="1661" w:type="dxa"/>
                  <w:vMerge w:val="continue"/>
                  <w:vAlign w:val="center"/>
                </w:tcPr>
                <w:p>
                  <w:pPr>
                    <w:jc w:val="center"/>
                    <w:rPr>
                      <w:b/>
                      <w:bCs/>
                      <w:szCs w:val="21"/>
                    </w:rPr>
                  </w:pPr>
                </w:p>
              </w:tc>
              <w:tc>
                <w:tcPr>
                  <w:tcW w:w="773" w:type="dxa"/>
                  <w:vAlign w:val="center"/>
                </w:tcPr>
                <w:p>
                  <w:pPr>
                    <w:jc w:val="center"/>
                    <w:rPr>
                      <w:b/>
                      <w:bCs/>
                      <w:szCs w:val="21"/>
                    </w:rPr>
                  </w:pPr>
                  <w:r>
                    <w:rPr>
                      <w:rFonts w:hint="eastAsia"/>
                      <w:b/>
                      <w:bCs/>
                      <w:szCs w:val="21"/>
                    </w:rPr>
                    <w:t>X</w:t>
                  </w:r>
                </w:p>
              </w:tc>
              <w:tc>
                <w:tcPr>
                  <w:tcW w:w="773" w:type="dxa"/>
                  <w:vAlign w:val="center"/>
                </w:tcPr>
                <w:p>
                  <w:pPr>
                    <w:jc w:val="center"/>
                    <w:rPr>
                      <w:b/>
                      <w:bCs/>
                      <w:szCs w:val="21"/>
                    </w:rPr>
                  </w:pPr>
                  <w:r>
                    <w:rPr>
                      <w:rFonts w:hint="eastAsia"/>
                      <w:b/>
                      <w:bCs/>
                      <w:szCs w:val="21"/>
                    </w:rPr>
                    <w:t>Y</w:t>
                  </w:r>
                </w:p>
              </w:tc>
              <w:tc>
                <w:tcPr>
                  <w:tcW w:w="597" w:type="dxa"/>
                  <w:vAlign w:val="center"/>
                </w:tcPr>
                <w:p>
                  <w:pPr>
                    <w:jc w:val="center"/>
                    <w:rPr>
                      <w:b/>
                      <w:bCs/>
                      <w:szCs w:val="21"/>
                    </w:rPr>
                  </w:pPr>
                  <w:r>
                    <w:rPr>
                      <w:rFonts w:hint="eastAsia"/>
                      <w:b/>
                      <w:bCs/>
                      <w:szCs w:val="21"/>
                    </w:rPr>
                    <w:t>Z</w:t>
                  </w:r>
                </w:p>
              </w:tc>
              <w:tc>
                <w:tcPr>
                  <w:tcW w:w="763" w:type="dxa"/>
                  <w:vMerge w:val="continue"/>
                  <w:vAlign w:val="center"/>
                </w:tcPr>
                <w:p>
                  <w:pPr>
                    <w:jc w:val="center"/>
                    <w:rPr>
                      <w:b/>
                      <w:bCs/>
                      <w:szCs w:val="21"/>
                    </w:rPr>
                  </w:pPr>
                </w:p>
              </w:tc>
              <w:tc>
                <w:tcPr>
                  <w:tcW w:w="873" w:type="dxa"/>
                  <w:vMerge w:val="continue"/>
                  <w:vAlign w:val="center"/>
                </w:tcPr>
                <w:p>
                  <w:pPr>
                    <w:jc w:val="center"/>
                    <w:rPr>
                      <w:b/>
                      <w:bCs/>
                      <w:szCs w:val="21"/>
                    </w:rPr>
                  </w:pPr>
                </w:p>
              </w:tc>
              <w:tc>
                <w:tcPr>
                  <w:tcW w:w="698" w:type="dxa"/>
                  <w:vMerge w:val="continue"/>
                  <w:vAlign w:val="center"/>
                </w:tcPr>
                <w:p>
                  <w:pPr>
                    <w:jc w:val="center"/>
                    <w:rPr>
                      <w:b/>
                      <w:bCs/>
                      <w:szCs w:val="21"/>
                    </w:rPr>
                  </w:pPr>
                </w:p>
              </w:tc>
              <w:tc>
                <w:tcPr>
                  <w:tcW w:w="956" w:type="dxa"/>
                  <w:vMerge w:val="continue"/>
                  <w:vAlign w:val="center"/>
                </w:tcPr>
                <w:p>
                  <w:pPr>
                    <w:jc w:val="center"/>
                    <w:rPr>
                      <w:b/>
                      <w:bCs/>
                      <w:szCs w:val="21"/>
                    </w:rPr>
                  </w:pPr>
                </w:p>
              </w:tc>
              <w:tc>
                <w:tcPr>
                  <w:tcW w:w="873" w:type="dxa"/>
                  <w:vAlign w:val="center"/>
                </w:tcPr>
                <w:p>
                  <w:pPr>
                    <w:jc w:val="center"/>
                    <w:rPr>
                      <w:b/>
                      <w:bCs/>
                      <w:szCs w:val="21"/>
                    </w:rPr>
                  </w:pPr>
                  <w:r>
                    <w:rPr>
                      <w:rFonts w:hint="eastAsia"/>
                      <w:b/>
                      <w:bCs/>
                      <w:szCs w:val="21"/>
                    </w:rPr>
                    <w:t>声压级</w:t>
                  </w:r>
                </w:p>
                <w:p>
                  <w:pPr>
                    <w:jc w:val="center"/>
                    <w:rPr>
                      <w:b/>
                      <w:bCs/>
                      <w:szCs w:val="21"/>
                    </w:rPr>
                  </w:pPr>
                  <w:r>
                    <w:rPr>
                      <w:b/>
                      <w:bCs/>
                      <w:szCs w:val="21"/>
                    </w:rPr>
                    <w:t>/dB(A)</w:t>
                  </w:r>
                </w:p>
              </w:tc>
              <w:tc>
                <w:tcPr>
                  <w:tcW w:w="771" w:type="dxa"/>
                  <w:vAlign w:val="center"/>
                </w:tcPr>
                <w:p>
                  <w:pPr>
                    <w:jc w:val="center"/>
                    <w:rPr>
                      <w:b/>
                      <w:bCs/>
                      <w:szCs w:val="21"/>
                    </w:rPr>
                  </w:pPr>
                  <w:r>
                    <w:rPr>
                      <w:rFonts w:hint="eastAsia"/>
                      <w:b/>
                      <w:bCs/>
                      <w:szCs w:val="21"/>
                    </w:rPr>
                    <w:t>建筑物</w:t>
                  </w:r>
                </w:p>
                <w:p>
                  <w:pPr>
                    <w:jc w:val="center"/>
                    <w:rPr>
                      <w:b/>
                      <w:bCs/>
                      <w:szCs w:val="21"/>
                    </w:rPr>
                  </w:pPr>
                  <w:r>
                    <w:rPr>
                      <w:rFonts w:hint="eastAsia"/>
                      <w:b/>
                      <w:bCs/>
                      <w:szCs w:val="21"/>
                    </w:rPr>
                    <w:t>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w:t>
                  </w:r>
                </w:p>
              </w:tc>
              <w:tc>
                <w:tcPr>
                  <w:tcW w:w="739" w:type="dxa"/>
                  <w:vMerge w:val="restart"/>
                  <w:vAlign w:val="center"/>
                </w:tcPr>
                <w:p>
                  <w:pPr>
                    <w:jc w:val="center"/>
                    <w:rPr>
                      <w:szCs w:val="21"/>
                    </w:rPr>
                  </w:pPr>
                  <w:r>
                    <w:rPr>
                      <w:rFonts w:hint="eastAsia"/>
                      <w:szCs w:val="21"/>
                    </w:rPr>
                    <w:t>11#厂房</w:t>
                  </w:r>
                </w:p>
              </w:tc>
              <w:tc>
                <w:tcPr>
                  <w:tcW w:w="784" w:type="dxa"/>
                  <w:vAlign w:val="center"/>
                </w:tcPr>
                <w:p>
                  <w:pPr>
                    <w:jc w:val="center"/>
                    <w:rPr>
                      <w:szCs w:val="21"/>
                    </w:rPr>
                  </w:pPr>
                  <w:r>
                    <w:rPr>
                      <w:rFonts w:hint="eastAsia"/>
                      <w:szCs w:val="21"/>
                    </w:rPr>
                    <w:t>模压机1</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1737</w:t>
                  </w:r>
                </w:p>
              </w:tc>
              <w:tc>
                <w:tcPr>
                  <w:tcW w:w="773" w:type="dxa"/>
                  <w:vAlign w:val="center"/>
                </w:tcPr>
                <w:p>
                  <w:pPr>
                    <w:jc w:val="center"/>
                    <w:rPr>
                      <w:szCs w:val="21"/>
                    </w:rPr>
                  </w:pPr>
                  <w:r>
                    <w:rPr>
                      <w:rFonts w:hint="eastAsia"/>
                      <w:szCs w:val="21"/>
                    </w:rPr>
                    <w:t>252</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44</w:t>
                  </w:r>
                </w:p>
              </w:tc>
              <w:tc>
                <w:tcPr>
                  <w:tcW w:w="873" w:type="dxa"/>
                  <w:vAlign w:val="center"/>
                </w:tcPr>
                <w:p>
                  <w:pPr>
                    <w:jc w:val="center"/>
                    <w:rPr>
                      <w:szCs w:val="21"/>
                    </w:rPr>
                  </w:pPr>
                  <w:r>
                    <w:rPr>
                      <w:rFonts w:hint="eastAsia"/>
                      <w:szCs w:val="21"/>
                    </w:rPr>
                    <w:t>52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2</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模压机2</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1754</w:t>
                  </w:r>
                </w:p>
              </w:tc>
              <w:tc>
                <w:tcPr>
                  <w:tcW w:w="773" w:type="dxa"/>
                  <w:vAlign w:val="center"/>
                </w:tcPr>
                <w:p>
                  <w:pPr>
                    <w:jc w:val="center"/>
                    <w:rPr>
                      <w:szCs w:val="21"/>
                    </w:rPr>
                  </w:pPr>
                  <w:r>
                    <w:rPr>
                      <w:rFonts w:hint="eastAsia"/>
                      <w:szCs w:val="21"/>
                    </w:rPr>
                    <w:t>252</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44</w:t>
                  </w:r>
                </w:p>
              </w:tc>
              <w:tc>
                <w:tcPr>
                  <w:tcW w:w="873" w:type="dxa"/>
                  <w:vAlign w:val="center"/>
                </w:tcPr>
                <w:p>
                  <w:pPr>
                    <w:jc w:val="center"/>
                    <w:rPr>
                      <w:szCs w:val="21"/>
                    </w:rPr>
                  </w:pPr>
                  <w:r>
                    <w:rPr>
                      <w:rFonts w:hint="eastAsia"/>
                      <w:szCs w:val="21"/>
                    </w:rPr>
                    <w:t>52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3</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模压机3</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1767</w:t>
                  </w:r>
                </w:p>
              </w:tc>
              <w:tc>
                <w:tcPr>
                  <w:tcW w:w="773" w:type="dxa"/>
                  <w:vAlign w:val="center"/>
                </w:tcPr>
                <w:p>
                  <w:pPr>
                    <w:jc w:val="center"/>
                    <w:rPr>
                      <w:szCs w:val="21"/>
                    </w:rPr>
                  </w:pPr>
                  <w:r>
                    <w:rPr>
                      <w:rFonts w:hint="eastAsia"/>
                      <w:szCs w:val="21"/>
                    </w:rPr>
                    <w:t>252</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44</w:t>
                  </w:r>
                </w:p>
              </w:tc>
              <w:tc>
                <w:tcPr>
                  <w:tcW w:w="873" w:type="dxa"/>
                  <w:vAlign w:val="center"/>
                </w:tcPr>
                <w:p>
                  <w:pPr>
                    <w:jc w:val="center"/>
                    <w:rPr>
                      <w:szCs w:val="21"/>
                    </w:rPr>
                  </w:pPr>
                  <w:r>
                    <w:rPr>
                      <w:rFonts w:hint="eastAsia"/>
                      <w:szCs w:val="21"/>
                    </w:rPr>
                    <w:t>52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4</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模压机4</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1772</w:t>
                  </w:r>
                </w:p>
              </w:tc>
              <w:tc>
                <w:tcPr>
                  <w:tcW w:w="773" w:type="dxa"/>
                  <w:vAlign w:val="center"/>
                </w:tcPr>
                <w:p>
                  <w:pPr>
                    <w:jc w:val="center"/>
                    <w:rPr>
                      <w:szCs w:val="21"/>
                    </w:rPr>
                  </w:pPr>
                  <w:r>
                    <w:rPr>
                      <w:rFonts w:hint="eastAsia"/>
                      <w:szCs w:val="21"/>
                    </w:rPr>
                    <w:t>252</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44</w:t>
                  </w:r>
                </w:p>
              </w:tc>
              <w:tc>
                <w:tcPr>
                  <w:tcW w:w="873" w:type="dxa"/>
                  <w:vAlign w:val="center"/>
                </w:tcPr>
                <w:p>
                  <w:pPr>
                    <w:jc w:val="center"/>
                    <w:rPr>
                      <w:szCs w:val="21"/>
                    </w:rPr>
                  </w:pPr>
                  <w:r>
                    <w:rPr>
                      <w:rFonts w:hint="eastAsia"/>
                      <w:szCs w:val="21"/>
                    </w:rPr>
                    <w:t>52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5</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模压机5</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1784</w:t>
                  </w:r>
                </w:p>
              </w:tc>
              <w:tc>
                <w:tcPr>
                  <w:tcW w:w="773" w:type="dxa"/>
                  <w:vAlign w:val="center"/>
                </w:tcPr>
                <w:p>
                  <w:pPr>
                    <w:jc w:val="center"/>
                    <w:rPr>
                      <w:szCs w:val="21"/>
                    </w:rPr>
                  </w:pPr>
                  <w:r>
                    <w:rPr>
                      <w:rFonts w:hint="eastAsia"/>
                      <w:szCs w:val="21"/>
                    </w:rPr>
                    <w:t>252</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44</w:t>
                  </w:r>
                </w:p>
              </w:tc>
              <w:tc>
                <w:tcPr>
                  <w:tcW w:w="873" w:type="dxa"/>
                  <w:vAlign w:val="center"/>
                </w:tcPr>
                <w:p>
                  <w:pPr>
                    <w:jc w:val="center"/>
                    <w:rPr>
                      <w:szCs w:val="21"/>
                    </w:rPr>
                  </w:pPr>
                  <w:r>
                    <w:rPr>
                      <w:rFonts w:hint="eastAsia"/>
                      <w:szCs w:val="21"/>
                    </w:rPr>
                    <w:t>52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6</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模压机6</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1740</w:t>
                  </w:r>
                </w:p>
              </w:tc>
              <w:tc>
                <w:tcPr>
                  <w:tcW w:w="773" w:type="dxa"/>
                  <w:vAlign w:val="center"/>
                </w:tcPr>
                <w:p>
                  <w:pPr>
                    <w:jc w:val="center"/>
                    <w:rPr>
                      <w:szCs w:val="21"/>
                    </w:rPr>
                  </w:pPr>
                  <w:r>
                    <w:rPr>
                      <w:rFonts w:hint="eastAsia"/>
                      <w:szCs w:val="21"/>
                    </w:rPr>
                    <w:t>238</w:t>
                  </w:r>
                </w:p>
              </w:tc>
              <w:tc>
                <w:tcPr>
                  <w:tcW w:w="597" w:type="dxa"/>
                  <w:vAlign w:val="center"/>
                </w:tcPr>
                <w:p>
                  <w:pPr>
                    <w:jc w:val="center"/>
                    <w:rPr>
                      <w:szCs w:val="21"/>
                    </w:rPr>
                  </w:pPr>
                  <w:r>
                    <w:rPr>
                      <w:rFonts w:hint="eastAsia"/>
                      <w:szCs w:val="21"/>
                    </w:rPr>
                    <w:t>1</w:t>
                  </w:r>
                </w:p>
              </w:tc>
              <w:tc>
                <w:tcPr>
                  <w:tcW w:w="763" w:type="dxa"/>
                  <w:vAlign w:val="center"/>
                </w:tcPr>
                <w:p>
                  <w:pPr>
                    <w:pStyle w:val="17"/>
                    <w:ind w:firstLine="210" w:firstLineChars="100"/>
                  </w:pPr>
                  <w:r>
                    <w:rPr>
                      <w:rFonts w:hint="eastAsia" w:eastAsia="宋体"/>
                      <w:sz w:val="21"/>
                      <w:szCs w:val="21"/>
                    </w:rPr>
                    <w:t>59</w:t>
                  </w:r>
                </w:p>
              </w:tc>
              <w:tc>
                <w:tcPr>
                  <w:tcW w:w="873" w:type="dxa"/>
                  <w:vAlign w:val="center"/>
                </w:tcPr>
                <w:p>
                  <w:pPr>
                    <w:jc w:val="center"/>
                    <w:rPr>
                      <w:szCs w:val="21"/>
                    </w:rPr>
                  </w:pPr>
                  <w:r>
                    <w:rPr>
                      <w:rFonts w:hint="eastAsia"/>
                      <w:szCs w:val="21"/>
                    </w:rPr>
                    <w:t>50</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40</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7</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模压机7</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1769</w:t>
                  </w:r>
                </w:p>
              </w:tc>
              <w:tc>
                <w:tcPr>
                  <w:tcW w:w="773" w:type="dxa"/>
                  <w:vAlign w:val="center"/>
                </w:tcPr>
                <w:p>
                  <w:pPr>
                    <w:jc w:val="center"/>
                    <w:rPr>
                      <w:szCs w:val="21"/>
                    </w:rPr>
                  </w:pPr>
                  <w:r>
                    <w:rPr>
                      <w:rFonts w:hint="eastAsia"/>
                      <w:szCs w:val="21"/>
                    </w:rPr>
                    <w:t>238</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33</w:t>
                  </w:r>
                </w:p>
              </w:tc>
              <w:tc>
                <w:tcPr>
                  <w:tcW w:w="873" w:type="dxa"/>
                  <w:vAlign w:val="center"/>
                </w:tcPr>
                <w:p>
                  <w:pPr>
                    <w:jc w:val="center"/>
                    <w:rPr>
                      <w:szCs w:val="21"/>
                    </w:rPr>
                  </w:pPr>
                  <w:r>
                    <w:rPr>
                      <w:rFonts w:hint="eastAsia"/>
                      <w:szCs w:val="21"/>
                    </w:rPr>
                    <w:t>55</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45</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8</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模压机8</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1772</w:t>
                  </w:r>
                </w:p>
              </w:tc>
              <w:tc>
                <w:tcPr>
                  <w:tcW w:w="773" w:type="dxa"/>
                  <w:vAlign w:val="center"/>
                </w:tcPr>
                <w:p>
                  <w:pPr>
                    <w:jc w:val="center"/>
                    <w:rPr>
                      <w:szCs w:val="21"/>
                    </w:rPr>
                  </w:pPr>
                  <w:r>
                    <w:rPr>
                      <w:rFonts w:hint="eastAsia"/>
                      <w:szCs w:val="21"/>
                    </w:rPr>
                    <w:t>224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32</w:t>
                  </w:r>
                </w:p>
              </w:tc>
              <w:tc>
                <w:tcPr>
                  <w:tcW w:w="873" w:type="dxa"/>
                  <w:vAlign w:val="center"/>
                </w:tcPr>
                <w:p>
                  <w:pPr>
                    <w:jc w:val="center"/>
                    <w:rPr>
                      <w:szCs w:val="21"/>
                    </w:rPr>
                  </w:pPr>
                  <w:r>
                    <w:rPr>
                      <w:rFonts w:hint="eastAsia"/>
                      <w:szCs w:val="21"/>
                    </w:rPr>
                    <w:t>55</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45</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9</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模压机9</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1778</w:t>
                  </w:r>
                </w:p>
              </w:tc>
              <w:tc>
                <w:tcPr>
                  <w:tcW w:w="773" w:type="dxa"/>
                  <w:vAlign w:val="center"/>
                </w:tcPr>
                <w:p>
                  <w:pPr>
                    <w:jc w:val="center"/>
                    <w:rPr>
                      <w:szCs w:val="21"/>
                    </w:rPr>
                  </w:pPr>
                  <w:r>
                    <w:rPr>
                      <w:rFonts w:hint="eastAsia"/>
                      <w:szCs w:val="21"/>
                    </w:rPr>
                    <w:t>205</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32</w:t>
                  </w:r>
                </w:p>
              </w:tc>
              <w:tc>
                <w:tcPr>
                  <w:tcW w:w="873" w:type="dxa"/>
                  <w:vAlign w:val="center"/>
                </w:tcPr>
                <w:p>
                  <w:pPr>
                    <w:jc w:val="center"/>
                    <w:rPr>
                      <w:szCs w:val="21"/>
                    </w:rPr>
                  </w:pPr>
                  <w:r>
                    <w:rPr>
                      <w:rFonts w:hint="eastAsia"/>
                      <w:szCs w:val="21"/>
                    </w:rPr>
                    <w:t>55</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45</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10</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发泡机1</w:t>
                  </w:r>
                </w:p>
              </w:tc>
              <w:tc>
                <w:tcPr>
                  <w:tcW w:w="651" w:type="dxa"/>
                  <w:vAlign w:val="center"/>
                </w:tcPr>
                <w:p>
                  <w:pPr>
                    <w:jc w:val="center"/>
                    <w:rPr>
                      <w:szCs w:val="21"/>
                    </w:rPr>
                  </w:pPr>
                  <w:r>
                    <w:rPr>
                      <w:szCs w:val="21"/>
                    </w:rPr>
                    <w:t>JAD-30</w:t>
                  </w:r>
                </w:p>
              </w:tc>
              <w:tc>
                <w:tcPr>
                  <w:tcW w:w="796" w:type="dxa"/>
                  <w:vAlign w:val="center"/>
                </w:tcPr>
                <w:p>
                  <w:pPr>
                    <w:jc w:val="center"/>
                    <w:rPr>
                      <w:szCs w:val="21"/>
                    </w:rPr>
                  </w:pPr>
                  <w:r>
                    <w:rPr>
                      <w:rFonts w:hint="eastAsia"/>
                      <w:szCs w:val="21"/>
                    </w:rPr>
                    <w:t>90</w:t>
                  </w:r>
                </w:p>
              </w:tc>
              <w:tc>
                <w:tcPr>
                  <w:tcW w:w="1661" w:type="dxa"/>
                  <w:vAlign w:val="center"/>
                </w:tcPr>
                <w:p>
                  <w:pPr>
                    <w:jc w:val="center"/>
                    <w:rPr>
                      <w:rFonts w:ascii="宋体" w:hAnsi="宋体" w:cs="宋体"/>
                      <w:szCs w:val="21"/>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1736</w:t>
                  </w:r>
                </w:p>
              </w:tc>
              <w:tc>
                <w:tcPr>
                  <w:tcW w:w="773" w:type="dxa"/>
                  <w:vAlign w:val="center"/>
                </w:tcPr>
                <w:p>
                  <w:pPr>
                    <w:jc w:val="center"/>
                    <w:rPr>
                      <w:szCs w:val="21"/>
                    </w:rPr>
                  </w:pPr>
                  <w:r>
                    <w:rPr>
                      <w:rFonts w:hint="eastAsia"/>
                      <w:szCs w:val="21"/>
                    </w:rPr>
                    <w:t>274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24</w:t>
                  </w:r>
                </w:p>
              </w:tc>
              <w:tc>
                <w:tcPr>
                  <w:tcW w:w="873" w:type="dxa"/>
                  <w:vAlign w:val="center"/>
                </w:tcPr>
                <w:p>
                  <w:pPr>
                    <w:jc w:val="center"/>
                    <w:rPr>
                      <w:szCs w:val="21"/>
                    </w:rPr>
                  </w:pPr>
                  <w:r>
                    <w:rPr>
                      <w:rFonts w:hint="eastAsia"/>
                      <w:szCs w:val="21"/>
                    </w:rPr>
                    <w:t>62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52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11</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发泡机2</w:t>
                  </w:r>
                </w:p>
              </w:tc>
              <w:tc>
                <w:tcPr>
                  <w:tcW w:w="651" w:type="dxa"/>
                  <w:vAlign w:val="center"/>
                </w:tcPr>
                <w:p>
                  <w:pPr>
                    <w:jc w:val="center"/>
                    <w:rPr>
                      <w:szCs w:val="21"/>
                    </w:rPr>
                  </w:pPr>
                  <w:r>
                    <w:rPr>
                      <w:szCs w:val="21"/>
                    </w:rPr>
                    <w:t>JAD-30</w:t>
                  </w:r>
                </w:p>
              </w:tc>
              <w:tc>
                <w:tcPr>
                  <w:tcW w:w="796" w:type="dxa"/>
                  <w:vAlign w:val="center"/>
                </w:tcPr>
                <w:p>
                  <w:pPr>
                    <w:jc w:val="center"/>
                    <w:rPr>
                      <w:szCs w:val="21"/>
                    </w:rPr>
                  </w:pPr>
                  <w:r>
                    <w:rPr>
                      <w:rFonts w:hint="eastAsia"/>
                      <w:szCs w:val="21"/>
                    </w:rPr>
                    <w:t>90</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1742</w:t>
                  </w:r>
                </w:p>
              </w:tc>
              <w:tc>
                <w:tcPr>
                  <w:tcW w:w="773" w:type="dxa"/>
                  <w:vAlign w:val="center"/>
                </w:tcPr>
                <w:p>
                  <w:pPr>
                    <w:jc w:val="center"/>
                    <w:rPr>
                      <w:szCs w:val="21"/>
                    </w:rPr>
                  </w:pPr>
                  <w:r>
                    <w:rPr>
                      <w:rFonts w:hint="eastAsia"/>
                      <w:szCs w:val="21"/>
                    </w:rPr>
                    <w:t>274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24</w:t>
                  </w:r>
                </w:p>
              </w:tc>
              <w:tc>
                <w:tcPr>
                  <w:tcW w:w="873" w:type="dxa"/>
                  <w:vAlign w:val="center"/>
                </w:tcPr>
                <w:p>
                  <w:pPr>
                    <w:jc w:val="center"/>
                    <w:rPr>
                      <w:szCs w:val="21"/>
                    </w:rPr>
                  </w:pPr>
                  <w:r>
                    <w:rPr>
                      <w:rFonts w:hint="eastAsia"/>
                      <w:szCs w:val="21"/>
                    </w:rPr>
                    <w:t>62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52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12</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发泡机3</w:t>
                  </w:r>
                </w:p>
              </w:tc>
              <w:tc>
                <w:tcPr>
                  <w:tcW w:w="651" w:type="dxa"/>
                  <w:vAlign w:val="center"/>
                </w:tcPr>
                <w:p>
                  <w:pPr>
                    <w:jc w:val="center"/>
                    <w:rPr>
                      <w:szCs w:val="21"/>
                    </w:rPr>
                  </w:pPr>
                  <w:r>
                    <w:rPr>
                      <w:szCs w:val="21"/>
                    </w:rPr>
                    <w:t>JAD-30</w:t>
                  </w:r>
                </w:p>
              </w:tc>
              <w:tc>
                <w:tcPr>
                  <w:tcW w:w="796" w:type="dxa"/>
                  <w:vAlign w:val="center"/>
                </w:tcPr>
                <w:p>
                  <w:pPr>
                    <w:jc w:val="center"/>
                    <w:rPr>
                      <w:szCs w:val="21"/>
                    </w:rPr>
                  </w:pPr>
                  <w:r>
                    <w:rPr>
                      <w:rFonts w:hint="eastAsia"/>
                      <w:szCs w:val="21"/>
                    </w:rPr>
                    <w:t>90</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1751</w:t>
                  </w:r>
                </w:p>
              </w:tc>
              <w:tc>
                <w:tcPr>
                  <w:tcW w:w="773" w:type="dxa"/>
                  <w:vAlign w:val="center"/>
                </w:tcPr>
                <w:p>
                  <w:pPr>
                    <w:jc w:val="center"/>
                    <w:rPr>
                      <w:szCs w:val="21"/>
                    </w:rPr>
                  </w:pPr>
                  <w:r>
                    <w:rPr>
                      <w:rFonts w:hint="eastAsia"/>
                      <w:szCs w:val="21"/>
                    </w:rPr>
                    <w:t>274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24</w:t>
                  </w:r>
                </w:p>
              </w:tc>
              <w:tc>
                <w:tcPr>
                  <w:tcW w:w="873" w:type="dxa"/>
                  <w:vAlign w:val="center"/>
                </w:tcPr>
                <w:p>
                  <w:pPr>
                    <w:jc w:val="center"/>
                    <w:rPr>
                      <w:szCs w:val="21"/>
                    </w:rPr>
                  </w:pPr>
                  <w:r>
                    <w:rPr>
                      <w:rFonts w:hint="eastAsia"/>
                      <w:szCs w:val="21"/>
                    </w:rPr>
                    <w:t>62</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52</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13</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发泡机4</w:t>
                  </w:r>
                </w:p>
              </w:tc>
              <w:tc>
                <w:tcPr>
                  <w:tcW w:w="651" w:type="dxa"/>
                  <w:vAlign w:val="center"/>
                </w:tcPr>
                <w:p>
                  <w:pPr>
                    <w:jc w:val="center"/>
                    <w:rPr>
                      <w:szCs w:val="21"/>
                    </w:rPr>
                  </w:pPr>
                  <w:r>
                    <w:rPr>
                      <w:szCs w:val="21"/>
                    </w:rPr>
                    <w:t>JAD-30</w:t>
                  </w:r>
                </w:p>
              </w:tc>
              <w:tc>
                <w:tcPr>
                  <w:tcW w:w="796" w:type="dxa"/>
                  <w:vAlign w:val="center"/>
                </w:tcPr>
                <w:p>
                  <w:pPr>
                    <w:jc w:val="center"/>
                    <w:rPr>
                      <w:szCs w:val="21"/>
                    </w:rPr>
                  </w:pPr>
                  <w:r>
                    <w:rPr>
                      <w:rFonts w:hint="eastAsia"/>
                      <w:szCs w:val="21"/>
                    </w:rPr>
                    <w:t>90</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1764</w:t>
                  </w:r>
                </w:p>
              </w:tc>
              <w:tc>
                <w:tcPr>
                  <w:tcW w:w="773" w:type="dxa"/>
                  <w:vAlign w:val="center"/>
                </w:tcPr>
                <w:p>
                  <w:pPr>
                    <w:jc w:val="center"/>
                    <w:rPr>
                      <w:szCs w:val="21"/>
                    </w:rPr>
                  </w:pPr>
                  <w:r>
                    <w:rPr>
                      <w:rFonts w:hint="eastAsia"/>
                      <w:szCs w:val="21"/>
                    </w:rPr>
                    <w:t>274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23</w:t>
                  </w:r>
                </w:p>
              </w:tc>
              <w:tc>
                <w:tcPr>
                  <w:tcW w:w="873" w:type="dxa"/>
                  <w:vAlign w:val="center"/>
                </w:tcPr>
                <w:p>
                  <w:pPr>
                    <w:jc w:val="center"/>
                    <w:rPr>
                      <w:szCs w:val="21"/>
                    </w:rPr>
                  </w:pPr>
                  <w:r>
                    <w:rPr>
                      <w:rFonts w:hint="eastAsia"/>
                      <w:szCs w:val="21"/>
                    </w:rPr>
                    <w:t>63</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53</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14</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发泡机5</w:t>
                  </w:r>
                </w:p>
              </w:tc>
              <w:tc>
                <w:tcPr>
                  <w:tcW w:w="651" w:type="dxa"/>
                  <w:vAlign w:val="center"/>
                </w:tcPr>
                <w:p>
                  <w:pPr>
                    <w:jc w:val="center"/>
                    <w:rPr>
                      <w:szCs w:val="21"/>
                    </w:rPr>
                  </w:pPr>
                  <w:r>
                    <w:rPr>
                      <w:szCs w:val="21"/>
                    </w:rPr>
                    <w:t>JAD-30</w:t>
                  </w:r>
                </w:p>
              </w:tc>
              <w:tc>
                <w:tcPr>
                  <w:tcW w:w="796" w:type="dxa"/>
                  <w:vAlign w:val="center"/>
                </w:tcPr>
                <w:p>
                  <w:pPr>
                    <w:jc w:val="center"/>
                    <w:rPr>
                      <w:szCs w:val="21"/>
                    </w:rPr>
                  </w:pPr>
                  <w:r>
                    <w:rPr>
                      <w:rFonts w:hint="eastAsia"/>
                      <w:szCs w:val="21"/>
                    </w:rPr>
                    <w:t>90</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1771</w:t>
                  </w:r>
                </w:p>
              </w:tc>
              <w:tc>
                <w:tcPr>
                  <w:tcW w:w="773" w:type="dxa"/>
                  <w:vAlign w:val="center"/>
                </w:tcPr>
                <w:p>
                  <w:pPr>
                    <w:jc w:val="center"/>
                    <w:rPr>
                      <w:szCs w:val="21"/>
                    </w:rPr>
                  </w:pPr>
                  <w:r>
                    <w:rPr>
                      <w:rFonts w:hint="eastAsia"/>
                      <w:szCs w:val="21"/>
                    </w:rPr>
                    <w:t>274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23</w:t>
                  </w:r>
                </w:p>
              </w:tc>
              <w:tc>
                <w:tcPr>
                  <w:tcW w:w="873" w:type="dxa"/>
                  <w:vAlign w:val="center"/>
                </w:tcPr>
                <w:p>
                  <w:pPr>
                    <w:jc w:val="center"/>
                    <w:rPr>
                      <w:szCs w:val="21"/>
                    </w:rPr>
                  </w:pPr>
                  <w:r>
                    <w:rPr>
                      <w:rFonts w:hint="eastAsia"/>
                      <w:szCs w:val="21"/>
                    </w:rPr>
                    <w:t>63</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53</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szCs w:val="21"/>
                    </w:rPr>
                  </w:pPr>
                  <w:r>
                    <w:rPr>
                      <w:rFonts w:hint="eastAsia"/>
                      <w:szCs w:val="21"/>
                    </w:rPr>
                    <w:t>15</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发泡机6</w:t>
                  </w:r>
                </w:p>
              </w:tc>
              <w:tc>
                <w:tcPr>
                  <w:tcW w:w="651" w:type="dxa"/>
                  <w:vAlign w:val="center"/>
                </w:tcPr>
                <w:p>
                  <w:pPr>
                    <w:jc w:val="center"/>
                    <w:rPr>
                      <w:szCs w:val="21"/>
                    </w:rPr>
                  </w:pPr>
                  <w:r>
                    <w:rPr>
                      <w:szCs w:val="21"/>
                    </w:rPr>
                    <w:t>JAD-30</w:t>
                  </w:r>
                </w:p>
              </w:tc>
              <w:tc>
                <w:tcPr>
                  <w:tcW w:w="796" w:type="dxa"/>
                  <w:vAlign w:val="center"/>
                </w:tcPr>
                <w:p>
                  <w:pPr>
                    <w:jc w:val="center"/>
                    <w:rPr>
                      <w:szCs w:val="21"/>
                    </w:rPr>
                  </w:pPr>
                  <w:r>
                    <w:rPr>
                      <w:rFonts w:hint="eastAsia"/>
                      <w:szCs w:val="21"/>
                    </w:rPr>
                    <w:t>90</w:t>
                  </w:r>
                </w:p>
              </w:tc>
              <w:tc>
                <w:tcPr>
                  <w:tcW w:w="1661" w:type="dxa"/>
                  <w:vAlign w:val="center"/>
                </w:tcPr>
                <w:p>
                  <w:pPr>
                    <w:jc w:val="center"/>
                    <w:rPr>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1780</w:t>
                  </w:r>
                </w:p>
              </w:tc>
              <w:tc>
                <w:tcPr>
                  <w:tcW w:w="773" w:type="dxa"/>
                  <w:vAlign w:val="center"/>
                </w:tcPr>
                <w:p>
                  <w:pPr>
                    <w:jc w:val="center"/>
                    <w:rPr>
                      <w:szCs w:val="21"/>
                    </w:rPr>
                  </w:pPr>
                  <w:r>
                    <w:rPr>
                      <w:rFonts w:hint="eastAsia"/>
                      <w:szCs w:val="21"/>
                    </w:rPr>
                    <w:t>274</w:t>
                  </w:r>
                </w:p>
              </w:tc>
              <w:tc>
                <w:tcPr>
                  <w:tcW w:w="597" w:type="dxa"/>
                  <w:vAlign w:val="center"/>
                </w:tcPr>
                <w:p>
                  <w:pPr>
                    <w:jc w:val="center"/>
                    <w:rPr>
                      <w:szCs w:val="21"/>
                    </w:rPr>
                  </w:pPr>
                  <w:r>
                    <w:rPr>
                      <w:rFonts w:hint="eastAsia"/>
                      <w:szCs w:val="21"/>
                    </w:rPr>
                    <w:t>1</w:t>
                  </w:r>
                </w:p>
              </w:tc>
              <w:tc>
                <w:tcPr>
                  <w:tcW w:w="763" w:type="dxa"/>
                  <w:vAlign w:val="center"/>
                </w:tcPr>
                <w:p>
                  <w:pPr>
                    <w:jc w:val="center"/>
                    <w:rPr>
                      <w:szCs w:val="21"/>
                    </w:rPr>
                  </w:pPr>
                  <w:r>
                    <w:rPr>
                      <w:rFonts w:hint="eastAsia"/>
                      <w:szCs w:val="21"/>
                    </w:rPr>
                    <w:t>23</w:t>
                  </w:r>
                </w:p>
              </w:tc>
              <w:tc>
                <w:tcPr>
                  <w:tcW w:w="873" w:type="dxa"/>
                  <w:vAlign w:val="center"/>
                </w:tcPr>
                <w:p>
                  <w:pPr>
                    <w:jc w:val="center"/>
                    <w:rPr>
                      <w:szCs w:val="21"/>
                    </w:rPr>
                  </w:pPr>
                  <w:r>
                    <w:rPr>
                      <w:rFonts w:hint="eastAsia"/>
                      <w:szCs w:val="21"/>
                    </w:rPr>
                    <w:t>63</w:t>
                  </w:r>
                </w:p>
              </w:tc>
              <w:tc>
                <w:tcPr>
                  <w:tcW w:w="698" w:type="dxa"/>
                  <w:vAlign w:val="center"/>
                </w:tcPr>
                <w:p>
                  <w:pPr>
                    <w:jc w:val="center"/>
                    <w:rPr>
                      <w:szCs w:val="21"/>
                    </w:rPr>
                  </w:pPr>
                  <w:r>
                    <w:rPr>
                      <w:rFonts w:hint="eastAsia"/>
                      <w:szCs w:val="21"/>
                    </w:rPr>
                    <w:t>10</w:t>
                  </w:r>
                </w:p>
              </w:tc>
              <w:tc>
                <w:tcPr>
                  <w:tcW w:w="956" w:type="dxa"/>
                  <w:vAlign w:val="center"/>
                </w:tcPr>
                <w:p>
                  <w:pPr>
                    <w:jc w:val="center"/>
                    <w:rPr>
                      <w:szCs w:val="21"/>
                    </w:rPr>
                  </w:pPr>
                  <w:r>
                    <w:rPr>
                      <w:rFonts w:hint="eastAsia"/>
                      <w:szCs w:val="21"/>
                    </w:rPr>
                    <w:t>10</w:t>
                  </w:r>
                </w:p>
              </w:tc>
              <w:tc>
                <w:tcPr>
                  <w:tcW w:w="873" w:type="dxa"/>
                  <w:vAlign w:val="center"/>
                </w:tcPr>
                <w:p>
                  <w:pPr>
                    <w:jc w:val="center"/>
                    <w:rPr>
                      <w:szCs w:val="21"/>
                    </w:rPr>
                  </w:pPr>
                  <w:r>
                    <w:rPr>
                      <w:rFonts w:hint="eastAsia"/>
                      <w:szCs w:val="21"/>
                    </w:rPr>
                    <w:t>53</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rFonts w:hint="default" w:eastAsia="宋体"/>
                      <w:szCs w:val="21"/>
                      <w:lang w:val="en-US" w:eastAsia="zh-CN"/>
                    </w:rPr>
                  </w:pPr>
                  <w:r>
                    <w:rPr>
                      <w:rFonts w:hint="eastAsia"/>
                      <w:szCs w:val="21"/>
                      <w:lang w:val="en-US" w:eastAsia="zh-CN"/>
                    </w:rPr>
                    <w:t>16</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水刀切割设备1</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rFonts w:ascii="宋体" w:hAnsi="宋体" w:cs="宋体"/>
                      <w:szCs w:val="21"/>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1734</w:t>
                  </w:r>
                </w:p>
              </w:tc>
              <w:tc>
                <w:tcPr>
                  <w:tcW w:w="773" w:type="dxa"/>
                  <w:vAlign w:val="center"/>
                </w:tcPr>
                <w:p>
                  <w:pPr>
                    <w:jc w:val="center"/>
                    <w:rPr>
                      <w:szCs w:val="21"/>
                    </w:rPr>
                  </w:pPr>
                  <w:r>
                    <w:rPr>
                      <w:rFonts w:hint="eastAsia"/>
                      <w:szCs w:val="21"/>
                    </w:rPr>
                    <w:t>224</w:t>
                  </w:r>
                </w:p>
              </w:tc>
              <w:tc>
                <w:tcPr>
                  <w:tcW w:w="597" w:type="dxa"/>
                  <w:vAlign w:val="center"/>
                </w:tcPr>
                <w:p>
                  <w:pPr>
                    <w:jc w:val="center"/>
                    <w:rPr>
                      <w:rFonts w:cs="宋体"/>
                      <w:szCs w:val="21"/>
                      <w:lang w:bidi="zh-CN"/>
                    </w:rPr>
                  </w:pPr>
                  <w:r>
                    <w:rPr>
                      <w:rFonts w:hint="eastAsia" w:cs="宋体"/>
                      <w:szCs w:val="21"/>
                      <w:lang w:bidi="zh-CN"/>
                    </w:rPr>
                    <w:t>1</w:t>
                  </w:r>
                </w:p>
              </w:tc>
              <w:tc>
                <w:tcPr>
                  <w:tcW w:w="763" w:type="dxa"/>
                  <w:vAlign w:val="center"/>
                </w:tcPr>
                <w:p>
                  <w:pPr>
                    <w:jc w:val="center"/>
                    <w:rPr>
                      <w:szCs w:val="21"/>
                    </w:rPr>
                  </w:pPr>
                  <w:r>
                    <w:rPr>
                      <w:rFonts w:hint="eastAsia"/>
                      <w:szCs w:val="21"/>
                    </w:rPr>
                    <w:t>57</w:t>
                  </w:r>
                </w:p>
              </w:tc>
              <w:tc>
                <w:tcPr>
                  <w:tcW w:w="873" w:type="dxa"/>
                  <w:vAlign w:val="center"/>
                </w:tcPr>
                <w:p>
                  <w:pPr>
                    <w:jc w:val="center"/>
                    <w:rPr>
                      <w:szCs w:val="21"/>
                    </w:rPr>
                  </w:pPr>
                  <w:r>
                    <w:rPr>
                      <w:rFonts w:hint="eastAsia"/>
                      <w:szCs w:val="21"/>
                    </w:rPr>
                    <w:t>50</w:t>
                  </w:r>
                </w:p>
              </w:tc>
              <w:tc>
                <w:tcPr>
                  <w:tcW w:w="698" w:type="dxa"/>
                  <w:vAlign w:val="center"/>
                </w:tcPr>
                <w:p>
                  <w:pPr>
                    <w:jc w:val="center"/>
                    <w:rPr>
                      <w:szCs w:val="21"/>
                    </w:rPr>
                  </w:pPr>
                  <w:r>
                    <w:rPr>
                      <w:rFonts w:hint="eastAsia"/>
                      <w:szCs w:val="21"/>
                    </w:rPr>
                    <w:t>10</w:t>
                  </w:r>
                </w:p>
              </w:tc>
              <w:tc>
                <w:tcPr>
                  <w:tcW w:w="956" w:type="dxa"/>
                  <w:vAlign w:val="center"/>
                </w:tcPr>
                <w:p>
                  <w:pPr>
                    <w:jc w:val="center"/>
                    <w:rPr>
                      <w:rFonts w:cs="宋体"/>
                      <w:szCs w:val="21"/>
                      <w:lang w:bidi="zh-CN"/>
                    </w:rPr>
                  </w:pPr>
                  <w:r>
                    <w:rPr>
                      <w:rFonts w:hint="eastAsia" w:cs="宋体"/>
                      <w:szCs w:val="21"/>
                      <w:lang w:bidi="zh-CN"/>
                    </w:rPr>
                    <w:t>10</w:t>
                  </w:r>
                </w:p>
              </w:tc>
              <w:tc>
                <w:tcPr>
                  <w:tcW w:w="873" w:type="dxa"/>
                  <w:vAlign w:val="center"/>
                </w:tcPr>
                <w:p>
                  <w:pPr>
                    <w:jc w:val="center"/>
                    <w:rPr>
                      <w:szCs w:val="21"/>
                    </w:rPr>
                  </w:pPr>
                  <w:r>
                    <w:rPr>
                      <w:rFonts w:hint="eastAsia"/>
                      <w:szCs w:val="21"/>
                    </w:rPr>
                    <w:t>40</w:t>
                  </w:r>
                </w:p>
              </w:tc>
              <w:tc>
                <w:tcPr>
                  <w:tcW w:w="771" w:type="dxa"/>
                  <w:vAlign w:val="center"/>
                </w:tcPr>
                <w:p>
                  <w:pPr>
                    <w:jc w:val="center"/>
                    <w:rPr>
                      <w:szCs w:val="21"/>
                    </w:rPr>
                  </w:pPr>
                  <w:r>
                    <w:rPr>
                      <w:rFonts w:hint="eastAsia"/>
                      <w:szCs w:val="21"/>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jc w:val="center"/>
                    <w:rPr>
                      <w:rFonts w:hint="default" w:eastAsia="宋体"/>
                      <w:szCs w:val="21"/>
                      <w:lang w:val="en-US" w:eastAsia="zh-CN"/>
                    </w:rPr>
                  </w:pPr>
                  <w:r>
                    <w:rPr>
                      <w:rFonts w:hint="eastAsia"/>
                      <w:szCs w:val="21"/>
                      <w:lang w:val="en-US" w:eastAsia="zh-CN"/>
                    </w:rPr>
                    <w:t>17</w:t>
                  </w:r>
                </w:p>
              </w:tc>
              <w:tc>
                <w:tcPr>
                  <w:tcW w:w="739" w:type="dxa"/>
                  <w:vMerge w:val="continue"/>
                  <w:vAlign w:val="center"/>
                </w:tcPr>
                <w:p>
                  <w:pPr>
                    <w:jc w:val="center"/>
                    <w:rPr>
                      <w:szCs w:val="21"/>
                    </w:rPr>
                  </w:pPr>
                </w:p>
              </w:tc>
              <w:tc>
                <w:tcPr>
                  <w:tcW w:w="784" w:type="dxa"/>
                  <w:vAlign w:val="center"/>
                </w:tcPr>
                <w:p>
                  <w:pPr>
                    <w:jc w:val="center"/>
                    <w:rPr>
                      <w:szCs w:val="21"/>
                    </w:rPr>
                  </w:pPr>
                  <w:r>
                    <w:rPr>
                      <w:rFonts w:hint="eastAsia"/>
                      <w:szCs w:val="21"/>
                    </w:rPr>
                    <w:t>水刀切割设备2</w:t>
                  </w:r>
                </w:p>
              </w:tc>
              <w:tc>
                <w:tcPr>
                  <w:tcW w:w="651" w:type="dxa"/>
                  <w:vAlign w:val="center"/>
                </w:tcPr>
                <w:p>
                  <w:pPr>
                    <w:jc w:val="center"/>
                    <w:rPr>
                      <w:szCs w:val="21"/>
                    </w:rPr>
                  </w:pPr>
                  <w:r>
                    <w:rPr>
                      <w:rFonts w:hint="eastAsia"/>
                      <w:szCs w:val="21"/>
                    </w:rPr>
                    <w:t>/</w:t>
                  </w:r>
                </w:p>
              </w:tc>
              <w:tc>
                <w:tcPr>
                  <w:tcW w:w="796" w:type="dxa"/>
                  <w:vAlign w:val="center"/>
                </w:tcPr>
                <w:p>
                  <w:pPr>
                    <w:jc w:val="center"/>
                    <w:rPr>
                      <w:szCs w:val="21"/>
                    </w:rPr>
                  </w:pPr>
                  <w:r>
                    <w:rPr>
                      <w:rFonts w:hint="eastAsia"/>
                      <w:szCs w:val="21"/>
                    </w:rPr>
                    <w:t>85</w:t>
                  </w:r>
                </w:p>
              </w:tc>
              <w:tc>
                <w:tcPr>
                  <w:tcW w:w="1661" w:type="dxa"/>
                  <w:vAlign w:val="center"/>
                </w:tcPr>
                <w:p>
                  <w:pPr>
                    <w:jc w:val="center"/>
                    <w:rPr>
                      <w:rFonts w:ascii="宋体" w:hAnsi="宋体" w:cs="宋体"/>
                      <w:szCs w:val="21"/>
                      <w:lang w:val="zh-CN"/>
                    </w:rPr>
                  </w:pPr>
                  <w:r>
                    <w:rPr>
                      <w:szCs w:val="21"/>
                      <w:lang w:val="zh-CN"/>
                    </w:rPr>
                    <w:t>采用低噪声设备、基础</w:t>
                  </w:r>
                  <w:r>
                    <w:rPr>
                      <w:rFonts w:hint="eastAsia"/>
                      <w:szCs w:val="21"/>
                      <w:lang w:val="zh-CN"/>
                    </w:rPr>
                    <w:t>减振</w:t>
                  </w:r>
                  <w:r>
                    <w:rPr>
                      <w:szCs w:val="21"/>
                      <w:lang w:val="zh-CN"/>
                    </w:rPr>
                    <w:t>、厂房隔声、消声措施</w:t>
                  </w:r>
                </w:p>
              </w:tc>
              <w:tc>
                <w:tcPr>
                  <w:tcW w:w="773" w:type="dxa"/>
                  <w:vAlign w:val="center"/>
                </w:tcPr>
                <w:p>
                  <w:pPr>
                    <w:jc w:val="center"/>
                    <w:rPr>
                      <w:szCs w:val="21"/>
                    </w:rPr>
                  </w:pPr>
                  <w:r>
                    <w:rPr>
                      <w:rFonts w:hint="eastAsia"/>
                      <w:szCs w:val="21"/>
                    </w:rPr>
                    <w:t>1734</w:t>
                  </w:r>
                </w:p>
              </w:tc>
              <w:tc>
                <w:tcPr>
                  <w:tcW w:w="773" w:type="dxa"/>
                  <w:vAlign w:val="center"/>
                </w:tcPr>
                <w:p>
                  <w:pPr>
                    <w:jc w:val="center"/>
                    <w:rPr>
                      <w:szCs w:val="21"/>
                    </w:rPr>
                  </w:pPr>
                  <w:r>
                    <w:rPr>
                      <w:rFonts w:hint="eastAsia"/>
                      <w:szCs w:val="21"/>
                    </w:rPr>
                    <w:t>207</w:t>
                  </w:r>
                </w:p>
              </w:tc>
              <w:tc>
                <w:tcPr>
                  <w:tcW w:w="597" w:type="dxa"/>
                  <w:vAlign w:val="center"/>
                </w:tcPr>
                <w:p>
                  <w:pPr>
                    <w:jc w:val="center"/>
                    <w:rPr>
                      <w:rFonts w:cs="宋体"/>
                      <w:szCs w:val="21"/>
                      <w:lang w:bidi="zh-CN"/>
                    </w:rPr>
                  </w:pPr>
                  <w:r>
                    <w:rPr>
                      <w:rFonts w:hint="eastAsia" w:cs="宋体"/>
                      <w:szCs w:val="21"/>
                      <w:lang w:bidi="zh-CN"/>
                    </w:rPr>
                    <w:t>1</w:t>
                  </w:r>
                </w:p>
              </w:tc>
              <w:tc>
                <w:tcPr>
                  <w:tcW w:w="763" w:type="dxa"/>
                  <w:vAlign w:val="center"/>
                </w:tcPr>
                <w:p>
                  <w:pPr>
                    <w:jc w:val="center"/>
                    <w:rPr>
                      <w:szCs w:val="21"/>
                    </w:rPr>
                  </w:pPr>
                  <w:r>
                    <w:rPr>
                      <w:rFonts w:hint="eastAsia"/>
                      <w:szCs w:val="21"/>
                    </w:rPr>
                    <w:t>54</w:t>
                  </w:r>
                </w:p>
              </w:tc>
              <w:tc>
                <w:tcPr>
                  <w:tcW w:w="873" w:type="dxa"/>
                  <w:vAlign w:val="center"/>
                </w:tcPr>
                <w:p>
                  <w:pPr>
                    <w:jc w:val="center"/>
                    <w:rPr>
                      <w:szCs w:val="21"/>
                    </w:rPr>
                  </w:pPr>
                  <w:r>
                    <w:rPr>
                      <w:rFonts w:hint="eastAsia"/>
                      <w:szCs w:val="21"/>
                    </w:rPr>
                    <w:t>50</w:t>
                  </w:r>
                </w:p>
              </w:tc>
              <w:tc>
                <w:tcPr>
                  <w:tcW w:w="698" w:type="dxa"/>
                  <w:vAlign w:val="center"/>
                </w:tcPr>
                <w:p>
                  <w:pPr>
                    <w:jc w:val="center"/>
                    <w:rPr>
                      <w:szCs w:val="21"/>
                    </w:rPr>
                  </w:pPr>
                  <w:r>
                    <w:rPr>
                      <w:rFonts w:hint="eastAsia"/>
                      <w:szCs w:val="21"/>
                    </w:rPr>
                    <w:t>10</w:t>
                  </w:r>
                </w:p>
              </w:tc>
              <w:tc>
                <w:tcPr>
                  <w:tcW w:w="956" w:type="dxa"/>
                  <w:vAlign w:val="center"/>
                </w:tcPr>
                <w:p>
                  <w:pPr>
                    <w:jc w:val="center"/>
                    <w:rPr>
                      <w:rFonts w:cs="宋体"/>
                      <w:szCs w:val="21"/>
                      <w:lang w:bidi="zh-CN"/>
                    </w:rPr>
                  </w:pPr>
                  <w:r>
                    <w:rPr>
                      <w:rFonts w:hint="eastAsia" w:cs="宋体"/>
                      <w:szCs w:val="21"/>
                      <w:lang w:bidi="zh-CN"/>
                    </w:rPr>
                    <w:t>10</w:t>
                  </w:r>
                </w:p>
              </w:tc>
              <w:tc>
                <w:tcPr>
                  <w:tcW w:w="873" w:type="dxa"/>
                  <w:vAlign w:val="center"/>
                </w:tcPr>
                <w:p>
                  <w:pPr>
                    <w:jc w:val="center"/>
                    <w:rPr>
                      <w:szCs w:val="21"/>
                    </w:rPr>
                  </w:pPr>
                  <w:r>
                    <w:rPr>
                      <w:rFonts w:hint="eastAsia"/>
                      <w:szCs w:val="21"/>
                    </w:rPr>
                    <w:t>40</w:t>
                  </w:r>
                </w:p>
              </w:tc>
              <w:tc>
                <w:tcPr>
                  <w:tcW w:w="771" w:type="dxa"/>
                  <w:vAlign w:val="center"/>
                </w:tcPr>
                <w:p>
                  <w:pPr>
                    <w:jc w:val="center"/>
                    <w:rPr>
                      <w:szCs w:val="21"/>
                    </w:rPr>
                  </w:pPr>
                  <w:r>
                    <w:rPr>
                      <w:rFonts w:hint="eastAsia"/>
                      <w:szCs w:val="21"/>
                    </w:rPr>
                    <w:t>1m</w:t>
                  </w:r>
                </w:p>
              </w:tc>
            </w:tr>
          </w:tbl>
          <w:p>
            <w:pPr>
              <w:adjustRightInd w:val="0"/>
              <w:snapToGrid w:val="0"/>
              <w:spacing w:line="360" w:lineRule="auto"/>
              <w:jc w:val="center"/>
              <w:rPr>
                <w:b/>
                <w:sz w:val="18"/>
                <w:szCs w:val="18"/>
              </w:rPr>
            </w:pPr>
            <w:r>
              <w:rPr>
                <w:b/>
                <w:szCs w:val="21"/>
              </w:rPr>
              <w:t>表4-</w:t>
            </w:r>
            <w:r>
              <w:rPr>
                <w:rFonts w:hint="eastAsia"/>
                <w:b/>
                <w:szCs w:val="21"/>
              </w:rPr>
              <w:t>10</w:t>
            </w:r>
            <w:r>
              <w:rPr>
                <w:b/>
                <w:szCs w:val="21"/>
              </w:rPr>
              <w:t xml:space="preserve">  项目主要噪声源距厂界及敏感点距离一览表  单位：m</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68"/>
              <w:gridCol w:w="1547"/>
              <w:gridCol w:w="1234"/>
              <w:gridCol w:w="1048"/>
              <w:gridCol w:w="687"/>
              <w:gridCol w:w="699"/>
              <w:gridCol w:w="1284"/>
              <w:gridCol w:w="1284"/>
              <w:gridCol w:w="1284"/>
              <w:gridCol w:w="1284"/>
              <w:gridCol w:w="12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6" w:hRule="atLeast"/>
                <w:tblHeader/>
                <w:jc w:val="center"/>
              </w:trPr>
              <w:tc>
                <w:tcPr>
                  <w:tcW w:w="272" w:type="pct"/>
                  <w:vMerge w:val="restart"/>
                  <w:vAlign w:val="center"/>
                </w:tcPr>
                <w:p>
                  <w:pPr>
                    <w:adjustRightInd w:val="0"/>
                    <w:snapToGrid w:val="0"/>
                    <w:jc w:val="center"/>
                    <w:rPr>
                      <w:b/>
                      <w:bCs/>
                      <w:kern w:val="0"/>
                      <w:szCs w:val="21"/>
                    </w:rPr>
                  </w:pPr>
                  <w:r>
                    <w:rPr>
                      <w:b/>
                      <w:bCs/>
                      <w:kern w:val="0"/>
                      <w:szCs w:val="21"/>
                    </w:rPr>
                    <w:t>位置</w:t>
                  </w:r>
                </w:p>
              </w:tc>
              <w:tc>
                <w:tcPr>
                  <w:tcW w:w="628" w:type="pct"/>
                  <w:vMerge w:val="restart"/>
                  <w:vAlign w:val="center"/>
                </w:tcPr>
                <w:p>
                  <w:pPr>
                    <w:adjustRightInd w:val="0"/>
                    <w:snapToGrid w:val="0"/>
                    <w:jc w:val="center"/>
                    <w:rPr>
                      <w:b/>
                      <w:bCs/>
                      <w:kern w:val="0"/>
                      <w:szCs w:val="21"/>
                    </w:rPr>
                  </w:pPr>
                  <w:r>
                    <w:rPr>
                      <w:b/>
                      <w:bCs/>
                      <w:szCs w:val="21"/>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-15875</wp:posOffset>
                            </wp:positionV>
                            <wp:extent cx="982345" cy="448945"/>
                            <wp:effectExtent l="1905" t="4445" r="6350" b="22860"/>
                            <wp:wrapNone/>
                            <wp:docPr id="4" name="直线 8"/>
                            <wp:cNvGraphicFramePr/>
                            <a:graphic xmlns:a="http://schemas.openxmlformats.org/drawingml/2006/main">
                              <a:graphicData uri="http://schemas.microsoft.com/office/word/2010/wordprocessingShape">
                                <wps:wsp>
                                  <wps:cNvCnPr/>
                                  <wps:spPr>
                                    <a:xfrm>
                                      <a:off x="0" y="0"/>
                                      <a:ext cx="982345" cy="4489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0.6pt;margin-top:-1.25pt;height:35.35pt;width:77.35pt;z-index:251663360;mso-width-relative:page;mso-height-relative:page;" filled="f" stroked="t" coordsize="21600,21600" o:gfxdata="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M0zR9UAAAAHAQAADwAA&#10;AAAAAAABACAAAAAiAAAAZHJzL2Rvd25yZXYueG1sUEsBAhQAFAAAAAgAh07iQJb8yingAQAA0wMA&#10;AA4AAAAAAAAAAQAgAAAAJAEAAGRycy9lMm9Eb2MueG1sUEsFBgAAAAAGAAYAWQEAAHYFAAAAAA==&#10;">
                            <v:fill on="f" focussize="0,0"/>
                            <v:stroke color="#000000" joinstyle="round"/>
                            <v:imagedata o:title=""/>
                            <o:lock v:ext="edit" aspectratio="f"/>
                          </v:line>
                        </w:pict>
                      </mc:Fallback>
                    </mc:AlternateContent>
                  </w:r>
                  <w:r>
                    <w:rPr>
                      <w:rFonts w:hint="eastAsia"/>
                      <w:b/>
                      <w:bCs/>
                      <w:kern w:val="0"/>
                      <w:szCs w:val="21"/>
                    </w:rPr>
                    <w:t>预测点</w:t>
                  </w:r>
                </w:p>
                <w:p>
                  <w:pPr>
                    <w:jc w:val="center"/>
                    <w:rPr>
                      <w:b/>
                      <w:bCs/>
                      <w:szCs w:val="21"/>
                    </w:rPr>
                  </w:pPr>
                </w:p>
                <w:p>
                  <w:pPr>
                    <w:jc w:val="center"/>
                    <w:rPr>
                      <w:b/>
                      <w:bCs/>
                      <w:szCs w:val="21"/>
                    </w:rPr>
                  </w:pPr>
                  <w:r>
                    <w:rPr>
                      <w:rFonts w:hint="eastAsia"/>
                      <w:b/>
                      <w:bCs/>
                      <w:szCs w:val="21"/>
                    </w:rPr>
                    <w:t>声源位置</w:t>
                  </w:r>
                </w:p>
              </w:tc>
              <w:tc>
                <w:tcPr>
                  <w:tcW w:w="501" w:type="pct"/>
                  <w:vAlign w:val="center"/>
                </w:tcPr>
                <w:p>
                  <w:pPr>
                    <w:adjustRightInd w:val="0"/>
                    <w:snapToGrid w:val="0"/>
                    <w:jc w:val="center"/>
                    <w:rPr>
                      <w:b/>
                      <w:bCs/>
                      <w:kern w:val="0"/>
                      <w:szCs w:val="21"/>
                    </w:rPr>
                  </w:pPr>
                  <w:r>
                    <w:rPr>
                      <w:rFonts w:hint="eastAsia"/>
                      <w:b/>
                      <w:bCs/>
                      <w:kern w:val="0"/>
                      <w:szCs w:val="21"/>
                    </w:rPr>
                    <w:t>南</w:t>
                  </w:r>
                  <w:r>
                    <w:rPr>
                      <w:b/>
                      <w:bCs/>
                      <w:kern w:val="0"/>
                      <w:szCs w:val="21"/>
                    </w:rPr>
                    <w:t>厂界</w:t>
                  </w:r>
                </w:p>
              </w:tc>
              <w:tc>
                <w:tcPr>
                  <w:tcW w:w="426" w:type="pct"/>
                  <w:vAlign w:val="center"/>
                </w:tcPr>
                <w:p>
                  <w:pPr>
                    <w:adjustRightInd w:val="0"/>
                    <w:snapToGrid w:val="0"/>
                    <w:jc w:val="center"/>
                    <w:rPr>
                      <w:b/>
                      <w:bCs/>
                      <w:kern w:val="0"/>
                      <w:szCs w:val="21"/>
                    </w:rPr>
                  </w:pPr>
                  <w:r>
                    <w:rPr>
                      <w:rFonts w:hint="eastAsia"/>
                      <w:b/>
                      <w:bCs/>
                      <w:kern w:val="0"/>
                      <w:szCs w:val="21"/>
                    </w:rPr>
                    <w:t>东</w:t>
                  </w:r>
                  <w:r>
                    <w:rPr>
                      <w:b/>
                      <w:bCs/>
                      <w:kern w:val="0"/>
                      <w:szCs w:val="21"/>
                    </w:rPr>
                    <w:t>厂界</w:t>
                  </w:r>
                </w:p>
              </w:tc>
              <w:tc>
                <w:tcPr>
                  <w:tcW w:w="563" w:type="pct"/>
                  <w:gridSpan w:val="2"/>
                  <w:vAlign w:val="center"/>
                </w:tcPr>
                <w:p>
                  <w:pPr>
                    <w:adjustRightInd w:val="0"/>
                    <w:snapToGrid w:val="0"/>
                    <w:jc w:val="center"/>
                    <w:rPr>
                      <w:b/>
                      <w:bCs/>
                      <w:kern w:val="0"/>
                      <w:szCs w:val="21"/>
                    </w:rPr>
                  </w:pPr>
                  <w:r>
                    <w:rPr>
                      <w:rFonts w:hint="eastAsia"/>
                      <w:b/>
                      <w:bCs/>
                      <w:kern w:val="0"/>
                      <w:szCs w:val="21"/>
                    </w:rPr>
                    <w:t>北</w:t>
                  </w:r>
                  <w:r>
                    <w:rPr>
                      <w:b/>
                      <w:bCs/>
                      <w:kern w:val="0"/>
                      <w:szCs w:val="21"/>
                    </w:rPr>
                    <w:t>厂界</w:t>
                  </w:r>
                </w:p>
              </w:tc>
              <w:tc>
                <w:tcPr>
                  <w:tcW w:w="521" w:type="pct"/>
                  <w:vAlign w:val="center"/>
                </w:tcPr>
                <w:p>
                  <w:pPr>
                    <w:adjustRightInd w:val="0"/>
                    <w:snapToGrid w:val="0"/>
                    <w:jc w:val="center"/>
                    <w:rPr>
                      <w:b/>
                      <w:bCs/>
                      <w:kern w:val="0"/>
                      <w:szCs w:val="21"/>
                    </w:rPr>
                  </w:pPr>
                  <w:r>
                    <w:rPr>
                      <w:rFonts w:hint="eastAsia"/>
                      <w:b/>
                      <w:bCs/>
                      <w:kern w:val="0"/>
                      <w:szCs w:val="21"/>
                    </w:rPr>
                    <w:t>西</w:t>
                  </w:r>
                  <w:r>
                    <w:rPr>
                      <w:b/>
                      <w:bCs/>
                      <w:kern w:val="0"/>
                      <w:szCs w:val="21"/>
                    </w:rPr>
                    <w:t>厂界</w:t>
                  </w:r>
                </w:p>
              </w:tc>
              <w:tc>
                <w:tcPr>
                  <w:tcW w:w="521" w:type="pct"/>
                  <w:vAlign w:val="center"/>
                </w:tcPr>
                <w:p>
                  <w:pPr>
                    <w:adjustRightInd w:val="0"/>
                    <w:snapToGrid w:val="0"/>
                    <w:jc w:val="center"/>
                    <w:rPr>
                      <w:b/>
                      <w:bCs/>
                      <w:kern w:val="0"/>
                      <w:szCs w:val="21"/>
                    </w:rPr>
                  </w:pPr>
                  <w:r>
                    <w:rPr>
                      <w:rFonts w:hint="eastAsia"/>
                      <w:b/>
                      <w:bCs/>
                      <w:kern w:val="0"/>
                      <w:szCs w:val="21"/>
                    </w:rPr>
                    <w:t>高新区第五高级中学</w:t>
                  </w:r>
                </w:p>
              </w:tc>
              <w:tc>
                <w:tcPr>
                  <w:tcW w:w="521" w:type="pct"/>
                  <w:vAlign w:val="center"/>
                </w:tcPr>
                <w:p>
                  <w:pPr>
                    <w:adjustRightInd w:val="0"/>
                    <w:snapToGrid w:val="0"/>
                    <w:jc w:val="center"/>
                    <w:rPr>
                      <w:b/>
                      <w:bCs/>
                      <w:kern w:val="0"/>
                      <w:szCs w:val="21"/>
                    </w:rPr>
                  </w:pPr>
                  <w:r>
                    <w:rPr>
                      <w:rFonts w:hint="eastAsia"/>
                      <w:b/>
                      <w:bCs/>
                      <w:kern w:val="0"/>
                      <w:szCs w:val="21"/>
                    </w:rPr>
                    <w:t>集贤镇东村</w:t>
                  </w:r>
                </w:p>
              </w:tc>
              <w:tc>
                <w:tcPr>
                  <w:tcW w:w="521" w:type="pct"/>
                  <w:vAlign w:val="center"/>
                </w:tcPr>
                <w:p>
                  <w:pPr>
                    <w:adjustRightInd w:val="0"/>
                    <w:snapToGrid w:val="0"/>
                    <w:jc w:val="center"/>
                    <w:rPr>
                      <w:b/>
                      <w:bCs/>
                      <w:kern w:val="0"/>
                      <w:szCs w:val="21"/>
                    </w:rPr>
                  </w:pPr>
                  <w:r>
                    <w:rPr>
                      <w:rFonts w:hint="eastAsia"/>
                      <w:b/>
                      <w:bCs/>
                      <w:kern w:val="0"/>
                      <w:szCs w:val="21"/>
                    </w:rPr>
                    <w:t>耿西村</w:t>
                  </w:r>
                </w:p>
              </w:tc>
              <w:tc>
                <w:tcPr>
                  <w:tcW w:w="521" w:type="pct"/>
                  <w:vAlign w:val="center"/>
                </w:tcPr>
                <w:p>
                  <w:pPr>
                    <w:adjustRightInd w:val="0"/>
                    <w:snapToGrid w:val="0"/>
                    <w:jc w:val="center"/>
                    <w:rPr>
                      <w:b/>
                      <w:bCs/>
                      <w:kern w:val="0"/>
                      <w:szCs w:val="21"/>
                    </w:rPr>
                  </w:pPr>
                  <w:r>
                    <w:rPr>
                      <w:rFonts w:hint="eastAsia"/>
                      <w:b/>
                      <w:bCs/>
                      <w:kern w:val="0"/>
                      <w:szCs w:val="21"/>
                    </w:rPr>
                    <w:t>何家寨村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6" w:hRule="atLeast"/>
                <w:tblHeader/>
                <w:jc w:val="center"/>
              </w:trPr>
              <w:tc>
                <w:tcPr>
                  <w:tcW w:w="272" w:type="pct"/>
                  <w:vMerge w:val="continue"/>
                  <w:vAlign w:val="center"/>
                </w:tcPr>
                <w:p>
                  <w:pPr>
                    <w:adjustRightInd w:val="0"/>
                    <w:snapToGrid w:val="0"/>
                    <w:jc w:val="center"/>
                    <w:rPr>
                      <w:b/>
                      <w:bCs/>
                      <w:kern w:val="0"/>
                      <w:szCs w:val="21"/>
                    </w:rPr>
                  </w:pPr>
                </w:p>
              </w:tc>
              <w:tc>
                <w:tcPr>
                  <w:tcW w:w="628" w:type="pct"/>
                  <w:vMerge w:val="continue"/>
                  <w:vAlign w:val="center"/>
                </w:tcPr>
                <w:p>
                  <w:pPr>
                    <w:adjustRightInd w:val="0"/>
                    <w:snapToGrid w:val="0"/>
                    <w:jc w:val="center"/>
                    <w:rPr>
                      <w:b/>
                      <w:bCs/>
                      <w:kern w:val="0"/>
                      <w:szCs w:val="21"/>
                    </w:rPr>
                  </w:pPr>
                </w:p>
              </w:tc>
              <w:tc>
                <w:tcPr>
                  <w:tcW w:w="501" w:type="pct"/>
                  <w:vAlign w:val="center"/>
                </w:tcPr>
                <w:p>
                  <w:pPr>
                    <w:adjustRightInd w:val="0"/>
                    <w:snapToGrid w:val="0"/>
                    <w:jc w:val="center"/>
                    <w:rPr>
                      <w:b/>
                      <w:bCs/>
                      <w:kern w:val="0"/>
                      <w:szCs w:val="21"/>
                    </w:rPr>
                  </w:pPr>
                  <w:r>
                    <w:rPr>
                      <w:rFonts w:hint="eastAsia"/>
                      <w:b/>
                      <w:bCs/>
                      <w:kern w:val="0"/>
                      <w:szCs w:val="21"/>
                    </w:rPr>
                    <w:t>N1</w:t>
                  </w:r>
                </w:p>
              </w:tc>
              <w:tc>
                <w:tcPr>
                  <w:tcW w:w="426" w:type="pct"/>
                  <w:vAlign w:val="center"/>
                </w:tcPr>
                <w:p>
                  <w:pPr>
                    <w:adjustRightInd w:val="0"/>
                    <w:snapToGrid w:val="0"/>
                    <w:jc w:val="center"/>
                    <w:rPr>
                      <w:b/>
                      <w:bCs/>
                      <w:kern w:val="0"/>
                      <w:szCs w:val="21"/>
                    </w:rPr>
                  </w:pPr>
                  <w:r>
                    <w:rPr>
                      <w:rFonts w:hint="eastAsia"/>
                      <w:b/>
                      <w:bCs/>
                      <w:kern w:val="0"/>
                      <w:szCs w:val="21"/>
                    </w:rPr>
                    <w:t>N2</w:t>
                  </w:r>
                </w:p>
              </w:tc>
              <w:tc>
                <w:tcPr>
                  <w:tcW w:w="279" w:type="pct"/>
                  <w:vAlign w:val="center"/>
                </w:tcPr>
                <w:p>
                  <w:pPr>
                    <w:adjustRightInd w:val="0"/>
                    <w:snapToGrid w:val="0"/>
                    <w:jc w:val="center"/>
                    <w:rPr>
                      <w:b/>
                      <w:bCs/>
                      <w:kern w:val="0"/>
                      <w:szCs w:val="21"/>
                    </w:rPr>
                  </w:pPr>
                  <w:r>
                    <w:rPr>
                      <w:rFonts w:hint="eastAsia"/>
                      <w:b/>
                      <w:bCs/>
                      <w:kern w:val="0"/>
                      <w:szCs w:val="21"/>
                    </w:rPr>
                    <w:t>N3</w:t>
                  </w:r>
                </w:p>
              </w:tc>
              <w:tc>
                <w:tcPr>
                  <w:tcW w:w="284" w:type="pct"/>
                  <w:vAlign w:val="center"/>
                </w:tcPr>
                <w:p>
                  <w:pPr>
                    <w:adjustRightInd w:val="0"/>
                    <w:snapToGrid w:val="0"/>
                    <w:jc w:val="center"/>
                    <w:rPr>
                      <w:b/>
                      <w:bCs/>
                      <w:kern w:val="0"/>
                      <w:szCs w:val="21"/>
                    </w:rPr>
                  </w:pPr>
                  <w:r>
                    <w:rPr>
                      <w:rFonts w:hint="eastAsia"/>
                      <w:b/>
                      <w:bCs/>
                      <w:kern w:val="0"/>
                      <w:szCs w:val="21"/>
                    </w:rPr>
                    <w:t>N4</w:t>
                  </w:r>
                </w:p>
              </w:tc>
              <w:tc>
                <w:tcPr>
                  <w:tcW w:w="521" w:type="pct"/>
                  <w:vAlign w:val="center"/>
                </w:tcPr>
                <w:p>
                  <w:pPr>
                    <w:adjustRightInd w:val="0"/>
                    <w:snapToGrid w:val="0"/>
                    <w:jc w:val="center"/>
                    <w:rPr>
                      <w:b/>
                      <w:bCs/>
                      <w:kern w:val="0"/>
                      <w:szCs w:val="21"/>
                    </w:rPr>
                  </w:pPr>
                  <w:r>
                    <w:rPr>
                      <w:rFonts w:hint="eastAsia"/>
                      <w:b/>
                      <w:bCs/>
                      <w:kern w:val="0"/>
                      <w:szCs w:val="21"/>
                    </w:rPr>
                    <w:t>N5</w:t>
                  </w:r>
                </w:p>
              </w:tc>
              <w:tc>
                <w:tcPr>
                  <w:tcW w:w="521" w:type="pct"/>
                  <w:vAlign w:val="center"/>
                </w:tcPr>
                <w:p>
                  <w:pPr>
                    <w:adjustRightInd w:val="0"/>
                    <w:snapToGrid w:val="0"/>
                    <w:jc w:val="center"/>
                    <w:rPr>
                      <w:b/>
                      <w:bCs/>
                      <w:kern w:val="0"/>
                      <w:szCs w:val="21"/>
                    </w:rPr>
                  </w:pPr>
                  <w:r>
                    <w:rPr>
                      <w:rFonts w:hint="eastAsia"/>
                      <w:b/>
                      <w:bCs/>
                      <w:kern w:val="0"/>
                      <w:szCs w:val="21"/>
                    </w:rPr>
                    <w:t>N6</w:t>
                  </w:r>
                </w:p>
              </w:tc>
              <w:tc>
                <w:tcPr>
                  <w:tcW w:w="521" w:type="pct"/>
                  <w:vAlign w:val="center"/>
                </w:tcPr>
                <w:p>
                  <w:pPr>
                    <w:adjustRightInd w:val="0"/>
                    <w:snapToGrid w:val="0"/>
                    <w:jc w:val="center"/>
                    <w:rPr>
                      <w:b/>
                      <w:bCs/>
                      <w:kern w:val="0"/>
                      <w:szCs w:val="21"/>
                    </w:rPr>
                  </w:pPr>
                  <w:r>
                    <w:rPr>
                      <w:rFonts w:hint="eastAsia"/>
                      <w:b/>
                      <w:bCs/>
                      <w:kern w:val="0"/>
                      <w:szCs w:val="21"/>
                    </w:rPr>
                    <w:t>N7</w:t>
                  </w:r>
                </w:p>
              </w:tc>
              <w:tc>
                <w:tcPr>
                  <w:tcW w:w="521" w:type="pct"/>
                  <w:vAlign w:val="center"/>
                </w:tcPr>
                <w:p>
                  <w:pPr>
                    <w:adjustRightInd w:val="0"/>
                    <w:snapToGrid w:val="0"/>
                    <w:jc w:val="center"/>
                    <w:rPr>
                      <w:b/>
                      <w:bCs/>
                      <w:kern w:val="0"/>
                      <w:szCs w:val="21"/>
                    </w:rPr>
                  </w:pPr>
                  <w:r>
                    <w:rPr>
                      <w:rFonts w:hint="eastAsia"/>
                      <w:b/>
                      <w:bCs/>
                      <w:kern w:val="0"/>
                      <w:szCs w:val="21"/>
                    </w:rPr>
                    <w:t>N8</w:t>
                  </w:r>
                </w:p>
              </w:tc>
              <w:tc>
                <w:tcPr>
                  <w:tcW w:w="521" w:type="pct"/>
                  <w:vAlign w:val="center"/>
                </w:tcPr>
                <w:p>
                  <w:pPr>
                    <w:adjustRightInd w:val="0"/>
                    <w:snapToGrid w:val="0"/>
                    <w:jc w:val="center"/>
                    <w:rPr>
                      <w:b/>
                      <w:bCs/>
                      <w:kern w:val="0"/>
                      <w:szCs w:val="21"/>
                    </w:rPr>
                  </w:pPr>
                  <w:r>
                    <w:rPr>
                      <w:rFonts w:hint="eastAsia"/>
                      <w:b/>
                      <w:bCs/>
                      <w:kern w:val="0"/>
                      <w:szCs w:val="21"/>
                    </w:rPr>
                    <w:t>N9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restart"/>
                  <w:vAlign w:val="center"/>
                </w:tcPr>
                <w:p>
                  <w:pPr>
                    <w:adjustRightInd w:val="0"/>
                    <w:snapToGrid w:val="0"/>
                    <w:jc w:val="center"/>
                    <w:rPr>
                      <w:kern w:val="0"/>
                      <w:szCs w:val="21"/>
                    </w:rPr>
                  </w:pPr>
                  <w:r>
                    <w:rPr>
                      <w:rFonts w:hint="eastAsia"/>
                      <w:kern w:val="0"/>
                      <w:szCs w:val="21"/>
                    </w:rPr>
                    <w:t>11#厂房</w:t>
                  </w:r>
                </w:p>
              </w:tc>
              <w:tc>
                <w:tcPr>
                  <w:tcW w:w="628" w:type="pct"/>
                  <w:vAlign w:val="center"/>
                </w:tcPr>
                <w:p>
                  <w:pPr>
                    <w:jc w:val="center"/>
                    <w:rPr>
                      <w:szCs w:val="21"/>
                    </w:rPr>
                  </w:pPr>
                  <w:r>
                    <w:rPr>
                      <w:rFonts w:hint="eastAsia"/>
                      <w:szCs w:val="21"/>
                    </w:rPr>
                    <w:t>模压机1</w:t>
                  </w:r>
                </w:p>
              </w:tc>
              <w:tc>
                <w:tcPr>
                  <w:tcW w:w="501" w:type="pct"/>
                  <w:vAlign w:val="center"/>
                </w:tcPr>
                <w:p>
                  <w:pPr>
                    <w:jc w:val="center"/>
                    <w:rPr>
                      <w:szCs w:val="21"/>
                    </w:rPr>
                  </w:pPr>
                  <w:r>
                    <w:rPr>
                      <w:rFonts w:hint="eastAsia"/>
                      <w:szCs w:val="21"/>
                    </w:rPr>
                    <w:t>387</w:t>
                  </w:r>
                </w:p>
              </w:tc>
              <w:tc>
                <w:tcPr>
                  <w:tcW w:w="426" w:type="pct"/>
                  <w:vAlign w:val="center"/>
                </w:tcPr>
                <w:p>
                  <w:pPr>
                    <w:jc w:val="center"/>
                    <w:rPr>
                      <w:szCs w:val="21"/>
                    </w:rPr>
                  </w:pPr>
                  <w:r>
                    <w:rPr>
                      <w:rFonts w:hint="eastAsia"/>
                      <w:szCs w:val="21"/>
                    </w:rPr>
                    <w:t>968</w:t>
                  </w:r>
                </w:p>
              </w:tc>
              <w:tc>
                <w:tcPr>
                  <w:tcW w:w="279" w:type="pct"/>
                  <w:vAlign w:val="center"/>
                </w:tcPr>
                <w:p>
                  <w:pPr>
                    <w:jc w:val="center"/>
                    <w:rPr>
                      <w:szCs w:val="21"/>
                    </w:rPr>
                  </w:pPr>
                  <w:r>
                    <w:rPr>
                      <w:rFonts w:hint="eastAsia"/>
                      <w:szCs w:val="21"/>
                    </w:rPr>
                    <w:t>1003</w:t>
                  </w:r>
                </w:p>
              </w:tc>
              <w:tc>
                <w:tcPr>
                  <w:tcW w:w="284" w:type="pct"/>
                  <w:vAlign w:val="center"/>
                </w:tcPr>
                <w:p>
                  <w:pPr>
                    <w:jc w:val="center"/>
                    <w:rPr>
                      <w:szCs w:val="21"/>
                    </w:rPr>
                  </w:pPr>
                  <w:r>
                    <w:rPr>
                      <w:rFonts w:hint="eastAsia"/>
                      <w:szCs w:val="21"/>
                    </w:rPr>
                    <w:t>1039</w:t>
                  </w:r>
                </w:p>
              </w:tc>
              <w:tc>
                <w:tcPr>
                  <w:tcW w:w="521" w:type="pct"/>
                  <w:vAlign w:val="center"/>
                </w:tcPr>
                <w:p>
                  <w:pPr>
                    <w:jc w:val="center"/>
                    <w:rPr>
                      <w:szCs w:val="21"/>
                    </w:rPr>
                  </w:pPr>
                  <w:r>
                    <w:rPr>
                      <w:rFonts w:hint="eastAsia"/>
                      <w:szCs w:val="21"/>
                    </w:rPr>
                    <w:t>1226</w:t>
                  </w:r>
                </w:p>
              </w:tc>
              <w:tc>
                <w:tcPr>
                  <w:tcW w:w="521" w:type="pct"/>
                  <w:vAlign w:val="center"/>
                </w:tcPr>
                <w:p>
                  <w:pPr>
                    <w:jc w:val="center"/>
                    <w:rPr>
                      <w:szCs w:val="21"/>
                    </w:rPr>
                  </w:pPr>
                  <w:r>
                    <w:rPr>
                      <w:rFonts w:hint="eastAsia"/>
                      <w:szCs w:val="21"/>
                    </w:rPr>
                    <w:t>1799</w:t>
                  </w:r>
                </w:p>
              </w:tc>
              <w:tc>
                <w:tcPr>
                  <w:tcW w:w="521" w:type="pct"/>
                  <w:vAlign w:val="center"/>
                </w:tcPr>
                <w:p>
                  <w:pPr>
                    <w:jc w:val="center"/>
                    <w:rPr>
                      <w:szCs w:val="21"/>
                    </w:rPr>
                  </w:pPr>
                  <w:r>
                    <w:rPr>
                      <w:rFonts w:hint="eastAsia"/>
                      <w:szCs w:val="21"/>
                    </w:rPr>
                    <w:t>934</w:t>
                  </w:r>
                </w:p>
              </w:tc>
              <w:tc>
                <w:tcPr>
                  <w:tcW w:w="521" w:type="pct"/>
                  <w:vAlign w:val="center"/>
                </w:tcPr>
                <w:p>
                  <w:pPr>
                    <w:jc w:val="center"/>
                    <w:rPr>
                      <w:szCs w:val="21"/>
                    </w:rPr>
                  </w:pPr>
                  <w:r>
                    <w:rPr>
                      <w:rFonts w:hint="eastAsia"/>
                      <w:szCs w:val="21"/>
                    </w:rPr>
                    <w:t>595</w:t>
                  </w:r>
                </w:p>
              </w:tc>
              <w:tc>
                <w:tcPr>
                  <w:tcW w:w="521" w:type="pct"/>
                  <w:vAlign w:val="center"/>
                </w:tcPr>
                <w:p>
                  <w:pPr>
                    <w:jc w:val="center"/>
                    <w:rPr>
                      <w:szCs w:val="21"/>
                    </w:rPr>
                  </w:pPr>
                  <w:r>
                    <w:rPr>
                      <w:rFonts w:hint="eastAsia"/>
                      <w:szCs w:val="21"/>
                    </w:rPr>
                    <w:t>1243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adjustRightInd w:val="0"/>
                    <w:snapToGrid w:val="0"/>
                    <w:jc w:val="center"/>
                    <w:rPr>
                      <w:szCs w:val="21"/>
                    </w:rPr>
                  </w:pPr>
                  <w:r>
                    <w:rPr>
                      <w:rFonts w:hint="eastAsia"/>
                      <w:szCs w:val="21"/>
                    </w:rPr>
                    <w:t>模压机2</w:t>
                  </w:r>
                </w:p>
              </w:tc>
              <w:tc>
                <w:tcPr>
                  <w:tcW w:w="501" w:type="pct"/>
                  <w:vAlign w:val="center"/>
                </w:tcPr>
                <w:p>
                  <w:pPr>
                    <w:jc w:val="center"/>
                    <w:rPr>
                      <w:szCs w:val="21"/>
                    </w:rPr>
                  </w:pPr>
                  <w:r>
                    <w:rPr>
                      <w:rFonts w:hint="eastAsia"/>
                      <w:szCs w:val="21"/>
                    </w:rPr>
                    <w:t>389</w:t>
                  </w:r>
                </w:p>
              </w:tc>
              <w:tc>
                <w:tcPr>
                  <w:tcW w:w="426" w:type="pct"/>
                  <w:vAlign w:val="center"/>
                </w:tcPr>
                <w:p>
                  <w:pPr>
                    <w:jc w:val="center"/>
                    <w:rPr>
                      <w:szCs w:val="21"/>
                    </w:rPr>
                  </w:pPr>
                  <w:r>
                    <w:rPr>
                      <w:rFonts w:hint="eastAsia"/>
                      <w:szCs w:val="21"/>
                    </w:rPr>
                    <w:t>955</w:t>
                  </w:r>
                </w:p>
              </w:tc>
              <w:tc>
                <w:tcPr>
                  <w:tcW w:w="279" w:type="pct"/>
                  <w:vAlign w:val="center"/>
                </w:tcPr>
                <w:p>
                  <w:pPr>
                    <w:jc w:val="center"/>
                    <w:rPr>
                      <w:szCs w:val="21"/>
                    </w:rPr>
                  </w:pPr>
                  <w:r>
                    <w:rPr>
                      <w:rFonts w:hint="eastAsia"/>
                      <w:szCs w:val="21"/>
                    </w:rPr>
                    <w:t>984</w:t>
                  </w:r>
                </w:p>
              </w:tc>
              <w:tc>
                <w:tcPr>
                  <w:tcW w:w="284" w:type="pct"/>
                  <w:vAlign w:val="center"/>
                </w:tcPr>
                <w:p>
                  <w:pPr>
                    <w:jc w:val="center"/>
                    <w:rPr>
                      <w:szCs w:val="21"/>
                    </w:rPr>
                  </w:pPr>
                  <w:r>
                    <w:rPr>
                      <w:rFonts w:hint="eastAsia"/>
                      <w:szCs w:val="21"/>
                    </w:rPr>
                    <w:t>1051</w:t>
                  </w:r>
                </w:p>
              </w:tc>
              <w:tc>
                <w:tcPr>
                  <w:tcW w:w="521" w:type="pct"/>
                  <w:vAlign w:val="center"/>
                </w:tcPr>
                <w:p>
                  <w:pPr>
                    <w:jc w:val="center"/>
                    <w:rPr>
                      <w:szCs w:val="21"/>
                    </w:rPr>
                  </w:pPr>
                  <w:r>
                    <w:rPr>
                      <w:rFonts w:hint="eastAsia"/>
                      <w:szCs w:val="21"/>
                    </w:rPr>
                    <w:t>1238</w:t>
                  </w:r>
                </w:p>
              </w:tc>
              <w:tc>
                <w:tcPr>
                  <w:tcW w:w="521" w:type="pct"/>
                  <w:vAlign w:val="center"/>
                </w:tcPr>
                <w:p>
                  <w:pPr>
                    <w:jc w:val="center"/>
                    <w:rPr>
                      <w:szCs w:val="21"/>
                    </w:rPr>
                  </w:pPr>
                  <w:r>
                    <w:rPr>
                      <w:rFonts w:hint="eastAsia"/>
                      <w:szCs w:val="21"/>
                    </w:rPr>
                    <w:t>1812</w:t>
                  </w:r>
                </w:p>
              </w:tc>
              <w:tc>
                <w:tcPr>
                  <w:tcW w:w="521" w:type="pct"/>
                  <w:vAlign w:val="center"/>
                </w:tcPr>
                <w:p>
                  <w:pPr>
                    <w:jc w:val="center"/>
                    <w:rPr>
                      <w:szCs w:val="21"/>
                    </w:rPr>
                  </w:pPr>
                  <w:r>
                    <w:rPr>
                      <w:rFonts w:hint="eastAsia"/>
                      <w:szCs w:val="21"/>
                    </w:rPr>
                    <w:t>943</w:t>
                  </w:r>
                </w:p>
              </w:tc>
              <w:tc>
                <w:tcPr>
                  <w:tcW w:w="521" w:type="pct"/>
                  <w:vAlign w:val="center"/>
                </w:tcPr>
                <w:p>
                  <w:pPr>
                    <w:jc w:val="center"/>
                    <w:rPr>
                      <w:szCs w:val="21"/>
                    </w:rPr>
                  </w:pPr>
                  <w:r>
                    <w:rPr>
                      <w:rFonts w:hint="eastAsia"/>
                      <w:szCs w:val="21"/>
                    </w:rPr>
                    <w:t>587</w:t>
                  </w:r>
                </w:p>
              </w:tc>
              <w:tc>
                <w:tcPr>
                  <w:tcW w:w="521" w:type="pct"/>
                  <w:vAlign w:val="center"/>
                </w:tcPr>
                <w:p>
                  <w:pPr>
                    <w:jc w:val="center"/>
                    <w:rPr>
                      <w:szCs w:val="21"/>
                    </w:rPr>
                  </w:pPr>
                  <w:r>
                    <w:rPr>
                      <w:rFonts w:hint="eastAsia"/>
                      <w:szCs w:val="21"/>
                    </w:rPr>
                    <w:t>1233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adjustRightInd w:val="0"/>
                    <w:snapToGrid w:val="0"/>
                    <w:jc w:val="center"/>
                    <w:rPr>
                      <w:szCs w:val="21"/>
                    </w:rPr>
                  </w:pPr>
                  <w:r>
                    <w:rPr>
                      <w:rFonts w:hint="eastAsia"/>
                      <w:szCs w:val="21"/>
                    </w:rPr>
                    <w:t>模压机3</w:t>
                  </w:r>
                </w:p>
              </w:tc>
              <w:tc>
                <w:tcPr>
                  <w:tcW w:w="501" w:type="pct"/>
                  <w:vAlign w:val="center"/>
                </w:tcPr>
                <w:p>
                  <w:pPr>
                    <w:jc w:val="center"/>
                    <w:rPr>
                      <w:szCs w:val="21"/>
                    </w:rPr>
                  </w:pPr>
                  <w:r>
                    <w:rPr>
                      <w:rFonts w:hint="eastAsia"/>
                      <w:szCs w:val="21"/>
                    </w:rPr>
                    <w:t>393</w:t>
                  </w:r>
                </w:p>
              </w:tc>
              <w:tc>
                <w:tcPr>
                  <w:tcW w:w="426" w:type="pct"/>
                  <w:vAlign w:val="center"/>
                </w:tcPr>
                <w:p>
                  <w:pPr>
                    <w:jc w:val="center"/>
                    <w:rPr>
                      <w:szCs w:val="21"/>
                    </w:rPr>
                  </w:pPr>
                  <w:r>
                    <w:rPr>
                      <w:rFonts w:hint="eastAsia"/>
                      <w:szCs w:val="21"/>
                    </w:rPr>
                    <w:t>941</w:t>
                  </w:r>
                </w:p>
              </w:tc>
              <w:tc>
                <w:tcPr>
                  <w:tcW w:w="279" w:type="pct"/>
                  <w:vAlign w:val="center"/>
                </w:tcPr>
                <w:p>
                  <w:pPr>
                    <w:jc w:val="center"/>
                    <w:rPr>
                      <w:szCs w:val="21"/>
                    </w:rPr>
                  </w:pPr>
                  <w:r>
                    <w:rPr>
                      <w:rFonts w:hint="eastAsia"/>
                      <w:szCs w:val="21"/>
                    </w:rPr>
                    <w:t>984</w:t>
                  </w:r>
                </w:p>
              </w:tc>
              <w:tc>
                <w:tcPr>
                  <w:tcW w:w="284" w:type="pct"/>
                  <w:vAlign w:val="center"/>
                </w:tcPr>
                <w:p>
                  <w:pPr>
                    <w:jc w:val="center"/>
                    <w:rPr>
                      <w:szCs w:val="21"/>
                    </w:rPr>
                  </w:pPr>
                  <w:r>
                    <w:rPr>
                      <w:rFonts w:hint="eastAsia"/>
                      <w:szCs w:val="21"/>
                    </w:rPr>
                    <w:t>1064</w:t>
                  </w:r>
                </w:p>
              </w:tc>
              <w:tc>
                <w:tcPr>
                  <w:tcW w:w="521" w:type="pct"/>
                  <w:vAlign w:val="center"/>
                </w:tcPr>
                <w:p>
                  <w:pPr>
                    <w:jc w:val="center"/>
                    <w:rPr>
                      <w:szCs w:val="21"/>
                    </w:rPr>
                  </w:pPr>
                  <w:r>
                    <w:rPr>
                      <w:rFonts w:hint="eastAsia"/>
                      <w:szCs w:val="21"/>
                    </w:rPr>
                    <w:t>1253</w:t>
                  </w:r>
                </w:p>
              </w:tc>
              <w:tc>
                <w:tcPr>
                  <w:tcW w:w="521" w:type="pct"/>
                  <w:vAlign w:val="center"/>
                </w:tcPr>
                <w:p>
                  <w:pPr>
                    <w:jc w:val="center"/>
                    <w:rPr>
                      <w:szCs w:val="21"/>
                    </w:rPr>
                  </w:pPr>
                  <w:r>
                    <w:rPr>
                      <w:rFonts w:hint="eastAsia"/>
                      <w:szCs w:val="21"/>
                    </w:rPr>
                    <w:t>1826</w:t>
                  </w:r>
                </w:p>
              </w:tc>
              <w:tc>
                <w:tcPr>
                  <w:tcW w:w="521" w:type="pct"/>
                  <w:vAlign w:val="center"/>
                </w:tcPr>
                <w:p>
                  <w:pPr>
                    <w:jc w:val="center"/>
                    <w:rPr>
                      <w:szCs w:val="21"/>
                    </w:rPr>
                  </w:pPr>
                  <w:r>
                    <w:rPr>
                      <w:rFonts w:hint="eastAsia"/>
                      <w:szCs w:val="21"/>
                    </w:rPr>
                    <w:t>954</w:t>
                  </w:r>
                </w:p>
              </w:tc>
              <w:tc>
                <w:tcPr>
                  <w:tcW w:w="521" w:type="pct"/>
                  <w:vAlign w:val="center"/>
                </w:tcPr>
                <w:p>
                  <w:pPr>
                    <w:jc w:val="center"/>
                    <w:rPr>
                      <w:szCs w:val="21"/>
                    </w:rPr>
                  </w:pPr>
                  <w:r>
                    <w:rPr>
                      <w:rFonts w:hint="eastAsia"/>
                      <w:szCs w:val="21"/>
                    </w:rPr>
                    <w:t>577</w:t>
                  </w:r>
                </w:p>
              </w:tc>
              <w:tc>
                <w:tcPr>
                  <w:tcW w:w="521" w:type="pct"/>
                  <w:vAlign w:val="center"/>
                </w:tcPr>
                <w:p>
                  <w:pPr>
                    <w:jc w:val="center"/>
                    <w:rPr>
                      <w:szCs w:val="21"/>
                    </w:rPr>
                  </w:pPr>
                  <w:r>
                    <w:rPr>
                      <w:rFonts w:hint="eastAsia"/>
                      <w:szCs w:val="21"/>
                    </w:rPr>
                    <w:t>1221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5"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模压机4</w:t>
                  </w:r>
                </w:p>
              </w:tc>
              <w:tc>
                <w:tcPr>
                  <w:tcW w:w="501" w:type="pct"/>
                  <w:vAlign w:val="center"/>
                </w:tcPr>
                <w:p>
                  <w:pPr>
                    <w:jc w:val="center"/>
                    <w:rPr>
                      <w:szCs w:val="21"/>
                    </w:rPr>
                  </w:pPr>
                  <w:r>
                    <w:rPr>
                      <w:rFonts w:hint="eastAsia"/>
                      <w:szCs w:val="21"/>
                    </w:rPr>
                    <w:t>397</w:t>
                  </w:r>
                </w:p>
              </w:tc>
              <w:tc>
                <w:tcPr>
                  <w:tcW w:w="426" w:type="pct"/>
                  <w:vAlign w:val="center"/>
                </w:tcPr>
                <w:p>
                  <w:pPr>
                    <w:jc w:val="center"/>
                    <w:rPr>
                      <w:szCs w:val="21"/>
                    </w:rPr>
                  </w:pPr>
                  <w:r>
                    <w:rPr>
                      <w:rFonts w:hint="eastAsia"/>
                      <w:szCs w:val="21"/>
                    </w:rPr>
                    <w:t>929</w:t>
                  </w:r>
                </w:p>
              </w:tc>
              <w:tc>
                <w:tcPr>
                  <w:tcW w:w="279" w:type="pct"/>
                  <w:vAlign w:val="center"/>
                </w:tcPr>
                <w:p>
                  <w:pPr>
                    <w:jc w:val="center"/>
                    <w:rPr>
                      <w:szCs w:val="21"/>
                    </w:rPr>
                  </w:pPr>
                  <w:r>
                    <w:rPr>
                      <w:rFonts w:hint="eastAsia"/>
                      <w:szCs w:val="21"/>
                    </w:rPr>
                    <w:t>975</w:t>
                  </w:r>
                </w:p>
              </w:tc>
              <w:tc>
                <w:tcPr>
                  <w:tcW w:w="284" w:type="pct"/>
                  <w:vAlign w:val="center"/>
                </w:tcPr>
                <w:p>
                  <w:pPr>
                    <w:jc w:val="center"/>
                    <w:rPr>
                      <w:szCs w:val="21"/>
                    </w:rPr>
                  </w:pPr>
                  <w:r>
                    <w:rPr>
                      <w:rFonts w:hint="eastAsia"/>
                      <w:szCs w:val="21"/>
                    </w:rPr>
                    <w:t>1075</w:t>
                  </w:r>
                </w:p>
              </w:tc>
              <w:tc>
                <w:tcPr>
                  <w:tcW w:w="521" w:type="pct"/>
                  <w:vAlign w:val="center"/>
                </w:tcPr>
                <w:p>
                  <w:pPr>
                    <w:jc w:val="center"/>
                    <w:rPr>
                      <w:szCs w:val="21"/>
                    </w:rPr>
                  </w:pPr>
                  <w:r>
                    <w:rPr>
                      <w:rFonts w:hint="eastAsia"/>
                      <w:szCs w:val="21"/>
                    </w:rPr>
                    <w:t>1264</w:t>
                  </w:r>
                </w:p>
              </w:tc>
              <w:tc>
                <w:tcPr>
                  <w:tcW w:w="521" w:type="pct"/>
                  <w:vAlign w:val="center"/>
                </w:tcPr>
                <w:p>
                  <w:pPr>
                    <w:jc w:val="center"/>
                    <w:rPr>
                      <w:szCs w:val="21"/>
                    </w:rPr>
                  </w:pPr>
                  <w:r>
                    <w:rPr>
                      <w:rFonts w:hint="eastAsia"/>
                      <w:szCs w:val="21"/>
                    </w:rPr>
                    <w:t>1838</w:t>
                  </w:r>
                </w:p>
              </w:tc>
              <w:tc>
                <w:tcPr>
                  <w:tcW w:w="521" w:type="pct"/>
                  <w:vAlign w:val="center"/>
                </w:tcPr>
                <w:p>
                  <w:pPr>
                    <w:jc w:val="center"/>
                    <w:rPr>
                      <w:szCs w:val="21"/>
                    </w:rPr>
                  </w:pPr>
                  <w:r>
                    <w:rPr>
                      <w:rFonts w:hint="eastAsia"/>
                      <w:szCs w:val="21"/>
                    </w:rPr>
                    <w:t>963</w:t>
                  </w:r>
                </w:p>
              </w:tc>
              <w:tc>
                <w:tcPr>
                  <w:tcW w:w="521" w:type="pct"/>
                  <w:vAlign w:val="center"/>
                </w:tcPr>
                <w:p>
                  <w:pPr>
                    <w:jc w:val="center"/>
                    <w:rPr>
                      <w:szCs w:val="21"/>
                    </w:rPr>
                  </w:pPr>
                  <w:r>
                    <w:rPr>
                      <w:rFonts w:hint="eastAsia"/>
                      <w:szCs w:val="21"/>
                    </w:rPr>
                    <w:t>570</w:t>
                  </w:r>
                </w:p>
              </w:tc>
              <w:tc>
                <w:tcPr>
                  <w:tcW w:w="521" w:type="pct"/>
                  <w:vAlign w:val="center"/>
                </w:tcPr>
                <w:p>
                  <w:pPr>
                    <w:jc w:val="center"/>
                    <w:rPr>
                      <w:szCs w:val="21"/>
                    </w:rPr>
                  </w:pPr>
                  <w:r>
                    <w:rPr>
                      <w:rFonts w:hint="eastAsia"/>
                      <w:szCs w:val="21"/>
                    </w:rPr>
                    <w:t>1213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模压机5</w:t>
                  </w:r>
                </w:p>
              </w:tc>
              <w:tc>
                <w:tcPr>
                  <w:tcW w:w="501" w:type="pct"/>
                  <w:vAlign w:val="center"/>
                </w:tcPr>
                <w:p>
                  <w:pPr>
                    <w:jc w:val="center"/>
                    <w:rPr>
                      <w:szCs w:val="21"/>
                    </w:rPr>
                  </w:pPr>
                  <w:r>
                    <w:rPr>
                      <w:rFonts w:hint="eastAsia"/>
                      <w:szCs w:val="21"/>
                    </w:rPr>
                    <w:t>400</w:t>
                  </w:r>
                </w:p>
              </w:tc>
              <w:tc>
                <w:tcPr>
                  <w:tcW w:w="426" w:type="pct"/>
                  <w:vAlign w:val="center"/>
                </w:tcPr>
                <w:p>
                  <w:pPr>
                    <w:jc w:val="center"/>
                    <w:rPr>
                      <w:szCs w:val="21"/>
                    </w:rPr>
                  </w:pPr>
                  <w:r>
                    <w:rPr>
                      <w:rFonts w:hint="eastAsia"/>
                      <w:szCs w:val="21"/>
                    </w:rPr>
                    <w:t>917</w:t>
                  </w:r>
                </w:p>
              </w:tc>
              <w:tc>
                <w:tcPr>
                  <w:tcW w:w="279" w:type="pct"/>
                  <w:vAlign w:val="center"/>
                </w:tcPr>
                <w:p>
                  <w:pPr>
                    <w:jc w:val="center"/>
                    <w:rPr>
                      <w:szCs w:val="21"/>
                    </w:rPr>
                  </w:pPr>
                  <w:r>
                    <w:rPr>
                      <w:rFonts w:hint="eastAsia"/>
                      <w:szCs w:val="21"/>
                    </w:rPr>
                    <w:t>968</w:t>
                  </w:r>
                </w:p>
              </w:tc>
              <w:tc>
                <w:tcPr>
                  <w:tcW w:w="284" w:type="pct"/>
                  <w:vAlign w:val="center"/>
                </w:tcPr>
                <w:p>
                  <w:pPr>
                    <w:jc w:val="center"/>
                    <w:rPr>
                      <w:szCs w:val="21"/>
                    </w:rPr>
                  </w:pPr>
                  <w:r>
                    <w:rPr>
                      <w:rFonts w:hint="eastAsia"/>
                      <w:szCs w:val="21"/>
                    </w:rPr>
                    <w:t>1086</w:t>
                  </w:r>
                </w:p>
              </w:tc>
              <w:tc>
                <w:tcPr>
                  <w:tcW w:w="521" w:type="pct"/>
                  <w:vAlign w:val="center"/>
                </w:tcPr>
                <w:p>
                  <w:pPr>
                    <w:jc w:val="center"/>
                    <w:rPr>
                      <w:szCs w:val="21"/>
                    </w:rPr>
                  </w:pPr>
                  <w:r>
                    <w:rPr>
                      <w:rFonts w:hint="eastAsia"/>
                      <w:szCs w:val="21"/>
                    </w:rPr>
                    <w:t>1276</w:t>
                  </w:r>
                </w:p>
              </w:tc>
              <w:tc>
                <w:tcPr>
                  <w:tcW w:w="521" w:type="pct"/>
                  <w:vAlign w:val="center"/>
                </w:tcPr>
                <w:p>
                  <w:pPr>
                    <w:jc w:val="center"/>
                    <w:rPr>
                      <w:szCs w:val="21"/>
                    </w:rPr>
                  </w:pPr>
                  <w:r>
                    <w:rPr>
                      <w:rFonts w:hint="eastAsia"/>
                      <w:szCs w:val="21"/>
                    </w:rPr>
                    <w:t>1849</w:t>
                  </w:r>
                </w:p>
              </w:tc>
              <w:tc>
                <w:tcPr>
                  <w:tcW w:w="521" w:type="pct"/>
                  <w:vAlign w:val="center"/>
                </w:tcPr>
                <w:p>
                  <w:pPr>
                    <w:jc w:val="center"/>
                    <w:rPr>
                      <w:szCs w:val="21"/>
                    </w:rPr>
                  </w:pPr>
                  <w:r>
                    <w:rPr>
                      <w:rFonts w:hint="eastAsia"/>
                      <w:szCs w:val="21"/>
                    </w:rPr>
                    <w:t>972</w:t>
                  </w:r>
                </w:p>
              </w:tc>
              <w:tc>
                <w:tcPr>
                  <w:tcW w:w="521" w:type="pct"/>
                  <w:vAlign w:val="center"/>
                </w:tcPr>
                <w:p>
                  <w:pPr>
                    <w:jc w:val="center"/>
                    <w:rPr>
                      <w:szCs w:val="21"/>
                    </w:rPr>
                  </w:pPr>
                  <w:r>
                    <w:rPr>
                      <w:rFonts w:hint="eastAsia"/>
                      <w:szCs w:val="21"/>
                    </w:rPr>
                    <w:t>561</w:t>
                  </w:r>
                </w:p>
              </w:tc>
              <w:tc>
                <w:tcPr>
                  <w:tcW w:w="521" w:type="pct"/>
                  <w:vAlign w:val="center"/>
                </w:tcPr>
                <w:p>
                  <w:pPr>
                    <w:jc w:val="center"/>
                    <w:rPr>
                      <w:szCs w:val="21"/>
                    </w:rPr>
                  </w:pPr>
                  <w:r>
                    <w:rPr>
                      <w:rFonts w:hint="eastAsia"/>
                      <w:szCs w:val="21"/>
                    </w:rPr>
                    <w:t>1203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模压机6</w:t>
                  </w:r>
                </w:p>
              </w:tc>
              <w:tc>
                <w:tcPr>
                  <w:tcW w:w="501" w:type="pct"/>
                  <w:vAlign w:val="center"/>
                </w:tcPr>
                <w:p>
                  <w:pPr>
                    <w:jc w:val="center"/>
                    <w:rPr>
                      <w:szCs w:val="21"/>
                    </w:rPr>
                  </w:pPr>
                  <w:r>
                    <w:rPr>
                      <w:rFonts w:hint="eastAsia"/>
                      <w:szCs w:val="21"/>
                    </w:rPr>
                    <w:t>372</w:t>
                  </w:r>
                </w:p>
              </w:tc>
              <w:tc>
                <w:tcPr>
                  <w:tcW w:w="426" w:type="pct"/>
                  <w:vAlign w:val="center"/>
                </w:tcPr>
                <w:p>
                  <w:pPr>
                    <w:jc w:val="center"/>
                    <w:rPr>
                      <w:szCs w:val="21"/>
                    </w:rPr>
                  </w:pPr>
                  <w:r>
                    <w:rPr>
                      <w:rFonts w:hint="eastAsia"/>
                      <w:szCs w:val="21"/>
                    </w:rPr>
                    <w:t>967</w:t>
                  </w:r>
                </w:p>
              </w:tc>
              <w:tc>
                <w:tcPr>
                  <w:tcW w:w="279" w:type="pct"/>
                  <w:vAlign w:val="center"/>
                </w:tcPr>
                <w:p>
                  <w:pPr>
                    <w:jc w:val="center"/>
                    <w:rPr>
                      <w:szCs w:val="21"/>
                    </w:rPr>
                  </w:pPr>
                  <w:r>
                    <w:rPr>
                      <w:rFonts w:hint="eastAsia"/>
                      <w:szCs w:val="21"/>
                    </w:rPr>
                    <w:t>1012</w:t>
                  </w:r>
                </w:p>
              </w:tc>
              <w:tc>
                <w:tcPr>
                  <w:tcW w:w="284" w:type="pct"/>
                  <w:vAlign w:val="center"/>
                </w:tcPr>
                <w:p>
                  <w:pPr>
                    <w:jc w:val="center"/>
                    <w:rPr>
                      <w:szCs w:val="21"/>
                    </w:rPr>
                  </w:pPr>
                  <w:r>
                    <w:rPr>
                      <w:rFonts w:hint="eastAsia"/>
                      <w:szCs w:val="21"/>
                    </w:rPr>
                    <w:t>1048</w:t>
                  </w:r>
                </w:p>
              </w:tc>
              <w:tc>
                <w:tcPr>
                  <w:tcW w:w="521" w:type="pct"/>
                  <w:vAlign w:val="center"/>
                </w:tcPr>
                <w:p>
                  <w:pPr>
                    <w:jc w:val="center"/>
                    <w:rPr>
                      <w:szCs w:val="21"/>
                    </w:rPr>
                  </w:pPr>
                  <w:r>
                    <w:rPr>
                      <w:rFonts w:hint="eastAsia"/>
                      <w:szCs w:val="21"/>
                    </w:rPr>
                    <w:t>1231</w:t>
                  </w:r>
                </w:p>
              </w:tc>
              <w:tc>
                <w:tcPr>
                  <w:tcW w:w="521" w:type="pct"/>
                  <w:vAlign w:val="center"/>
                </w:tcPr>
                <w:p>
                  <w:pPr>
                    <w:jc w:val="center"/>
                    <w:rPr>
                      <w:szCs w:val="21"/>
                    </w:rPr>
                  </w:pPr>
                  <w:r>
                    <w:rPr>
                      <w:rFonts w:hint="eastAsia"/>
                      <w:szCs w:val="21"/>
                    </w:rPr>
                    <w:t>1800</w:t>
                  </w:r>
                </w:p>
              </w:tc>
              <w:tc>
                <w:tcPr>
                  <w:tcW w:w="521" w:type="pct"/>
                  <w:vAlign w:val="center"/>
                </w:tcPr>
                <w:p>
                  <w:pPr>
                    <w:jc w:val="center"/>
                    <w:rPr>
                      <w:szCs w:val="21"/>
                    </w:rPr>
                  </w:pPr>
                  <w:r>
                    <w:rPr>
                      <w:rFonts w:hint="eastAsia"/>
                      <w:szCs w:val="21"/>
                    </w:rPr>
                    <w:t>946</w:t>
                  </w:r>
                </w:p>
              </w:tc>
              <w:tc>
                <w:tcPr>
                  <w:tcW w:w="521" w:type="pct"/>
                  <w:vAlign w:val="center"/>
                </w:tcPr>
                <w:p>
                  <w:pPr>
                    <w:jc w:val="center"/>
                    <w:rPr>
                      <w:szCs w:val="21"/>
                    </w:rPr>
                  </w:pPr>
                  <w:r>
                    <w:rPr>
                      <w:rFonts w:hint="eastAsia"/>
                      <w:szCs w:val="21"/>
                    </w:rPr>
                    <w:t>583</w:t>
                  </w:r>
                </w:p>
              </w:tc>
              <w:tc>
                <w:tcPr>
                  <w:tcW w:w="521" w:type="pct"/>
                  <w:vAlign w:val="center"/>
                </w:tcPr>
                <w:p>
                  <w:pPr>
                    <w:jc w:val="center"/>
                    <w:rPr>
                      <w:szCs w:val="21"/>
                    </w:rPr>
                  </w:pPr>
                  <w:r>
                    <w:rPr>
                      <w:rFonts w:hint="eastAsia"/>
                      <w:szCs w:val="21"/>
                    </w:rPr>
                    <w:t>1250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模压机7</w:t>
                  </w:r>
                </w:p>
              </w:tc>
              <w:tc>
                <w:tcPr>
                  <w:tcW w:w="501" w:type="pct"/>
                  <w:vAlign w:val="center"/>
                </w:tcPr>
                <w:p>
                  <w:pPr>
                    <w:jc w:val="center"/>
                    <w:rPr>
                      <w:szCs w:val="21"/>
                    </w:rPr>
                  </w:pPr>
                  <w:r>
                    <w:rPr>
                      <w:rFonts w:hint="eastAsia"/>
                      <w:szCs w:val="21"/>
                    </w:rPr>
                    <w:t>380</w:t>
                  </w:r>
                </w:p>
              </w:tc>
              <w:tc>
                <w:tcPr>
                  <w:tcW w:w="426" w:type="pct"/>
                  <w:vAlign w:val="center"/>
                </w:tcPr>
                <w:p>
                  <w:pPr>
                    <w:jc w:val="center"/>
                    <w:rPr>
                      <w:szCs w:val="21"/>
                    </w:rPr>
                  </w:pPr>
                  <w:r>
                    <w:rPr>
                      <w:rFonts w:hint="eastAsia"/>
                      <w:szCs w:val="21"/>
                    </w:rPr>
                    <w:t>939</w:t>
                  </w:r>
                </w:p>
              </w:tc>
              <w:tc>
                <w:tcPr>
                  <w:tcW w:w="279" w:type="pct"/>
                  <w:vAlign w:val="center"/>
                </w:tcPr>
                <w:p>
                  <w:pPr>
                    <w:jc w:val="center"/>
                    <w:rPr>
                      <w:szCs w:val="21"/>
                    </w:rPr>
                  </w:pPr>
                  <w:r>
                    <w:rPr>
                      <w:rFonts w:hint="eastAsia"/>
                      <w:szCs w:val="21"/>
                    </w:rPr>
                    <w:t>991</w:t>
                  </w:r>
                </w:p>
              </w:tc>
              <w:tc>
                <w:tcPr>
                  <w:tcW w:w="284" w:type="pct"/>
                  <w:vAlign w:val="center"/>
                </w:tcPr>
                <w:p>
                  <w:pPr>
                    <w:jc w:val="center"/>
                    <w:rPr>
                      <w:szCs w:val="21"/>
                    </w:rPr>
                  </w:pPr>
                  <w:r>
                    <w:rPr>
                      <w:rFonts w:hint="eastAsia"/>
                      <w:szCs w:val="21"/>
                    </w:rPr>
                    <w:t>1074</w:t>
                  </w:r>
                </w:p>
              </w:tc>
              <w:tc>
                <w:tcPr>
                  <w:tcW w:w="521" w:type="pct"/>
                  <w:vAlign w:val="center"/>
                </w:tcPr>
                <w:p>
                  <w:pPr>
                    <w:jc w:val="center"/>
                    <w:rPr>
                      <w:szCs w:val="21"/>
                    </w:rPr>
                  </w:pPr>
                  <w:r>
                    <w:rPr>
                      <w:rFonts w:hint="eastAsia"/>
                      <w:szCs w:val="21"/>
                    </w:rPr>
                    <w:t>1259</w:t>
                  </w:r>
                </w:p>
              </w:tc>
              <w:tc>
                <w:tcPr>
                  <w:tcW w:w="521" w:type="pct"/>
                  <w:vAlign w:val="center"/>
                </w:tcPr>
                <w:p>
                  <w:pPr>
                    <w:jc w:val="center"/>
                    <w:rPr>
                      <w:szCs w:val="21"/>
                    </w:rPr>
                  </w:pPr>
                  <w:r>
                    <w:rPr>
                      <w:rFonts w:hint="eastAsia"/>
                      <w:szCs w:val="21"/>
                    </w:rPr>
                    <w:t>1828</w:t>
                  </w:r>
                </w:p>
              </w:tc>
              <w:tc>
                <w:tcPr>
                  <w:tcW w:w="521" w:type="pct"/>
                  <w:vAlign w:val="center"/>
                </w:tcPr>
                <w:p>
                  <w:pPr>
                    <w:jc w:val="center"/>
                    <w:rPr>
                      <w:szCs w:val="21"/>
                    </w:rPr>
                  </w:pPr>
                  <w:r>
                    <w:rPr>
                      <w:rFonts w:hint="eastAsia"/>
                      <w:szCs w:val="21"/>
                    </w:rPr>
                    <w:t>967</w:t>
                  </w:r>
                </w:p>
              </w:tc>
              <w:tc>
                <w:tcPr>
                  <w:tcW w:w="521" w:type="pct"/>
                  <w:vAlign w:val="center"/>
                </w:tcPr>
                <w:p>
                  <w:pPr>
                    <w:jc w:val="center"/>
                    <w:rPr>
                      <w:szCs w:val="21"/>
                    </w:rPr>
                  </w:pPr>
                  <w:r>
                    <w:rPr>
                      <w:rFonts w:hint="eastAsia"/>
                      <w:szCs w:val="21"/>
                    </w:rPr>
                    <w:t>563</w:t>
                  </w:r>
                </w:p>
              </w:tc>
              <w:tc>
                <w:tcPr>
                  <w:tcW w:w="521" w:type="pct"/>
                  <w:vAlign w:val="center"/>
                </w:tcPr>
                <w:p>
                  <w:pPr>
                    <w:jc w:val="center"/>
                    <w:rPr>
                      <w:szCs w:val="21"/>
                    </w:rPr>
                  </w:pPr>
                  <w:r>
                    <w:rPr>
                      <w:rFonts w:hint="eastAsia"/>
                      <w:szCs w:val="21"/>
                    </w:rPr>
                    <w:t>1227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模压机8</w:t>
                  </w:r>
                </w:p>
              </w:tc>
              <w:tc>
                <w:tcPr>
                  <w:tcW w:w="501" w:type="pct"/>
                  <w:vAlign w:val="center"/>
                </w:tcPr>
                <w:p>
                  <w:pPr>
                    <w:jc w:val="center"/>
                    <w:rPr>
                      <w:szCs w:val="21"/>
                    </w:rPr>
                  </w:pPr>
                  <w:r>
                    <w:rPr>
                      <w:rFonts w:hint="eastAsia"/>
                      <w:szCs w:val="21"/>
                    </w:rPr>
                    <w:t>367</w:t>
                  </w:r>
                </w:p>
              </w:tc>
              <w:tc>
                <w:tcPr>
                  <w:tcW w:w="426" w:type="pct"/>
                  <w:vAlign w:val="center"/>
                </w:tcPr>
                <w:p>
                  <w:pPr>
                    <w:jc w:val="center"/>
                    <w:rPr>
                      <w:szCs w:val="21"/>
                    </w:rPr>
                  </w:pPr>
                  <w:r>
                    <w:rPr>
                      <w:rFonts w:hint="eastAsia"/>
                      <w:szCs w:val="21"/>
                    </w:rPr>
                    <w:t>941</w:t>
                  </w:r>
                </w:p>
              </w:tc>
              <w:tc>
                <w:tcPr>
                  <w:tcW w:w="279" w:type="pct"/>
                  <w:vAlign w:val="center"/>
                </w:tcPr>
                <w:p>
                  <w:pPr>
                    <w:jc w:val="center"/>
                    <w:rPr>
                      <w:szCs w:val="21"/>
                    </w:rPr>
                  </w:pPr>
                  <w:r>
                    <w:rPr>
                      <w:rFonts w:hint="eastAsia"/>
                      <w:szCs w:val="21"/>
                    </w:rPr>
                    <w:t>1001</w:t>
                  </w:r>
                </w:p>
              </w:tc>
              <w:tc>
                <w:tcPr>
                  <w:tcW w:w="284" w:type="pct"/>
                  <w:vAlign w:val="center"/>
                </w:tcPr>
                <w:p>
                  <w:pPr>
                    <w:jc w:val="center"/>
                    <w:rPr>
                      <w:szCs w:val="21"/>
                    </w:rPr>
                  </w:pPr>
                  <w:r>
                    <w:rPr>
                      <w:rFonts w:hint="eastAsia"/>
                      <w:szCs w:val="21"/>
                    </w:rPr>
                    <w:t>1080</w:t>
                  </w:r>
                </w:p>
              </w:tc>
              <w:tc>
                <w:tcPr>
                  <w:tcW w:w="521" w:type="pct"/>
                  <w:vAlign w:val="center"/>
                </w:tcPr>
                <w:p>
                  <w:pPr>
                    <w:jc w:val="center"/>
                    <w:rPr>
                      <w:szCs w:val="21"/>
                    </w:rPr>
                  </w:pPr>
                  <w:r>
                    <w:rPr>
                      <w:rFonts w:hint="eastAsia"/>
                      <w:szCs w:val="21"/>
                    </w:rPr>
                    <w:t>1262</w:t>
                  </w:r>
                </w:p>
              </w:tc>
              <w:tc>
                <w:tcPr>
                  <w:tcW w:w="521" w:type="pct"/>
                  <w:vAlign w:val="center"/>
                </w:tcPr>
                <w:p>
                  <w:pPr>
                    <w:jc w:val="center"/>
                    <w:rPr>
                      <w:szCs w:val="21"/>
                    </w:rPr>
                  </w:pPr>
                  <w:r>
                    <w:rPr>
                      <w:rFonts w:hint="eastAsia"/>
                      <w:szCs w:val="21"/>
                    </w:rPr>
                    <w:t>1826</w:t>
                  </w:r>
                </w:p>
              </w:tc>
              <w:tc>
                <w:tcPr>
                  <w:tcW w:w="521" w:type="pct"/>
                  <w:vAlign w:val="center"/>
                </w:tcPr>
                <w:p>
                  <w:pPr>
                    <w:jc w:val="center"/>
                    <w:rPr>
                      <w:szCs w:val="21"/>
                    </w:rPr>
                  </w:pPr>
                  <w:r>
                    <w:rPr>
                      <w:rFonts w:hint="eastAsia"/>
                      <w:szCs w:val="21"/>
                    </w:rPr>
                    <w:t>977</w:t>
                  </w:r>
                </w:p>
              </w:tc>
              <w:tc>
                <w:tcPr>
                  <w:tcW w:w="521" w:type="pct"/>
                  <w:vAlign w:val="center"/>
                </w:tcPr>
                <w:p>
                  <w:pPr>
                    <w:jc w:val="center"/>
                    <w:rPr>
                      <w:szCs w:val="21"/>
                    </w:rPr>
                  </w:pPr>
                  <w:r>
                    <w:rPr>
                      <w:rFonts w:hint="eastAsia"/>
                      <w:szCs w:val="21"/>
                    </w:rPr>
                    <w:t>553</w:t>
                  </w:r>
                </w:p>
              </w:tc>
              <w:tc>
                <w:tcPr>
                  <w:tcW w:w="521" w:type="pct"/>
                  <w:vAlign w:val="center"/>
                </w:tcPr>
                <w:p>
                  <w:pPr>
                    <w:jc w:val="center"/>
                    <w:rPr>
                      <w:szCs w:val="21"/>
                    </w:rPr>
                  </w:pPr>
                  <w:r>
                    <w:rPr>
                      <w:rFonts w:hint="eastAsia"/>
                      <w:szCs w:val="21"/>
                    </w:rPr>
                    <w:t>1235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模压机9</w:t>
                  </w:r>
                </w:p>
              </w:tc>
              <w:tc>
                <w:tcPr>
                  <w:tcW w:w="501" w:type="pct"/>
                  <w:vAlign w:val="center"/>
                </w:tcPr>
                <w:p>
                  <w:pPr>
                    <w:jc w:val="center"/>
                    <w:rPr>
                      <w:szCs w:val="21"/>
                    </w:rPr>
                  </w:pPr>
                  <w:r>
                    <w:rPr>
                      <w:rFonts w:hint="eastAsia"/>
                      <w:szCs w:val="21"/>
                    </w:rPr>
                    <w:t>350</w:t>
                  </w:r>
                </w:p>
              </w:tc>
              <w:tc>
                <w:tcPr>
                  <w:tcW w:w="426" w:type="pct"/>
                  <w:vAlign w:val="center"/>
                </w:tcPr>
                <w:p>
                  <w:pPr>
                    <w:jc w:val="center"/>
                    <w:rPr>
                      <w:szCs w:val="21"/>
                    </w:rPr>
                  </w:pPr>
                  <w:r>
                    <w:rPr>
                      <w:rFonts w:hint="eastAsia"/>
                      <w:szCs w:val="21"/>
                    </w:rPr>
                    <w:t>944</w:t>
                  </w:r>
                </w:p>
              </w:tc>
              <w:tc>
                <w:tcPr>
                  <w:tcW w:w="279" w:type="pct"/>
                  <w:vAlign w:val="center"/>
                </w:tcPr>
                <w:p>
                  <w:pPr>
                    <w:jc w:val="center"/>
                    <w:rPr>
                      <w:szCs w:val="21"/>
                    </w:rPr>
                  </w:pPr>
                  <w:r>
                    <w:rPr>
                      <w:rFonts w:hint="eastAsia"/>
                      <w:szCs w:val="21"/>
                    </w:rPr>
                    <w:t>1014</w:t>
                  </w:r>
                </w:p>
              </w:tc>
              <w:tc>
                <w:tcPr>
                  <w:tcW w:w="284" w:type="pct"/>
                  <w:vAlign w:val="center"/>
                </w:tcPr>
                <w:p>
                  <w:pPr>
                    <w:jc w:val="center"/>
                    <w:rPr>
                      <w:szCs w:val="21"/>
                    </w:rPr>
                  </w:pPr>
                  <w:r>
                    <w:rPr>
                      <w:rFonts w:hint="eastAsia"/>
                      <w:szCs w:val="21"/>
                    </w:rPr>
                    <w:t>1088</w:t>
                  </w:r>
                </w:p>
              </w:tc>
              <w:tc>
                <w:tcPr>
                  <w:tcW w:w="521" w:type="pct"/>
                  <w:vAlign w:val="center"/>
                </w:tcPr>
                <w:p>
                  <w:pPr>
                    <w:jc w:val="center"/>
                    <w:rPr>
                      <w:szCs w:val="21"/>
                    </w:rPr>
                  </w:pPr>
                  <w:r>
                    <w:rPr>
                      <w:rFonts w:hint="eastAsia"/>
                      <w:szCs w:val="21"/>
                    </w:rPr>
                    <w:t>1266</w:t>
                  </w:r>
                </w:p>
              </w:tc>
              <w:tc>
                <w:tcPr>
                  <w:tcW w:w="521" w:type="pct"/>
                  <w:vAlign w:val="center"/>
                </w:tcPr>
                <w:p>
                  <w:pPr>
                    <w:jc w:val="center"/>
                    <w:rPr>
                      <w:szCs w:val="21"/>
                    </w:rPr>
                  </w:pPr>
                  <w:r>
                    <w:rPr>
                      <w:rFonts w:hint="eastAsia"/>
                      <w:szCs w:val="21"/>
                    </w:rPr>
                    <w:t>1825</w:t>
                  </w:r>
                </w:p>
              </w:tc>
              <w:tc>
                <w:tcPr>
                  <w:tcW w:w="521" w:type="pct"/>
                  <w:vAlign w:val="center"/>
                </w:tcPr>
                <w:p>
                  <w:pPr>
                    <w:jc w:val="center"/>
                    <w:rPr>
                      <w:szCs w:val="21"/>
                    </w:rPr>
                  </w:pPr>
                  <w:r>
                    <w:rPr>
                      <w:rFonts w:hint="eastAsia"/>
                      <w:szCs w:val="21"/>
                    </w:rPr>
                    <w:t>989</w:t>
                  </w:r>
                </w:p>
              </w:tc>
              <w:tc>
                <w:tcPr>
                  <w:tcW w:w="521" w:type="pct"/>
                  <w:vAlign w:val="center"/>
                </w:tcPr>
                <w:p>
                  <w:pPr>
                    <w:jc w:val="center"/>
                    <w:rPr>
                      <w:szCs w:val="21"/>
                    </w:rPr>
                  </w:pPr>
                  <w:r>
                    <w:rPr>
                      <w:rFonts w:hint="eastAsia"/>
                      <w:szCs w:val="21"/>
                    </w:rPr>
                    <w:t>539</w:t>
                  </w:r>
                </w:p>
              </w:tc>
              <w:tc>
                <w:tcPr>
                  <w:tcW w:w="521" w:type="pct"/>
                  <w:vAlign w:val="center"/>
                </w:tcPr>
                <w:p>
                  <w:pPr>
                    <w:jc w:val="center"/>
                    <w:rPr>
                      <w:szCs w:val="21"/>
                    </w:rPr>
                  </w:pPr>
                  <w:r>
                    <w:rPr>
                      <w:rFonts w:hint="eastAsia"/>
                      <w:szCs w:val="21"/>
                    </w:rPr>
                    <w:t>1247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发泡机1</w:t>
                  </w:r>
                </w:p>
              </w:tc>
              <w:tc>
                <w:tcPr>
                  <w:tcW w:w="501" w:type="pct"/>
                  <w:vAlign w:val="center"/>
                </w:tcPr>
                <w:p>
                  <w:pPr>
                    <w:jc w:val="center"/>
                    <w:rPr>
                      <w:szCs w:val="21"/>
                    </w:rPr>
                  </w:pPr>
                  <w:r>
                    <w:rPr>
                      <w:rFonts w:hint="eastAsia"/>
                      <w:szCs w:val="21"/>
                    </w:rPr>
                    <w:t>406</w:t>
                  </w:r>
                </w:p>
              </w:tc>
              <w:tc>
                <w:tcPr>
                  <w:tcW w:w="426" w:type="pct"/>
                  <w:vAlign w:val="center"/>
                </w:tcPr>
                <w:p>
                  <w:pPr>
                    <w:jc w:val="center"/>
                    <w:rPr>
                      <w:szCs w:val="21"/>
                    </w:rPr>
                  </w:pPr>
                  <w:r>
                    <w:rPr>
                      <w:rFonts w:hint="eastAsia"/>
                      <w:szCs w:val="21"/>
                    </w:rPr>
                    <w:t>967</w:t>
                  </w:r>
                </w:p>
              </w:tc>
              <w:tc>
                <w:tcPr>
                  <w:tcW w:w="279" w:type="pct"/>
                  <w:vAlign w:val="center"/>
                </w:tcPr>
                <w:p>
                  <w:pPr>
                    <w:jc w:val="center"/>
                    <w:rPr>
                      <w:szCs w:val="21"/>
                    </w:rPr>
                  </w:pPr>
                  <w:r>
                    <w:rPr>
                      <w:rFonts w:hint="eastAsia"/>
                      <w:szCs w:val="21"/>
                    </w:rPr>
                    <w:t>985</w:t>
                  </w:r>
                </w:p>
              </w:tc>
              <w:tc>
                <w:tcPr>
                  <w:tcW w:w="284" w:type="pct"/>
                  <w:vAlign w:val="center"/>
                </w:tcPr>
                <w:p>
                  <w:pPr>
                    <w:jc w:val="center"/>
                    <w:rPr>
                      <w:szCs w:val="21"/>
                    </w:rPr>
                  </w:pPr>
                  <w:r>
                    <w:rPr>
                      <w:rFonts w:hint="eastAsia"/>
                      <w:szCs w:val="21"/>
                    </w:rPr>
                    <w:t>1037</w:t>
                  </w:r>
                </w:p>
              </w:tc>
              <w:tc>
                <w:tcPr>
                  <w:tcW w:w="521" w:type="pct"/>
                  <w:vAlign w:val="center"/>
                </w:tcPr>
                <w:p>
                  <w:pPr>
                    <w:jc w:val="center"/>
                    <w:rPr>
                      <w:szCs w:val="21"/>
                    </w:rPr>
                  </w:pPr>
                  <w:r>
                    <w:rPr>
                      <w:rFonts w:hint="eastAsia"/>
                      <w:szCs w:val="21"/>
                    </w:rPr>
                    <w:t>1220</w:t>
                  </w:r>
                </w:p>
              </w:tc>
              <w:tc>
                <w:tcPr>
                  <w:tcW w:w="521" w:type="pct"/>
                  <w:vAlign w:val="center"/>
                </w:tcPr>
                <w:p>
                  <w:pPr>
                    <w:jc w:val="center"/>
                    <w:rPr>
                      <w:szCs w:val="21"/>
                    </w:rPr>
                  </w:pPr>
                  <w:r>
                    <w:rPr>
                      <w:rFonts w:hint="eastAsia"/>
                      <w:szCs w:val="21"/>
                    </w:rPr>
                    <w:t>1800</w:t>
                  </w:r>
                </w:p>
              </w:tc>
              <w:tc>
                <w:tcPr>
                  <w:tcW w:w="521" w:type="pct"/>
                  <w:vAlign w:val="center"/>
                </w:tcPr>
                <w:p>
                  <w:pPr>
                    <w:jc w:val="center"/>
                    <w:rPr>
                      <w:szCs w:val="21"/>
                    </w:rPr>
                  </w:pPr>
                  <w:r>
                    <w:rPr>
                      <w:rFonts w:hint="eastAsia"/>
                      <w:szCs w:val="21"/>
                    </w:rPr>
                    <w:t>918</w:t>
                  </w:r>
                </w:p>
              </w:tc>
              <w:tc>
                <w:tcPr>
                  <w:tcW w:w="521" w:type="pct"/>
                  <w:vAlign w:val="center"/>
                </w:tcPr>
                <w:p>
                  <w:pPr>
                    <w:jc w:val="center"/>
                    <w:rPr>
                      <w:szCs w:val="21"/>
                    </w:rPr>
                  </w:pPr>
                  <w:r>
                    <w:rPr>
                      <w:rFonts w:hint="eastAsia"/>
                      <w:szCs w:val="21"/>
                    </w:rPr>
                    <w:t>612</w:t>
                  </w:r>
                </w:p>
              </w:tc>
              <w:tc>
                <w:tcPr>
                  <w:tcW w:w="521" w:type="pct"/>
                  <w:vAlign w:val="center"/>
                </w:tcPr>
                <w:p>
                  <w:pPr>
                    <w:jc w:val="center"/>
                    <w:rPr>
                      <w:szCs w:val="21"/>
                    </w:rPr>
                  </w:pPr>
                  <w:r>
                    <w:rPr>
                      <w:rFonts w:hint="eastAsia"/>
                      <w:szCs w:val="21"/>
                    </w:rPr>
                    <w:t>1235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发泡机2</w:t>
                  </w:r>
                </w:p>
              </w:tc>
              <w:tc>
                <w:tcPr>
                  <w:tcW w:w="501" w:type="pct"/>
                  <w:vAlign w:val="center"/>
                </w:tcPr>
                <w:p>
                  <w:pPr>
                    <w:jc w:val="center"/>
                    <w:rPr>
                      <w:szCs w:val="21"/>
                    </w:rPr>
                  </w:pPr>
                  <w:r>
                    <w:rPr>
                      <w:rFonts w:hint="eastAsia"/>
                      <w:szCs w:val="21"/>
                    </w:rPr>
                    <w:t>408</w:t>
                  </w:r>
                </w:p>
              </w:tc>
              <w:tc>
                <w:tcPr>
                  <w:tcW w:w="426" w:type="pct"/>
                  <w:vAlign w:val="center"/>
                </w:tcPr>
                <w:p>
                  <w:pPr>
                    <w:jc w:val="center"/>
                    <w:rPr>
                      <w:szCs w:val="21"/>
                    </w:rPr>
                  </w:pPr>
                  <w:r>
                    <w:rPr>
                      <w:rFonts w:hint="eastAsia"/>
                      <w:szCs w:val="21"/>
                    </w:rPr>
                    <w:t>959</w:t>
                  </w:r>
                </w:p>
              </w:tc>
              <w:tc>
                <w:tcPr>
                  <w:tcW w:w="279" w:type="pct"/>
                  <w:vAlign w:val="center"/>
                </w:tcPr>
                <w:p>
                  <w:pPr>
                    <w:jc w:val="center"/>
                    <w:rPr>
                      <w:szCs w:val="21"/>
                    </w:rPr>
                  </w:pPr>
                  <w:r>
                    <w:rPr>
                      <w:rFonts w:hint="eastAsia"/>
                      <w:szCs w:val="21"/>
                    </w:rPr>
                    <w:t>958</w:t>
                  </w:r>
                </w:p>
              </w:tc>
              <w:tc>
                <w:tcPr>
                  <w:tcW w:w="284" w:type="pct"/>
                  <w:vAlign w:val="center"/>
                </w:tcPr>
                <w:p>
                  <w:pPr>
                    <w:jc w:val="center"/>
                    <w:rPr>
                      <w:szCs w:val="21"/>
                    </w:rPr>
                  </w:pPr>
                  <w:r>
                    <w:rPr>
                      <w:rFonts w:hint="eastAsia"/>
                      <w:szCs w:val="21"/>
                    </w:rPr>
                    <w:t>1037</w:t>
                  </w:r>
                </w:p>
              </w:tc>
              <w:tc>
                <w:tcPr>
                  <w:tcW w:w="521" w:type="pct"/>
                  <w:vAlign w:val="center"/>
                </w:tcPr>
                <w:p>
                  <w:pPr>
                    <w:jc w:val="center"/>
                    <w:rPr>
                      <w:szCs w:val="21"/>
                    </w:rPr>
                  </w:pPr>
                  <w:r>
                    <w:rPr>
                      <w:rFonts w:hint="eastAsia"/>
                      <w:szCs w:val="21"/>
                    </w:rPr>
                    <w:t>1228</w:t>
                  </w:r>
                </w:p>
              </w:tc>
              <w:tc>
                <w:tcPr>
                  <w:tcW w:w="521" w:type="pct"/>
                  <w:vAlign w:val="center"/>
                </w:tcPr>
                <w:p>
                  <w:pPr>
                    <w:jc w:val="center"/>
                    <w:rPr>
                      <w:szCs w:val="21"/>
                    </w:rPr>
                  </w:pPr>
                  <w:r>
                    <w:rPr>
                      <w:rFonts w:hint="eastAsia"/>
                      <w:szCs w:val="21"/>
                    </w:rPr>
                    <w:t>1808</w:t>
                  </w:r>
                </w:p>
              </w:tc>
              <w:tc>
                <w:tcPr>
                  <w:tcW w:w="521" w:type="pct"/>
                  <w:vAlign w:val="center"/>
                </w:tcPr>
                <w:p>
                  <w:pPr>
                    <w:jc w:val="center"/>
                    <w:rPr>
                      <w:szCs w:val="21"/>
                    </w:rPr>
                  </w:pPr>
                  <w:r>
                    <w:rPr>
                      <w:rFonts w:hint="eastAsia"/>
                      <w:szCs w:val="21"/>
                    </w:rPr>
                    <w:t>926</w:t>
                  </w:r>
                </w:p>
              </w:tc>
              <w:tc>
                <w:tcPr>
                  <w:tcW w:w="521" w:type="pct"/>
                  <w:vAlign w:val="center"/>
                </w:tcPr>
                <w:p>
                  <w:pPr>
                    <w:jc w:val="center"/>
                    <w:rPr>
                      <w:szCs w:val="21"/>
                    </w:rPr>
                  </w:pPr>
                  <w:r>
                    <w:rPr>
                      <w:rFonts w:hint="eastAsia"/>
                      <w:szCs w:val="21"/>
                    </w:rPr>
                    <w:t>606</w:t>
                  </w:r>
                </w:p>
              </w:tc>
              <w:tc>
                <w:tcPr>
                  <w:tcW w:w="521" w:type="pct"/>
                  <w:vAlign w:val="center"/>
                </w:tcPr>
                <w:p>
                  <w:pPr>
                    <w:jc w:val="center"/>
                    <w:rPr>
                      <w:szCs w:val="21"/>
                    </w:rPr>
                  </w:pPr>
                  <w:r>
                    <w:rPr>
                      <w:rFonts w:hint="eastAsia"/>
                      <w:szCs w:val="21"/>
                    </w:rPr>
                    <w:t>1227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发泡机3</w:t>
                  </w:r>
                </w:p>
              </w:tc>
              <w:tc>
                <w:tcPr>
                  <w:tcW w:w="501" w:type="pct"/>
                  <w:vAlign w:val="center"/>
                </w:tcPr>
                <w:p>
                  <w:pPr>
                    <w:jc w:val="center"/>
                    <w:rPr>
                      <w:szCs w:val="21"/>
                    </w:rPr>
                  </w:pPr>
                  <w:r>
                    <w:rPr>
                      <w:rFonts w:hint="eastAsia"/>
                      <w:szCs w:val="21"/>
                    </w:rPr>
                    <w:t>410</w:t>
                  </w:r>
                </w:p>
              </w:tc>
              <w:tc>
                <w:tcPr>
                  <w:tcW w:w="426" w:type="pct"/>
                  <w:vAlign w:val="center"/>
                </w:tcPr>
                <w:p>
                  <w:pPr>
                    <w:jc w:val="center"/>
                    <w:rPr>
                      <w:szCs w:val="21"/>
                    </w:rPr>
                  </w:pPr>
                  <w:r>
                    <w:rPr>
                      <w:rFonts w:hint="eastAsia"/>
                      <w:szCs w:val="21"/>
                    </w:rPr>
                    <w:t>950</w:t>
                  </w:r>
                </w:p>
              </w:tc>
              <w:tc>
                <w:tcPr>
                  <w:tcW w:w="279" w:type="pct"/>
                  <w:vAlign w:val="center"/>
                </w:tcPr>
                <w:p>
                  <w:pPr>
                    <w:jc w:val="center"/>
                    <w:rPr>
                      <w:szCs w:val="21"/>
                    </w:rPr>
                  </w:pPr>
                  <w:r>
                    <w:rPr>
                      <w:rFonts w:hint="eastAsia"/>
                      <w:szCs w:val="21"/>
                    </w:rPr>
                    <w:t>978</w:t>
                  </w:r>
                </w:p>
              </w:tc>
              <w:tc>
                <w:tcPr>
                  <w:tcW w:w="284" w:type="pct"/>
                  <w:vAlign w:val="center"/>
                </w:tcPr>
                <w:p>
                  <w:pPr>
                    <w:jc w:val="center"/>
                    <w:rPr>
                      <w:szCs w:val="21"/>
                    </w:rPr>
                  </w:pPr>
                  <w:r>
                    <w:rPr>
                      <w:rFonts w:hint="eastAsia"/>
                      <w:szCs w:val="21"/>
                    </w:rPr>
                    <w:t>1045</w:t>
                  </w:r>
                </w:p>
              </w:tc>
              <w:tc>
                <w:tcPr>
                  <w:tcW w:w="521" w:type="pct"/>
                  <w:vAlign w:val="center"/>
                </w:tcPr>
                <w:p>
                  <w:pPr>
                    <w:jc w:val="center"/>
                    <w:rPr>
                      <w:szCs w:val="21"/>
                    </w:rPr>
                  </w:pPr>
                  <w:r>
                    <w:rPr>
                      <w:rFonts w:hint="eastAsia"/>
                      <w:szCs w:val="21"/>
                    </w:rPr>
                    <w:t>1237</w:t>
                  </w:r>
                </w:p>
              </w:tc>
              <w:tc>
                <w:tcPr>
                  <w:tcW w:w="521" w:type="pct"/>
                  <w:vAlign w:val="center"/>
                </w:tcPr>
                <w:p>
                  <w:pPr>
                    <w:jc w:val="center"/>
                    <w:rPr>
                      <w:szCs w:val="21"/>
                    </w:rPr>
                  </w:pPr>
                  <w:r>
                    <w:rPr>
                      <w:rFonts w:hint="eastAsia"/>
                      <w:szCs w:val="21"/>
                    </w:rPr>
                    <w:t>1814</w:t>
                  </w:r>
                </w:p>
              </w:tc>
              <w:tc>
                <w:tcPr>
                  <w:tcW w:w="521" w:type="pct"/>
                  <w:vAlign w:val="center"/>
                </w:tcPr>
                <w:p>
                  <w:pPr>
                    <w:jc w:val="center"/>
                    <w:rPr>
                      <w:szCs w:val="21"/>
                    </w:rPr>
                  </w:pPr>
                  <w:r>
                    <w:rPr>
                      <w:rFonts w:hint="eastAsia"/>
                      <w:szCs w:val="21"/>
                    </w:rPr>
                    <w:t>931</w:t>
                  </w:r>
                </w:p>
              </w:tc>
              <w:tc>
                <w:tcPr>
                  <w:tcW w:w="521" w:type="pct"/>
                  <w:vAlign w:val="center"/>
                </w:tcPr>
                <w:p>
                  <w:pPr>
                    <w:jc w:val="center"/>
                    <w:rPr>
                      <w:szCs w:val="21"/>
                    </w:rPr>
                  </w:pPr>
                  <w:r>
                    <w:rPr>
                      <w:rFonts w:hint="eastAsia"/>
                      <w:szCs w:val="21"/>
                    </w:rPr>
                    <w:t>601</w:t>
                  </w:r>
                </w:p>
              </w:tc>
              <w:tc>
                <w:tcPr>
                  <w:tcW w:w="521" w:type="pct"/>
                  <w:vAlign w:val="center"/>
                </w:tcPr>
                <w:p>
                  <w:pPr>
                    <w:jc w:val="center"/>
                    <w:rPr>
                      <w:szCs w:val="21"/>
                    </w:rPr>
                  </w:pPr>
                  <w:r>
                    <w:rPr>
                      <w:rFonts w:hint="eastAsia"/>
                      <w:szCs w:val="21"/>
                    </w:rPr>
                    <w:t>1221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发泡机4</w:t>
                  </w:r>
                </w:p>
              </w:tc>
              <w:tc>
                <w:tcPr>
                  <w:tcW w:w="501" w:type="pct"/>
                  <w:vAlign w:val="center"/>
                </w:tcPr>
                <w:p>
                  <w:pPr>
                    <w:jc w:val="center"/>
                    <w:rPr>
                      <w:szCs w:val="21"/>
                    </w:rPr>
                  </w:pPr>
                  <w:r>
                    <w:rPr>
                      <w:rFonts w:hint="eastAsia"/>
                      <w:szCs w:val="21"/>
                    </w:rPr>
                    <w:t>412</w:t>
                  </w:r>
                </w:p>
              </w:tc>
              <w:tc>
                <w:tcPr>
                  <w:tcW w:w="426" w:type="pct"/>
                  <w:vAlign w:val="center"/>
                </w:tcPr>
                <w:p>
                  <w:pPr>
                    <w:jc w:val="center"/>
                    <w:rPr>
                      <w:szCs w:val="21"/>
                    </w:rPr>
                  </w:pPr>
                  <w:r>
                    <w:rPr>
                      <w:rFonts w:hint="eastAsia"/>
                      <w:szCs w:val="21"/>
                    </w:rPr>
                    <w:t>941</w:t>
                  </w:r>
                </w:p>
              </w:tc>
              <w:tc>
                <w:tcPr>
                  <w:tcW w:w="279" w:type="pct"/>
                  <w:vAlign w:val="center"/>
                </w:tcPr>
                <w:p>
                  <w:pPr>
                    <w:jc w:val="center"/>
                    <w:rPr>
                      <w:szCs w:val="21"/>
                    </w:rPr>
                  </w:pPr>
                  <w:r>
                    <w:rPr>
                      <w:rFonts w:hint="eastAsia"/>
                      <w:szCs w:val="21"/>
                    </w:rPr>
                    <w:t>972</w:t>
                  </w:r>
                </w:p>
              </w:tc>
              <w:tc>
                <w:tcPr>
                  <w:tcW w:w="284" w:type="pct"/>
                  <w:vAlign w:val="center"/>
                </w:tcPr>
                <w:p>
                  <w:pPr>
                    <w:jc w:val="center"/>
                    <w:rPr>
                      <w:szCs w:val="21"/>
                    </w:rPr>
                  </w:pPr>
                  <w:r>
                    <w:rPr>
                      <w:rFonts w:hint="eastAsia"/>
                      <w:szCs w:val="21"/>
                    </w:rPr>
                    <w:t>1053</w:t>
                  </w:r>
                </w:p>
              </w:tc>
              <w:tc>
                <w:tcPr>
                  <w:tcW w:w="521" w:type="pct"/>
                  <w:vAlign w:val="center"/>
                </w:tcPr>
                <w:p>
                  <w:pPr>
                    <w:jc w:val="center"/>
                    <w:rPr>
                      <w:szCs w:val="21"/>
                    </w:rPr>
                  </w:pPr>
                  <w:r>
                    <w:rPr>
                      <w:rFonts w:hint="eastAsia"/>
                      <w:szCs w:val="21"/>
                    </w:rPr>
                    <w:t>1246</w:t>
                  </w:r>
                </w:p>
              </w:tc>
              <w:tc>
                <w:tcPr>
                  <w:tcW w:w="521" w:type="pct"/>
                  <w:vAlign w:val="center"/>
                </w:tcPr>
                <w:p>
                  <w:pPr>
                    <w:jc w:val="center"/>
                    <w:rPr>
                      <w:szCs w:val="21"/>
                    </w:rPr>
                  </w:pPr>
                  <w:r>
                    <w:rPr>
                      <w:rFonts w:hint="eastAsia"/>
                      <w:szCs w:val="21"/>
                    </w:rPr>
                    <w:t>1826</w:t>
                  </w:r>
                </w:p>
              </w:tc>
              <w:tc>
                <w:tcPr>
                  <w:tcW w:w="521" w:type="pct"/>
                  <w:vAlign w:val="center"/>
                </w:tcPr>
                <w:p>
                  <w:pPr>
                    <w:jc w:val="center"/>
                    <w:rPr>
                      <w:szCs w:val="21"/>
                    </w:rPr>
                  </w:pPr>
                  <w:r>
                    <w:rPr>
                      <w:rFonts w:hint="eastAsia"/>
                      <w:szCs w:val="21"/>
                    </w:rPr>
                    <w:t>938</w:t>
                  </w:r>
                </w:p>
              </w:tc>
              <w:tc>
                <w:tcPr>
                  <w:tcW w:w="521" w:type="pct"/>
                  <w:vAlign w:val="center"/>
                </w:tcPr>
                <w:p>
                  <w:pPr>
                    <w:jc w:val="center"/>
                    <w:rPr>
                      <w:szCs w:val="21"/>
                    </w:rPr>
                  </w:pPr>
                  <w:r>
                    <w:rPr>
                      <w:rFonts w:hint="eastAsia"/>
                      <w:szCs w:val="21"/>
                    </w:rPr>
                    <w:t>595</w:t>
                  </w:r>
                </w:p>
              </w:tc>
              <w:tc>
                <w:tcPr>
                  <w:tcW w:w="521" w:type="pct"/>
                  <w:vAlign w:val="center"/>
                </w:tcPr>
                <w:p>
                  <w:pPr>
                    <w:jc w:val="center"/>
                    <w:rPr>
                      <w:szCs w:val="21"/>
                    </w:rPr>
                  </w:pPr>
                  <w:r>
                    <w:rPr>
                      <w:rFonts w:hint="eastAsia"/>
                      <w:szCs w:val="21"/>
                    </w:rPr>
                    <w:t>1212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发泡机5</w:t>
                  </w:r>
                </w:p>
              </w:tc>
              <w:tc>
                <w:tcPr>
                  <w:tcW w:w="501" w:type="pct"/>
                  <w:vAlign w:val="center"/>
                </w:tcPr>
                <w:p>
                  <w:pPr>
                    <w:jc w:val="center"/>
                    <w:rPr>
                      <w:szCs w:val="21"/>
                    </w:rPr>
                  </w:pPr>
                  <w:r>
                    <w:rPr>
                      <w:rFonts w:hint="eastAsia"/>
                      <w:szCs w:val="21"/>
                    </w:rPr>
                    <w:t>415</w:t>
                  </w:r>
                </w:p>
              </w:tc>
              <w:tc>
                <w:tcPr>
                  <w:tcW w:w="426" w:type="pct"/>
                  <w:vAlign w:val="center"/>
                </w:tcPr>
                <w:p>
                  <w:pPr>
                    <w:jc w:val="center"/>
                    <w:rPr>
                      <w:szCs w:val="21"/>
                    </w:rPr>
                  </w:pPr>
                  <w:r>
                    <w:rPr>
                      <w:rFonts w:hint="eastAsia"/>
                      <w:szCs w:val="21"/>
                    </w:rPr>
                    <w:t>932</w:t>
                  </w:r>
                </w:p>
              </w:tc>
              <w:tc>
                <w:tcPr>
                  <w:tcW w:w="279" w:type="pct"/>
                  <w:vAlign w:val="center"/>
                </w:tcPr>
                <w:p>
                  <w:pPr>
                    <w:jc w:val="center"/>
                    <w:rPr>
                      <w:szCs w:val="21"/>
                    </w:rPr>
                  </w:pPr>
                  <w:r>
                    <w:rPr>
                      <w:rFonts w:hint="eastAsia"/>
                      <w:szCs w:val="21"/>
                    </w:rPr>
                    <w:t>965</w:t>
                  </w:r>
                </w:p>
              </w:tc>
              <w:tc>
                <w:tcPr>
                  <w:tcW w:w="284" w:type="pct"/>
                  <w:vAlign w:val="center"/>
                </w:tcPr>
                <w:p>
                  <w:pPr>
                    <w:jc w:val="center"/>
                    <w:rPr>
                      <w:szCs w:val="21"/>
                    </w:rPr>
                  </w:pPr>
                  <w:r>
                    <w:rPr>
                      <w:rFonts w:hint="eastAsia"/>
                      <w:szCs w:val="21"/>
                    </w:rPr>
                    <w:t>1061</w:t>
                  </w:r>
                </w:p>
              </w:tc>
              <w:tc>
                <w:tcPr>
                  <w:tcW w:w="521" w:type="pct"/>
                  <w:vAlign w:val="center"/>
                </w:tcPr>
                <w:p>
                  <w:pPr>
                    <w:jc w:val="center"/>
                    <w:rPr>
                      <w:szCs w:val="21"/>
                    </w:rPr>
                  </w:pPr>
                  <w:r>
                    <w:rPr>
                      <w:rFonts w:hint="eastAsia"/>
                      <w:szCs w:val="21"/>
                    </w:rPr>
                    <w:t>1255</w:t>
                  </w:r>
                </w:p>
              </w:tc>
              <w:tc>
                <w:tcPr>
                  <w:tcW w:w="521" w:type="pct"/>
                  <w:vAlign w:val="center"/>
                </w:tcPr>
                <w:p>
                  <w:pPr>
                    <w:jc w:val="center"/>
                    <w:rPr>
                      <w:szCs w:val="21"/>
                    </w:rPr>
                  </w:pPr>
                  <w:r>
                    <w:rPr>
                      <w:rFonts w:hint="eastAsia"/>
                      <w:szCs w:val="21"/>
                    </w:rPr>
                    <w:t>1834</w:t>
                  </w:r>
                </w:p>
              </w:tc>
              <w:tc>
                <w:tcPr>
                  <w:tcW w:w="521" w:type="pct"/>
                  <w:vAlign w:val="center"/>
                </w:tcPr>
                <w:p>
                  <w:pPr>
                    <w:jc w:val="center"/>
                    <w:rPr>
                      <w:szCs w:val="21"/>
                    </w:rPr>
                  </w:pPr>
                  <w:r>
                    <w:rPr>
                      <w:rFonts w:hint="eastAsia"/>
                      <w:szCs w:val="21"/>
                    </w:rPr>
                    <w:t>944</w:t>
                  </w:r>
                </w:p>
              </w:tc>
              <w:tc>
                <w:tcPr>
                  <w:tcW w:w="521" w:type="pct"/>
                  <w:vAlign w:val="center"/>
                </w:tcPr>
                <w:p>
                  <w:pPr>
                    <w:jc w:val="center"/>
                    <w:rPr>
                      <w:szCs w:val="21"/>
                    </w:rPr>
                  </w:pPr>
                  <w:r>
                    <w:rPr>
                      <w:rFonts w:hint="eastAsia"/>
                      <w:szCs w:val="21"/>
                    </w:rPr>
                    <w:t>590</w:t>
                  </w:r>
                </w:p>
              </w:tc>
              <w:tc>
                <w:tcPr>
                  <w:tcW w:w="521" w:type="pct"/>
                  <w:vAlign w:val="center"/>
                </w:tcPr>
                <w:p>
                  <w:pPr>
                    <w:jc w:val="center"/>
                    <w:rPr>
                      <w:szCs w:val="21"/>
                    </w:rPr>
                  </w:pPr>
                  <w:r>
                    <w:rPr>
                      <w:rFonts w:hint="eastAsia"/>
                      <w:szCs w:val="21"/>
                    </w:rPr>
                    <w:t>1204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发泡机6</w:t>
                  </w:r>
                </w:p>
              </w:tc>
              <w:tc>
                <w:tcPr>
                  <w:tcW w:w="501" w:type="pct"/>
                  <w:vAlign w:val="center"/>
                </w:tcPr>
                <w:p>
                  <w:pPr>
                    <w:jc w:val="center"/>
                    <w:rPr>
                      <w:szCs w:val="21"/>
                    </w:rPr>
                  </w:pPr>
                  <w:r>
                    <w:rPr>
                      <w:rFonts w:hint="eastAsia"/>
                      <w:szCs w:val="21"/>
                    </w:rPr>
                    <w:t>417</w:t>
                  </w:r>
                </w:p>
              </w:tc>
              <w:tc>
                <w:tcPr>
                  <w:tcW w:w="426" w:type="pct"/>
                  <w:vAlign w:val="center"/>
                </w:tcPr>
                <w:p>
                  <w:pPr>
                    <w:jc w:val="center"/>
                    <w:rPr>
                      <w:szCs w:val="21"/>
                    </w:rPr>
                  </w:pPr>
                  <w:r>
                    <w:rPr>
                      <w:rFonts w:hint="eastAsia"/>
                      <w:szCs w:val="21"/>
                    </w:rPr>
                    <w:t>924</w:t>
                  </w:r>
                </w:p>
              </w:tc>
              <w:tc>
                <w:tcPr>
                  <w:tcW w:w="279" w:type="pct"/>
                  <w:vAlign w:val="center"/>
                </w:tcPr>
                <w:p>
                  <w:pPr>
                    <w:jc w:val="center"/>
                    <w:rPr>
                      <w:szCs w:val="21"/>
                    </w:rPr>
                  </w:pPr>
                  <w:r>
                    <w:rPr>
                      <w:rFonts w:hint="eastAsia"/>
                      <w:szCs w:val="21"/>
                    </w:rPr>
                    <w:t>959</w:t>
                  </w:r>
                </w:p>
              </w:tc>
              <w:tc>
                <w:tcPr>
                  <w:tcW w:w="284" w:type="pct"/>
                  <w:vAlign w:val="center"/>
                </w:tcPr>
                <w:p>
                  <w:pPr>
                    <w:jc w:val="center"/>
                    <w:rPr>
                      <w:szCs w:val="21"/>
                    </w:rPr>
                  </w:pPr>
                  <w:r>
                    <w:rPr>
                      <w:rFonts w:hint="eastAsia"/>
                      <w:szCs w:val="21"/>
                    </w:rPr>
                    <w:t>1069</w:t>
                  </w:r>
                </w:p>
              </w:tc>
              <w:tc>
                <w:tcPr>
                  <w:tcW w:w="521" w:type="pct"/>
                  <w:vAlign w:val="center"/>
                </w:tcPr>
                <w:p>
                  <w:pPr>
                    <w:jc w:val="center"/>
                    <w:rPr>
                      <w:szCs w:val="21"/>
                    </w:rPr>
                  </w:pPr>
                  <w:r>
                    <w:rPr>
                      <w:rFonts w:hint="eastAsia"/>
                      <w:szCs w:val="21"/>
                    </w:rPr>
                    <w:t>1263</w:t>
                  </w:r>
                </w:p>
              </w:tc>
              <w:tc>
                <w:tcPr>
                  <w:tcW w:w="521" w:type="pct"/>
                  <w:vAlign w:val="center"/>
                </w:tcPr>
                <w:p>
                  <w:pPr>
                    <w:jc w:val="center"/>
                    <w:rPr>
                      <w:szCs w:val="21"/>
                    </w:rPr>
                  </w:pPr>
                  <w:r>
                    <w:rPr>
                      <w:rFonts w:hint="eastAsia"/>
                      <w:szCs w:val="21"/>
                    </w:rPr>
                    <w:t>1843</w:t>
                  </w:r>
                </w:p>
              </w:tc>
              <w:tc>
                <w:tcPr>
                  <w:tcW w:w="521" w:type="pct"/>
                  <w:vAlign w:val="center"/>
                </w:tcPr>
                <w:p>
                  <w:pPr>
                    <w:jc w:val="center"/>
                    <w:rPr>
                      <w:szCs w:val="21"/>
                    </w:rPr>
                  </w:pPr>
                  <w:r>
                    <w:rPr>
                      <w:rFonts w:hint="eastAsia"/>
                      <w:szCs w:val="21"/>
                    </w:rPr>
                    <w:t>950</w:t>
                  </w:r>
                </w:p>
              </w:tc>
              <w:tc>
                <w:tcPr>
                  <w:tcW w:w="521" w:type="pct"/>
                  <w:vAlign w:val="center"/>
                </w:tcPr>
                <w:p>
                  <w:pPr>
                    <w:jc w:val="center"/>
                    <w:rPr>
                      <w:szCs w:val="21"/>
                    </w:rPr>
                  </w:pPr>
                  <w:r>
                    <w:rPr>
                      <w:rFonts w:hint="eastAsia"/>
                      <w:szCs w:val="21"/>
                    </w:rPr>
                    <w:t>584</w:t>
                  </w:r>
                </w:p>
              </w:tc>
              <w:tc>
                <w:tcPr>
                  <w:tcW w:w="521" w:type="pct"/>
                  <w:vAlign w:val="center"/>
                </w:tcPr>
                <w:p>
                  <w:pPr>
                    <w:jc w:val="center"/>
                    <w:rPr>
                      <w:szCs w:val="21"/>
                    </w:rPr>
                  </w:pPr>
                  <w:r>
                    <w:rPr>
                      <w:rFonts w:hint="eastAsia"/>
                      <w:szCs w:val="21"/>
                    </w:rPr>
                    <w:t>1198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水刀切割设备1</w:t>
                  </w:r>
                </w:p>
              </w:tc>
              <w:tc>
                <w:tcPr>
                  <w:tcW w:w="501" w:type="pct"/>
                  <w:vAlign w:val="center"/>
                </w:tcPr>
                <w:p>
                  <w:pPr>
                    <w:jc w:val="center"/>
                    <w:rPr>
                      <w:szCs w:val="21"/>
                    </w:rPr>
                  </w:pPr>
                  <w:r>
                    <w:rPr>
                      <w:rFonts w:hint="eastAsia"/>
                      <w:szCs w:val="21"/>
                    </w:rPr>
                    <w:t>359</w:t>
                  </w:r>
                </w:p>
              </w:tc>
              <w:tc>
                <w:tcPr>
                  <w:tcW w:w="426" w:type="pct"/>
                  <w:vAlign w:val="center"/>
                </w:tcPr>
                <w:p>
                  <w:pPr>
                    <w:jc w:val="center"/>
                    <w:rPr>
                      <w:szCs w:val="21"/>
                    </w:rPr>
                  </w:pPr>
                  <w:r>
                    <w:rPr>
                      <w:rFonts w:hint="eastAsia"/>
                      <w:szCs w:val="21"/>
                    </w:rPr>
                    <w:t>967</w:t>
                  </w:r>
                </w:p>
              </w:tc>
              <w:tc>
                <w:tcPr>
                  <w:tcW w:w="279" w:type="pct"/>
                  <w:vAlign w:val="center"/>
                </w:tcPr>
                <w:p>
                  <w:pPr>
                    <w:jc w:val="center"/>
                    <w:rPr>
                      <w:szCs w:val="21"/>
                    </w:rPr>
                  </w:pPr>
                  <w:r>
                    <w:rPr>
                      <w:rFonts w:hint="eastAsia"/>
                      <w:szCs w:val="21"/>
                    </w:rPr>
                    <w:t>1020</w:t>
                  </w:r>
                </w:p>
              </w:tc>
              <w:tc>
                <w:tcPr>
                  <w:tcW w:w="284" w:type="pct"/>
                  <w:vAlign w:val="center"/>
                </w:tcPr>
                <w:p>
                  <w:pPr>
                    <w:jc w:val="center"/>
                    <w:rPr>
                      <w:szCs w:val="21"/>
                    </w:rPr>
                  </w:pPr>
                  <w:r>
                    <w:rPr>
                      <w:rFonts w:hint="eastAsia"/>
                      <w:szCs w:val="21"/>
                    </w:rPr>
                    <w:t>1057</w:t>
                  </w:r>
                </w:p>
              </w:tc>
              <w:tc>
                <w:tcPr>
                  <w:tcW w:w="521" w:type="pct"/>
                  <w:vAlign w:val="center"/>
                </w:tcPr>
                <w:p>
                  <w:pPr>
                    <w:jc w:val="center"/>
                    <w:rPr>
                      <w:szCs w:val="21"/>
                    </w:rPr>
                  </w:pPr>
                  <w:r>
                    <w:rPr>
                      <w:rFonts w:hint="eastAsia"/>
                      <w:szCs w:val="21"/>
                    </w:rPr>
                    <w:t>1237</w:t>
                  </w:r>
                </w:p>
              </w:tc>
              <w:tc>
                <w:tcPr>
                  <w:tcW w:w="521" w:type="pct"/>
                  <w:vAlign w:val="center"/>
                </w:tcPr>
                <w:p>
                  <w:pPr>
                    <w:jc w:val="center"/>
                    <w:rPr>
                      <w:szCs w:val="21"/>
                    </w:rPr>
                  </w:pPr>
                  <w:r>
                    <w:rPr>
                      <w:rFonts w:hint="eastAsia"/>
                      <w:szCs w:val="21"/>
                    </w:rPr>
                    <w:t>1800</w:t>
                  </w:r>
                </w:p>
              </w:tc>
              <w:tc>
                <w:tcPr>
                  <w:tcW w:w="521" w:type="pct"/>
                  <w:vAlign w:val="center"/>
                </w:tcPr>
                <w:p>
                  <w:pPr>
                    <w:jc w:val="center"/>
                    <w:rPr>
                      <w:szCs w:val="21"/>
                    </w:rPr>
                  </w:pPr>
                  <w:r>
                    <w:rPr>
                      <w:rFonts w:hint="eastAsia"/>
                      <w:szCs w:val="21"/>
                    </w:rPr>
                    <w:t>958</w:t>
                  </w:r>
                </w:p>
              </w:tc>
              <w:tc>
                <w:tcPr>
                  <w:tcW w:w="521" w:type="pct"/>
                  <w:vAlign w:val="center"/>
                </w:tcPr>
                <w:p>
                  <w:pPr>
                    <w:jc w:val="center"/>
                    <w:rPr>
                      <w:szCs w:val="21"/>
                    </w:rPr>
                  </w:pPr>
                  <w:r>
                    <w:rPr>
                      <w:rFonts w:hint="eastAsia"/>
                      <w:szCs w:val="21"/>
                    </w:rPr>
                    <w:t>570</w:t>
                  </w:r>
                </w:p>
              </w:tc>
              <w:tc>
                <w:tcPr>
                  <w:tcW w:w="521" w:type="pct"/>
                  <w:vAlign w:val="center"/>
                </w:tcPr>
                <w:p>
                  <w:pPr>
                    <w:jc w:val="center"/>
                    <w:rPr>
                      <w:szCs w:val="21"/>
                    </w:rPr>
                  </w:pPr>
                  <w:r>
                    <w:rPr>
                      <w:rFonts w:hint="eastAsia"/>
                      <w:szCs w:val="21"/>
                    </w:rPr>
                    <w:t>1256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7" w:hRule="atLeast"/>
                <w:tblHeader/>
                <w:jc w:val="center"/>
              </w:trPr>
              <w:tc>
                <w:tcPr>
                  <w:tcW w:w="272" w:type="pct"/>
                  <w:vMerge w:val="continue"/>
                  <w:vAlign w:val="center"/>
                </w:tcPr>
                <w:p>
                  <w:pPr>
                    <w:adjustRightInd w:val="0"/>
                    <w:snapToGrid w:val="0"/>
                    <w:jc w:val="center"/>
                    <w:rPr>
                      <w:kern w:val="0"/>
                      <w:szCs w:val="21"/>
                    </w:rPr>
                  </w:pPr>
                </w:p>
              </w:tc>
              <w:tc>
                <w:tcPr>
                  <w:tcW w:w="628" w:type="pct"/>
                  <w:vAlign w:val="center"/>
                </w:tcPr>
                <w:p>
                  <w:pPr>
                    <w:jc w:val="center"/>
                    <w:rPr>
                      <w:szCs w:val="21"/>
                    </w:rPr>
                  </w:pPr>
                  <w:r>
                    <w:rPr>
                      <w:rFonts w:hint="eastAsia"/>
                      <w:szCs w:val="21"/>
                    </w:rPr>
                    <w:t>水刀切割设备2</w:t>
                  </w:r>
                </w:p>
              </w:tc>
              <w:tc>
                <w:tcPr>
                  <w:tcW w:w="501" w:type="pct"/>
                  <w:vAlign w:val="center"/>
                </w:tcPr>
                <w:p>
                  <w:pPr>
                    <w:jc w:val="center"/>
                    <w:rPr>
                      <w:szCs w:val="21"/>
                    </w:rPr>
                  </w:pPr>
                  <w:r>
                    <w:rPr>
                      <w:rFonts w:hint="eastAsia"/>
                      <w:szCs w:val="21"/>
                    </w:rPr>
                    <w:t>341</w:t>
                  </w:r>
                </w:p>
              </w:tc>
              <w:tc>
                <w:tcPr>
                  <w:tcW w:w="426" w:type="pct"/>
                  <w:vAlign w:val="center"/>
                </w:tcPr>
                <w:p>
                  <w:pPr>
                    <w:jc w:val="center"/>
                    <w:rPr>
                      <w:szCs w:val="21"/>
                    </w:rPr>
                  </w:pPr>
                  <w:r>
                    <w:rPr>
                      <w:rFonts w:hint="eastAsia"/>
                      <w:szCs w:val="21"/>
                    </w:rPr>
                    <w:t>970</w:t>
                  </w:r>
                </w:p>
              </w:tc>
              <w:tc>
                <w:tcPr>
                  <w:tcW w:w="279" w:type="pct"/>
                  <w:vAlign w:val="center"/>
                </w:tcPr>
                <w:p>
                  <w:pPr>
                    <w:jc w:val="center"/>
                    <w:rPr>
                      <w:szCs w:val="21"/>
                    </w:rPr>
                  </w:pPr>
                  <w:r>
                    <w:rPr>
                      <w:rFonts w:hint="eastAsia"/>
                      <w:szCs w:val="21"/>
                    </w:rPr>
                    <w:t>1033</w:t>
                  </w:r>
                </w:p>
              </w:tc>
              <w:tc>
                <w:tcPr>
                  <w:tcW w:w="284" w:type="pct"/>
                  <w:vAlign w:val="center"/>
                </w:tcPr>
                <w:p>
                  <w:pPr>
                    <w:jc w:val="center"/>
                    <w:rPr>
                      <w:szCs w:val="21"/>
                    </w:rPr>
                  </w:pPr>
                  <w:r>
                    <w:rPr>
                      <w:rFonts w:hint="eastAsia"/>
                      <w:szCs w:val="21"/>
                    </w:rPr>
                    <w:t>1066</w:t>
                  </w:r>
                </w:p>
              </w:tc>
              <w:tc>
                <w:tcPr>
                  <w:tcW w:w="521" w:type="pct"/>
                  <w:vAlign w:val="center"/>
                </w:tcPr>
                <w:p>
                  <w:pPr>
                    <w:jc w:val="center"/>
                    <w:rPr>
                      <w:szCs w:val="21"/>
                    </w:rPr>
                  </w:pPr>
                  <w:r>
                    <w:rPr>
                      <w:rFonts w:hint="eastAsia"/>
                      <w:szCs w:val="21"/>
                    </w:rPr>
                    <w:t>1241</w:t>
                  </w:r>
                </w:p>
              </w:tc>
              <w:tc>
                <w:tcPr>
                  <w:tcW w:w="521" w:type="pct"/>
                  <w:vAlign w:val="center"/>
                </w:tcPr>
                <w:p>
                  <w:pPr>
                    <w:jc w:val="center"/>
                    <w:rPr>
                      <w:szCs w:val="21"/>
                    </w:rPr>
                  </w:pPr>
                  <w:r>
                    <w:rPr>
                      <w:rFonts w:hint="eastAsia"/>
                      <w:szCs w:val="21"/>
                    </w:rPr>
                    <w:t>1799</w:t>
                  </w:r>
                </w:p>
              </w:tc>
              <w:tc>
                <w:tcPr>
                  <w:tcW w:w="521" w:type="pct"/>
                  <w:vAlign w:val="center"/>
                </w:tcPr>
                <w:p>
                  <w:pPr>
                    <w:jc w:val="center"/>
                    <w:rPr>
                      <w:szCs w:val="21"/>
                    </w:rPr>
                  </w:pPr>
                  <w:r>
                    <w:rPr>
                      <w:rFonts w:hint="eastAsia"/>
                      <w:szCs w:val="21"/>
                    </w:rPr>
                    <w:t>972</w:t>
                  </w:r>
                </w:p>
              </w:tc>
              <w:tc>
                <w:tcPr>
                  <w:tcW w:w="521" w:type="pct"/>
                  <w:vAlign w:val="center"/>
                </w:tcPr>
                <w:p>
                  <w:pPr>
                    <w:jc w:val="center"/>
                    <w:rPr>
                      <w:szCs w:val="21"/>
                    </w:rPr>
                  </w:pPr>
                  <w:r>
                    <w:rPr>
                      <w:rFonts w:hint="eastAsia"/>
                      <w:szCs w:val="21"/>
                    </w:rPr>
                    <w:t>557</w:t>
                  </w:r>
                </w:p>
              </w:tc>
              <w:tc>
                <w:tcPr>
                  <w:tcW w:w="521" w:type="pct"/>
                  <w:vAlign w:val="center"/>
                </w:tcPr>
                <w:p>
                  <w:pPr>
                    <w:jc w:val="center"/>
                    <w:rPr>
                      <w:szCs w:val="21"/>
                    </w:rPr>
                  </w:pPr>
                  <w:r>
                    <w:rPr>
                      <w:rFonts w:hint="eastAsia"/>
                      <w:szCs w:val="21"/>
                    </w:rPr>
                    <w:t>1267</w:t>
                  </w:r>
                </w:p>
              </w:tc>
            </w:tr>
          </w:tbl>
          <w:p>
            <w:pPr>
              <w:adjustRightInd w:val="0"/>
              <w:snapToGrid w:val="0"/>
              <w:spacing w:line="360" w:lineRule="auto"/>
              <w:rPr>
                <w:rFonts w:ascii="宋体" w:cs="宋体"/>
                <w:b/>
                <w:kern w:val="0"/>
                <w:sz w:val="28"/>
                <w:szCs w:val="28"/>
              </w:rPr>
            </w:pPr>
          </w:p>
        </w:tc>
      </w:tr>
    </w:tbl>
    <w:p>
      <w:pPr>
        <w:adjustRightInd w:val="0"/>
        <w:snapToGrid w:val="0"/>
        <w:spacing w:line="360" w:lineRule="auto"/>
        <w:ind w:firstLine="562"/>
        <w:rPr>
          <w:rFonts w:ascii="宋体" w:cs="宋体"/>
          <w:b/>
          <w:kern w:val="0"/>
          <w:sz w:val="28"/>
          <w:szCs w:val="28"/>
        </w:rPr>
      </w:pPr>
    </w:p>
    <w:p>
      <w:pPr>
        <w:adjustRightInd w:val="0"/>
        <w:snapToGrid w:val="0"/>
        <w:spacing w:line="360" w:lineRule="auto"/>
        <w:ind w:firstLine="562"/>
        <w:rPr>
          <w:rFonts w:ascii="宋体" w:cs="宋体"/>
          <w:b/>
          <w:kern w:val="0"/>
          <w:sz w:val="28"/>
          <w:szCs w:val="28"/>
        </w:rPr>
        <w:sectPr>
          <w:footerReference r:id="rId12" w:type="default"/>
          <w:pgSz w:w="16840" w:h="11907" w:orient="landscape"/>
          <w:pgMar w:top="1531" w:right="1701" w:bottom="1531" w:left="2127" w:header="851" w:footer="851" w:gutter="0"/>
          <w:pgNumType w:fmt="decimal" w:start="59"/>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8" w:hRule="atLeast"/>
        </w:trPr>
        <w:tc>
          <w:tcPr>
            <w:tcW w:w="838" w:type="dxa"/>
          </w:tcPr>
          <w:p>
            <w:pPr>
              <w:adjustRightInd w:val="0"/>
              <w:snapToGrid w:val="0"/>
              <w:spacing w:line="360" w:lineRule="auto"/>
              <w:ind w:firstLine="562"/>
              <w:rPr>
                <w:rFonts w:ascii="宋体" w:cs="宋体"/>
                <w:b/>
                <w:color w:val="auto"/>
                <w:kern w:val="0"/>
                <w:sz w:val="28"/>
                <w:szCs w:val="28"/>
              </w:rPr>
            </w:pPr>
          </w:p>
        </w:tc>
        <w:tc>
          <w:tcPr>
            <w:tcW w:w="8223" w:type="dxa"/>
          </w:tcPr>
          <w:p>
            <w:pPr>
              <w:adjustRightInd w:val="0"/>
              <w:snapToGrid w:val="0"/>
              <w:spacing w:line="360" w:lineRule="auto"/>
              <w:ind w:firstLine="440" w:firstLineChars="200"/>
              <w:rPr>
                <w:bCs/>
                <w:color w:val="auto"/>
                <w:spacing w:val="-10"/>
                <w:sz w:val="24"/>
              </w:rPr>
            </w:pPr>
            <w:r>
              <w:rPr>
                <w:rFonts w:hint="eastAsia"/>
                <w:bCs/>
                <w:color w:val="auto"/>
                <w:spacing w:val="-10"/>
                <w:sz w:val="24"/>
              </w:rPr>
              <w:t>（2）噪声影响及达标分析</w:t>
            </w:r>
          </w:p>
          <w:p>
            <w:pPr>
              <w:adjustRightInd w:val="0"/>
              <w:snapToGrid w:val="0"/>
              <w:spacing w:line="360" w:lineRule="auto"/>
              <w:ind w:firstLine="440" w:firstLineChars="200"/>
              <w:rPr>
                <w:bCs/>
                <w:color w:val="auto"/>
                <w:spacing w:val="-10"/>
                <w:sz w:val="24"/>
              </w:rPr>
            </w:pPr>
            <w:r>
              <w:rPr>
                <w:rFonts w:hint="eastAsia"/>
                <w:bCs/>
                <w:color w:val="auto"/>
                <w:spacing w:val="-10"/>
                <w:sz w:val="24"/>
              </w:rPr>
              <w:t>本项目为新建项目，评价厂界及厂区周边50m范围内敏感目标达标情况以项目厂界的贡献值叠加背景值进行说明。本次环评对厂界及厂区周边50m范围内敏感目标进行预测。</w:t>
            </w:r>
          </w:p>
          <w:p>
            <w:pPr>
              <w:adjustRightInd w:val="0"/>
              <w:snapToGrid w:val="0"/>
              <w:spacing w:line="360" w:lineRule="auto"/>
              <w:ind w:firstLine="440" w:firstLineChars="200"/>
              <w:rPr>
                <w:rFonts w:ascii="宋体" w:hAnsi="宋体" w:cs="宋体"/>
                <w:color w:val="auto"/>
                <w:kern w:val="0"/>
                <w:sz w:val="24"/>
              </w:rPr>
            </w:pPr>
            <w:r>
              <w:rPr>
                <w:bCs/>
                <w:color w:val="auto"/>
                <w:spacing w:val="-10"/>
                <w:sz w:val="24"/>
              </w:rPr>
              <w:t>评价标准：</w:t>
            </w:r>
            <w:r>
              <w:rPr>
                <w:color w:val="auto"/>
                <w:kern w:val="0"/>
                <w:sz w:val="24"/>
              </w:rPr>
              <w:t>厂界噪声执行</w:t>
            </w:r>
            <w:r>
              <w:rPr>
                <w:rFonts w:hint="eastAsia"/>
                <w:bCs/>
                <w:color w:val="auto"/>
                <w:sz w:val="24"/>
              </w:rPr>
              <w:t>《工业企业厂界环境噪声排放标准》（GB12348—2008）</w:t>
            </w:r>
            <w:r>
              <w:rPr>
                <w:color w:val="auto"/>
                <w:kern w:val="0"/>
                <w:sz w:val="24"/>
              </w:rPr>
              <w:t>中3类标准要求，周边敏感点昼、夜间声环境均满足《声环境质量标准》（GB3096-2008）中2类标准值</w:t>
            </w:r>
            <w:r>
              <w:rPr>
                <w:rFonts w:hint="eastAsia" w:ascii="宋体" w:hAnsi="宋体" w:cs="宋体"/>
                <w:color w:val="auto"/>
                <w:kern w:val="0"/>
                <w:sz w:val="24"/>
              </w:rPr>
              <w:t>。</w:t>
            </w:r>
          </w:p>
          <w:p>
            <w:pPr>
              <w:adjustRightInd w:val="0"/>
              <w:snapToGrid w:val="0"/>
              <w:spacing w:line="360" w:lineRule="auto"/>
              <w:ind w:firstLine="440" w:firstLineChars="200"/>
              <w:rPr>
                <w:bCs/>
                <w:color w:val="auto"/>
                <w:spacing w:val="-10"/>
                <w:sz w:val="24"/>
              </w:rPr>
            </w:pPr>
            <w:r>
              <w:rPr>
                <w:bCs/>
                <w:color w:val="auto"/>
                <w:spacing w:val="-10"/>
                <w:sz w:val="24"/>
              </w:rPr>
              <w:t>预测模式：噪声预测模式采用《环境影响评价技术导则 声环境》（HJ2.4-20</w:t>
            </w:r>
            <w:r>
              <w:rPr>
                <w:rFonts w:hint="eastAsia"/>
                <w:bCs/>
                <w:color w:val="auto"/>
                <w:spacing w:val="-10"/>
                <w:sz w:val="24"/>
              </w:rPr>
              <w:t>21</w:t>
            </w:r>
            <w:r>
              <w:rPr>
                <w:bCs/>
                <w:color w:val="auto"/>
                <w:spacing w:val="-10"/>
                <w:sz w:val="24"/>
              </w:rPr>
              <w:t>）附录</w:t>
            </w:r>
            <w:r>
              <w:rPr>
                <w:rFonts w:hint="eastAsia"/>
                <w:bCs/>
                <w:color w:val="auto"/>
                <w:spacing w:val="-10"/>
                <w:sz w:val="24"/>
              </w:rPr>
              <w:t>B</w:t>
            </w:r>
            <w:r>
              <w:rPr>
                <w:bCs/>
                <w:color w:val="auto"/>
                <w:spacing w:val="-10"/>
                <w:sz w:val="24"/>
              </w:rPr>
              <w:t>中工业噪声预测计算模式进行预测。</w:t>
            </w:r>
          </w:p>
          <w:p>
            <w:pPr>
              <w:adjustRightInd w:val="0"/>
              <w:snapToGrid w:val="0"/>
              <w:spacing w:line="360" w:lineRule="auto"/>
              <w:ind w:firstLine="440" w:firstLineChars="200"/>
              <w:rPr>
                <w:bCs/>
                <w:color w:val="auto"/>
                <w:spacing w:val="-10"/>
                <w:sz w:val="24"/>
              </w:rPr>
            </w:pPr>
            <w:r>
              <w:rPr>
                <w:rFonts w:hint="eastAsia"/>
                <w:bCs/>
                <w:color w:val="auto"/>
                <w:spacing w:val="-10"/>
                <w:sz w:val="24"/>
              </w:rPr>
              <w:t>①室外声源</w:t>
            </w:r>
          </w:p>
          <w:p>
            <w:pPr>
              <w:spacing w:before="166"/>
              <w:jc w:val="center"/>
              <w:rPr>
                <w:i/>
                <w:color w:val="auto"/>
                <w:sz w:val="24"/>
              </w:rPr>
            </w:pPr>
            <m:oMathPara>
              <m:oMath>
                <m:sSub>
                  <m:sSubPr>
                    <m:ctrlPr>
                      <w:rPr>
                        <w:rFonts w:ascii="Cambria Math" w:hAnsi="Cambria Math"/>
                        <w:i/>
                        <w:color w:val="auto"/>
                        <w:sz w:val="24"/>
                      </w:rPr>
                    </m:ctrlPr>
                  </m:sSubPr>
                  <m:e>
                    <m:r>
                      <m:rPr/>
                      <w:rPr>
                        <w:rFonts w:ascii="Cambria Math" w:hAnsi="Cambria Math"/>
                        <w:color w:val="auto"/>
                        <w:sz w:val="24"/>
                      </w:rPr>
                      <m:t>L</m:t>
                    </m:r>
                    <m:ctrlPr>
                      <w:rPr>
                        <w:rFonts w:ascii="Cambria Math" w:hAnsi="Cambria Math"/>
                        <w:i/>
                        <w:color w:val="auto"/>
                        <w:sz w:val="24"/>
                      </w:rPr>
                    </m:ctrlPr>
                  </m:e>
                  <m:sub>
                    <m:r>
                      <m:rPr/>
                      <w:rPr>
                        <w:rFonts w:ascii="Cambria Math" w:hAnsi="Cambria Math"/>
                        <w:color w:val="auto"/>
                        <w:sz w:val="24"/>
                      </w:rPr>
                      <m:t>P</m:t>
                    </m:r>
                    <m:ctrlPr>
                      <w:rPr>
                        <w:rFonts w:ascii="Cambria Math" w:hAnsi="Cambria Math"/>
                        <w:i/>
                        <w:color w:val="auto"/>
                        <w:sz w:val="24"/>
                      </w:rPr>
                    </m:ctrlPr>
                  </m:sub>
                </m:sSub>
                <m:r>
                  <m:rPr/>
                  <w:rPr>
                    <w:rFonts w:ascii="Cambria Math" w:hAnsi="Cambria Math"/>
                    <w:color w:val="auto"/>
                    <w:sz w:val="24"/>
                  </w:rPr>
                  <m:t>(r)=</m:t>
                </m:r>
                <m:sSub>
                  <m:sSubPr>
                    <m:ctrlPr>
                      <w:rPr>
                        <w:rFonts w:ascii="Cambria Math" w:hAnsi="Cambria Math"/>
                        <w:i/>
                        <w:color w:val="auto"/>
                        <w:sz w:val="24"/>
                      </w:rPr>
                    </m:ctrlPr>
                  </m:sSubPr>
                  <m:e>
                    <m:r>
                      <m:rPr/>
                      <w:rPr>
                        <w:rFonts w:ascii="Cambria Math" w:hAnsi="Cambria Math"/>
                        <w:color w:val="auto"/>
                        <w:sz w:val="24"/>
                      </w:rPr>
                      <m:t>L</m:t>
                    </m:r>
                    <m:ctrlPr>
                      <w:rPr>
                        <w:rFonts w:ascii="Cambria Math" w:hAnsi="Cambria Math"/>
                        <w:i/>
                        <w:color w:val="auto"/>
                        <w:sz w:val="24"/>
                      </w:rPr>
                    </m:ctrlPr>
                  </m:e>
                  <m:sub>
                    <m:r>
                      <m:rPr/>
                      <w:rPr>
                        <w:rFonts w:ascii="Cambria Math" w:hAnsi="Cambria Math"/>
                        <w:color w:val="auto"/>
                        <w:sz w:val="24"/>
                      </w:rPr>
                      <m:t>p</m:t>
                    </m:r>
                    <m:ctrlPr>
                      <w:rPr>
                        <w:rFonts w:ascii="Cambria Math" w:hAnsi="Cambria Math"/>
                        <w:i/>
                        <w:color w:val="auto"/>
                        <w:sz w:val="24"/>
                      </w:rPr>
                    </m:ctrlPr>
                  </m:sub>
                </m:sSub>
                <m:r>
                  <m:rPr/>
                  <w:rPr>
                    <w:rFonts w:ascii="Cambria Math" w:hAnsi="Cambria Math"/>
                    <w:color w:val="auto"/>
                    <w:sz w:val="24"/>
                  </w:rPr>
                  <m:t>(</m:t>
                </m:r>
                <m:sSub>
                  <m:sSubPr>
                    <m:ctrlPr>
                      <w:rPr>
                        <w:rFonts w:ascii="Cambria Math" w:hAnsi="Cambria Math"/>
                        <w:i/>
                        <w:color w:val="auto"/>
                        <w:sz w:val="24"/>
                      </w:rPr>
                    </m:ctrlPr>
                  </m:sSubPr>
                  <m:e>
                    <m:r>
                      <m:rPr/>
                      <w:rPr>
                        <w:rFonts w:ascii="Cambria Math" w:hAnsi="Cambria Math"/>
                        <w:color w:val="auto"/>
                        <w:sz w:val="24"/>
                      </w:rPr>
                      <m:t>r</m:t>
                    </m:r>
                    <m:ctrlPr>
                      <w:rPr>
                        <w:rFonts w:ascii="Cambria Math" w:hAnsi="Cambria Math"/>
                        <w:i/>
                        <w:color w:val="auto"/>
                        <w:sz w:val="24"/>
                      </w:rPr>
                    </m:ctrlPr>
                  </m:e>
                  <m:sub>
                    <m:r>
                      <m:rPr/>
                      <w:rPr>
                        <w:rFonts w:ascii="Cambria Math" w:hAnsi="Cambria Math"/>
                        <w:color w:val="auto"/>
                        <w:sz w:val="24"/>
                      </w:rPr>
                      <m:t>0</m:t>
                    </m:r>
                    <m:ctrlPr>
                      <w:rPr>
                        <w:rFonts w:ascii="Cambria Math" w:hAnsi="Cambria Math"/>
                        <w:i/>
                        <w:color w:val="auto"/>
                        <w:sz w:val="24"/>
                      </w:rPr>
                    </m:ctrlPr>
                  </m:sub>
                </m:sSub>
                <m:r>
                  <m:rPr/>
                  <w:rPr>
                    <w:rFonts w:ascii="Cambria Math" w:hAnsi="Cambria Math"/>
                    <w:color w:val="auto"/>
                    <w:sz w:val="24"/>
                  </w:rPr>
                  <m:t>)−20lg(r/</m:t>
                </m:r>
                <m:sSub>
                  <m:sSubPr>
                    <m:ctrlPr>
                      <w:rPr>
                        <w:rFonts w:ascii="Cambria Math" w:hAnsi="Cambria Math"/>
                        <w:i/>
                        <w:color w:val="auto"/>
                        <w:sz w:val="24"/>
                      </w:rPr>
                    </m:ctrlPr>
                  </m:sSubPr>
                  <m:e>
                    <m:r>
                      <m:rPr/>
                      <w:rPr>
                        <w:rFonts w:ascii="Cambria Math" w:hAnsi="Cambria Math"/>
                        <w:color w:val="auto"/>
                        <w:sz w:val="24"/>
                      </w:rPr>
                      <m:t>r</m:t>
                    </m:r>
                    <m:ctrlPr>
                      <w:rPr>
                        <w:rFonts w:ascii="Cambria Math" w:hAnsi="Cambria Math"/>
                        <w:i/>
                        <w:color w:val="auto"/>
                        <w:sz w:val="24"/>
                      </w:rPr>
                    </m:ctrlPr>
                  </m:e>
                  <m:sub>
                    <m:r>
                      <m:rPr/>
                      <w:rPr>
                        <w:rFonts w:ascii="Cambria Math" w:hAnsi="Cambria Math"/>
                        <w:color w:val="auto"/>
                        <w:sz w:val="24"/>
                      </w:rPr>
                      <m:t>0</m:t>
                    </m:r>
                    <m:ctrlPr>
                      <w:rPr>
                        <w:rFonts w:ascii="Cambria Math" w:hAnsi="Cambria Math"/>
                        <w:i/>
                        <w:color w:val="auto"/>
                        <w:sz w:val="24"/>
                      </w:rPr>
                    </m:ctrlPr>
                  </m:sub>
                </m:sSub>
                <m:r>
                  <m:rPr/>
                  <w:rPr>
                    <w:rFonts w:ascii="Cambria Math" w:hAnsi="Cambria Math"/>
                    <w:color w:val="auto"/>
                    <w:sz w:val="24"/>
                  </w:rPr>
                  <m:t>)</m:t>
                </m:r>
              </m:oMath>
            </m:oMathPara>
          </w:p>
          <w:p>
            <w:pPr>
              <w:adjustRightInd w:val="0"/>
              <w:snapToGrid w:val="0"/>
              <w:spacing w:line="360" w:lineRule="auto"/>
              <w:ind w:firstLine="440" w:firstLineChars="200"/>
              <w:rPr>
                <w:bCs/>
                <w:color w:val="auto"/>
                <w:spacing w:val="-10"/>
                <w:sz w:val="24"/>
              </w:rPr>
            </w:pPr>
            <w:r>
              <w:rPr>
                <w:rFonts w:hint="eastAsia"/>
                <w:bCs/>
                <w:color w:val="auto"/>
                <w:spacing w:val="-10"/>
                <w:sz w:val="24"/>
              </w:rPr>
              <w:t>式中：L</w:t>
            </w:r>
            <w:r>
              <w:rPr>
                <w:rFonts w:hint="eastAsia"/>
                <w:bCs/>
                <w:color w:val="auto"/>
                <w:spacing w:val="-10"/>
                <w:sz w:val="24"/>
                <w:vertAlign w:val="subscript"/>
              </w:rPr>
              <w:t>p</w:t>
            </w:r>
            <w:r>
              <w:rPr>
                <w:rFonts w:hint="eastAsia"/>
                <w:bCs/>
                <w:color w:val="auto"/>
                <w:spacing w:val="-10"/>
                <w:sz w:val="24"/>
              </w:rPr>
              <w:t xml:space="preserve"> (r) —噪声源在预测点的声压级，dB(A)；</w:t>
            </w:r>
          </w:p>
          <w:p>
            <w:pPr>
              <w:adjustRightInd w:val="0"/>
              <w:snapToGrid w:val="0"/>
              <w:spacing w:line="360" w:lineRule="auto"/>
              <w:ind w:firstLine="1100" w:firstLineChars="500"/>
              <w:rPr>
                <w:bCs/>
                <w:color w:val="auto"/>
                <w:spacing w:val="-10"/>
                <w:sz w:val="24"/>
              </w:rPr>
            </w:pPr>
            <w:r>
              <w:rPr>
                <w:rFonts w:hint="eastAsia"/>
                <w:bCs/>
                <w:color w:val="auto"/>
                <w:spacing w:val="-10"/>
                <w:sz w:val="24"/>
              </w:rPr>
              <w:t>L</w:t>
            </w:r>
            <w:r>
              <w:rPr>
                <w:rFonts w:hint="eastAsia"/>
                <w:bCs/>
                <w:color w:val="auto"/>
                <w:spacing w:val="-10"/>
                <w:sz w:val="24"/>
                <w:vertAlign w:val="subscript"/>
              </w:rPr>
              <w:t>p</w:t>
            </w:r>
            <w:r>
              <w:rPr>
                <w:rFonts w:hint="eastAsia"/>
                <w:bCs/>
                <w:color w:val="auto"/>
                <w:spacing w:val="-10"/>
                <w:sz w:val="24"/>
              </w:rPr>
              <w:t xml:space="preserve"> (r</w:t>
            </w:r>
            <w:r>
              <w:rPr>
                <w:rFonts w:hint="eastAsia"/>
                <w:bCs/>
                <w:color w:val="auto"/>
                <w:spacing w:val="-10"/>
                <w:sz w:val="24"/>
                <w:vertAlign w:val="subscript"/>
              </w:rPr>
              <w:t>0</w:t>
            </w:r>
            <w:r>
              <w:rPr>
                <w:rFonts w:hint="eastAsia"/>
                <w:bCs/>
                <w:color w:val="auto"/>
                <w:spacing w:val="-10"/>
                <w:sz w:val="24"/>
              </w:rPr>
              <w:t xml:space="preserve"> ) —参考位置r</w:t>
            </w:r>
            <w:r>
              <w:rPr>
                <w:rFonts w:hint="eastAsia"/>
                <w:bCs/>
                <w:color w:val="auto"/>
                <w:spacing w:val="-10"/>
                <w:sz w:val="24"/>
                <w:vertAlign w:val="subscript"/>
              </w:rPr>
              <w:t>0</w:t>
            </w:r>
            <w:r>
              <w:rPr>
                <w:rFonts w:hint="eastAsia"/>
                <w:bCs/>
                <w:color w:val="auto"/>
                <w:spacing w:val="-10"/>
                <w:sz w:val="24"/>
              </w:rPr>
              <w:t xml:space="preserve"> 处的声压级，dB(A)；</w:t>
            </w:r>
          </w:p>
          <w:p>
            <w:pPr>
              <w:adjustRightInd w:val="0"/>
              <w:snapToGrid w:val="0"/>
              <w:spacing w:line="360" w:lineRule="auto"/>
              <w:ind w:firstLine="1100" w:firstLineChars="500"/>
              <w:rPr>
                <w:bCs/>
                <w:color w:val="auto"/>
                <w:spacing w:val="-10"/>
                <w:sz w:val="24"/>
              </w:rPr>
            </w:pPr>
            <w:r>
              <w:rPr>
                <w:rFonts w:hint="eastAsia"/>
                <w:bCs/>
                <w:color w:val="auto"/>
                <w:spacing w:val="-10"/>
                <w:sz w:val="24"/>
              </w:rPr>
              <w:t>r</w:t>
            </w:r>
            <w:r>
              <w:rPr>
                <w:rFonts w:hint="eastAsia"/>
                <w:bCs/>
                <w:color w:val="auto"/>
                <w:spacing w:val="-10"/>
                <w:sz w:val="24"/>
                <w:vertAlign w:val="subscript"/>
              </w:rPr>
              <w:t>0</w:t>
            </w:r>
            <w:r>
              <w:rPr>
                <w:rFonts w:hint="eastAsia"/>
                <w:bCs/>
                <w:color w:val="auto"/>
                <w:spacing w:val="-10"/>
                <w:sz w:val="24"/>
              </w:rPr>
              <w:t xml:space="preserve"> —参考位置距声源中心的位置，m；</w:t>
            </w:r>
          </w:p>
          <w:p>
            <w:pPr>
              <w:adjustRightInd w:val="0"/>
              <w:snapToGrid w:val="0"/>
              <w:spacing w:line="360" w:lineRule="auto"/>
              <w:ind w:firstLine="1100" w:firstLineChars="500"/>
              <w:rPr>
                <w:bCs/>
                <w:color w:val="auto"/>
                <w:spacing w:val="-10"/>
                <w:sz w:val="24"/>
              </w:rPr>
            </w:pPr>
            <w:r>
              <w:rPr>
                <w:rFonts w:hint="eastAsia"/>
                <w:bCs/>
                <w:color w:val="auto"/>
                <w:spacing w:val="-10"/>
                <w:sz w:val="24"/>
              </w:rPr>
              <w:t>r —声源中心至预测点的距离，m。</w:t>
            </w:r>
          </w:p>
          <w:p>
            <w:pPr>
              <w:adjustRightInd w:val="0"/>
              <w:snapToGrid w:val="0"/>
              <w:spacing w:line="360" w:lineRule="auto"/>
              <w:ind w:firstLine="440" w:firstLineChars="200"/>
              <w:rPr>
                <w:bCs/>
                <w:color w:val="auto"/>
                <w:spacing w:val="-10"/>
                <w:sz w:val="24"/>
              </w:rPr>
            </w:pPr>
            <w:r>
              <w:rPr>
                <w:rFonts w:hint="eastAsia"/>
                <w:bCs/>
                <w:color w:val="auto"/>
                <w:spacing w:val="-10"/>
                <w:sz w:val="24"/>
              </w:rPr>
              <w:t>②室内声源</w:t>
            </w:r>
          </w:p>
          <w:p>
            <w:pPr>
              <w:adjustRightInd w:val="0"/>
              <w:snapToGrid w:val="0"/>
              <w:spacing w:line="360" w:lineRule="auto"/>
              <w:ind w:firstLine="440" w:firstLineChars="200"/>
              <w:rPr>
                <w:bCs/>
                <w:color w:val="auto"/>
                <w:spacing w:val="-10"/>
                <w:sz w:val="24"/>
              </w:rPr>
            </w:pPr>
            <m:oMathPara>
              <m:oMath>
                <m:sSub>
                  <m:sSubPr>
                    <m:ctrlPr>
                      <w:rPr>
                        <w:rFonts w:ascii="Cambria Math" w:hAnsi="Cambria Math"/>
                        <w:bCs/>
                        <w:i/>
                        <w:color w:val="auto"/>
                        <w:spacing w:val="-10"/>
                        <w:sz w:val="24"/>
                      </w:rPr>
                    </m:ctrlPr>
                  </m:sSubPr>
                  <m:e>
                    <m:r>
                      <m:rPr/>
                      <w:rPr>
                        <w:rFonts w:ascii="Cambria Math" w:hAnsi="Cambria Math"/>
                        <w:color w:val="auto"/>
                        <w:spacing w:val="-10"/>
                        <w:sz w:val="24"/>
                      </w:rPr>
                      <m:t>L</m:t>
                    </m:r>
                    <m:ctrlPr>
                      <w:rPr>
                        <w:rFonts w:ascii="Cambria Math" w:hAnsi="Cambria Math"/>
                        <w:bCs/>
                        <w:i/>
                        <w:color w:val="auto"/>
                        <w:spacing w:val="-10"/>
                        <w:sz w:val="24"/>
                      </w:rPr>
                    </m:ctrlPr>
                  </m:e>
                  <m:sub>
                    <m:r>
                      <m:rPr/>
                      <w:rPr>
                        <w:rFonts w:ascii="Cambria Math" w:hAnsi="Cambria Math"/>
                        <w:color w:val="auto"/>
                        <w:spacing w:val="-10"/>
                        <w:sz w:val="24"/>
                      </w:rPr>
                      <m:t>p2</m:t>
                    </m:r>
                    <m:ctrlPr>
                      <w:rPr>
                        <w:rFonts w:ascii="Cambria Math" w:hAnsi="Cambria Math"/>
                        <w:bCs/>
                        <w:i/>
                        <w:color w:val="auto"/>
                        <w:spacing w:val="-10"/>
                        <w:sz w:val="24"/>
                      </w:rPr>
                    </m:ctrlPr>
                  </m:sub>
                </m:sSub>
                <m:r>
                  <m:rPr/>
                  <w:rPr>
                    <w:rFonts w:ascii="Cambria Math" w:hAnsi="Cambria Math"/>
                    <w:color w:val="auto"/>
                    <w:spacing w:val="-10"/>
                    <w:sz w:val="24"/>
                  </w:rPr>
                  <m:t>=</m:t>
                </m:r>
                <m:sSub>
                  <m:sSubPr>
                    <m:ctrlPr>
                      <w:rPr>
                        <w:rFonts w:ascii="Cambria Math" w:hAnsi="Cambria Math"/>
                        <w:bCs/>
                        <w:i/>
                        <w:color w:val="auto"/>
                        <w:spacing w:val="-10"/>
                        <w:sz w:val="24"/>
                      </w:rPr>
                    </m:ctrlPr>
                  </m:sSubPr>
                  <m:e>
                    <m:r>
                      <m:rPr/>
                      <w:rPr>
                        <w:rFonts w:ascii="Cambria Math" w:hAnsi="Cambria Math"/>
                        <w:color w:val="auto"/>
                        <w:spacing w:val="-10"/>
                        <w:sz w:val="24"/>
                      </w:rPr>
                      <m:t>L</m:t>
                    </m:r>
                    <m:ctrlPr>
                      <w:rPr>
                        <w:rFonts w:ascii="Cambria Math" w:hAnsi="Cambria Math"/>
                        <w:bCs/>
                        <w:i/>
                        <w:color w:val="auto"/>
                        <w:spacing w:val="-10"/>
                        <w:sz w:val="24"/>
                      </w:rPr>
                    </m:ctrlPr>
                  </m:e>
                  <m:sub>
                    <m:r>
                      <m:rPr/>
                      <w:rPr>
                        <w:rFonts w:ascii="Cambria Math" w:hAnsi="Cambria Math"/>
                        <w:color w:val="auto"/>
                        <w:spacing w:val="-10"/>
                        <w:sz w:val="24"/>
                      </w:rPr>
                      <m:t>p1</m:t>
                    </m:r>
                    <m:ctrlPr>
                      <w:rPr>
                        <w:rFonts w:ascii="Cambria Math" w:hAnsi="Cambria Math"/>
                        <w:bCs/>
                        <w:i/>
                        <w:color w:val="auto"/>
                        <w:spacing w:val="-10"/>
                        <w:sz w:val="24"/>
                      </w:rPr>
                    </m:ctrlPr>
                  </m:sub>
                </m:sSub>
                <m:r>
                  <m:rPr/>
                  <w:rPr>
                    <w:rFonts w:ascii="Cambria Math" w:hAnsi="Cambria Math"/>
                    <w:color w:val="auto"/>
                    <w:spacing w:val="-10"/>
                    <w:sz w:val="24"/>
                  </w:rPr>
                  <m:t>−</m:t>
                </m:r>
                <m:r>
                  <m:rPr>
                    <m:sty m:val="p"/>
                  </m:rPr>
                  <w:rPr>
                    <w:rFonts w:hint="eastAsia" w:ascii="Cambria Math" w:hAnsi="Cambria Math"/>
                    <w:color w:val="auto"/>
                    <w:spacing w:val="-10"/>
                    <w:sz w:val="24"/>
                  </w:rPr>
                  <m:t>（</m:t>
                </m:r>
                <m:r>
                  <m:rPr>
                    <m:sty m:val="p"/>
                  </m:rPr>
                  <w:rPr>
                    <w:rFonts w:ascii="Cambria Math" w:hAnsi="Cambria Math"/>
                    <w:color w:val="auto"/>
                    <w:spacing w:val="-10"/>
                    <w:sz w:val="24"/>
                  </w:rPr>
                  <m:t>TL+6</m:t>
                </m:r>
                <m:r>
                  <m:rPr>
                    <m:sty m:val="p"/>
                  </m:rPr>
                  <w:rPr>
                    <w:rFonts w:hint="eastAsia" w:ascii="Cambria Math" w:hAnsi="Cambria Math"/>
                    <w:color w:val="auto"/>
                    <w:spacing w:val="-10"/>
                    <w:sz w:val="24"/>
                  </w:rPr>
                  <m:t>）</m:t>
                </m:r>
              </m:oMath>
            </m:oMathPara>
          </w:p>
          <w:p>
            <w:pPr>
              <w:adjustRightInd w:val="0"/>
              <w:snapToGrid w:val="0"/>
              <w:spacing w:line="360" w:lineRule="auto"/>
              <w:ind w:firstLine="440" w:firstLineChars="200"/>
              <w:rPr>
                <w:bCs/>
                <w:color w:val="auto"/>
                <w:spacing w:val="-10"/>
                <w:sz w:val="24"/>
              </w:rPr>
            </w:pPr>
            <w:r>
              <w:rPr>
                <w:bCs/>
                <w:color w:val="auto"/>
                <w:spacing w:val="-10"/>
                <w:sz w:val="24"/>
              </w:rPr>
              <w:t>式中：L</w:t>
            </w:r>
            <w:r>
              <w:rPr>
                <w:bCs/>
                <w:color w:val="auto"/>
                <w:spacing w:val="-10"/>
                <w:sz w:val="24"/>
                <w:vertAlign w:val="subscript"/>
              </w:rPr>
              <w:t>p1</w:t>
            </w:r>
            <w:r>
              <w:rPr>
                <w:bCs/>
                <w:color w:val="auto"/>
                <w:spacing w:val="-10"/>
                <w:sz w:val="24"/>
              </w:rPr>
              <w:t xml:space="preserve">——靠近开口处（或窗户）室内某倍频带的声压级或 A 声级，dB； </w:t>
            </w:r>
          </w:p>
          <w:p>
            <w:pPr>
              <w:adjustRightInd w:val="0"/>
              <w:snapToGrid w:val="0"/>
              <w:spacing w:line="360" w:lineRule="auto"/>
              <w:ind w:firstLine="1100" w:firstLineChars="500"/>
              <w:rPr>
                <w:bCs/>
                <w:color w:val="auto"/>
                <w:spacing w:val="-10"/>
                <w:sz w:val="24"/>
              </w:rPr>
            </w:pPr>
            <w:r>
              <w:rPr>
                <w:bCs/>
                <w:color w:val="auto"/>
                <w:spacing w:val="-10"/>
                <w:sz w:val="24"/>
              </w:rPr>
              <w:t>L</w:t>
            </w:r>
            <w:r>
              <w:rPr>
                <w:bCs/>
                <w:color w:val="auto"/>
                <w:spacing w:val="-10"/>
                <w:sz w:val="24"/>
                <w:vertAlign w:val="subscript"/>
              </w:rPr>
              <w:t>p2</w:t>
            </w:r>
            <w:r>
              <w:rPr>
                <w:bCs/>
                <w:color w:val="auto"/>
                <w:spacing w:val="-10"/>
                <w:sz w:val="24"/>
              </w:rPr>
              <w:t xml:space="preserve">——靠近开口处（或窗户）室外某倍频带的声压级或 A 声级，dB； </w:t>
            </w:r>
          </w:p>
          <w:p>
            <w:pPr>
              <w:adjustRightInd w:val="0"/>
              <w:snapToGrid w:val="0"/>
              <w:spacing w:line="360" w:lineRule="auto"/>
              <w:ind w:firstLine="1100" w:firstLineChars="500"/>
              <w:rPr>
                <w:bCs/>
                <w:color w:val="auto"/>
                <w:spacing w:val="-10"/>
                <w:sz w:val="24"/>
              </w:rPr>
            </w:pPr>
            <w:r>
              <w:rPr>
                <w:bCs/>
                <w:color w:val="auto"/>
                <w:spacing w:val="-10"/>
                <w:sz w:val="24"/>
              </w:rPr>
              <w:t>TL——隔墙（或窗户）倍频带或 A 声级的隔声量，dB。</w:t>
            </w:r>
          </w:p>
          <w:p>
            <w:pPr>
              <w:adjustRightInd w:val="0"/>
              <w:snapToGrid w:val="0"/>
              <w:spacing w:line="360" w:lineRule="auto"/>
              <w:ind w:firstLine="440" w:firstLineChars="200"/>
              <w:rPr>
                <w:bCs/>
                <w:color w:val="auto"/>
                <w:spacing w:val="-10"/>
                <w:sz w:val="24"/>
              </w:rPr>
            </w:pPr>
            <w:r>
              <w:rPr>
                <w:rFonts w:hint="eastAsia"/>
                <w:bCs/>
                <w:color w:val="auto"/>
                <w:spacing w:val="-10"/>
                <w:sz w:val="24"/>
              </w:rPr>
              <w:t>③总声压级</w:t>
            </w:r>
          </w:p>
          <w:p>
            <w:pPr>
              <w:adjustRightInd w:val="0"/>
              <w:snapToGrid w:val="0"/>
              <w:spacing w:line="360" w:lineRule="auto"/>
              <w:ind w:firstLine="480" w:firstLineChars="200"/>
              <w:rPr>
                <w:rFonts w:hAnsi="Cambria Math"/>
                <w:color w:val="auto"/>
                <w:sz w:val="24"/>
              </w:rPr>
            </w:pPr>
            <m:oMathPara>
              <m:oMath>
                <m:sSub>
                  <m:sSubPr>
                    <m:ctrlPr>
                      <w:rPr>
                        <w:rFonts w:ascii="Cambria Math" w:hAnsi="Cambria Math"/>
                        <w:i/>
                        <w:color w:val="auto"/>
                        <w:sz w:val="24"/>
                      </w:rPr>
                    </m:ctrlPr>
                  </m:sSubPr>
                  <m:e>
                    <m:r>
                      <m:rPr/>
                      <w:rPr>
                        <w:rFonts w:ascii="Cambria Math" w:hAnsi="Cambria Math"/>
                        <w:color w:val="auto"/>
                        <w:sz w:val="24"/>
                      </w:rPr>
                      <m:t>L</m:t>
                    </m:r>
                    <m:ctrlPr>
                      <w:rPr>
                        <w:rFonts w:ascii="Cambria Math" w:hAnsi="Cambria Math"/>
                        <w:i/>
                        <w:color w:val="auto"/>
                        <w:sz w:val="24"/>
                      </w:rPr>
                    </m:ctrlPr>
                  </m:e>
                  <m:sub>
                    <m:r>
                      <m:rPr/>
                      <w:rPr>
                        <w:rFonts w:ascii="Cambria Math" w:hAnsi="Cambria Math"/>
                        <w:color w:val="auto"/>
                        <w:sz w:val="24"/>
                      </w:rPr>
                      <m:t>eq</m:t>
                    </m:r>
                    <m:ctrlPr>
                      <w:rPr>
                        <w:rFonts w:ascii="Cambria Math" w:hAnsi="Cambria Math"/>
                        <w:i/>
                        <w:color w:val="auto"/>
                        <w:sz w:val="24"/>
                      </w:rPr>
                    </m:ctrlPr>
                  </m:sub>
                </m:sSub>
                <m:r>
                  <m:rPr/>
                  <w:rPr>
                    <w:rFonts w:ascii="Cambria Math" w:hAnsi="Cambria Math"/>
                    <w:color w:val="auto"/>
                    <w:sz w:val="24"/>
                  </w:rPr>
                  <m:t>=10lg(</m:t>
                </m:r>
                <m:sSup>
                  <m:sSupPr>
                    <m:ctrlPr>
                      <w:rPr>
                        <w:rFonts w:ascii="Cambria Math" w:hAnsi="Cambria Math"/>
                        <w:i/>
                        <w:color w:val="auto"/>
                        <w:sz w:val="24"/>
                      </w:rPr>
                    </m:ctrlPr>
                  </m:sSupPr>
                  <m:e>
                    <m:r>
                      <m:rPr/>
                      <w:rPr>
                        <w:rFonts w:ascii="Cambria Math" w:hAnsi="Cambria Math"/>
                        <w:color w:val="auto"/>
                        <w:sz w:val="24"/>
                      </w:rPr>
                      <m:t>10</m:t>
                    </m:r>
                    <m:ctrlPr>
                      <w:rPr>
                        <w:rFonts w:ascii="Cambria Math" w:hAnsi="Cambria Math"/>
                        <w:i/>
                        <w:color w:val="auto"/>
                        <w:sz w:val="24"/>
                      </w:rPr>
                    </m:ctrlPr>
                  </m:e>
                  <m:sup>
                    <m:sSub>
                      <m:sSubPr>
                        <m:ctrlPr>
                          <w:rPr>
                            <w:rFonts w:ascii="Cambria Math" w:hAnsi="Cambria Math"/>
                            <w:i/>
                            <w:color w:val="auto"/>
                            <w:sz w:val="24"/>
                          </w:rPr>
                        </m:ctrlPr>
                      </m:sSubPr>
                      <m:e>
                        <m:r>
                          <m:rPr/>
                          <w:rPr>
                            <w:rFonts w:ascii="Cambria Math" w:hAnsi="Cambria Math"/>
                            <w:color w:val="auto"/>
                            <w:sz w:val="24"/>
                          </w:rPr>
                          <m:t>0.1L</m:t>
                        </m:r>
                        <m:ctrlPr>
                          <w:rPr>
                            <w:rFonts w:ascii="Cambria Math" w:hAnsi="Cambria Math"/>
                            <w:i/>
                            <w:color w:val="auto"/>
                            <w:sz w:val="24"/>
                          </w:rPr>
                        </m:ctrlPr>
                      </m:e>
                      <m:sub>
                        <m:r>
                          <m:rPr/>
                          <w:rPr>
                            <w:rFonts w:ascii="Cambria Math" w:hAnsi="Cambria Math"/>
                            <w:color w:val="auto"/>
                            <w:sz w:val="24"/>
                          </w:rPr>
                          <m:t>eqg</m:t>
                        </m:r>
                        <m:ctrlPr>
                          <w:rPr>
                            <w:rFonts w:ascii="Cambria Math" w:hAnsi="Cambria Math"/>
                            <w:i/>
                            <w:color w:val="auto"/>
                            <w:sz w:val="24"/>
                          </w:rPr>
                        </m:ctrlPr>
                      </m:sub>
                    </m:sSub>
                    <m:ctrlPr>
                      <w:rPr>
                        <w:rFonts w:ascii="Cambria Math" w:hAnsi="Cambria Math"/>
                        <w:i/>
                        <w:color w:val="auto"/>
                        <w:sz w:val="24"/>
                      </w:rPr>
                    </m:ctrlPr>
                  </m:sup>
                </m:sSup>
                <m:r>
                  <m:rPr/>
                  <w:rPr>
                    <w:rFonts w:ascii="Cambria Math" w:hAnsi="Cambria Math"/>
                    <w:color w:val="auto"/>
                    <w:sz w:val="24"/>
                  </w:rPr>
                  <m:t>+</m:t>
                </m:r>
                <m:sSup>
                  <m:sSupPr>
                    <m:ctrlPr>
                      <w:rPr>
                        <w:rFonts w:ascii="Cambria Math" w:hAnsi="Cambria Math"/>
                        <w:i/>
                        <w:color w:val="auto"/>
                        <w:sz w:val="24"/>
                      </w:rPr>
                    </m:ctrlPr>
                  </m:sSupPr>
                  <m:e>
                    <m:r>
                      <m:rPr/>
                      <w:rPr>
                        <w:rFonts w:ascii="Cambria Math" w:hAnsi="Cambria Math"/>
                        <w:color w:val="auto"/>
                        <w:sz w:val="24"/>
                      </w:rPr>
                      <m:t>10</m:t>
                    </m:r>
                    <m:ctrlPr>
                      <w:rPr>
                        <w:rFonts w:ascii="Cambria Math" w:hAnsi="Cambria Math"/>
                        <w:i/>
                        <w:color w:val="auto"/>
                        <w:sz w:val="24"/>
                      </w:rPr>
                    </m:ctrlPr>
                  </m:e>
                  <m:sup>
                    <m:sSub>
                      <m:sSubPr>
                        <m:ctrlPr>
                          <w:rPr>
                            <w:rFonts w:ascii="Cambria Math" w:hAnsi="Cambria Math"/>
                            <w:i/>
                            <w:color w:val="auto"/>
                            <w:sz w:val="24"/>
                          </w:rPr>
                        </m:ctrlPr>
                      </m:sSubPr>
                      <m:e>
                        <m:r>
                          <m:rPr/>
                          <w:rPr>
                            <w:rFonts w:ascii="Cambria Math" w:hAnsi="Cambria Math"/>
                            <w:color w:val="auto"/>
                            <w:sz w:val="24"/>
                          </w:rPr>
                          <m:t>0.1L</m:t>
                        </m:r>
                        <m:ctrlPr>
                          <w:rPr>
                            <w:rFonts w:ascii="Cambria Math" w:hAnsi="Cambria Math"/>
                            <w:i/>
                            <w:color w:val="auto"/>
                            <w:sz w:val="24"/>
                          </w:rPr>
                        </m:ctrlPr>
                      </m:e>
                      <m:sub>
                        <m:r>
                          <m:rPr/>
                          <w:rPr>
                            <w:rFonts w:ascii="Cambria Math" w:hAnsi="Cambria Math"/>
                            <w:color w:val="auto"/>
                            <w:sz w:val="24"/>
                          </w:rPr>
                          <m:t>eqb</m:t>
                        </m:r>
                        <m:ctrlPr>
                          <w:rPr>
                            <w:rFonts w:ascii="Cambria Math" w:hAnsi="Cambria Math"/>
                            <w:i/>
                            <w:color w:val="auto"/>
                            <w:sz w:val="24"/>
                          </w:rPr>
                        </m:ctrlPr>
                      </m:sub>
                    </m:sSub>
                    <m:ctrlPr>
                      <w:rPr>
                        <w:rFonts w:ascii="Cambria Math" w:hAnsi="Cambria Math"/>
                        <w:i/>
                        <w:color w:val="auto"/>
                        <w:sz w:val="24"/>
                      </w:rPr>
                    </m:ctrlPr>
                  </m:sup>
                </m:sSup>
                <m:r>
                  <m:rPr/>
                  <w:rPr>
                    <w:rFonts w:ascii="Cambria Math" w:hAnsi="Cambria Math"/>
                    <w:color w:val="auto"/>
                    <w:sz w:val="24"/>
                  </w:rPr>
                  <m:t>)</m:t>
                </m:r>
              </m:oMath>
            </m:oMathPara>
          </w:p>
          <w:p>
            <w:pPr>
              <w:adjustRightInd w:val="0"/>
              <w:snapToGrid w:val="0"/>
              <w:spacing w:line="360" w:lineRule="auto"/>
              <w:ind w:firstLine="440" w:firstLineChars="200"/>
              <w:rPr>
                <w:bCs/>
                <w:color w:val="auto"/>
                <w:spacing w:val="-10"/>
                <w:sz w:val="24"/>
              </w:rPr>
            </w:pPr>
            <w:r>
              <w:rPr>
                <w:bCs/>
                <w:color w:val="auto"/>
                <w:spacing w:val="-10"/>
                <w:sz w:val="24"/>
              </w:rPr>
              <w:t>式中：L</w:t>
            </w:r>
            <w:r>
              <w:rPr>
                <w:bCs/>
                <w:color w:val="auto"/>
                <w:spacing w:val="-10"/>
                <w:sz w:val="24"/>
                <w:vertAlign w:val="subscript"/>
              </w:rPr>
              <w:t>eqg</w:t>
            </w:r>
            <w:r>
              <w:rPr>
                <w:bCs/>
                <w:color w:val="auto"/>
                <w:spacing w:val="-10"/>
                <w:sz w:val="24"/>
              </w:rPr>
              <w:t xml:space="preserve">—声源在预测点的等效声级贡献值，dB(A)； </w:t>
            </w:r>
          </w:p>
          <w:p>
            <w:pPr>
              <w:adjustRightInd w:val="0"/>
              <w:snapToGrid w:val="0"/>
              <w:spacing w:line="360" w:lineRule="auto"/>
              <w:ind w:firstLine="1100" w:firstLineChars="500"/>
              <w:rPr>
                <w:bCs/>
                <w:color w:val="auto"/>
                <w:spacing w:val="-10"/>
                <w:sz w:val="24"/>
              </w:rPr>
            </w:pPr>
            <w:r>
              <w:rPr>
                <w:bCs/>
                <w:color w:val="auto"/>
                <w:spacing w:val="-10"/>
                <w:sz w:val="24"/>
              </w:rPr>
              <w:t>L</w:t>
            </w:r>
            <w:r>
              <w:rPr>
                <w:bCs/>
                <w:color w:val="auto"/>
                <w:spacing w:val="-10"/>
                <w:sz w:val="24"/>
                <w:vertAlign w:val="subscript"/>
              </w:rPr>
              <w:t>eqb</w:t>
            </w:r>
            <w:r>
              <w:rPr>
                <w:bCs/>
                <w:color w:val="auto"/>
                <w:spacing w:val="-10"/>
                <w:sz w:val="24"/>
              </w:rPr>
              <w:t>—预测点的背景值，dB(A)。</w:t>
            </w:r>
          </w:p>
          <w:p>
            <w:pPr>
              <w:adjustRightInd w:val="0"/>
              <w:snapToGrid w:val="0"/>
              <w:spacing w:line="360" w:lineRule="auto"/>
              <w:ind w:firstLine="440" w:firstLineChars="200"/>
              <w:rPr>
                <w:bCs/>
                <w:color w:val="auto"/>
                <w:spacing w:val="-10"/>
                <w:sz w:val="24"/>
              </w:rPr>
            </w:pPr>
            <w:r>
              <w:rPr>
                <w:rFonts w:hint="eastAsia"/>
                <w:bCs/>
                <w:color w:val="auto"/>
                <w:spacing w:val="-10"/>
                <w:sz w:val="24"/>
              </w:rPr>
              <w:t>（3）预测结果</w:t>
            </w:r>
          </w:p>
          <w:p>
            <w:pPr>
              <w:adjustRightInd w:val="0"/>
              <w:snapToGrid w:val="0"/>
              <w:spacing w:line="360" w:lineRule="auto"/>
              <w:ind w:firstLine="482"/>
              <w:jc w:val="center"/>
              <w:rPr>
                <w:b/>
                <w:color w:val="auto"/>
                <w:szCs w:val="21"/>
              </w:rPr>
            </w:pPr>
          </w:p>
          <w:p>
            <w:pPr>
              <w:adjustRightInd w:val="0"/>
              <w:snapToGrid w:val="0"/>
              <w:spacing w:line="360" w:lineRule="auto"/>
              <w:ind w:firstLine="482"/>
              <w:jc w:val="center"/>
              <w:rPr>
                <w:b/>
                <w:color w:val="auto"/>
                <w:szCs w:val="21"/>
              </w:rPr>
            </w:pPr>
          </w:p>
          <w:p>
            <w:pPr>
              <w:adjustRightInd w:val="0"/>
              <w:snapToGrid w:val="0"/>
              <w:spacing w:line="360" w:lineRule="auto"/>
              <w:ind w:firstLine="482"/>
              <w:jc w:val="center"/>
              <w:rPr>
                <w:b/>
                <w:color w:val="auto"/>
                <w:szCs w:val="21"/>
              </w:rPr>
            </w:pPr>
          </w:p>
          <w:p>
            <w:pPr>
              <w:adjustRightInd w:val="0"/>
              <w:snapToGrid w:val="0"/>
              <w:spacing w:line="360" w:lineRule="auto"/>
              <w:ind w:firstLine="482"/>
              <w:jc w:val="center"/>
              <w:rPr>
                <w:b/>
                <w:color w:val="auto"/>
                <w:szCs w:val="21"/>
              </w:rPr>
            </w:pPr>
            <w:r>
              <w:rPr>
                <w:b/>
                <w:color w:val="auto"/>
                <w:szCs w:val="21"/>
              </w:rPr>
              <w:t>表4-</w:t>
            </w:r>
            <w:r>
              <w:rPr>
                <w:rFonts w:hint="eastAsia"/>
                <w:b/>
                <w:color w:val="auto"/>
                <w:szCs w:val="21"/>
              </w:rPr>
              <w:t>11</w:t>
            </w:r>
            <w:r>
              <w:rPr>
                <w:b/>
                <w:color w:val="auto"/>
                <w:szCs w:val="21"/>
              </w:rPr>
              <w:t xml:space="preserve">  </w:t>
            </w:r>
            <w:r>
              <w:rPr>
                <w:rFonts w:hint="eastAsia"/>
                <w:b/>
                <w:color w:val="auto"/>
                <w:szCs w:val="21"/>
              </w:rPr>
              <w:t>本项目噪声预测结果表</w:t>
            </w:r>
            <w:r>
              <w:rPr>
                <w:b/>
                <w:color w:val="auto"/>
                <w:szCs w:val="21"/>
              </w:rPr>
              <w:t xml:space="preserve">  单位：</w:t>
            </w:r>
            <w:r>
              <w:rPr>
                <w:rFonts w:hint="eastAsia"/>
                <w:b/>
                <w:color w:val="auto"/>
                <w:szCs w:val="21"/>
              </w:rPr>
              <w:t>dB(A)</w:t>
            </w:r>
          </w:p>
          <w:tbl>
            <w:tblPr>
              <w:tblStyle w:val="18"/>
              <w:tblW w:w="4998" w:type="pct"/>
              <w:tblInd w:w="5" w:type="dxa"/>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729"/>
              <w:gridCol w:w="737"/>
              <w:gridCol w:w="581"/>
              <w:gridCol w:w="607"/>
              <w:gridCol w:w="618"/>
              <w:gridCol w:w="764"/>
              <w:gridCol w:w="695"/>
              <w:gridCol w:w="721"/>
              <w:gridCol w:w="678"/>
              <w:gridCol w:w="421"/>
              <w:gridCol w:w="458"/>
              <w:gridCol w:w="543"/>
              <w:gridCol w:w="452"/>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278" w:type="pct"/>
                  <w:gridSpan w:val="3"/>
                  <w:vMerge w:val="restart"/>
                  <w:vAlign w:val="center"/>
                </w:tcPr>
                <w:p>
                  <w:pPr>
                    <w:autoSpaceDE w:val="0"/>
                    <w:autoSpaceDN w:val="0"/>
                    <w:jc w:val="center"/>
                    <w:rPr>
                      <w:b/>
                      <w:bCs/>
                      <w:color w:val="auto"/>
                      <w:szCs w:val="21"/>
                      <w:lang w:val="zh-CN" w:bidi="zh-CN"/>
                    </w:rPr>
                  </w:pPr>
                  <w:r>
                    <w:rPr>
                      <w:b/>
                      <w:bCs/>
                      <w:color w:val="auto"/>
                      <w:szCs w:val="21"/>
                      <w:lang w:val="zh-CN" w:bidi="zh-CN"/>
                    </w:rPr>
                    <w:t>测点位置</w:t>
                  </w:r>
                </w:p>
              </w:tc>
              <w:tc>
                <w:tcPr>
                  <w:tcW w:w="765" w:type="pct"/>
                  <w:gridSpan w:val="2"/>
                  <w:vAlign w:val="center"/>
                </w:tcPr>
                <w:p>
                  <w:pPr>
                    <w:autoSpaceDE w:val="0"/>
                    <w:autoSpaceDN w:val="0"/>
                    <w:jc w:val="center"/>
                    <w:rPr>
                      <w:b/>
                      <w:bCs/>
                      <w:color w:val="auto"/>
                      <w:szCs w:val="21"/>
                      <w:lang w:val="zh-CN" w:bidi="zh-CN"/>
                    </w:rPr>
                  </w:pPr>
                  <w:r>
                    <w:rPr>
                      <w:b/>
                      <w:bCs/>
                      <w:color w:val="auto"/>
                      <w:szCs w:val="21"/>
                      <w:lang w:bidi="zh-CN"/>
                    </w:rPr>
                    <w:t>背景</w:t>
                  </w:r>
                  <w:r>
                    <w:rPr>
                      <w:b/>
                      <w:bCs/>
                      <w:color w:val="auto"/>
                      <w:szCs w:val="21"/>
                      <w:lang w:val="zh-CN" w:bidi="zh-CN"/>
                    </w:rPr>
                    <w:t>值</w:t>
                  </w:r>
                </w:p>
              </w:tc>
              <w:tc>
                <w:tcPr>
                  <w:tcW w:w="911" w:type="pct"/>
                  <w:gridSpan w:val="2"/>
                  <w:vAlign w:val="center"/>
                </w:tcPr>
                <w:p>
                  <w:pPr>
                    <w:autoSpaceDE w:val="0"/>
                    <w:autoSpaceDN w:val="0"/>
                    <w:jc w:val="center"/>
                    <w:rPr>
                      <w:b/>
                      <w:bCs/>
                      <w:color w:val="auto"/>
                      <w:szCs w:val="21"/>
                      <w:lang w:val="zh-CN" w:bidi="zh-CN"/>
                    </w:rPr>
                  </w:pPr>
                  <w:r>
                    <w:rPr>
                      <w:b/>
                      <w:bCs/>
                      <w:color w:val="auto"/>
                      <w:szCs w:val="21"/>
                      <w:lang w:bidi="zh-CN"/>
                    </w:rPr>
                    <w:t>贡献</w:t>
                  </w:r>
                  <w:r>
                    <w:rPr>
                      <w:b/>
                      <w:bCs/>
                      <w:color w:val="auto"/>
                      <w:szCs w:val="21"/>
                      <w:lang w:val="zh-CN" w:bidi="zh-CN"/>
                    </w:rPr>
                    <w:t>值</w:t>
                  </w:r>
                </w:p>
              </w:tc>
              <w:tc>
                <w:tcPr>
                  <w:tcW w:w="873" w:type="pct"/>
                  <w:gridSpan w:val="2"/>
                  <w:vAlign w:val="center"/>
                </w:tcPr>
                <w:p>
                  <w:pPr>
                    <w:autoSpaceDE w:val="0"/>
                    <w:autoSpaceDN w:val="0"/>
                    <w:jc w:val="center"/>
                    <w:rPr>
                      <w:b/>
                      <w:bCs/>
                      <w:color w:val="auto"/>
                      <w:szCs w:val="21"/>
                      <w:lang w:val="zh-CN" w:bidi="zh-CN"/>
                    </w:rPr>
                  </w:pPr>
                  <w:r>
                    <w:rPr>
                      <w:b/>
                      <w:bCs/>
                      <w:color w:val="auto"/>
                      <w:szCs w:val="21"/>
                      <w:lang w:val="zh-CN" w:bidi="zh-CN"/>
                    </w:rPr>
                    <w:t>预测值</w:t>
                  </w:r>
                </w:p>
              </w:tc>
              <w:tc>
                <w:tcPr>
                  <w:tcW w:w="549" w:type="pct"/>
                  <w:gridSpan w:val="2"/>
                  <w:vAlign w:val="center"/>
                </w:tcPr>
                <w:p>
                  <w:pPr>
                    <w:autoSpaceDE w:val="0"/>
                    <w:autoSpaceDN w:val="0"/>
                    <w:jc w:val="center"/>
                    <w:rPr>
                      <w:b/>
                      <w:bCs/>
                      <w:color w:val="auto"/>
                      <w:szCs w:val="21"/>
                      <w:lang w:val="zh-CN" w:bidi="zh-CN"/>
                    </w:rPr>
                  </w:pPr>
                  <w:r>
                    <w:rPr>
                      <w:b/>
                      <w:bCs/>
                      <w:color w:val="auto"/>
                      <w:szCs w:val="21"/>
                      <w:lang w:val="zh-CN" w:bidi="zh-CN"/>
                    </w:rPr>
                    <w:t>评价标准</w:t>
                  </w:r>
                </w:p>
              </w:tc>
              <w:tc>
                <w:tcPr>
                  <w:tcW w:w="621" w:type="pct"/>
                  <w:gridSpan w:val="2"/>
                  <w:vAlign w:val="center"/>
                </w:tcPr>
                <w:p>
                  <w:pPr>
                    <w:autoSpaceDE w:val="0"/>
                    <w:autoSpaceDN w:val="0"/>
                    <w:jc w:val="center"/>
                    <w:rPr>
                      <w:b/>
                      <w:bCs/>
                      <w:color w:val="auto"/>
                      <w:szCs w:val="21"/>
                      <w:lang w:val="zh-CN" w:bidi="zh-CN"/>
                    </w:rPr>
                  </w:pPr>
                  <w:r>
                    <w:rPr>
                      <w:b/>
                      <w:bCs/>
                      <w:color w:val="auto"/>
                      <w:szCs w:val="21"/>
                      <w:lang w:val="zh-CN" w:bidi="zh-CN"/>
                    </w:rPr>
                    <w:t>超标情况</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78" w:type="pct"/>
                  <w:gridSpan w:val="3"/>
                  <w:vMerge w:val="continue"/>
                  <w:tcBorders>
                    <w:top w:val="nil"/>
                  </w:tcBorders>
                  <w:vAlign w:val="center"/>
                </w:tcPr>
                <w:p>
                  <w:pPr>
                    <w:autoSpaceDE w:val="0"/>
                    <w:autoSpaceDN w:val="0"/>
                    <w:jc w:val="center"/>
                    <w:rPr>
                      <w:b/>
                      <w:bCs/>
                      <w:color w:val="auto"/>
                      <w:szCs w:val="21"/>
                    </w:rPr>
                  </w:pPr>
                </w:p>
              </w:tc>
              <w:tc>
                <w:tcPr>
                  <w:tcW w:w="379" w:type="pct"/>
                  <w:vAlign w:val="center"/>
                </w:tcPr>
                <w:p>
                  <w:pPr>
                    <w:autoSpaceDE w:val="0"/>
                    <w:autoSpaceDN w:val="0"/>
                    <w:jc w:val="center"/>
                    <w:rPr>
                      <w:b/>
                      <w:bCs/>
                      <w:color w:val="auto"/>
                      <w:szCs w:val="21"/>
                      <w:lang w:val="zh-CN" w:bidi="zh-CN"/>
                    </w:rPr>
                  </w:pPr>
                  <w:r>
                    <w:rPr>
                      <w:b/>
                      <w:bCs/>
                      <w:color w:val="auto"/>
                      <w:szCs w:val="21"/>
                      <w:lang w:val="zh-CN" w:bidi="zh-CN"/>
                    </w:rPr>
                    <w:t>昼</w:t>
                  </w:r>
                </w:p>
              </w:tc>
              <w:tc>
                <w:tcPr>
                  <w:tcW w:w="386" w:type="pct"/>
                  <w:vAlign w:val="center"/>
                </w:tcPr>
                <w:p>
                  <w:pPr>
                    <w:autoSpaceDE w:val="0"/>
                    <w:autoSpaceDN w:val="0"/>
                    <w:jc w:val="center"/>
                    <w:rPr>
                      <w:b/>
                      <w:bCs/>
                      <w:color w:val="auto"/>
                      <w:szCs w:val="21"/>
                      <w:lang w:val="zh-CN" w:bidi="zh-CN"/>
                    </w:rPr>
                  </w:pPr>
                  <w:r>
                    <w:rPr>
                      <w:b/>
                      <w:bCs/>
                      <w:color w:val="auto"/>
                      <w:szCs w:val="21"/>
                      <w:lang w:val="zh-CN" w:bidi="zh-CN"/>
                    </w:rPr>
                    <w:t>夜</w:t>
                  </w:r>
                </w:p>
              </w:tc>
              <w:tc>
                <w:tcPr>
                  <w:tcW w:w="477" w:type="pct"/>
                  <w:vAlign w:val="center"/>
                </w:tcPr>
                <w:p>
                  <w:pPr>
                    <w:autoSpaceDE w:val="0"/>
                    <w:autoSpaceDN w:val="0"/>
                    <w:jc w:val="center"/>
                    <w:rPr>
                      <w:b/>
                      <w:bCs/>
                      <w:color w:val="auto"/>
                      <w:szCs w:val="21"/>
                      <w:lang w:val="zh-CN" w:bidi="zh-CN"/>
                    </w:rPr>
                  </w:pPr>
                  <w:r>
                    <w:rPr>
                      <w:b/>
                      <w:bCs/>
                      <w:color w:val="auto"/>
                      <w:szCs w:val="21"/>
                      <w:lang w:val="zh-CN" w:bidi="zh-CN"/>
                    </w:rPr>
                    <w:t>昼</w:t>
                  </w:r>
                </w:p>
              </w:tc>
              <w:tc>
                <w:tcPr>
                  <w:tcW w:w="434" w:type="pct"/>
                  <w:vAlign w:val="center"/>
                </w:tcPr>
                <w:p>
                  <w:pPr>
                    <w:autoSpaceDE w:val="0"/>
                    <w:autoSpaceDN w:val="0"/>
                    <w:jc w:val="center"/>
                    <w:rPr>
                      <w:b/>
                      <w:bCs/>
                      <w:color w:val="auto"/>
                      <w:szCs w:val="21"/>
                      <w:lang w:val="zh-CN" w:bidi="zh-CN"/>
                    </w:rPr>
                  </w:pPr>
                  <w:r>
                    <w:rPr>
                      <w:b/>
                      <w:bCs/>
                      <w:color w:val="auto"/>
                      <w:szCs w:val="21"/>
                      <w:lang w:val="zh-CN" w:bidi="zh-CN"/>
                    </w:rPr>
                    <w:t>夜</w:t>
                  </w:r>
                </w:p>
              </w:tc>
              <w:tc>
                <w:tcPr>
                  <w:tcW w:w="450" w:type="pct"/>
                  <w:vAlign w:val="center"/>
                </w:tcPr>
                <w:p>
                  <w:pPr>
                    <w:autoSpaceDE w:val="0"/>
                    <w:autoSpaceDN w:val="0"/>
                    <w:jc w:val="center"/>
                    <w:rPr>
                      <w:b/>
                      <w:bCs/>
                      <w:color w:val="auto"/>
                      <w:szCs w:val="21"/>
                      <w:lang w:val="zh-CN" w:bidi="zh-CN"/>
                    </w:rPr>
                  </w:pPr>
                  <w:r>
                    <w:rPr>
                      <w:b/>
                      <w:bCs/>
                      <w:color w:val="auto"/>
                      <w:szCs w:val="21"/>
                      <w:lang w:val="zh-CN" w:bidi="zh-CN"/>
                    </w:rPr>
                    <w:t>昼</w:t>
                  </w:r>
                </w:p>
              </w:tc>
              <w:tc>
                <w:tcPr>
                  <w:tcW w:w="422" w:type="pct"/>
                  <w:vAlign w:val="center"/>
                </w:tcPr>
                <w:p>
                  <w:pPr>
                    <w:autoSpaceDE w:val="0"/>
                    <w:autoSpaceDN w:val="0"/>
                    <w:jc w:val="center"/>
                    <w:rPr>
                      <w:b/>
                      <w:bCs/>
                      <w:color w:val="auto"/>
                      <w:szCs w:val="21"/>
                      <w:lang w:val="zh-CN" w:bidi="zh-CN"/>
                    </w:rPr>
                  </w:pPr>
                  <w:r>
                    <w:rPr>
                      <w:b/>
                      <w:bCs/>
                      <w:color w:val="auto"/>
                      <w:szCs w:val="21"/>
                      <w:lang w:val="zh-CN" w:bidi="zh-CN"/>
                    </w:rPr>
                    <w:t>夜</w:t>
                  </w:r>
                </w:p>
              </w:tc>
              <w:tc>
                <w:tcPr>
                  <w:tcW w:w="263" w:type="pct"/>
                  <w:vAlign w:val="center"/>
                </w:tcPr>
                <w:p>
                  <w:pPr>
                    <w:autoSpaceDE w:val="0"/>
                    <w:autoSpaceDN w:val="0"/>
                    <w:jc w:val="center"/>
                    <w:rPr>
                      <w:b/>
                      <w:bCs/>
                      <w:color w:val="auto"/>
                      <w:szCs w:val="21"/>
                      <w:lang w:val="zh-CN" w:bidi="zh-CN"/>
                    </w:rPr>
                  </w:pPr>
                  <w:r>
                    <w:rPr>
                      <w:b/>
                      <w:bCs/>
                      <w:color w:val="auto"/>
                      <w:szCs w:val="21"/>
                      <w:lang w:val="zh-CN" w:bidi="zh-CN"/>
                    </w:rPr>
                    <w:t>昼</w:t>
                  </w:r>
                </w:p>
              </w:tc>
              <w:tc>
                <w:tcPr>
                  <w:tcW w:w="286" w:type="pct"/>
                  <w:vAlign w:val="center"/>
                </w:tcPr>
                <w:p>
                  <w:pPr>
                    <w:autoSpaceDE w:val="0"/>
                    <w:autoSpaceDN w:val="0"/>
                    <w:jc w:val="center"/>
                    <w:rPr>
                      <w:b/>
                      <w:bCs/>
                      <w:color w:val="auto"/>
                      <w:szCs w:val="21"/>
                      <w:lang w:val="zh-CN" w:bidi="zh-CN"/>
                    </w:rPr>
                  </w:pPr>
                  <w:r>
                    <w:rPr>
                      <w:b/>
                      <w:bCs/>
                      <w:color w:val="auto"/>
                      <w:szCs w:val="21"/>
                      <w:lang w:val="zh-CN" w:bidi="zh-CN"/>
                    </w:rPr>
                    <w:t>夜</w:t>
                  </w:r>
                </w:p>
              </w:tc>
              <w:tc>
                <w:tcPr>
                  <w:tcW w:w="339" w:type="pct"/>
                  <w:vAlign w:val="center"/>
                </w:tcPr>
                <w:p>
                  <w:pPr>
                    <w:autoSpaceDE w:val="0"/>
                    <w:autoSpaceDN w:val="0"/>
                    <w:jc w:val="center"/>
                    <w:rPr>
                      <w:b/>
                      <w:bCs/>
                      <w:color w:val="auto"/>
                      <w:szCs w:val="21"/>
                      <w:lang w:val="zh-CN" w:bidi="zh-CN"/>
                    </w:rPr>
                  </w:pPr>
                  <w:r>
                    <w:rPr>
                      <w:b/>
                      <w:bCs/>
                      <w:color w:val="auto"/>
                      <w:szCs w:val="21"/>
                      <w:lang w:val="zh-CN" w:bidi="zh-CN"/>
                    </w:rPr>
                    <w:t>昼</w:t>
                  </w:r>
                </w:p>
              </w:tc>
              <w:tc>
                <w:tcPr>
                  <w:tcW w:w="282" w:type="pct"/>
                  <w:vAlign w:val="center"/>
                </w:tcPr>
                <w:p>
                  <w:pPr>
                    <w:autoSpaceDE w:val="0"/>
                    <w:autoSpaceDN w:val="0"/>
                    <w:jc w:val="center"/>
                    <w:rPr>
                      <w:b/>
                      <w:bCs/>
                      <w:color w:val="auto"/>
                      <w:szCs w:val="21"/>
                      <w:lang w:val="zh-CN" w:bidi="zh-CN"/>
                    </w:rPr>
                  </w:pPr>
                  <w:r>
                    <w:rPr>
                      <w:b/>
                      <w:bCs/>
                      <w:color w:val="auto"/>
                      <w:szCs w:val="21"/>
                      <w:lang w:val="zh-CN" w:bidi="zh-CN"/>
                    </w:rPr>
                    <w:t>夜</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5" w:type="pct"/>
                  <w:vMerge w:val="restart"/>
                  <w:vAlign w:val="center"/>
                </w:tcPr>
                <w:p>
                  <w:pPr>
                    <w:autoSpaceDE w:val="0"/>
                    <w:autoSpaceDN w:val="0"/>
                    <w:jc w:val="center"/>
                    <w:rPr>
                      <w:color w:val="auto"/>
                      <w:szCs w:val="21"/>
                      <w:lang w:val="zh-CN" w:bidi="zh-CN"/>
                    </w:rPr>
                  </w:pPr>
                  <w:bookmarkStart w:id="3" w:name="OLE_LINK1" w:colFirst="1" w:colLast="2"/>
                  <w:r>
                    <w:rPr>
                      <w:color w:val="auto"/>
                      <w:szCs w:val="21"/>
                      <w:lang w:val="zh-CN" w:bidi="zh-CN"/>
                    </w:rPr>
                    <w:t>厂界噪声</w:t>
                  </w:r>
                </w:p>
              </w:tc>
              <w:tc>
                <w:tcPr>
                  <w:tcW w:w="460" w:type="pct"/>
                  <w:vAlign w:val="center"/>
                </w:tcPr>
                <w:p>
                  <w:pPr>
                    <w:autoSpaceDE w:val="0"/>
                    <w:autoSpaceDN w:val="0"/>
                    <w:jc w:val="center"/>
                    <w:rPr>
                      <w:color w:val="auto"/>
                      <w:szCs w:val="21"/>
                      <w:lang w:bidi="zh-CN"/>
                    </w:rPr>
                  </w:pPr>
                  <w:r>
                    <w:rPr>
                      <w:color w:val="auto"/>
                      <w:szCs w:val="21"/>
                      <w:lang w:bidi="zh-CN"/>
                    </w:rPr>
                    <w:t>南厂界</w:t>
                  </w:r>
                </w:p>
              </w:tc>
              <w:tc>
                <w:tcPr>
                  <w:tcW w:w="362" w:type="pct"/>
                  <w:vAlign w:val="center"/>
                </w:tcPr>
                <w:p>
                  <w:pPr>
                    <w:autoSpaceDE w:val="0"/>
                    <w:autoSpaceDN w:val="0"/>
                    <w:jc w:val="center"/>
                    <w:rPr>
                      <w:color w:val="auto"/>
                      <w:szCs w:val="21"/>
                      <w:lang w:bidi="zh-CN"/>
                    </w:rPr>
                  </w:pPr>
                  <w:r>
                    <w:rPr>
                      <w:color w:val="auto"/>
                      <w:szCs w:val="21"/>
                      <w:lang w:bidi="zh-CN"/>
                    </w:rPr>
                    <w:t>N1</w:t>
                  </w:r>
                </w:p>
              </w:tc>
              <w:tc>
                <w:tcPr>
                  <w:tcW w:w="379" w:type="pct"/>
                  <w:vAlign w:val="center"/>
                </w:tcPr>
                <w:p>
                  <w:pPr>
                    <w:autoSpaceDE w:val="0"/>
                    <w:autoSpaceDN w:val="0"/>
                    <w:jc w:val="center"/>
                    <w:rPr>
                      <w:color w:val="auto"/>
                      <w:szCs w:val="21"/>
                      <w:lang w:bidi="zh-CN"/>
                    </w:rPr>
                  </w:pPr>
                  <w:r>
                    <w:rPr>
                      <w:rFonts w:hint="eastAsia"/>
                      <w:color w:val="auto"/>
                      <w:szCs w:val="21"/>
                      <w:lang w:bidi="zh-CN"/>
                    </w:rPr>
                    <w:t>52</w:t>
                  </w:r>
                </w:p>
              </w:tc>
              <w:tc>
                <w:tcPr>
                  <w:tcW w:w="386" w:type="pct"/>
                  <w:vAlign w:val="center"/>
                </w:tcPr>
                <w:p>
                  <w:pPr>
                    <w:autoSpaceDE w:val="0"/>
                    <w:autoSpaceDN w:val="0"/>
                    <w:jc w:val="center"/>
                    <w:rPr>
                      <w:color w:val="auto"/>
                      <w:szCs w:val="21"/>
                      <w:lang w:bidi="zh-CN"/>
                    </w:rPr>
                  </w:pPr>
                  <w:r>
                    <w:rPr>
                      <w:rFonts w:hint="eastAsia"/>
                      <w:color w:val="auto"/>
                      <w:szCs w:val="21"/>
                      <w:lang w:bidi="zh-CN"/>
                    </w:rPr>
                    <w:t>47</w:t>
                  </w:r>
                </w:p>
              </w:tc>
              <w:tc>
                <w:tcPr>
                  <w:tcW w:w="477" w:type="pct"/>
                  <w:vAlign w:val="center"/>
                </w:tcPr>
                <w:p>
                  <w:pPr>
                    <w:autoSpaceDE w:val="0"/>
                    <w:autoSpaceDN w:val="0"/>
                    <w:jc w:val="center"/>
                    <w:rPr>
                      <w:color w:val="auto"/>
                      <w:szCs w:val="21"/>
                      <w:lang w:bidi="zh-CN"/>
                    </w:rPr>
                  </w:pPr>
                  <w:r>
                    <w:rPr>
                      <w:rFonts w:hint="eastAsia"/>
                      <w:color w:val="auto"/>
                      <w:szCs w:val="21"/>
                      <w:lang w:bidi="zh-CN"/>
                    </w:rPr>
                    <w:t>32</w:t>
                  </w:r>
                </w:p>
              </w:tc>
              <w:tc>
                <w:tcPr>
                  <w:tcW w:w="434" w:type="pct"/>
                  <w:vAlign w:val="center"/>
                </w:tcPr>
                <w:p>
                  <w:pPr>
                    <w:autoSpaceDE w:val="0"/>
                    <w:autoSpaceDN w:val="0"/>
                    <w:jc w:val="center"/>
                    <w:rPr>
                      <w:color w:val="auto"/>
                      <w:szCs w:val="21"/>
                      <w:lang w:bidi="zh-CN"/>
                    </w:rPr>
                  </w:pPr>
                  <w:r>
                    <w:rPr>
                      <w:rFonts w:hint="eastAsia"/>
                      <w:color w:val="auto"/>
                      <w:szCs w:val="21"/>
                      <w:lang w:bidi="zh-CN"/>
                    </w:rPr>
                    <w:t>32</w:t>
                  </w:r>
                </w:p>
              </w:tc>
              <w:tc>
                <w:tcPr>
                  <w:tcW w:w="450" w:type="pct"/>
                  <w:vAlign w:val="center"/>
                </w:tcPr>
                <w:p>
                  <w:pPr>
                    <w:autoSpaceDE w:val="0"/>
                    <w:autoSpaceDN w:val="0"/>
                    <w:jc w:val="center"/>
                    <w:rPr>
                      <w:color w:val="auto"/>
                      <w:szCs w:val="21"/>
                      <w:lang w:bidi="zh-CN"/>
                    </w:rPr>
                  </w:pPr>
                  <w:r>
                    <w:rPr>
                      <w:rFonts w:hint="eastAsia"/>
                      <w:color w:val="auto"/>
                      <w:szCs w:val="21"/>
                      <w:lang w:bidi="zh-CN"/>
                    </w:rPr>
                    <w:t>/</w:t>
                  </w:r>
                </w:p>
              </w:tc>
              <w:tc>
                <w:tcPr>
                  <w:tcW w:w="422" w:type="pct"/>
                  <w:vAlign w:val="center"/>
                </w:tcPr>
                <w:p>
                  <w:pPr>
                    <w:autoSpaceDE w:val="0"/>
                    <w:autoSpaceDN w:val="0"/>
                    <w:jc w:val="center"/>
                    <w:rPr>
                      <w:color w:val="auto"/>
                      <w:szCs w:val="21"/>
                      <w:lang w:bidi="zh-CN"/>
                    </w:rPr>
                  </w:pPr>
                  <w:r>
                    <w:rPr>
                      <w:rFonts w:hint="eastAsia"/>
                      <w:color w:val="auto"/>
                      <w:szCs w:val="21"/>
                      <w:lang w:bidi="zh-CN"/>
                    </w:rPr>
                    <w:t>/</w:t>
                  </w:r>
                </w:p>
              </w:tc>
              <w:tc>
                <w:tcPr>
                  <w:tcW w:w="263" w:type="pct"/>
                  <w:vMerge w:val="restart"/>
                  <w:vAlign w:val="center"/>
                </w:tcPr>
                <w:p>
                  <w:pPr>
                    <w:autoSpaceDE w:val="0"/>
                    <w:autoSpaceDN w:val="0"/>
                    <w:jc w:val="center"/>
                    <w:rPr>
                      <w:color w:val="auto"/>
                      <w:szCs w:val="21"/>
                      <w:lang w:bidi="zh-CN"/>
                    </w:rPr>
                  </w:pPr>
                  <w:r>
                    <w:rPr>
                      <w:color w:val="auto"/>
                      <w:szCs w:val="21"/>
                      <w:lang w:bidi="zh-CN"/>
                    </w:rPr>
                    <w:t>65</w:t>
                  </w:r>
                </w:p>
              </w:tc>
              <w:tc>
                <w:tcPr>
                  <w:tcW w:w="286" w:type="pct"/>
                  <w:vMerge w:val="restart"/>
                  <w:vAlign w:val="center"/>
                </w:tcPr>
                <w:p>
                  <w:pPr>
                    <w:autoSpaceDE w:val="0"/>
                    <w:autoSpaceDN w:val="0"/>
                    <w:jc w:val="center"/>
                    <w:rPr>
                      <w:color w:val="auto"/>
                      <w:szCs w:val="21"/>
                      <w:lang w:bidi="zh-CN"/>
                    </w:rPr>
                  </w:pPr>
                  <w:r>
                    <w:rPr>
                      <w:color w:val="auto"/>
                      <w:szCs w:val="21"/>
                      <w:lang w:bidi="zh-CN"/>
                    </w:rPr>
                    <w:t>55</w:t>
                  </w: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55" w:type="pct"/>
                  <w:vMerge w:val="continue"/>
                  <w:tcBorders>
                    <w:top w:val="nil"/>
                  </w:tcBorders>
                  <w:vAlign w:val="center"/>
                </w:tcPr>
                <w:p>
                  <w:pPr>
                    <w:autoSpaceDE w:val="0"/>
                    <w:autoSpaceDN w:val="0"/>
                    <w:jc w:val="center"/>
                    <w:rPr>
                      <w:color w:val="auto"/>
                      <w:szCs w:val="21"/>
                    </w:rPr>
                  </w:pPr>
                </w:p>
              </w:tc>
              <w:tc>
                <w:tcPr>
                  <w:tcW w:w="460" w:type="pct"/>
                  <w:vAlign w:val="center"/>
                </w:tcPr>
                <w:p>
                  <w:pPr>
                    <w:autoSpaceDE w:val="0"/>
                    <w:autoSpaceDN w:val="0"/>
                    <w:jc w:val="center"/>
                    <w:rPr>
                      <w:color w:val="auto"/>
                      <w:szCs w:val="21"/>
                      <w:lang w:bidi="zh-CN"/>
                    </w:rPr>
                  </w:pPr>
                  <w:r>
                    <w:rPr>
                      <w:color w:val="auto"/>
                      <w:szCs w:val="21"/>
                      <w:lang w:bidi="zh-CN"/>
                    </w:rPr>
                    <w:t>东厂界</w:t>
                  </w:r>
                </w:p>
              </w:tc>
              <w:tc>
                <w:tcPr>
                  <w:tcW w:w="362" w:type="pct"/>
                  <w:vAlign w:val="center"/>
                </w:tcPr>
                <w:p>
                  <w:pPr>
                    <w:autoSpaceDE w:val="0"/>
                    <w:autoSpaceDN w:val="0"/>
                    <w:jc w:val="center"/>
                    <w:rPr>
                      <w:color w:val="auto"/>
                      <w:szCs w:val="21"/>
                      <w:lang w:bidi="zh-CN"/>
                    </w:rPr>
                  </w:pPr>
                  <w:r>
                    <w:rPr>
                      <w:color w:val="auto"/>
                      <w:szCs w:val="21"/>
                      <w:lang w:bidi="zh-CN"/>
                    </w:rPr>
                    <w:t>N2</w:t>
                  </w:r>
                </w:p>
              </w:tc>
              <w:tc>
                <w:tcPr>
                  <w:tcW w:w="379" w:type="pct"/>
                  <w:vAlign w:val="center"/>
                </w:tcPr>
                <w:p>
                  <w:pPr>
                    <w:autoSpaceDE w:val="0"/>
                    <w:autoSpaceDN w:val="0"/>
                    <w:jc w:val="center"/>
                    <w:rPr>
                      <w:color w:val="auto"/>
                      <w:szCs w:val="21"/>
                      <w:lang w:bidi="zh-CN"/>
                    </w:rPr>
                  </w:pPr>
                  <w:r>
                    <w:rPr>
                      <w:rFonts w:hint="eastAsia"/>
                      <w:color w:val="auto"/>
                      <w:szCs w:val="21"/>
                      <w:lang w:bidi="zh-CN"/>
                    </w:rPr>
                    <w:t>53</w:t>
                  </w:r>
                </w:p>
              </w:tc>
              <w:tc>
                <w:tcPr>
                  <w:tcW w:w="386" w:type="pct"/>
                  <w:vAlign w:val="center"/>
                </w:tcPr>
                <w:p>
                  <w:pPr>
                    <w:autoSpaceDE w:val="0"/>
                    <w:autoSpaceDN w:val="0"/>
                    <w:jc w:val="center"/>
                    <w:rPr>
                      <w:color w:val="auto"/>
                      <w:szCs w:val="21"/>
                      <w:lang w:bidi="zh-CN"/>
                    </w:rPr>
                  </w:pPr>
                  <w:r>
                    <w:rPr>
                      <w:rFonts w:hint="eastAsia"/>
                      <w:color w:val="auto"/>
                      <w:szCs w:val="21"/>
                      <w:lang w:bidi="zh-CN"/>
                    </w:rPr>
                    <w:t>47</w:t>
                  </w:r>
                </w:p>
              </w:tc>
              <w:tc>
                <w:tcPr>
                  <w:tcW w:w="477" w:type="pct"/>
                  <w:vAlign w:val="center"/>
                </w:tcPr>
                <w:p>
                  <w:pPr>
                    <w:autoSpaceDE w:val="0"/>
                    <w:autoSpaceDN w:val="0"/>
                    <w:jc w:val="center"/>
                    <w:rPr>
                      <w:color w:val="auto"/>
                      <w:szCs w:val="21"/>
                      <w:lang w:bidi="zh-CN"/>
                    </w:rPr>
                  </w:pPr>
                  <w:r>
                    <w:rPr>
                      <w:rFonts w:hint="eastAsia"/>
                      <w:color w:val="auto"/>
                      <w:szCs w:val="21"/>
                      <w:lang w:bidi="zh-CN"/>
                    </w:rPr>
                    <w:t>24</w:t>
                  </w:r>
                </w:p>
              </w:tc>
              <w:tc>
                <w:tcPr>
                  <w:tcW w:w="434" w:type="pct"/>
                  <w:vAlign w:val="center"/>
                </w:tcPr>
                <w:p>
                  <w:pPr>
                    <w:autoSpaceDE w:val="0"/>
                    <w:autoSpaceDN w:val="0"/>
                    <w:jc w:val="center"/>
                    <w:rPr>
                      <w:color w:val="auto"/>
                      <w:szCs w:val="21"/>
                      <w:lang w:bidi="zh-CN"/>
                    </w:rPr>
                  </w:pPr>
                  <w:r>
                    <w:rPr>
                      <w:rFonts w:hint="eastAsia"/>
                      <w:color w:val="auto"/>
                      <w:szCs w:val="21"/>
                      <w:lang w:bidi="zh-CN"/>
                    </w:rPr>
                    <w:t>24</w:t>
                  </w:r>
                </w:p>
              </w:tc>
              <w:tc>
                <w:tcPr>
                  <w:tcW w:w="450" w:type="pct"/>
                  <w:vAlign w:val="center"/>
                </w:tcPr>
                <w:p>
                  <w:pPr>
                    <w:autoSpaceDE w:val="0"/>
                    <w:autoSpaceDN w:val="0"/>
                    <w:jc w:val="center"/>
                    <w:rPr>
                      <w:color w:val="auto"/>
                      <w:szCs w:val="21"/>
                      <w:lang w:bidi="zh-CN"/>
                    </w:rPr>
                  </w:pPr>
                  <w:r>
                    <w:rPr>
                      <w:rFonts w:hint="eastAsia"/>
                      <w:color w:val="auto"/>
                      <w:szCs w:val="21"/>
                      <w:lang w:bidi="zh-CN"/>
                    </w:rPr>
                    <w:t>/</w:t>
                  </w:r>
                </w:p>
              </w:tc>
              <w:tc>
                <w:tcPr>
                  <w:tcW w:w="422" w:type="pct"/>
                  <w:vAlign w:val="center"/>
                </w:tcPr>
                <w:p>
                  <w:pPr>
                    <w:autoSpaceDE w:val="0"/>
                    <w:autoSpaceDN w:val="0"/>
                    <w:jc w:val="center"/>
                    <w:rPr>
                      <w:color w:val="auto"/>
                      <w:szCs w:val="21"/>
                      <w:lang w:bidi="zh-CN"/>
                    </w:rPr>
                  </w:pPr>
                  <w:r>
                    <w:rPr>
                      <w:rFonts w:hint="eastAsia"/>
                      <w:color w:val="auto"/>
                      <w:szCs w:val="21"/>
                      <w:lang w:bidi="zh-CN"/>
                    </w:rPr>
                    <w:t>/</w:t>
                  </w:r>
                </w:p>
              </w:tc>
              <w:tc>
                <w:tcPr>
                  <w:tcW w:w="263" w:type="pct"/>
                  <w:vMerge w:val="continue"/>
                  <w:vAlign w:val="center"/>
                </w:tcPr>
                <w:p>
                  <w:pPr>
                    <w:autoSpaceDE w:val="0"/>
                    <w:autoSpaceDN w:val="0"/>
                    <w:jc w:val="center"/>
                    <w:rPr>
                      <w:color w:val="auto"/>
                      <w:szCs w:val="21"/>
                    </w:rPr>
                  </w:pPr>
                </w:p>
              </w:tc>
              <w:tc>
                <w:tcPr>
                  <w:tcW w:w="286" w:type="pct"/>
                  <w:vMerge w:val="continue"/>
                  <w:vAlign w:val="center"/>
                </w:tcPr>
                <w:p>
                  <w:pPr>
                    <w:autoSpaceDE w:val="0"/>
                    <w:autoSpaceDN w:val="0"/>
                    <w:jc w:val="center"/>
                    <w:rPr>
                      <w:color w:val="auto"/>
                      <w:szCs w:val="21"/>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5" w:type="pct"/>
                  <w:vMerge w:val="continue"/>
                  <w:tcBorders>
                    <w:top w:val="nil"/>
                  </w:tcBorders>
                  <w:vAlign w:val="center"/>
                </w:tcPr>
                <w:p>
                  <w:pPr>
                    <w:autoSpaceDE w:val="0"/>
                    <w:autoSpaceDN w:val="0"/>
                    <w:jc w:val="center"/>
                    <w:rPr>
                      <w:color w:val="auto"/>
                      <w:szCs w:val="21"/>
                    </w:rPr>
                  </w:pPr>
                </w:p>
              </w:tc>
              <w:tc>
                <w:tcPr>
                  <w:tcW w:w="460" w:type="pct"/>
                  <w:vMerge w:val="restart"/>
                  <w:tcBorders>
                    <w:top w:val="nil"/>
                  </w:tcBorders>
                  <w:vAlign w:val="center"/>
                </w:tcPr>
                <w:p>
                  <w:pPr>
                    <w:autoSpaceDE w:val="0"/>
                    <w:autoSpaceDN w:val="0"/>
                    <w:jc w:val="center"/>
                    <w:rPr>
                      <w:color w:val="auto"/>
                      <w:szCs w:val="21"/>
                    </w:rPr>
                  </w:pPr>
                  <w:r>
                    <w:rPr>
                      <w:color w:val="auto"/>
                      <w:szCs w:val="21"/>
                    </w:rPr>
                    <w:t>北厂界</w:t>
                  </w:r>
                </w:p>
              </w:tc>
              <w:tc>
                <w:tcPr>
                  <w:tcW w:w="362" w:type="pct"/>
                  <w:vAlign w:val="center"/>
                </w:tcPr>
                <w:p>
                  <w:pPr>
                    <w:autoSpaceDE w:val="0"/>
                    <w:autoSpaceDN w:val="0"/>
                    <w:jc w:val="center"/>
                    <w:rPr>
                      <w:color w:val="auto"/>
                      <w:szCs w:val="21"/>
                      <w:lang w:bidi="zh-CN"/>
                    </w:rPr>
                  </w:pPr>
                  <w:r>
                    <w:rPr>
                      <w:color w:val="auto"/>
                      <w:szCs w:val="21"/>
                      <w:lang w:bidi="zh-CN"/>
                    </w:rPr>
                    <w:t>N3</w:t>
                  </w:r>
                </w:p>
              </w:tc>
              <w:tc>
                <w:tcPr>
                  <w:tcW w:w="379" w:type="pct"/>
                  <w:vAlign w:val="center"/>
                </w:tcPr>
                <w:p>
                  <w:pPr>
                    <w:autoSpaceDE w:val="0"/>
                    <w:autoSpaceDN w:val="0"/>
                    <w:jc w:val="center"/>
                    <w:rPr>
                      <w:color w:val="auto"/>
                      <w:szCs w:val="21"/>
                      <w:lang w:bidi="zh-CN"/>
                    </w:rPr>
                  </w:pPr>
                  <w:r>
                    <w:rPr>
                      <w:rFonts w:hint="eastAsia"/>
                      <w:color w:val="auto"/>
                      <w:szCs w:val="21"/>
                      <w:lang w:bidi="zh-CN"/>
                    </w:rPr>
                    <w:t>54</w:t>
                  </w:r>
                </w:p>
              </w:tc>
              <w:tc>
                <w:tcPr>
                  <w:tcW w:w="386" w:type="pct"/>
                  <w:vAlign w:val="center"/>
                </w:tcPr>
                <w:p>
                  <w:pPr>
                    <w:autoSpaceDE w:val="0"/>
                    <w:autoSpaceDN w:val="0"/>
                    <w:jc w:val="center"/>
                    <w:rPr>
                      <w:color w:val="auto"/>
                      <w:szCs w:val="21"/>
                      <w:lang w:bidi="zh-CN"/>
                    </w:rPr>
                  </w:pPr>
                  <w:r>
                    <w:rPr>
                      <w:rFonts w:hint="eastAsia"/>
                      <w:color w:val="auto"/>
                      <w:szCs w:val="21"/>
                      <w:lang w:bidi="zh-CN"/>
                    </w:rPr>
                    <w:t>47</w:t>
                  </w:r>
                </w:p>
              </w:tc>
              <w:tc>
                <w:tcPr>
                  <w:tcW w:w="477" w:type="pct"/>
                  <w:vAlign w:val="center"/>
                </w:tcPr>
                <w:p>
                  <w:pPr>
                    <w:autoSpaceDE w:val="0"/>
                    <w:autoSpaceDN w:val="0"/>
                    <w:jc w:val="center"/>
                    <w:rPr>
                      <w:color w:val="auto"/>
                      <w:szCs w:val="21"/>
                      <w:lang w:bidi="zh-CN"/>
                    </w:rPr>
                  </w:pPr>
                  <w:r>
                    <w:rPr>
                      <w:rFonts w:hint="eastAsia"/>
                      <w:color w:val="auto"/>
                      <w:szCs w:val="21"/>
                      <w:lang w:bidi="zh-CN"/>
                    </w:rPr>
                    <w:t>24</w:t>
                  </w:r>
                </w:p>
              </w:tc>
              <w:tc>
                <w:tcPr>
                  <w:tcW w:w="434" w:type="pct"/>
                  <w:vAlign w:val="center"/>
                </w:tcPr>
                <w:p>
                  <w:pPr>
                    <w:autoSpaceDE w:val="0"/>
                    <w:autoSpaceDN w:val="0"/>
                    <w:jc w:val="center"/>
                    <w:rPr>
                      <w:color w:val="auto"/>
                      <w:szCs w:val="21"/>
                      <w:lang w:bidi="zh-CN"/>
                    </w:rPr>
                  </w:pPr>
                  <w:r>
                    <w:rPr>
                      <w:rFonts w:hint="eastAsia"/>
                      <w:color w:val="auto"/>
                      <w:szCs w:val="21"/>
                      <w:lang w:bidi="zh-CN"/>
                    </w:rPr>
                    <w:t>24</w:t>
                  </w:r>
                </w:p>
              </w:tc>
              <w:tc>
                <w:tcPr>
                  <w:tcW w:w="450" w:type="pct"/>
                  <w:vAlign w:val="center"/>
                </w:tcPr>
                <w:p>
                  <w:pPr>
                    <w:autoSpaceDE w:val="0"/>
                    <w:autoSpaceDN w:val="0"/>
                    <w:jc w:val="center"/>
                    <w:rPr>
                      <w:color w:val="auto"/>
                      <w:szCs w:val="21"/>
                      <w:lang w:bidi="zh-CN"/>
                    </w:rPr>
                  </w:pPr>
                  <w:r>
                    <w:rPr>
                      <w:rFonts w:hint="eastAsia"/>
                      <w:color w:val="auto"/>
                      <w:szCs w:val="21"/>
                      <w:lang w:bidi="zh-CN"/>
                    </w:rPr>
                    <w:t>/</w:t>
                  </w:r>
                </w:p>
              </w:tc>
              <w:tc>
                <w:tcPr>
                  <w:tcW w:w="422" w:type="pct"/>
                  <w:vAlign w:val="center"/>
                </w:tcPr>
                <w:p>
                  <w:pPr>
                    <w:autoSpaceDE w:val="0"/>
                    <w:autoSpaceDN w:val="0"/>
                    <w:jc w:val="center"/>
                    <w:rPr>
                      <w:color w:val="auto"/>
                      <w:szCs w:val="21"/>
                      <w:lang w:bidi="zh-CN"/>
                    </w:rPr>
                  </w:pPr>
                  <w:r>
                    <w:rPr>
                      <w:rFonts w:hint="eastAsia"/>
                      <w:color w:val="auto"/>
                      <w:szCs w:val="21"/>
                      <w:lang w:bidi="zh-CN"/>
                    </w:rPr>
                    <w:t>/</w:t>
                  </w:r>
                </w:p>
              </w:tc>
              <w:tc>
                <w:tcPr>
                  <w:tcW w:w="263" w:type="pct"/>
                  <w:vMerge w:val="continue"/>
                  <w:vAlign w:val="center"/>
                </w:tcPr>
                <w:p>
                  <w:pPr>
                    <w:autoSpaceDE w:val="0"/>
                    <w:autoSpaceDN w:val="0"/>
                    <w:jc w:val="center"/>
                    <w:rPr>
                      <w:color w:val="auto"/>
                      <w:szCs w:val="21"/>
                    </w:rPr>
                  </w:pPr>
                </w:p>
              </w:tc>
              <w:tc>
                <w:tcPr>
                  <w:tcW w:w="286" w:type="pct"/>
                  <w:vMerge w:val="continue"/>
                  <w:vAlign w:val="center"/>
                </w:tcPr>
                <w:p>
                  <w:pPr>
                    <w:autoSpaceDE w:val="0"/>
                    <w:autoSpaceDN w:val="0"/>
                    <w:jc w:val="center"/>
                    <w:rPr>
                      <w:color w:val="auto"/>
                      <w:szCs w:val="21"/>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5" w:type="pct"/>
                  <w:vMerge w:val="continue"/>
                  <w:tcBorders>
                    <w:top w:val="nil"/>
                  </w:tcBorders>
                  <w:vAlign w:val="center"/>
                </w:tcPr>
                <w:p>
                  <w:pPr>
                    <w:autoSpaceDE w:val="0"/>
                    <w:autoSpaceDN w:val="0"/>
                    <w:jc w:val="center"/>
                    <w:rPr>
                      <w:color w:val="auto"/>
                      <w:szCs w:val="21"/>
                    </w:rPr>
                  </w:pPr>
                </w:p>
              </w:tc>
              <w:tc>
                <w:tcPr>
                  <w:tcW w:w="460" w:type="pct"/>
                  <w:vMerge w:val="continue"/>
                  <w:vAlign w:val="center"/>
                </w:tcPr>
                <w:p>
                  <w:pPr>
                    <w:autoSpaceDE w:val="0"/>
                    <w:autoSpaceDN w:val="0"/>
                    <w:jc w:val="center"/>
                    <w:rPr>
                      <w:color w:val="auto"/>
                      <w:szCs w:val="21"/>
                    </w:rPr>
                  </w:pPr>
                </w:p>
              </w:tc>
              <w:tc>
                <w:tcPr>
                  <w:tcW w:w="362" w:type="pct"/>
                  <w:vAlign w:val="center"/>
                </w:tcPr>
                <w:p>
                  <w:pPr>
                    <w:autoSpaceDE w:val="0"/>
                    <w:autoSpaceDN w:val="0"/>
                    <w:jc w:val="center"/>
                    <w:rPr>
                      <w:color w:val="auto"/>
                      <w:szCs w:val="21"/>
                      <w:lang w:bidi="zh-CN"/>
                    </w:rPr>
                  </w:pPr>
                  <w:r>
                    <w:rPr>
                      <w:color w:val="auto"/>
                      <w:szCs w:val="21"/>
                      <w:lang w:bidi="zh-CN"/>
                    </w:rPr>
                    <w:t>N4</w:t>
                  </w:r>
                </w:p>
              </w:tc>
              <w:tc>
                <w:tcPr>
                  <w:tcW w:w="379" w:type="pct"/>
                  <w:vAlign w:val="center"/>
                </w:tcPr>
                <w:p>
                  <w:pPr>
                    <w:autoSpaceDE w:val="0"/>
                    <w:autoSpaceDN w:val="0"/>
                    <w:jc w:val="center"/>
                    <w:rPr>
                      <w:color w:val="auto"/>
                      <w:szCs w:val="21"/>
                      <w:lang w:bidi="zh-CN"/>
                    </w:rPr>
                  </w:pPr>
                  <w:r>
                    <w:rPr>
                      <w:rFonts w:hint="eastAsia"/>
                      <w:color w:val="auto"/>
                      <w:szCs w:val="21"/>
                      <w:lang w:bidi="zh-CN"/>
                    </w:rPr>
                    <w:t>55</w:t>
                  </w:r>
                </w:p>
              </w:tc>
              <w:tc>
                <w:tcPr>
                  <w:tcW w:w="386" w:type="pct"/>
                  <w:vAlign w:val="center"/>
                </w:tcPr>
                <w:p>
                  <w:pPr>
                    <w:autoSpaceDE w:val="0"/>
                    <w:autoSpaceDN w:val="0"/>
                    <w:jc w:val="center"/>
                    <w:rPr>
                      <w:color w:val="auto"/>
                      <w:szCs w:val="21"/>
                      <w:lang w:bidi="zh-CN"/>
                    </w:rPr>
                  </w:pPr>
                  <w:r>
                    <w:rPr>
                      <w:rFonts w:hint="eastAsia"/>
                      <w:color w:val="auto"/>
                      <w:szCs w:val="21"/>
                      <w:lang w:bidi="zh-CN"/>
                    </w:rPr>
                    <w:t>46</w:t>
                  </w:r>
                </w:p>
              </w:tc>
              <w:tc>
                <w:tcPr>
                  <w:tcW w:w="477" w:type="pct"/>
                  <w:vAlign w:val="center"/>
                </w:tcPr>
                <w:p>
                  <w:pPr>
                    <w:autoSpaceDE w:val="0"/>
                    <w:autoSpaceDN w:val="0"/>
                    <w:jc w:val="center"/>
                    <w:rPr>
                      <w:color w:val="auto"/>
                      <w:szCs w:val="21"/>
                      <w:lang w:bidi="zh-CN"/>
                    </w:rPr>
                  </w:pPr>
                  <w:r>
                    <w:rPr>
                      <w:rFonts w:hint="eastAsia"/>
                      <w:color w:val="auto"/>
                      <w:szCs w:val="21"/>
                      <w:lang w:bidi="zh-CN"/>
                    </w:rPr>
                    <w:t>23</w:t>
                  </w:r>
                </w:p>
              </w:tc>
              <w:tc>
                <w:tcPr>
                  <w:tcW w:w="434" w:type="pct"/>
                  <w:vAlign w:val="center"/>
                </w:tcPr>
                <w:p>
                  <w:pPr>
                    <w:autoSpaceDE w:val="0"/>
                    <w:autoSpaceDN w:val="0"/>
                    <w:jc w:val="center"/>
                    <w:rPr>
                      <w:color w:val="auto"/>
                      <w:szCs w:val="21"/>
                      <w:lang w:bidi="zh-CN"/>
                    </w:rPr>
                  </w:pPr>
                  <w:r>
                    <w:rPr>
                      <w:rFonts w:hint="eastAsia"/>
                      <w:color w:val="auto"/>
                      <w:szCs w:val="21"/>
                      <w:lang w:bidi="zh-CN"/>
                    </w:rPr>
                    <w:t>23</w:t>
                  </w:r>
                </w:p>
              </w:tc>
              <w:tc>
                <w:tcPr>
                  <w:tcW w:w="450" w:type="pct"/>
                  <w:vAlign w:val="center"/>
                </w:tcPr>
                <w:p>
                  <w:pPr>
                    <w:autoSpaceDE w:val="0"/>
                    <w:autoSpaceDN w:val="0"/>
                    <w:jc w:val="center"/>
                    <w:rPr>
                      <w:color w:val="auto"/>
                      <w:szCs w:val="21"/>
                      <w:lang w:bidi="zh-CN"/>
                    </w:rPr>
                  </w:pPr>
                  <w:r>
                    <w:rPr>
                      <w:rFonts w:hint="eastAsia"/>
                      <w:color w:val="auto"/>
                      <w:szCs w:val="21"/>
                      <w:lang w:bidi="zh-CN"/>
                    </w:rPr>
                    <w:t>/</w:t>
                  </w:r>
                </w:p>
              </w:tc>
              <w:tc>
                <w:tcPr>
                  <w:tcW w:w="422" w:type="pct"/>
                  <w:vAlign w:val="center"/>
                </w:tcPr>
                <w:p>
                  <w:pPr>
                    <w:autoSpaceDE w:val="0"/>
                    <w:autoSpaceDN w:val="0"/>
                    <w:jc w:val="center"/>
                    <w:rPr>
                      <w:color w:val="auto"/>
                      <w:szCs w:val="21"/>
                      <w:lang w:bidi="zh-CN"/>
                    </w:rPr>
                  </w:pPr>
                  <w:r>
                    <w:rPr>
                      <w:rFonts w:hint="eastAsia"/>
                      <w:color w:val="auto"/>
                      <w:szCs w:val="21"/>
                      <w:lang w:bidi="zh-CN"/>
                    </w:rPr>
                    <w:t>/</w:t>
                  </w:r>
                </w:p>
              </w:tc>
              <w:tc>
                <w:tcPr>
                  <w:tcW w:w="263" w:type="pct"/>
                  <w:vMerge w:val="continue"/>
                  <w:vAlign w:val="center"/>
                </w:tcPr>
                <w:p>
                  <w:pPr>
                    <w:autoSpaceDE w:val="0"/>
                    <w:autoSpaceDN w:val="0"/>
                    <w:jc w:val="center"/>
                    <w:rPr>
                      <w:color w:val="auto"/>
                      <w:szCs w:val="21"/>
                    </w:rPr>
                  </w:pPr>
                </w:p>
              </w:tc>
              <w:tc>
                <w:tcPr>
                  <w:tcW w:w="286" w:type="pct"/>
                  <w:vMerge w:val="continue"/>
                  <w:vAlign w:val="center"/>
                </w:tcPr>
                <w:p>
                  <w:pPr>
                    <w:autoSpaceDE w:val="0"/>
                    <w:autoSpaceDN w:val="0"/>
                    <w:jc w:val="center"/>
                    <w:rPr>
                      <w:color w:val="auto"/>
                      <w:szCs w:val="21"/>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55" w:type="pct"/>
                  <w:vMerge w:val="continue"/>
                  <w:tcBorders>
                    <w:top w:val="nil"/>
                  </w:tcBorders>
                  <w:vAlign w:val="center"/>
                </w:tcPr>
                <w:p>
                  <w:pPr>
                    <w:autoSpaceDE w:val="0"/>
                    <w:autoSpaceDN w:val="0"/>
                    <w:jc w:val="center"/>
                    <w:rPr>
                      <w:color w:val="auto"/>
                      <w:szCs w:val="21"/>
                    </w:rPr>
                  </w:pPr>
                </w:p>
              </w:tc>
              <w:tc>
                <w:tcPr>
                  <w:tcW w:w="460" w:type="pct"/>
                  <w:vAlign w:val="center"/>
                </w:tcPr>
                <w:p>
                  <w:pPr>
                    <w:autoSpaceDE w:val="0"/>
                    <w:autoSpaceDN w:val="0"/>
                    <w:jc w:val="center"/>
                    <w:rPr>
                      <w:color w:val="auto"/>
                      <w:szCs w:val="21"/>
                      <w:lang w:bidi="zh-CN"/>
                    </w:rPr>
                  </w:pPr>
                  <w:r>
                    <w:rPr>
                      <w:color w:val="auto"/>
                      <w:szCs w:val="21"/>
                      <w:lang w:bidi="zh-CN"/>
                    </w:rPr>
                    <w:t>西厂界</w:t>
                  </w:r>
                </w:p>
              </w:tc>
              <w:tc>
                <w:tcPr>
                  <w:tcW w:w="362" w:type="pct"/>
                  <w:vAlign w:val="center"/>
                </w:tcPr>
                <w:p>
                  <w:pPr>
                    <w:autoSpaceDE w:val="0"/>
                    <w:autoSpaceDN w:val="0"/>
                    <w:jc w:val="center"/>
                    <w:rPr>
                      <w:color w:val="auto"/>
                      <w:szCs w:val="21"/>
                      <w:lang w:bidi="zh-CN"/>
                    </w:rPr>
                  </w:pPr>
                  <w:r>
                    <w:rPr>
                      <w:color w:val="auto"/>
                      <w:szCs w:val="21"/>
                      <w:lang w:bidi="zh-CN"/>
                    </w:rPr>
                    <w:t>N5</w:t>
                  </w:r>
                </w:p>
              </w:tc>
              <w:tc>
                <w:tcPr>
                  <w:tcW w:w="379" w:type="pct"/>
                  <w:vAlign w:val="center"/>
                </w:tcPr>
                <w:p>
                  <w:pPr>
                    <w:autoSpaceDE w:val="0"/>
                    <w:autoSpaceDN w:val="0"/>
                    <w:jc w:val="center"/>
                    <w:rPr>
                      <w:color w:val="auto"/>
                      <w:szCs w:val="21"/>
                      <w:lang w:bidi="zh-CN"/>
                    </w:rPr>
                  </w:pPr>
                  <w:r>
                    <w:rPr>
                      <w:rFonts w:hint="eastAsia"/>
                      <w:color w:val="auto"/>
                      <w:szCs w:val="21"/>
                      <w:lang w:bidi="zh-CN"/>
                    </w:rPr>
                    <w:t>53</w:t>
                  </w:r>
                </w:p>
              </w:tc>
              <w:tc>
                <w:tcPr>
                  <w:tcW w:w="386" w:type="pct"/>
                  <w:vAlign w:val="center"/>
                </w:tcPr>
                <w:p>
                  <w:pPr>
                    <w:autoSpaceDE w:val="0"/>
                    <w:autoSpaceDN w:val="0"/>
                    <w:jc w:val="center"/>
                    <w:rPr>
                      <w:color w:val="auto"/>
                      <w:szCs w:val="21"/>
                      <w:lang w:bidi="zh-CN"/>
                    </w:rPr>
                  </w:pPr>
                  <w:r>
                    <w:rPr>
                      <w:rFonts w:hint="eastAsia"/>
                      <w:color w:val="auto"/>
                      <w:szCs w:val="21"/>
                      <w:lang w:bidi="zh-CN"/>
                    </w:rPr>
                    <w:t>46</w:t>
                  </w:r>
                </w:p>
              </w:tc>
              <w:tc>
                <w:tcPr>
                  <w:tcW w:w="477" w:type="pct"/>
                  <w:vAlign w:val="center"/>
                </w:tcPr>
                <w:p>
                  <w:pPr>
                    <w:autoSpaceDE w:val="0"/>
                    <w:autoSpaceDN w:val="0"/>
                    <w:jc w:val="center"/>
                    <w:rPr>
                      <w:color w:val="auto"/>
                      <w:szCs w:val="21"/>
                      <w:lang w:bidi="zh-CN"/>
                    </w:rPr>
                  </w:pPr>
                  <w:r>
                    <w:rPr>
                      <w:rFonts w:hint="eastAsia"/>
                      <w:color w:val="auto"/>
                      <w:szCs w:val="21"/>
                      <w:lang w:bidi="zh-CN"/>
                    </w:rPr>
                    <w:t>22</w:t>
                  </w:r>
                </w:p>
              </w:tc>
              <w:tc>
                <w:tcPr>
                  <w:tcW w:w="434" w:type="pct"/>
                  <w:vAlign w:val="center"/>
                </w:tcPr>
                <w:p>
                  <w:pPr>
                    <w:autoSpaceDE w:val="0"/>
                    <w:autoSpaceDN w:val="0"/>
                    <w:jc w:val="center"/>
                    <w:rPr>
                      <w:color w:val="auto"/>
                      <w:szCs w:val="21"/>
                      <w:lang w:bidi="zh-CN"/>
                    </w:rPr>
                  </w:pPr>
                  <w:r>
                    <w:rPr>
                      <w:rFonts w:hint="eastAsia"/>
                      <w:color w:val="auto"/>
                      <w:szCs w:val="21"/>
                      <w:lang w:bidi="zh-CN"/>
                    </w:rPr>
                    <w:t>22</w:t>
                  </w:r>
                </w:p>
              </w:tc>
              <w:tc>
                <w:tcPr>
                  <w:tcW w:w="450" w:type="pct"/>
                  <w:vAlign w:val="center"/>
                </w:tcPr>
                <w:p>
                  <w:pPr>
                    <w:autoSpaceDE w:val="0"/>
                    <w:autoSpaceDN w:val="0"/>
                    <w:jc w:val="center"/>
                    <w:rPr>
                      <w:color w:val="auto"/>
                      <w:szCs w:val="21"/>
                      <w:lang w:bidi="zh-CN"/>
                    </w:rPr>
                  </w:pPr>
                  <w:r>
                    <w:rPr>
                      <w:rFonts w:hint="eastAsia"/>
                      <w:color w:val="auto"/>
                      <w:szCs w:val="21"/>
                      <w:lang w:bidi="zh-CN"/>
                    </w:rPr>
                    <w:t>/</w:t>
                  </w:r>
                </w:p>
              </w:tc>
              <w:tc>
                <w:tcPr>
                  <w:tcW w:w="422" w:type="pct"/>
                  <w:vAlign w:val="center"/>
                </w:tcPr>
                <w:p>
                  <w:pPr>
                    <w:autoSpaceDE w:val="0"/>
                    <w:autoSpaceDN w:val="0"/>
                    <w:jc w:val="center"/>
                    <w:rPr>
                      <w:color w:val="auto"/>
                      <w:szCs w:val="21"/>
                      <w:lang w:bidi="zh-CN"/>
                    </w:rPr>
                  </w:pPr>
                  <w:r>
                    <w:rPr>
                      <w:rFonts w:hint="eastAsia"/>
                      <w:color w:val="auto"/>
                      <w:szCs w:val="21"/>
                      <w:lang w:bidi="zh-CN"/>
                    </w:rPr>
                    <w:t>/</w:t>
                  </w:r>
                </w:p>
              </w:tc>
              <w:tc>
                <w:tcPr>
                  <w:tcW w:w="263" w:type="pct"/>
                  <w:vMerge w:val="continue"/>
                  <w:vAlign w:val="center"/>
                </w:tcPr>
                <w:p>
                  <w:pPr>
                    <w:autoSpaceDE w:val="0"/>
                    <w:autoSpaceDN w:val="0"/>
                    <w:jc w:val="center"/>
                    <w:rPr>
                      <w:color w:val="auto"/>
                      <w:szCs w:val="21"/>
                    </w:rPr>
                  </w:pPr>
                </w:p>
              </w:tc>
              <w:tc>
                <w:tcPr>
                  <w:tcW w:w="286" w:type="pct"/>
                  <w:vMerge w:val="continue"/>
                  <w:vAlign w:val="center"/>
                </w:tcPr>
                <w:p>
                  <w:pPr>
                    <w:autoSpaceDE w:val="0"/>
                    <w:autoSpaceDN w:val="0"/>
                    <w:jc w:val="center"/>
                    <w:rPr>
                      <w:color w:val="auto"/>
                      <w:szCs w:val="21"/>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5" w:type="pct"/>
                  <w:vMerge w:val="restart"/>
                  <w:vAlign w:val="center"/>
                </w:tcPr>
                <w:p>
                  <w:pPr>
                    <w:autoSpaceDE w:val="0"/>
                    <w:autoSpaceDN w:val="0"/>
                    <w:jc w:val="center"/>
                    <w:rPr>
                      <w:color w:val="auto"/>
                      <w:szCs w:val="21"/>
                      <w:lang w:val="zh-CN" w:bidi="zh-CN"/>
                    </w:rPr>
                  </w:pPr>
                  <w:r>
                    <w:rPr>
                      <w:color w:val="auto"/>
                      <w:szCs w:val="21"/>
                      <w:lang w:val="zh-CN" w:bidi="zh-CN"/>
                    </w:rPr>
                    <w:t>敏感目标</w:t>
                  </w:r>
                </w:p>
              </w:tc>
              <w:tc>
                <w:tcPr>
                  <w:tcW w:w="460" w:type="pct"/>
                  <w:vAlign w:val="center"/>
                </w:tcPr>
                <w:p>
                  <w:pPr>
                    <w:autoSpaceDE w:val="0"/>
                    <w:autoSpaceDN w:val="0"/>
                    <w:jc w:val="center"/>
                    <w:rPr>
                      <w:color w:val="auto"/>
                      <w:szCs w:val="21"/>
                      <w:lang w:val="zh-CN" w:bidi="zh-CN"/>
                    </w:rPr>
                  </w:pPr>
                  <w:r>
                    <w:rPr>
                      <w:color w:val="auto"/>
                      <w:szCs w:val="21"/>
                      <w:lang w:val="zh-CN" w:bidi="zh-CN"/>
                    </w:rPr>
                    <w:t>高新区第五高级中学</w:t>
                  </w:r>
                </w:p>
              </w:tc>
              <w:tc>
                <w:tcPr>
                  <w:tcW w:w="362" w:type="pct"/>
                  <w:vAlign w:val="center"/>
                </w:tcPr>
                <w:p>
                  <w:pPr>
                    <w:autoSpaceDE w:val="0"/>
                    <w:autoSpaceDN w:val="0"/>
                    <w:jc w:val="center"/>
                    <w:rPr>
                      <w:color w:val="auto"/>
                      <w:szCs w:val="21"/>
                      <w:lang w:bidi="zh-CN"/>
                    </w:rPr>
                  </w:pPr>
                  <w:r>
                    <w:rPr>
                      <w:color w:val="auto"/>
                      <w:szCs w:val="21"/>
                      <w:lang w:bidi="zh-CN"/>
                    </w:rPr>
                    <w:t>N6</w:t>
                  </w:r>
                </w:p>
              </w:tc>
              <w:tc>
                <w:tcPr>
                  <w:tcW w:w="379" w:type="pct"/>
                  <w:vAlign w:val="center"/>
                </w:tcPr>
                <w:p>
                  <w:pPr>
                    <w:autoSpaceDE w:val="0"/>
                    <w:autoSpaceDN w:val="0"/>
                    <w:jc w:val="center"/>
                    <w:rPr>
                      <w:color w:val="auto"/>
                      <w:szCs w:val="21"/>
                      <w:lang w:bidi="zh-CN"/>
                    </w:rPr>
                  </w:pPr>
                  <w:r>
                    <w:rPr>
                      <w:rFonts w:hint="eastAsia"/>
                      <w:color w:val="auto"/>
                      <w:szCs w:val="21"/>
                      <w:lang w:bidi="zh-CN"/>
                    </w:rPr>
                    <w:t>53</w:t>
                  </w:r>
                </w:p>
              </w:tc>
              <w:tc>
                <w:tcPr>
                  <w:tcW w:w="386" w:type="pct"/>
                  <w:vAlign w:val="center"/>
                </w:tcPr>
                <w:p>
                  <w:pPr>
                    <w:autoSpaceDE w:val="0"/>
                    <w:autoSpaceDN w:val="0"/>
                    <w:jc w:val="center"/>
                    <w:rPr>
                      <w:color w:val="auto"/>
                      <w:szCs w:val="21"/>
                      <w:lang w:bidi="zh-CN"/>
                    </w:rPr>
                  </w:pPr>
                  <w:r>
                    <w:rPr>
                      <w:rFonts w:hint="eastAsia"/>
                      <w:color w:val="auto"/>
                      <w:szCs w:val="21"/>
                      <w:lang w:bidi="zh-CN"/>
                    </w:rPr>
                    <w:t>44</w:t>
                  </w:r>
                </w:p>
              </w:tc>
              <w:tc>
                <w:tcPr>
                  <w:tcW w:w="477" w:type="pct"/>
                  <w:vAlign w:val="center"/>
                </w:tcPr>
                <w:p>
                  <w:pPr>
                    <w:autoSpaceDE w:val="0"/>
                    <w:autoSpaceDN w:val="0"/>
                    <w:jc w:val="center"/>
                    <w:rPr>
                      <w:color w:val="auto"/>
                      <w:szCs w:val="21"/>
                      <w:lang w:bidi="zh-CN"/>
                    </w:rPr>
                  </w:pPr>
                  <w:r>
                    <w:rPr>
                      <w:rFonts w:hint="eastAsia"/>
                      <w:color w:val="auto"/>
                      <w:szCs w:val="21"/>
                      <w:lang w:bidi="zh-CN"/>
                    </w:rPr>
                    <w:t>19</w:t>
                  </w:r>
                </w:p>
              </w:tc>
              <w:tc>
                <w:tcPr>
                  <w:tcW w:w="434" w:type="pct"/>
                  <w:vAlign w:val="center"/>
                </w:tcPr>
                <w:p>
                  <w:pPr>
                    <w:autoSpaceDE w:val="0"/>
                    <w:autoSpaceDN w:val="0"/>
                    <w:jc w:val="center"/>
                    <w:rPr>
                      <w:color w:val="auto"/>
                      <w:szCs w:val="21"/>
                      <w:lang w:bidi="zh-CN"/>
                    </w:rPr>
                  </w:pPr>
                  <w:r>
                    <w:rPr>
                      <w:rFonts w:hint="eastAsia"/>
                      <w:color w:val="auto"/>
                      <w:szCs w:val="21"/>
                      <w:lang w:bidi="zh-CN"/>
                    </w:rPr>
                    <w:t>19</w:t>
                  </w:r>
                </w:p>
              </w:tc>
              <w:tc>
                <w:tcPr>
                  <w:tcW w:w="450" w:type="pct"/>
                  <w:vAlign w:val="center"/>
                </w:tcPr>
                <w:p>
                  <w:pPr>
                    <w:autoSpaceDE w:val="0"/>
                    <w:autoSpaceDN w:val="0"/>
                    <w:jc w:val="center"/>
                    <w:rPr>
                      <w:color w:val="auto"/>
                      <w:szCs w:val="21"/>
                      <w:lang w:bidi="zh-CN"/>
                    </w:rPr>
                  </w:pPr>
                  <w:r>
                    <w:rPr>
                      <w:rFonts w:hint="eastAsia"/>
                      <w:color w:val="auto"/>
                      <w:szCs w:val="21"/>
                      <w:lang w:bidi="zh-CN"/>
                    </w:rPr>
                    <w:t>53</w:t>
                  </w:r>
                </w:p>
              </w:tc>
              <w:tc>
                <w:tcPr>
                  <w:tcW w:w="422" w:type="pct"/>
                  <w:vAlign w:val="center"/>
                </w:tcPr>
                <w:p>
                  <w:pPr>
                    <w:autoSpaceDE w:val="0"/>
                    <w:autoSpaceDN w:val="0"/>
                    <w:jc w:val="center"/>
                    <w:rPr>
                      <w:color w:val="auto"/>
                      <w:szCs w:val="21"/>
                      <w:lang w:bidi="zh-CN"/>
                    </w:rPr>
                  </w:pPr>
                  <w:r>
                    <w:rPr>
                      <w:rFonts w:hint="eastAsia"/>
                      <w:color w:val="auto"/>
                      <w:szCs w:val="21"/>
                      <w:lang w:bidi="zh-CN"/>
                    </w:rPr>
                    <w:t>44</w:t>
                  </w:r>
                </w:p>
              </w:tc>
              <w:tc>
                <w:tcPr>
                  <w:tcW w:w="263" w:type="pct"/>
                  <w:vMerge w:val="restart"/>
                  <w:vAlign w:val="center"/>
                </w:tcPr>
                <w:p>
                  <w:pPr>
                    <w:autoSpaceDE w:val="0"/>
                    <w:autoSpaceDN w:val="0"/>
                    <w:jc w:val="center"/>
                    <w:rPr>
                      <w:color w:val="auto"/>
                      <w:szCs w:val="21"/>
                      <w:lang w:bidi="zh-CN"/>
                    </w:rPr>
                  </w:pPr>
                  <w:r>
                    <w:rPr>
                      <w:color w:val="auto"/>
                      <w:szCs w:val="21"/>
                      <w:lang w:bidi="zh-CN"/>
                    </w:rPr>
                    <w:t>60</w:t>
                  </w:r>
                </w:p>
              </w:tc>
              <w:tc>
                <w:tcPr>
                  <w:tcW w:w="286" w:type="pct"/>
                  <w:vMerge w:val="restart"/>
                  <w:vAlign w:val="center"/>
                </w:tcPr>
                <w:p>
                  <w:pPr>
                    <w:autoSpaceDE w:val="0"/>
                    <w:autoSpaceDN w:val="0"/>
                    <w:jc w:val="center"/>
                    <w:rPr>
                      <w:color w:val="auto"/>
                      <w:szCs w:val="21"/>
                      <w:lang w:bidi="zh-CN"/>
                    </w:rPr>
                  </w:pPr>
                  <w:r>
                    <w:rPr>
                      <w:color w:val="auto"/>
                      <w:szCs w:val="21"/>
                      <w:lang w:bidi="zh-CN"/>
                    </w:rPr>
                    <w:t>50</w:t>
                  </w: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5" w:type="pct"/>
                  <w:vMerge w:val="continue"/>
                  <w:vAlign w:val="center"/>
                </w:tcPr>
                <w:p>
                  <w:pPr>
                    <w:autoSpaceDE w:val="0"/>
                    <w:autoSpaceDN w:val="0"/>
                    <w:jc w:val="center"/>
                    <w:rPr>
                      <w:color w:val="auto"/>
                      <w:szCs w:val="21"/>
                      <w:lang w:val="zh-CN" w:bidi="zh-CN"/>
                    </w:rPr>
                  </w:pPr>
                </w:p>
              </w:tc>
              <w:tc>
                <w:tcPr>
                  <w:tcW w:w="460" w:type="pct"/>
                  <w:vAlign w:val="center"/>
                </w:tcPr>
                <w:p>
                  <w:pPr>
                    <w:autoSpaceDE w:val="0"/>
                    <w:autoSpaceDN w:val="0"/>
                    <w:jc w:val="center"/>
                    <w:rPr>
                      <w:color w:val="auto"/>
                      <w:szCs w:val="21"/>
                      <w:lang w:val="zh-CN" w:bidi="zh-CN"/>
                    </w:rPr>
                  </w:pPr>
                  <w:r>
                    <w:rPr>
                      <w:color w:val="auto"/>
                      <w:szCs w:val="21"/>
                      <w:lang w:val="zh-CN" w:bidi="zh-CN"/>
                    </w:rPr>
                    <w:t>集贤镇东村</w:t>
                  </w:r>
                </w:p>
              </w:tc>
              <w:tc>
                <w:tcPr>
                  <w:tcW w:w="362" w:type="pct"/>
                  <w:vAlign w:val="center"/>
                </w:tcPr>
                <w:p>
                  <w:pPr>
                    <w:autoSpaceDE w:val="0"/>
                    <w:autoSpaceDN w:val="0"/>
                    <w:jc w:val="center"/>
                    <w:rPr>
                      <w:color w:val="auto"/>
                      <w:szCs w:val="21"/>
                      <w:lang w:bidi="zh-CN"/>
                    </w:rPr>
                  </w:pPr>
                  <w:r>
                    <w:rPr>
                      <w:color w:val="auto"/>
                      <w:szCs w:val="21"/>
                      <w:lang w:bidi="zh-CN"/>
                    </w:rPr>
                    <w:t>N7</w:t>
                  </w:r>
                </w:p>
              </w:tc>
              <w:tc>
                <w:tcPr>
                  <w:tcW w:w="379" w:type="pct"/>
                  <w:vAlign w:val="center"/>
                </w:tcPr>
                <w:p>
                  <w:pPr>
                    <w:autoSpaceDE w:val="0"/>
                    <w:autoSpaceDN w:val="0"/>
                    <w:jc w:val="center"/>
                    <w:rPr>
                      <w:color w:val="auto"/>
                      <w:szCs w:val="21"/>
                      <w:lang w:bidi="zh-CN"/>
                    </w:rPr>
                  </w:pPr>
                  <w:r>
                    <w:rPr>
                      <w:rFonts w:hint="eastAsia"/>
                      <w:color w:val="auto"/>
                      <w:szCs w:val="21"/>
                      <w:lang w:bidi="zh-CN"/>
                    </w:rPr>
                    <w:t>56</w:t>
                  </w:r>
                </w:p>
              </w:tc>
              <w:tc>
                <w:tcPr>
                  <w:tcW w:w="386" w:type="pct"/>
                  <w:vAlign w:val="center"/>
                </w:tcPr>
                <w:p>
                  <w:pPr>
                    <w:autoSpaceDE w:val="0"/>
                    <w:autoSpaceDN w:val="0"/>
                    <w:jc w:val="center"/>
                    <w:rPr>
                      <w:color w:val="auto"/>
                      <w:szCs w:val="21"/>
                      <w:lang w:bidi="zh-CN"/>
                    </w:rPr>
                  </w:pPr>
                  <w:r>
                    <w:rPr>
                      <w:rFonts w:hint="eastAsia"/>
                      <w:color w:val="auto"/>
                      <w:szCs w:val="21"/>
                      <w:lang w:bidi="zh-CN"/>
                    </w:rPr>
                    <w:t>41</w:t>
                  </w:r>
                </w:p>
              </w:tc>
              <w:tc>
                <w:tcPr>
                  <w:tcW w:w="477" w:type="pct"/>
                  <w:vAlign w:val="center"/>
                </w:tcPr>
                <w:p>
                  <w:pPr>
                    <w:autoSpaceDE w:val="0"/>
                    <w:autoSpaceDN w:val="0"/>
                    <w:jc w:val="center"/>
                    <w:rPr>
                      <w:color w:val="auto"/>
                      <w:szCs w:val="21"/>
                      <w:lang w:bidi="zh-CN"/>
                    </w:rPr>
                  </w:pPr>
                  <w:r>
                    <w:rPr>
                      <w:rFonts w:hint="eastAsia"/>
                      <w:color w:val="auto"/>
                      <w:szCs w:val="21"/>
                      <w:lang w:bidi="zh-CN"/>
                    </w:rPr>
                    <w:t>24</w:t>
                  </w:r>
                </w:p>
              </w:tc>
              <w:tc>
                <w:tcPr>
                  <w:tcW w:w="434" w:type="pct"/>
                  <w:vAlign w:val="center"/>
                </w:tcPr>
                <w:p>
                  <w:pPr>
                    <w:autoSpaceDE w:val="0"/>
                    <w:autoSpaceDN w:val="0"/>
                    <w:jc w:val="center"/>
                    <w:rPr>
                      <w:color w:val="auto"/>
                      <w:szCs w:val="21"/>
                      <w:lang w:bidi="zh-CN"/>
                    </w:rPr>
                  </w:pPr>
                  <w:r>
                    <w:rPr>
                      <w:rFonts w:hint="eastAsia"/>
                      <w:color w:val="auto"/>
                      <w:szCs w:val="21"/>
                      <w:lang w:bidi="zh-CN"/>
                    </w:rPr>
                    <w:t>24</w:t>
                  </w:r>
                </w:p>
              </w:tc>
              <w:tc>
                <w:tcPr>
                  <w:tcW w:w="450" w:type="pct"/>
                  <w:vAlign w:val="center"/>
                </w:tcPr>
                <w:p>
                  <w:pPr>
                    <w:autoSpaceDE w:val="0"/>
                    <w:autoSpaceDN w:val="0"/>
                    <w:jc w:val="center"/>
                    <w:rPr>
                      <w:color w:val="auto"/>
                      <w:szCs w:val="21"/>
                      <w:lang w:bidi="zh-CN"/>
                    </w:rPr>
                  </w:pPr>
                  <w:r>
                    <w:rPr>
                      <w:rFonts w:hint="eastAsia"/>
                      <w:color w:val="auto"/>
                      <w:szCs w:val="21"/>
                      <w:lang w:bidi="zh-CN"/>
                    </w:rPr>
                    <w:t>56</w:t>
                  </w:r>
                </w:p>
              </w:tc>
              <w:tc>
                <w:tcPr>
                  <w:tcW w:w="422" w:type="pct"/>
                  <w:vAlign w:val="center"/>
                </w:tcPr>
                <w:p>
                  <w:pPr>
                    <w:autoSpaceDE w:val="0"/>
                    <w:autoSpaceDN w:val="0"/>
                    <w:jc w:val="center"/>
                    <w:rPr>
                      <w:color w:val="auto"/>
                      <w:szCs w:val="21"/>
                      <w:lang w:bidi="zh-CN"/>
                    </w:rPr>
                  </w:pPr>
                  <w:r>
                    <w:rPr>
                      <w:rFonts w:hint="eastAsia"/>
                      <w:color w:val="auto"/>
                      <w:szCs w:val="21"/>
                      <w:lang w:bidi="zh-CN"/>
                    </w:rPr>
                    <w:t>41</w:t>
                  </w:r>
                </w:p>
              </w:tc>
              <w:tc>
                <w:tcPr>
                  <w:tcW w:w="263" w:type="pct"/>
                  <w:vMerge w:val="continue"/>
                  <w:vAlign w:val="center"/>
                </w:tcPr>
                <w:p>
                  <w:pPr>
                    <w:autoSpaceDE w:val="0"/>
                    <w:autoSpaceDN w:val="0"/>
                    <w:jc w:val="center"/>
                    <w:rPr>
                      <w:color w:val="auto"/>
                      <w:szCs w:val="21"/>
                      <w:lang w:val="zh-CN" w:bidi="zh-CN"/>
                    </w:rPr>
                  </w:pPr>
                </w:p>
              </w:tc>
              <w:tc>
                <w:tcPr>
                  <w:tcW w:w="286" w:type="pct"/>
                  <w:vMerge w:val="continue"/>
                  <w:vAlign w:val="center"/>
                </w:tcPr>
                <w:p>
                  <w:pPr>
                    <w:autoSpaceDE w:val="0"/>
                    <w:autoSpaceDN w:val="0"/>
                    <w:jc w:val="center"/>
                    <w:rPr>
                      <w:color w:val="auto"/>
                      <w:szCs w:val="21"/>
                      <w:lang w:val="zh-CN" w:bidi="zh-CN"/>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5" w:type="pct"/>
                  <w:vMerge w:val="continue"/>
                  <w:vAlign w:val="center"/>
                </w:tcPr>
                <w:p>
                  <w:pPr>
                    <w:autoSpaceDE w:val="0"/>
                    <w:autoSpaceDN w:val="0"/>
                    <w:jc w:val="center"/>
                    <w:rPr>
                      <w:color w:val="auto"/>
                      <w:szCs w:val="21"/>
                      <w:lang w:val="zh-CN" w:bidi="zh-CN"/>
                    </w:rPr>
                  </w:pPr>
                </w:p>
              </w:tc>
              <w:tc>
                <w:tcPr>
                  <w:tcW w:w="460" w:type="pct"/>
                  <w:vAlign w:val="center"/>
                </w:tcPr>
                <w:p>
                  <w:pPr>
                    <w:autoSpaceDE w:val="0"/>
                    <w:autoSpaceDN w:val="0"/>
                    <w:jc w:val="center"/>
                    <w:rPr>
                      <w:color w:val="auto"/>
                      <w:szCs w:val="21"/>
                      <w:lang w:val="zh-CN" w:bidi="zh-CN"/>
                    </w:rPr>
                  </w:pPr>
                  <w:r>
                    <w:rPr>
                      <w:color w:val="auto"/>
                      <w:szCs w:val="21"/>
                      <w:lang w:val="zh-CN" w:bidi="zh-CN"/>
                    </w:rPr>
                    <w:t>耿西村</w:t>
                  </w:r>
                </w:p>
              </w:tc>
              <w:tc>
                <w:tcPr>
                  <w:tcW w:w="362" w:type="pct"/>
                  <w:vAlign w:val="center"/>
                </w:tcPr>
                <w:p>
                  <w:pPr>
                    <w:autoSpaceDE w:val="0"/>
                    <w:autoSpaceDN w:val="0"/>
                    <w:jc w:val="center"/>
                    <w:rPr>
                      <w:color w:val="auto"/>
                      <w:szCs w:val="21"/>
                      <w:lang w:bidi="zh-CN"/>
                    </w:rPr>
                  </w:pPr>
                  <w:r>
                    <w:rPr>
                      <w:color w:val="auto"/>
                      <w:szCs w:val="21"/>
                      <w:lang w:bidi="zh-CN"/>
                    </w:rPr>
                    <w:t>N8</w:t>
                  </w:r>
                </w:p>
              </w:tc>
              <w:tc>
                <w:tcPr>
                  <w:tcW w:w="379" w:type="pct"/>
                  <w:vAlign w:val="center"/>
                </w:tcPr>
                <w:p>
                  <w:pPr>
                    <w:autoSpaceDE w:val="0"/>
                    <w:autoSpaceDN w:val="0"/>
                    <w:jc w:val="center"/>
                    <w:rPr>
                      <w:color w:val="auto"/>
                      <w:szCs w:val="21"/>
                      <w:lang w:bidi="zh-CN"/>
                    </w:rPr>
                  </w:pPr>
                  <w:r>
                    <w:rPr>
                      <w:rFonts w:hint="eastAsia"/>
                      <w:color w:val="auto"/>
                      <w:szCs w:val="21"/>
                      <w:lang w:bidi="zh-CN"/>
                    </w:rPr>
                    <w:t>54</w:t>
                  </w:r>
                </w:p>
              </w:tc>
              <w:tc>
                <w:tcPr>
                  <w:tcW w:w="386" w:type="pct"/>
                  <w:vAlign w:val="center"/>
                </w:tcPr>
                <w:p>
                  <w:pPr>
                    <w:autoSpaceDE w:val="0"/>
                    <w:autoSpaceDN w:val="0"/>
                    <w:jc w:val="center"/>
                    <w:rPr>
                      <w:color w:val="auto"/>
                      <w:szCs w:val="21"/>
                      <w:lang w:bidi="zh-CN"/>
                    </w:rPr>
                  </w:pPr>
                  <w:r>
                    <w:rPr>
                      <w:rFonts w:hint="eastAsia"/>
                      <w:color w:val="auto"/>
                      <w:szCs w:val="21"/>
                      <w:lang w:bidi="zh-CN"/>
                    </w:rPr>
                    <w:t>41</w:t>
                  </w:r>
                </w:p>
              </w:tc>
              <w:tc>
                <w:tcPr>
                  <w:tcW w:w="477" w:type="pct"/>
                  <w:vAlign w:val="center"/>
                </w:tcPr>
                <w:p>
                  <w:pPr>
                    <w:autoSpaceDE w:val="0"/>
                    <w:autoSpaceDN w:val="0"/>
                    <w:jc w:val="center"/>
                    <w:rPr>
                      <w:color w:val="auto"/>
                      <w:szCs w:val="21"/>
                      <w:lang w:bidi="zh-CN"/>
                    </w:rPr>
                  </w:pPr>
                  <w:r>
                    <w:rPr>
                      <w:rFonts w:hint="eastAsia"/>
                      <w:color w:val="auto"/>
                      <w:szCs w:val="21"/>
                      <w:lang w:bidi="zh-CN"/>
                    </w:rPr>
                    <w:t>28</w:t>
                  </w:r>
                </w:p>
              </w:tc>
              <w:tc>
                <w:tcPr>
                  <w:tcW w:w="434" w:type="pct"/>
                  <w:vAlign w:val="center"/>
                </w:tcPr>
                <w:p>
                  <w:pPr>
                    <w:autoSpaceDE w:val="0"/>
                    <w:autoSpaceDN w:val="0"/>
                    <w:jc w:val="center"/>
                    <w:rPr>
                      <w:color w:val="auto"/>
                      <w:szCs w:val="21"/>
                      <w:lang w:bidi="zh-CN"/>
                    </w:rPr>
                  </w:pPr>
                  <w:r>
                    <w:rPr>
                      <w:rFonts w:hint="eastAsia"/>
                      <w:color w:val="auto"/>
                      <w:szCs w:val="21"/>
                      <w:lang w:bidi="zh-CN"/>
                    </w:rPr>
                    <w:t>28</w:t>
                  </w:r>
                </w:p>
              </w:tc>
              <w:tc>
                <w:tcPr>
                  <w:tcW w:w="450" w:type="pct"/>
                  <w:vAlign w:val="center"/>
                </w:tcPr>
                <w:p>
                  <w:pPr>
                    <w:autoSpaceDE w:val="0"/>
                    <w:autoSpaceDN w:val="0"/>
                    <w:jc w:val="center"/>
                    <w:rPr>
                      <w:color w:val="auto"/>
                      <w:szCs w:val="21"/>
                      <w:lang w:bidi="zh-CN"/>
                    </w:rPr>
                  </w:pPr>
                  <w:r>
                    <w:rPr>
                      <w:rFonts w:hint="eastAsia"/>
                      <w:color w:val="auto"/>
                      <w:szCs w:val="21"/>
                      <w:lang w:bidi="zh-CN"/>
                    </w:rPr>
                    <w:t>54</w:t>
                  </w:r>
                </w:p>
              </w:tc>
              <w:tc>
                <w:tcPr>
                  <w:tcW w:w="422" w:type="pct"/>
                  <w:vAlign w:val="center"/>
                </w:tcPr>
                <w:p>
                  <w:pPr>
                    <w:autoSpaceDE w:val="0"/>
                    <w:autoSpaceDN w:val="0"/>
                    <w:jc w:val="center"/>
                    <w:rPr>
                      <w:color w:val="auto"/>
                      <w:szCs w:val="21"/>
                      <w:lang w:bidi="zh-CN"/>
                    </w:rPr>
                  </w:pPr>
                  <w:r>
                    <w:rPr>
                      <w:rFonts w:hint="eastAsia"/>
                      <w:color w:val="auto"/>
                      <w:szCs w:val="21"/>
                      <w:lang w:bidi="zh-CN"/>
                    </w:rPr>
                    <w:t>41</w:t>
                  </w:r>
                </w:p>
              </w:tc>
              <w:tc>
                <w:tcPr>
                  <w:tcW w:w="263" w:type="pct"/>
                  <w:vMerge w:val="continue"/>
                  <w:vAlign w:val="center"/>
                </w:tcPr>
                <w:p>
                  <w:pPr>
                    <w:autoSpaceDE w:val="0"/>
                    <w:autoSpaceDN w:val="0"/>
                    <w:jc w:val="center"/>
                    <w:rPr>
                      <w:color w:val="auto"/>
                      <w:szCs w:val="21"/>
                      <w:lang w:val="zh-CN" w:bidi="zh-CN"/>
                    </w:rPr>
                  </w:pPr>
                </w:p>
              </w:tc>
              <w:tc>
                <w:tcPr>
                  <w:tcW w:w="286" w:type="pct"/>
                  <w:vMerge w:val="continue"/>
                  <w:vAlign w:val="center"/>
                </w:tcPr>
                <w:p>
                  <w:pPr>
                    <w:autoSpaceDE w:val="0"/>
                    <w:autoSpaceDN w:val="0"/>
                    <w:jc w:val="center"/>
                    <w:rPr>
                      <w:color w:val="auto"/>
                      <w:szCs w:val="21"/>
                      <w:lang w:val="zh-CN" w:bidi="zh-CN"/>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5" w:type="pct"/>
                  <w:vMerge w:val="continue"/>
                  <w:vAlign w:val="center"/>
                </w:tcPr>
                <w:p>
                  <w:pPr>
                    <w:autoSpaceDE w:val="0"/>
                    <w:autoSpaceDN w:val="0"/>
                    <w:jc w:val="center"/>
                    <w:rPr>
                      <w:color w:val="auto"/>
                      <w:szCs w:val="21"/>
                      <w:lang w:val="zh-CN" w:bidi="zh-CN"/>
                    </w:rPr>
                  </w:pPr>
                </w:p>
              </w:tc>
              <w:tc>
                <w:tcPr>
                  <w:tcW w:w="460" w:type="pct"/>
                  <w:vAlign w:val="center"/>
                </w:tcPr>
                <w:p>
                  <w:pPr>
                    <w:autoSpaceDE w:val="0"/>
                    <w:autoSpaceDN w:val="0"/>
                    <w:jc w:val="center"/>
                    <w:rPr>
                      <w:color w:val="auto"/>
                      <w:szCs w:val="21"/>
                      <w:lang w:bidi="zh-CN"/>
                    </w:rPr>
                  </w:pPr>
                  <w:r>
                    <w:rPr>
                      <w:color w:val="auto"/>
                      <w:szCs w:val="21"/>
                      <w:lang w:bidi="zh-CN"/>
                    </w:rPr>
                    <w:t>何家寨村</w:t>
                  </w:r>
                </w:p>
              </w:tc>
              <w:tc>
                <w:tcPr>
                  <w:tcW w:w="362" w:type="pct"/>
                  <w:vAlign w:val="center"/>
                </w:tcPr>
                <w:p>
                  <w:pPr>
                    <w:autoSpaceDE w:val="0"/>
                    <w:autoSpaceDN w:val="0"/>
                    <w:jc w:val="center"/>
                    <w:rPr>
                      <w:color w:val="auto"/>
                      <w:szCs w:val="21"/>
                      <w:lang w:bidi="zh-CN"/>
                    </w:rPr>
                  </w:pPr>
                  <w:r>
                    <w:rPr>
                      <w:color w:val="auto"/>
                      <w:szCs w:val="21"/>
                      <w:lang w:bidi="zh-CN"/>
                    </w:rPr>
                    <w:t>N9</w:t>
                  </w:r>
                </w:p>
              </w:tc>
              <w:tc>
                <w:tcPr>
                  <w:tcW w:w="379" w:type="pct"/>
                  <w:vAlign w:val="center"/>
                </w:tcPr>
                <w:p>
                  <w:pPr>
                    <w:autoSpaceDE w:val="0"/>
                    <w:autoSpaceDN w:val="0"/>
                    <w:jc w:val="center"/>
                    <w:rPr>
                      <w:color w:val="auto"/>
                      <w:szCs w:val="21"/>
                      <w:lang w:bidi="zh-CN"/>
                    </w:rPr>
                  </w:pPr>
                  <w:r>
                    <w:rPr>
                      <w:rFonts w:hint="eastAsia"/>
                      <w:color w:val="auto"/>
                      <w:szCs w:val="21"/>
                      <w:lang w:bidi="zh-CN"/>
                    </w:rPr>
                    <w:t>50</w:t>
                  </w:r>
                </w:p>
              </w:tc>
              <w:tc>
                <w:tcPr>
                  <w:tcW w:w="386" w:type="pct"/>
                  <w:vAlign w:val="center"/>
                </w:tcPr>
                <w:p>
                  <w:pPr>
                    <w:autoSpaceDE w:val="0"/>
                    <w:autoSpaceDN w:val="0"/>
                    <w:jc w:val="center"/>
                    <w:rPr>
                      <w:color w:val="auto"/>
                      <w:szCs w:val="21"/>
                      <w:lang w:bidi="zh-CN"/>
                    </w:rPr>
                  </w:pPr>
                  <w:r>
                    <w:rPr>
                      <w:rFonts w:hint="eastAsia"/>
                      <w:color w:val="auto"/>
                      <w:szCs w:val="21"/>
                      <w:lang w:bidi="zh-CN"/>
                    </w:rPr>
                    <w:t>40</w:t>
                  </w:r>
                </w:p>
              </w:tc>
              <w:tc>
                <w:tcPr>
                  <w:tcW w:w="477" w:type="pct"/>
                  <w:vAlign w:val="center"/>
                </w:tcPr>
                <w:p>
                  <w:pPr>
                    <w:autoSpaceDE w:val="0"/>
                    <w:autoSpaceDN w:val="0"/>
                    <w:jc w:val="center"/>
                    <w:rPr>
                      <w:color w:val="auto"/>
                      <w:szCs w:val="21"/>
                      <w:lang w:bidi="zh-CN"/>
                    </w:rPr>
                  </w:pPr>
                  <w:r>
                    <w:rPr>
                      <w:rFonts w:hint="eastAsia"/>
                      <w:color w:val="auto"/>
                      <w:szCs w:val="21"/>
                      <w:lang w:bidi="zh-CN"/>
                    </w:rPr>
                    <w:t>22</w:t>
                  </w:r>
                </w:p>
              </w:tc>
              <w:tc>
                <w:tcPr>
                  <w:tcW w:w="434" w:type="pct"/>
                  <w:vAlign w:val="center"/>
                </w:tcPr>
                <w:p>
                  <w:pPr>
                    <w:autoSpaceDE w:val="0"/>
                    <w:autoSpaceDN w:val="0"/>
                    <w:jc w:val="center"/>
                    <w:rPr>
                      <w:color w:val="auto"/>
                      <w:szCs w:val="21"/>
                      <w:lang w:bidi="zh-CN"/>
                    </w:rPr>
                  </w:pPr>
                  <w:r>
                    <w:rPr>
                      <w:rFonts w:hint="eastAsia"/>
                      <w:color w:val="auto"/>
                      <w:szCs w:val="21"/>
                      <w:lang w:bidi="zh-CN"/>
                    </w:rPr>
                    <w:t>22</w:t>
                  </w:r>
                </w:p>
              </w:tc>
              <w:tc>
                <w:tcPr>
                  <w:tcW w:w="450" w:type="pct"/>
                  <w:vAlign w:val="center"/>
                </w:tcPr>
                <w:p>
                  <w:pPr>
                    <w:autoSpaceDE w:val="0"/>
                    <w:autoSpaceDN w:val="0"/>
                    <w:jc w:val="center"/>
                    <w:rPr>
                      <w:color w:val="auto"/>
                      <w:szCs w:val="21"/>
                      <w:lang w:bidi="zh-CN"/>
                    </w:rPr>
                  </w:pPr>
                  <w:r>
                    <w:rPr>
                      <w:rFonts w:hint="eastAsia"/>
                      <w:color w:val="auto"/>
                      <w:szCs w:val="21"/>
                      <w:lang w:bidi="zh-CN"/>
                    </w:rPr>
                    <w:t>50</w:t>
                  </w:r>
                </w:p>
              </w:tc>
              <w:tc>
                <w:tcPr>
                  <w:tcW w:w="422" w:type="pct"/>
                  <w:vAlign w:val="center"/>
                </w:tcPr>
                <w:p>
                  <w:pPr>
                    <w:autoSpaceDE w:val="0"/>
                    <w:autoSpaceDN w:val="0"/>
                    <w:jc w:val="center"/>
                    <w:rPr>
                      <w:color w:val="auto"/>
                      <w:szCs w:val="21"/>
                      <w:lang w:bidi="zh-CN"/>
                    </w:rPr>
                  </w:pPr>
                  <w:r>
                    <w:rPr>
                      <w:rFonts w:hint="eastAsia"/>
                      <w:color w:val="auto"/>
                      <w:szCs w:val="21"/>
                      <w:lang w:bidi="zh-CN"/>
                    </w:rPr>
                    <w:t>40</w:t>
                  </w:r>
                </w:p>
              </w:tc>
              <w:tc>
                <w:tcPr>
                  <w:tcW w:w="263" w:type="pct"/>
                  <w:vMerge w:val="continue"/>
                  <w:vAlign w:val="center"/>
                </w:tcPr>
                <w:p>
                  <w:pPr>
                    <w:autoSpaceDE w:val="0"/>
                    <w:autoSpaceDN w:val="0"/>
                    <w:jc w:val="center"/>
                    <w:rPr>
                      <w:color w:val="auto"/>
                      <w:szCs w:val="21"/>
                      <w:lang w:val="zh-CN" w:bidi="zh-CN"/>
                    </w:rPr>
                  </w:pPr>
                </w:p>
              </w:tc>
              <w:tc>
                <w:tcPr>
                  <w:tcW w:w="286" w:type="pct"/>
                  <w:vMerge w:val="continue"/>
                  <w:vAlign w:val="center"/>
                </w:tcPr>
                <w:p>
                  <w:pPr>
                    <w:autoSpaceDE w:val="0"/>
                    <w:autoSpaceDN w:val="0"/>
                    <w:jc w:val="center"/>
                    <w:rPr>
                      <w:color w:val="auto"/>
                      <w:szCs w:val="21"/>
                      <w:lang w:val="zh-CN" w:bidi="zh-CN"/>
                    </w:rPr>
                  </w:pPr>
                </w:p>
              </w:tc>
              <w:tc>
                <w:tcPr>
                  <w:tcW w:w="339" w:type="pct"/>
                  <w:vAlign w:val="center"/>
                </w:tcPr>
                <w:p>
                  <w:pPr>
                    <w:autoSpaceDE w:val="0"/>
                    <w:autoSpaceDN w:val="0"/>
                    <w:jc w:val="center"/>
                    <w:rPr>
                      <w:color w:val="auto"/>
                      <w:szCs w:val="21"/>
                      <w:lang w:bidi="zh-CN"/>
                    </w:rPr>
                  </w:pPr>
                  <w:r>
                    <w:rPr>
                      <w:rFonts w:hint="eastAsia"/>
                      <w:color w:val="auto"/>
                      <w:szCs w:val="21"/>
                      <w:lang w:bidi="zh-CN"/>
                    </w:rPr>
                    <w:t>达标</w:t>
                  </w:r>
                </w:p>
              </w:tc>
              <w:tc>
                <w:tcPr>
                  <w:tcW w:w="282" w:type="pct"/>
                  <w:vAlign w:val="center"/>
                </w:tcPr>
                <w:p>
                  <w:pPr>
                    <w:autoSpaceDE w:val="0"/>
                    <w:autoSpaceDN w:val="0"/>
                    <w:jc w:val="center"/>
                    <w:rPr>
                      <w:color w:val="auto"/>
                      <w:szCs w:val="21"/>
                      <w:lang w:bidi="zh-CN"/>
                    </w:rPr>
                  </w:pPr>
                  <w:r>
                    <w:rPr>
                      <w:rFonts w:hint="eastAsia"/>
                      <w:color w:val="auto"/>
                      <w:szCs w:val="21"/>
                      <w:lang w:bidi="zh-CN"/>
                    </w:rPr>
                    <w:t>达标</w:t>
                  </w:r>
                </w:p>
              </w:tc>
            </w:tr>
            <w:bookmarkEnd w:id="3"/>
          </w:tbl>
          <w:p>
            <w:pPr>
              <w:adjustRightInd w:val="0"/>
              <w:snapToGrid w:val="0"/>
              <w:spacing w:line="360" w:lineRule="auto"/>
              <w:ind w:firstLine="440" w:firstLineChars="200"/>
              <w:rPr>
                <w:bCs/>
                <w:color w:val="auto"/>
                <w:spacing w:val="-10"/>
                <w:sz w:val="24"/>
              </w:rPr>
            </w:pPr>
            <w:r>
              <w:rPr>
                <w:bCs/>
                <w:color w:val="auto"/>
                <w:spacing w:val="-10"/>
                <w:sz w:val="24"/>
              </w:rPr>
              <w:t>从预测结果看</w:t>
            </w:r>
            <w:r>
              <w:rPr>
                <w:rFonts w:hint="eastAsia"/>
                <w:bCs/>
                <w:color w:val="auto"/>
                <w:spacing w:val="-10"/>
                <w:sz w:val="24"/>
              </w:rPr>
              <w:t>，项目运行期各厂界昼、夜噪声值均满足《工业企业厂界环境噪声排放标准》（GB12348-2008）中 3 类标准要求，敏感点处昼、夜间噪声预测结果满足《声环境质量标准》（GB3096-2008）中 2 类标准要求，不会对周围声环境质量产生明显影响，环境影响可接受。因此，项目建成后噪声能够达标排放。</w:t>
            </w:r>
          </w:p>
          <w:p>
            <w:pPr>
              <w:adjustRightInd w:val="0"/>
              <w:snapToGrid w:val="0"/>
              <w:spacing w:line="360" w:lineRule="auto"/>
              <w:ind w:firstLine="440" w:firstLineChars="200"/>
              <w:rPr>
                <w:bCs/>
                <w:color w:val="auto"/>
                <w:spacing w:val="-10"/>
                <w:sz w:val="24"/>
              </w:rPr>
            </w:pPr>
            <w:r>
              <w:rPr>
                <w:rFonts w:hint="eastAsia"/>
                <w:bCs/>
                <w:color w:val="auto"/>
                <w:spacing w:val="-10"/>
                <w:sz w:val="24"/>
              </w:rPr>
              <w:t>（4）噪声防治措施</w:t>
            </w:r>
          </w:p>
          <w:p>
            <w:pPr>
              <w:adjustRightInd w:val="0"/>
              <w:snapToGrid w:val="0"/>
              <w:spacing w:line="360" w:lineRule="auto"/>
              <w:ind w:firstLine="480" w:firstLineChars="200"/>
              <w:rPr>
                <w:rFonts w:hAnsi="Cambria Math"/>
                <w:color w:val="auto"/>
                <w:sz w:val="24"/>
              </w:rPr>
            </w:pPr>
            <w:r>
              <w:rPr>
                <w:rFonts w:hAnsi="Cambria Math"/>
                <w:color w:val="auto"/>
                <w:sz w:val="24"/>
              </w:rPr>
              <w:t>本次评价提出的噪声防治对策如下：</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①</w:t>
            </w:r>
            <w:r>
              <w:rPr>
                <w:rFonts w:hAnsi="Cambria Math"/>
                <w:color w:val="auto"/>
                <w:sz w:val="24"/>
              </w:rPr>
              <w:t>选取低噪声设备，对高噪声设备采取隔振减振垫，底盘与基础之间设置高效减振胶垫；</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②</w:t>
            </w:r>
            <w:r>
              <w:rPr>
                <w:rFonts w:hAnsi="Cambria Math"/>
                <w:color w:val="auto"/>
                <w:sz w:val="24"/>
              </w:rPr>
              <w:t>生产时关闭门窗，对主要噪声源所在的生产车间进行封闭式作业；</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③</w:t>
            </w:r>
            <w:r>
              <w:rPr>
                <w:rFonts w:hAnsi="Cambria Math"/>
                <w:color w:val="auto"/>
                <w:sz w:val="24"/>
              </w:rPr>
              <w:t>加强设备的维护和保养，确保其处于良好的运转状态，杜绝因不正常运转产生的高噪声现象；</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④</w:t>
            </w:r>
            <w:r>
              <w:rPr>
                <w:rFonts w:hAnsi="Cambria Math"/>
                <w:color w:val="auto"/>
                <w:sz w:val="24"/>
              </w:rPr>
              <w:t>车辆在厂区内减速慢行，不鸣笛。</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⑤</w:t>
            </w:r>
            <w:r>
              <w:rPr>
                <w:rFonts w:hAnsi="Cambria Math"/>
                <w:color w:val="auto"/>
                <w:sz w:val="24"/>
              </w:rPr>
              <w:t>加强劳动保护。对在高噪声区工作的施工人员作好劳动保护，采取佩戴隔声耳罩等措施降低噪声对人体的影响。</w:t>
            </w:r>
          </w:p>
          <w:p>
            <w:pPr>
              <w:adjustRightInd w:val="0"/>
              <w:snapToGrid w:val="0"/>
              <w:spacing w:line="360" w:lineRule="auto"/>
              <w:ind w:firstLine="480" w:firstLineChars="200"/>
              <w:rPr>
                <w:rFonts w:hAnsi="Cambria Math"/>
                <w:color w:val="auto"/>
                <w:sz w:val="24"/>
              </w:rPr>
            </w:pPr>
            <w:r>
              <w:rPr>
                <w:rFonts w:hAnsi="Cambria Math"/>
                <w:color w:val="auto"/>
                <w:sz w:val="24"/>
              </w:rPr>
              <w:t>通过以上噪声防治措施，本项目运营期产生的噪声对周围环境影响较小。</w:t>
            </w:r>
          </w:p>
          <w:p>
            <w:pPr>
              <w:adjustRightInd w:val="0"/>
              <w:snapToGrid w:val="0"/>
              <w:spacing w:line="360" w:lineRule="auto"/>
              <w:ind w:firstLine="440" w:firstLineChars="200"/>
              <w:rPr>
                <w:bCs/>
                <w:color w:val="auto"/>
                <w:spacing w:val="-10"/>
                <w:sz w:val="24"/>
              </w:rPr>
            </w:pPr>
            <w:r>
              <w:rPr>
                <w:rFonts w:hint="eastAsia"/>
                <w:bCs/>
                <w:color w:val="auto"/>
                <w:spacing w:val="-10"/>
                <w:sz w:val="24"/>
              </w:rPr>
              <w:t>（5）监测计划</w:t>
            </w:r>
          </w:p>
          <w:p>
            <w:pPr>
              <w:adjustRightInd w:val="0"/>
              <w:snapToGrid w:val="0"/>
              <w:spacing w:line="360" w:lineRule="auto"/>
              <w:ind w:firstLine="440" w:firstLineChars="200"/>
              <w:rPr>
                <w:bCs/>
                <w:color w:val="auto"/>
                <w:spacing w:val="-10"/>
                <w:sz w:val="24"/>
              </w:rPr>
            </w:pPr>
            <w:r>
              <w:rPr>
                <w:bCs/>
                <w:color w:val="auto"/>
                <w:spacing w:val="-10"/>
                <w:sz w:val="24"/>
              </w:rPr>
              <w:t>根据《排污单位自行监测技术指南  总则》（HJ819-2017），确定本项目的噪声监测计划，见下表。</w:t>
            </w:r>
          </w:p>
          <w:p>
            <w:pPr>
              <w:adjustRightInd w:val="0"/>
              <w:snapToGrid w:val="0"/>
              <w:spacing w:line="360" w:lineRule="auto"/>
              <w:ind w:firstLine="422" w:firstLineChars="200"/>
              <w:jc w:val="center"/>
              <w:rPr>
                <w:rFonts w:hAnsi="Cambria Math"/>
                <w:color w:val="auto"/>
                <w:szCs w:val="21"/>
              </w:rPr>
            </w:pPr>
            <w:r>
              <w:rPr>
                <w:b/>
                <w:color w:val="auto"/>
                <w:szCs w:val="21"/>
              </w:rPr>
              <w:t>表4-</w:t>
            </w:r>
            <w:r>
              <w:rPr>
                <w:rFonts w:hint="eastAsia"/>
                <w:b/>
                <w:color w:val="auto"/>
                <w:szCs w:val="21"/>
              </w:rPr>
              <w:t>12</w:t>
            </w:r>
            <w:r>
              <w:rPr>
                <w:b/>
                <w:color w:val="auto"/>
                <w:szCs w:val="21"/>
              </w:rPr>
              <w:t xml:space="preserve">  </w:t>
            </w:r>
            <w:r>
              <w:rPr>
                <w:rFonts w:hint="eastAsia"/>
                <w:b/>
                <w:color w:val="auto"/>
                <w:szCs w:val="21"/>
              </w:rPr>
              <w:t>噪声监测计划</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129"/>
              <w:gridCol w:w="1121"/>
              <w:gridCol w:w="1132"/>
              <w:gridCol w:w="32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5" w:type="pct"/>
                  <w:vAlign w:val="center"/>
                </w:tcPr>
                <w:p>
                  <w:pPr>
                    <w:snapToGrid w:val="0"/>
                    <w:jc w:val="center"/>
                    <w:rPr>
                      <w:b/>
                      <w:color w:val="auto"/>
                      <w:szCs w:val="21"/>
                    </w:rPr>
                  </w:pPr>
                  <w:r>
                    <w:rPr>
                      <w:b/>
                      <w:color w:val="auto"/>
                      <w:szCs w:val="21"/>
                    </w:rPr>
                    <w:t>污染源名称</w:t>
                  </w:r>
                </w:p>
              </w:tc>
              <w:tc>
                <w:tcPr>
                  <w:tcW w:w="705" w:type="pct"/>
                  <w:vAlign w:val="center"/>
                </w:tcPr>
                <w:p>
                  <w:pPr>
                    <w:snapToGrid w:val="0"/>
                    <w:jc w:val="center"/>
                    <w:rPr>
                      <w:b/>
                      <w:color w:val="auto"/>
                      <w:szCs w:val="21"/>
                    </w:rPr>
                  </w:pPr>
                  <w:r>
                    <w:rPr>
                      <w:b/>
                      <w:color w:val="auto"/>
                      <w:szCs w:val="21"/>
                    </w:rPr>
                    <w:t>监测项目</w:t>
                  </w:r>
                </w:p>
              </w:tc>
              <w:tc>
                <w:tcPr>
                  <w:tcW w:w="700" w:type="pct"/>
                  <w:vAlign w:val="center"/>
                </w:tcPr>
                <w:p>
                  <w:pPr>
                    <w:snapToGrid w:val="0"/>
                    <w:jc w:val="center"/>
                    <w:rPr>
                      <w:b/>
                      <w:color w:val="auto"/>
                      <w:szCs w:val="21"/>
                    </w:rPr>
                  </w:pPr>
                  <w:r>
                    <w:rPr>
                      <w:b/>
                      <w:color w:val="auto"/>
                      <w:szCs w:val="21"/>
                    </w:rPr>
                    <w:t>监测位置</w:t>
                  </w:r>
                </w:p>
              </w:tc>
              <w:tc>
                <w:tcPr>
                  <w:tcW w:w="707" w:type="pct"/>
                  <w:vAlign w:val="center"/>
                </w:tcPr>
                <w:p>
                  <w:pPr>
                    <w:snapToGrid w:val="0"/>
                    <w:jc w:val="center"/>
                    <w:rPr>
                      <w:b/>
                      <w:color w:val="auto"/>
                      <w:szCs w:val="21"/>
                    </w:rPr>
                  </w:pPr>
                  <w:r>
                    <w:rPr>
                      <w:b/>
                      <w:color w:val="auto"/>
                      <w:szCs w:val="21"/>
                    </w:rPr>
                    <w:t>监测频率</w:t>
                  </w:r>
                </w:p>
              </w:tc>
              <w:tc>
                <w:tcPr>
                  <w:tcW w:w="2032" w:type="pct"/>
                  <w:vAlign w:val="center"/>
                </w:tcPr>
                <w:p>
                  <w:pPr>
                    <w:snapToGrid w:val="0"/>
                    <w:jc w:val="center"/>
                    <w:rPr>
                      <w:b/>
                      <w:color w:val="auto"/>
                      <w:szCs w:val="21"/>
                    </w:rPr>
                  </w:pPr>
                  <w:r>
                    <w:rPr>
                      <w:b/>
                      <w:color w:val="auto"/>
                      <w:szCs w:val="21"/>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55" w:type="pct"/>
                  <w:vAlign w:val="center"/>
                </w:tcPr>
                <w:p>
                  <w:pPr>
                    <w:tabs>
                      <w:tab w:val="left" w:pos="360"/>
                    </w:tabs>
                    <w:adjustRightInd w:val="0"/>
                    <w:snapToGrid w:val="0"/>
                    <w:ind w:firstLine="480"/>
                    <w:rPr>
                      <w:color w:val="auto"/>
                      <w:szCs w:val="21"/>
                    </w:rPr>
                  </w:pPr>
                  <w:r>
                    <w:rPr>
                      <w:color w:val="auto"/>
                      <w:szCs w:val="21"/>
                    </w:rPr>
                    <w:t>噪声</w:t>
                  </w:r>
                </w:p>
              </w:tc>
              <w:tc>
                <w:tcPr>
                  <w:tcW w:w="705" w:type="pct"/>
                  <w:vAlign w:val="center"/>
                </w:tcPr>
                <w:p>
                  <w:pPr>
                    <w:tabs>
                      <w:tab w:val="left" w:pos="360"/>
                    </w:tabs>
                    <w:adjustRightInd w:val="0"/>
                    <w:snapToGrid w:val="0"/>
                    <w:jc w:val="center"/>
                    <w:rPr>
                      <w:color w:val="auto"/>
                      <w:szCs w:val="21"/>
                    </w:rPr>
                  </w:pPr>
                  <w:r>
                    <w:rPr>
                      <w:color w:val="auto"/>
                      <w:szCs w:val="21"/>
                    </w:rPr>
                    <w:t>等效连续A声级</w:t>
                  </w:r>
                </w:p>
              </w:tc>
              <w:tc>
                <w:tcPr>
                  <w:tcW w:w="700" w:type="pct"/>
                  <w:vAlign w:val="center"/>
                </w:tcPr>
                <w:p>
                  <w:pPr>
                    <w:tabs>
                      <w:tab w:val="left" w:pos="360"/>
                    </w:tabs>
                    <w:adjustRightInd w:val="0"/>
                    <w:snapToGrid w:val="0"/>
                    <w:jc w:val="center"/>
                    <w:rPr>
                      <w:color w:val="auto"/>
                      <w:szCs w:val="21"/>
                    </w:rPr>
                  </w:pPr>
                  <w:r>
                    <w:rPr>
                      <w:color w:val="auto"/>
                      <w:szCs w:val="21"/>
                    </w:rPr>
                    <w:t>厂界四周</w:t>
                  </w:r>
                </w:p>
              </w:tc>
              <w:tc>
                <w:tcPr>
                  <w:tcW w:w="707" w:type="pct"/>
                  <w:vAlign w:val="center"/>
                </w:tcPr>
                <w:p>
                  <w:pPr>
                    <w:tabs>
                      <w:tab w:val="left" w:pos="360"/>
                    </w:tabs>
                    <w:adjustRightInd w:val="0"/>
                    <w:snapToGrid w:val="0"/>
                    <w:jc w:val="center"/>
                    <w:rPr>
                      <w:color w:val="auto"/>
                      <w:szCs w:val="21"/>
                    </w:rPr>
                  </w:pPr>
                  <w:r>
                    <w:rPr>
                      <w:color w:val="auto"/>
                      <w:szCs w:val="21"/>
                    </w:rPr>
                    <w:t>1次</w:t>
                  </w:r>
                  <w:r>
                    <w:rPr>
                      <w:bCs/>
                      <w:color w:val="auto"/>
                      <w:szCs w:val="21"/>
                    </w:rPr>
                    <w:t>/季度</w:t>
                  </w:r>
                </w:p>
              </w:tc>
              <w:tc>
                <w:tcPr>
                  <w:tcW w:w="2032" w:type="pct"/>
                  <w:vAlign w:val="center"/>
                </w:tcPr>
                <w:p>
                  <w:pPr>
                    <w:tabs>
                      <w:tab w:val="left" w:pos="360"/>
                    </w:tabs>
                    <w:adjustRightInd w:val="0"/>
                    <w:snapToGrid w:val="0"/>
                    <w:jc w:val="center"/>
                    <w:rPr>
                      <w:color w:val="auto"/>
                      <w:szCs w:val="21"/>
                    </w:rPr>
                  </w:pPr>
                  <w:r>
                    <w:rPr>
                      <w:color w:val="auto"/>
                      <w:szCs w:val="21"/>
                    </w:rPr>
                    <w:t>《工业企业厂界环境噪声排放标准》（GB12348-2008）3类标准</w:t>
                  </w:r>
                </w:p>
              </w:tc>
            </w:tr>
          </w:tbl>
          <w:p>
            <w:pPr>
              <w:adjustRightInd w:val="0"/>
              <w:snapToGrid w:val="0"/>
              <w:spacing w:line="360" w:lineRule="auto"/>
              <w:ind w:firstLine="482"/>
              <w:rPr>
                <w:rFonts w:ascii="宋体" w:hAnsi="宋体" w:cs="宋体"/>
                <w:b/>
                <w:bCs/>
                <w:color w:val="auto"/>
                <w:kern w:val="0"/>
                <w:sz w:val="24"/>
              </w:rPr>
            </w:pPr>
            <w:r>
              <w:rPr>
                <w:rFonts w:hint="eastAsia" w:ascii="宋体" w:hAnsi="宋体" w:cs="宋体"/>
                <w:b/>
                <w:bCs/>
                <w:color w:val="auto"/>
                <w:kern w:val="0"/>
                <w:sz w:val="24"/>
              </w:rPr>
              <w:t>4、固体废物</w:t>
            </w:r>
          </w:p>
          <w:p>
            <w:pPr>
              <w:adjustRightInd w:val="0"/>
              <w:snapToGrid w:val="0"/>
              <w:spacing w:line="360" w:lineRule="auto"/>
              <w:ind w:firstLine="480" w:firstLineChars="200"/>
              <w:rPr>
                <w:rFonts w:hAnsi="Cambria Math"/>
                <w:color w:val="auto"/>
                <w:sz w:val="24"/>
              </w:rPr>
            </w:pPr>
            <w:r>
              <w:rPr>
                <w:rFonts w:hint="eastAsia" w:hAnsi="Cambria Math"/>
                <w:color w:val="auto"/>
                <w:sz w:val="24"/>
              </w:rPr>
              <w:t>项目运营期产生的固体废物只要包括一般固废、危险废物以及员工生活垃圾。一把固废主要包括模压成型PET残料、发泡成型废料、废包装、水刀切割滤渣、废无纺布等；危险废物主要为废AB料、废脱模剂、废液压油、废沾染物空桶、废含油手套、抹布、废活性炭、废液压油。具体产生情况如下：</w:t>
            </w:r>
          </w:p>
          <w:p>
            <w:pPr>
              <w:adjustRightInd w:val="0"/>
              <w:snapToGrid w:val="0"/>
              <w:spacing w:line="360" w:lineRule="auto"/>
              <w:ind w:firstLine="480" w:firstLineChars="200"/>
              <w:rPr>
                <w:rFonts w:hAnsi="Cambria Math"/>
                <w:color w:val="auto"/>
                <w:sz w:val="24"/>
              </w:rPr>
            </w:pPr>
            <w:r>
              <w:rPr>
                <w:rFonts w:hint="eastAsia" w:hAnsi="Cambria Math"/>
                <w:color w:val="auto"/>
                <w:sz w:val="24"/>
              </w:rPr>
              <w:t>（1）一般固废</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①</w:t>
            </w:r>
            <w:r>
              <w:rPr>
                <w:rFonts w:hAnsi="Cambria Math"/>
                <w:color w:val="auto"/>
                <w:sz w:val="24"/>
              </w:rPr>
              <w:t>模压成型PET残料</w:t>
            </w:r>
          </w:p>
          <w:p>
            <w:pPr>
              <w:adjustRightInd w:val="0"/>
              <w:snapToGrid w:val="0"/>
              <w:spacing w:line="360" w:lineRule="auto"/>
              <w:ind w:firstLine="480" w:firstLineChars="200"/>
              <w:rPr>
                <w:rFonts w:hAnsi="Cambria Math"/>
                <w:color w:val="auto"/>
                <w:sz w:val="24"/>
              </w:rPr>
            </w:pPr>
            <w:r>
              <w:rPr>
                <w:rFonts w:hint="eastAsia" w:hAnsi="Cambria Math"/>
                <w:color w:val="auto"/>
                <w:sz w:val="24"/>
              </w:rPr>
              <w:t>模压成型过程中会产生一定量的PET残料，根据企业提供资料，本项目毛毡年使用量为3000 t/a，</w:t>
            </w:r>
            <w:r>
              <w:rPr>
                <w:rFonts w:hint="eastAsia" w:hAnsi="Cambria Math"/>
                <w:color w:val="auto"/>
                <w:sz w:val="24"/>
                <w:lang w:val="en-US" w:eastAsia="zh-CN"/>
              </w:rPr>
              <w:t>模压成型</w:t>
            </w:r>
            <w:r>
              <w:rPr>
                <w:rFonts w:hint="eastAsia" w:hAnsi="Cambria Math"/>
                <w:color w:val="auto"/>
                <w:sz w:val="24"/>
              </w:rPr>
              <w:t>废</w:t>
            </w:r>
            <w:r>
              <w:rPr>
                <w:rFonts w:hAnsi="Cambria Math"/>
                <w:color w:val="auto"/>
                <w:sz w:val="24"/>
              </w:rPr>
              <w:t>PET残料</w:t>
            </w:r>
            <w:r>
              <w:rPr>
                <w:rFonts w:hint="eastAsia" w:hAnsi="Cambria Math"/>
                <w:color w:val="auto"/>
                <w:sz w:val="24"/>
              </w:rPr>
              <w:t>产生量为300 t/a，属一般固废，集中收集至园区回收站，统一处理。</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②发泡成型废料</w:t>
            </w:r>
          </w:p>
          <w:p>
            <w:pPr>
              <w:adjustRightInd w:val="0"/>
              <w:snapToGrid w:val="0"/>
              <w:spacing w:line="360" w:lineRule="auto"/>
              <w:ind w:firstLine="480" w:firstLineChars="200"/>
              <w:rPr>
                <w:rFonts w:hAnsi="Cambria Math"/>
                <w:color w:val="auto"/>
                <w:sz w:val="24"/>
              </w:rPr>
            </w:pPr>
            <w:r>
              <w:rPr>
                <w:rFonts w:hint="eastAsia" w:hAnsi="Cambria Math"/>
                <w:color w:val="auto"/>
                <w:sz w:val="24"/>
              </w:rPr>
              <w:t>发泡成型过程中会产生一定量的废料，根据企业提供资料，本项目</w:t>
            </w:r>
            <w:r>
              <w:rPr>
                <w:rFonts w:hint="eastAsia"/>
                <w:bCs/>
                <w:color w:val="auto"/>
                <w:spacing w:val="-10"/>
                <w:sz w:val="24"/>
              </w:rPr>
              <w:t>发泡工序使用的原料总量为18</w:t>
            </w:r>
            <w:r>
              <w:rPr>
                <w:rFonts w:hint="eastAsia"/>
                <w:bCs/>
                <w:color w:val="auto"/>
                <w:spacing w:val="-10"/>
                <w:sz w:val="24"/>
                <w:lang w:val="en-US" w:eastAsia="zh-CN"/>
              </w:rPr>
              <w:t>0</w:t>
            </w:r>
            <w:r>
              <w:rPr>
                <w:rFonts w:hint="eastAsia"/>
                <w:bCs/>
                <w:color w:val="auto"/>
                <w:spacing w:val="-10"/>
                <w:sz w:val="24"/>
              </w:rPr>
              <w:t>0 t/a，</w:t>
            </w:r>
            <w:r>
              <w:rPr>
                <w:rFonts w:hint="eastAsia"/>
                <w:bCs/>
                <w:color w:val="auto"/>
                <w:spacing w:val="-10"/>
                <w:sz w:val="24"/>
                <w:lang w:val="en-US" w:eastAsia="zh-CN"/>
              </w:rPr>
              <w:t>发泡成型</w:t>
            </w:r>
            <w:r>
              <w:rPr>
                <w:rFonts w:hint="eastAsia" w:hAnsi="Cambria Math"/>
                <w:color w:val="auto"/>
                <w:sz w:val="24"/>
              </w:rPr>
              <w:t>废料产生量为20 t/a，属于一般固废，集中收集至园区废料仓回收站，统一处理。</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③废包装</w:t>
            </w:r>
          </w:p>
          <w:p>
            <w:pPr>
              <w:adjustRightInd w:val="0"/>
              <w:snapToGrid w:val="0"/>
              <w:spacing w:line="360" w:lineRule="auto"/>
              <w:ind w:firstLine="480" w:firstLineChars="200"/>
              <w:rPr>
                <w:rFonts w:hAnsi="Cambria Math"/>
                <w:color w:val="auto"/>
                <w:sz w:val="24"/>
              </w:rPr>
            </w:pPr>
            <w:r>
              <w:rPr>
                <w:rFonts w:hAnsi="Cambria Math"/>
                <w:color w:val="auto"/>
                <w:sz w:val="24"/>
              </w:rPr>
              <w:t>本项目产生的废包装主要为废纸箱等，废纸箱、废塑料等产生量约</w:t>
            </w:r>
            <w:r>
              <w:rPr>
                <w:rFonts w:hint="eastAsia" w:hAnsi="Cambria Math"/>
                <w:color w:val="auto"/>
                <w:sz w:val="24"/>
              </w:rPr>
              <w:t xml:space="preserve">10 </w:t>
            </w:r>
            <w:r>
              <w:rPr>
                <w:rFonts w:hAnsi="Cambria Math"/>
                <w:color w:val="auto"/>
                <w:sz w:val="24"/>
              </w:rPr>
              <w:t>t/a，分类</w:t>
            </w:r>
            <w:r>
              <w:rPr>
                <w:rFonts w:hint="eastAsia" w:hAnsi="Cambria Math"/>
                <w:color w:val="auto"/>
                <w:sz w:val="24"/>
              </w:rPr>
              <w:t>集中收集至园区废料仓回收站，统一处理。</w:t>
            </w:r>
          </w:p>
          <w:p>
            <w:pPr>
              <w:pStyle w:val="17"/>
              <w:ind w:firstLine="480"/>
              <w:rPr>
                <w:rFonts w:hAnsi="Cambria Math" w:eastAsia="宋体"/>
                <w:color w:val="auto"/>
                <w:sz w:val="24"/>
              </w:rPr>
            </w:pPr>
            <w:r>
              <w:rPr>
                <w:rFonts w:hint="eastAsia" w:hAnsi="Cambria Math" w:eastAsia="宋体"/>
                <w:color w:val="auto"/>
                <w:sz w:val="24"/>
              </w:rPr>
              <w:t>④水刀切割滤渣</w:t>
            </w:r>
          </w:p>
          <w:p>
            <w:pPr>
              <w:adjustRightInd w:val="0"/>
              <w:snapToGrid w:val="0"/>
              <w:spacing w:line="360" w:lineRule="auto"/>
              <w:ind w:firstLine="480" w:firstLineChars="200"/>
              <w:rPr>
                <w:rFonts w:hAnsi="Cambria Math"/>
                <w:color w:val="auto"/>
                <w:sz w:val="24"/>
              </w:rPr>
            </w:pPr>
            <w:r>
              <w:rPr>
                <w:rFonts w:hint="eastAsia" w:hAnsi="Cambria Math"/>
                <w:color w:val="auto"/>
                <w:sz w:val="24"/>
              </w:rPr>
              <w:t>本项目水刀切割废水经过滤后排入厂区污水处理站，废水过滤会产生一定量的滤渣，滤渣沥干后收集，产生量约为0.3 t/a。属于一般固废，集中收集至园区废料仓回收站，统一处理。</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⑤废无纺布</w:t>
            </w:r>
          </w:p>
          <w:p>
            <w:pPr>
              <w:adjustRightInd w:val="0"/>
              <w:snapToGrid w:val="0"/>
              <w:spacing w:line="360" w:lineRule="auto"/>
              <w:ind w:firstLine="480" w:firstLineChars="200"/>
              <w:rPr>
                <w:rFonts w:hAnsi="Cambria Math"/>
                <w:color w:val="auto"/>
                <w:sz w:val="24"/>
              </w:rPr>
            </w:pPr>
            <w:r>
              <w:rPr>
                <w:rFonts w:hint="eastAsia" w:hAnsi="Cambria Math"/>
                <w:color w:val="auto"/>
                <w:sz w:val="24"/>
              </w:rPr>
              <w:t>本项目水刀切割废水经过滤后排入厂区污水站，过滤装置滤芯材质为无纺布，产量约为10t/a，属于一般固废，集中收集至园区废料仓回收站，统一处理。</w:t>
            </w:r>
          </w:p>
          <w:p>
            <w:pPr>
              <w:adjustRightInd w:val="0"/>
              <w:snapToGrid w:val="0"/>
              <w:spacing w:line="360" w:lineRule="auto"/>
              <w:ind w:firstLine="480" w:firstLineChars="200"/>
              <w:rPr>
                <w:rFonts w:hAnsi="Cambria Math"/>
                <w:color w:val="auto"/>
                <w:sz w:val="24"/>
              </w:rPr>
            </w:pPr>
            <w:r>
              <w:rPr>
                <w:rFonts w:hint="eastAsia" w:hAnsi="Cambria Math"/>
                <w:color w:val="auto"/>
                <w:sz w:val="24"/>
              </w:rPr>
              <w:t>本项目建成后产生的一般工业固废汇总表如下：</w:t>
            </w:r>
          </w:p>
          <w:p>
            <w:pPr>
              <w:adjustRightInd w:val="0"/>
              <w:snapToGrid w:val="0"/>
              <w:spacing w:line="360" w:lineRule="auto"/>
              <w:ind w:firstLine="422" w:firstLineChars="200"/>
              <w:jc w:val="center"/>
              <w:rPr>
                <w:rFonts w:hAnsi="Cambria Math"/>
                <w:color w:val="auto"/>
                <w:szCs w:val="21"/>
              </w:rPr>
            </w:pPr>
            <w:r>
              <w:rPr>
                <w:b/>
                <w:color w:val="auto"/>
                <w:szCs w:val="21"/>
              </w:rPr>
              <w:t>表4-</w:t>
            </w:r>
            <w:r>
              <w:rPr>
                <w:rFonts w:hint="eastAsia"/>
                <w:b/>
                <w:color w:val="auto"/>
                <w:szCs w:val="21"/>
              </w:rPr>
              <w:t>13</w:t>
            </w:r>
            <w:r>
              <w:rPr>
                <w:b/>
                <w:color w:val="auto"/>
                <w:szCs w:val="21"/>
              </w:rPr>
              <w:t xml:space="preserve">  </w:t>
            </w:r>
            <w:r>
              <w:rPr>
                <w:rFonts w:hint="eastAsia"/>
                <w:b/>
                <w:color w:val="auto"/>
                <w:szCs w:val="21"/>
              </w:rPr>
              <w:t>一般固废产生与处置情况汇总表 单位t/a</w:t>
            </w:r>
          </w:p>
          <w:tbl>
            <w:tblPr>
              <w:tblStyle w:val="18"/>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05"/>
              <w:gridCol w:w="1140"/>
              <w:gridCol w:w="1228"/>
              <w:gridCol w:w="729"/>
              <w:gridCol w:w="1491"/>
              <w:gridCol w:w="1206"/>
              <w:gridCol w:w="15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441" w:type="pct"/>
                  <w:vAlign w:val="center"/>
                </w:tcPr>
                <w:p>
                  <w:pPr>
                    <w:jc w:val="center"/>
                    <w:rPr>
                      <w:b/>
                      <w:color w:val="auto"/>
                      <w:szCs w:val="21"/>
                    </w:rPr>
                  </w:pPr>
                  <w:r>
                    <w:rPr>
                      <w:b/>
                      <w:color w:val="auto"/>
                      <w:szCs w:val="21"/>
                    </w:rPr>
                    <w:t>序号</w:t>
                  </w:r>
                </w:p>
              </w:tc>
              <w:tc>
                <w:tcPr>
                  <w:tcW w:w="712" w:type="pct"/>
                  <w:vAlign w:val="center"/>
                </w:tcPr>
                <w:p>
                  <w:pPr>
                    <w:jc w:val="center"/>
                    <w:rPr>
                      <w:b/>
                      <w:color w:val="auto"/>
                      <w:szCs w:val="21"/>
                    </w:rPr>
                  </w:pPr>
                  <w:r>
                    <w:rPr>
                      <w:b/>
                      <w:color w:val="auto"/>
                      <w:szCs w:val="21"/>
                    </w:rPr>
                    <w:t>固体废物名称</w:t>
                  </w:r>
                </w:p>
              </w:tc>
              <w:tc>
                <w:tcPr>
                  <w:tcW w:w="767" w:type="pct"/>
                  <w:vAlign w:val="center"/>
                </w:tcPr>
                <w:p>
                  <w:pPr>
                    <w:jc w:val="center"/>
                    <w:rPr>
                      <w:b/>
                      <w:color w:val="auto"/>
                      <w:szCs w:val="21"/>
                    </w:rPr>
                  </w:pPr>
                  <w:r>
                    <w:rPr>
                      <w:b/>
                      <w:color w:val="auto"/>
                      <w:szCs w:val="21"/>
                    </w:rPr>
                    <w:t>产生工序</w:t>
                  </w:r>
                </w:p>
              </w:tc>
              <w:tc>
                <w:tcPr>
                  <w:tcW w:w="455" w:type="pct"/>
                  <w:vAlign w:val="center"/>
                </w:tcPr>
                <w:p>
                  <w:pPr>
                    <w:jc w:val="center"/>
                    <w:rPr>
                      <w:b/>
                      <w:color w:val="auto"/>
                      <w:szCs w:val="21"/>
                    </w:rPr>
                  </w:pPr>
                  <w:r>
                    <w:rPr>
                      <w:b/>
                      <w:color w:val="auto"/>
                      <w:szCs w:val="21"/>
                    </w:rPr>
                    <w:t>形态</w:t>
                  </w:r>
                </w:p>
              </w:tc>
              <w:tc>
                <w:tcPr>
                  <w:tcW w:w="931" w:type="pct"/>
                  <w:vAlign w:val="center"/>
                </w:tcPr>
                <w:p>
                  <w:pPr>
                    <w:jc w:val="center"/>
                    <w:rPr>
                      <w:b/>
                      <w:color w:val="auto"/>
                      <w:szCs w:val="21"/>
                    </w:rPr>
                  </w:pPr>
                  <w:r>
                    <w:rPr>
                      <w:b/>
                      <w:color w:val="auto"/>
                      <w:szCs w:val="21"/>
                    </w:rPr>
                    <w:t>主要成分</w:t>
                  </w:r>
                </w:p>
              </w:tc>
              <w:tc>
                <w:tcPr>
                  <w:tcW w:w="753" w:type="pct"/>
                  <w:vAlign w:val="center"/>
                </w:tcPr>
                <w:p>
                  <w:pPr>
                    <w:jc w:val="center"/>
                    <w:rPr>
                      <w:b/>
                      <w:color w:val="auto"/>
                      <w:szCs w:val="21"/>
                    </w:rPr>
                  </w:pPr>
                  <w:r>
                    <w:rPr>
                      <w:b/>
                      <w:color w:val="auto"/>
                      <w:szCs w:val="21"/>
                    </w:rPr>
                    <w:t>估计产生量（t/a）</w:t>
                  </w:r>
                </w:p>
              </w:tc>
              <w:tc>
                <w:tcPr>
                  <w:tcW w:w="938" w:type="pct"/>
                  <w:vAlign w:val="center"/>
                </w:tcPr>
                <w:p>
                  <w:pPr>
                    <w:jc w:val="center"/>
                    <w:rPr>
                      <w:b/>
                      <w:color w:val="auto"/>
                      <w:szCs w:val="21"/>
                    </w:rPr>
                  </w:pPr>
                  <w:r>
                    <w:rPr>
                      <w:b/>
                      <w:color w:val="auto"/>
                      <w:szCs w:val="21"/>
                    </w:rPr>
                    <w:t>拟采取的处理处置方式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441" w:type="pct"/>
                  <w:vAlign w:val="center"/>
                </w:tcPr>
                <w:p>
                  <w:pPr>
                    <w:jc w:val="center"/>
                    <w:rPr>
                      <w:color w:val="auto"/>
                      <w:szCs w:val="21"/>
                    </w:rPr>
                  </w:pPr>
                  <w:r>
                    <w:rPr>
                      <w:color w:val="auto"/>
                      <w:szCs w:val="21"/>
                    </w:rPr>
                    <w:t>1</w:t>
                  </w:r>
                </w:p>
              </w:tc>
              <w:tc>
                <w:tcPr>
                  <w:tcW w:w="712" w:type="pct"/>
                  <w:vAlign w:val="center"/>
                </w:tcPr>
                <w:p>
                  <w:pPr>
                    <w:jc w:val="center"/>
                    <w:rPr>
                      <w:color w:val="auto"/>
                      <w:szCs w:val="21"/>
                    </w:rPr>
                  </w:pPr>
                  <w:r>
                    <w:rPr>
                      <w:color w:val="auto"/>
                      <w:szCs w:val="21"/>
                    </w:rPr>
                    <w:t>模压成型PET残料</w:t>
                  </w:r>
                </w:p>
              </w:tc>
              <w:tc>
                <w:tcPr>
                  <w:tcW w:w="767" w:type="pct"/>
                  <w:vAlign w:val="center"/>
                </w:tcPr>
                <w:p>
                  <w:pPr>
                    <w:jc w:val="center"/>
                    <w:rPr>
                      <w:color w:val="auto"/>
                      <w:szCs w:val="21"/>
                    </w:rPr>
                  </w:pPr>
                  <w:r>
                    <w:rPr>
                      <w:rFonts w:hint="eastAsia"/>
                      <w:color w:val="auto"/>
                      <w:szCs w:val="21"/>
                    </w:rPr>
                    <w:t>模压</w:t>
                  </w:r>
                </w:p>
              </w:tc>
              <w:tc>
                <w:tcPr>
                  <w:tcW w:w="455" w:type="pct"/>
                  <w:vAlign w:val="center"/>
                </w:tcPr>
                <w:p>
                  <w:pPr>
                    <w:jc w:val="center"/>
                    <w:rPr>
                      <w:color w:val="auto"/>
                      <w:szCs w:val="21"/>
                    </w:rPr>
                  </w:pPr>
                  <w:r>
                    <w:rPr>
                      <w:rFonts w:hint="eastAsia"/>
                      <w:color w:val="auto"/>
                      <w:szCs w:val="21"/>
                    </w:rPr>
                    <w:t>固态</w:t>
                  </w:r>
                </w:p>
              </w:tc>
              <w:tc>
                <w:tcPr>
                  <w:tcW w:w="931" w:type="pct"/>
                  <w:vAlign w:val="center"/>
                </w:tcPr>
                <w:p>
                  <w:pPr>
                    <w:jc w:val="center"/>
                    <w:rPr>
                      <w:color w:val="auto"/>
                      <w:szCs w:val="21"/>
                    </w:rPr>
                  </w:pPr>
                  <w:r>
                    <w:rPr>
                      <w:color w:val="auto"/>
                      <w:szCs w:val="21"/>
                    </w:rPr>
                    <w:t>毛毡</w:t>
                  </w:r>
                </w:p>
              </w:tc>
              <w:tc>
                <w:tcPr>
                  <w:tcW w:w="753" w:type="pct"/>
                  <w:vAlign w:val="center"/>
                </w:tcPr>
                <w:p>
                  <w:pPr>
                    <w:jc w:val="center"/>
                    <w:rPr>
                      <w:bCs/>
                      <w:color w:val="auto"/>
                      <w:szCs w:val="21"/>
                    </w:rPr>
                  </w:pPr>
                  <w:r>
                    <w:rPr>
                      <w:rFonts w:hint="eastAsia"/>
                      <w:bCs/>
                      <w:color w:val="auto"/>
                      <w:szCs w:val="21"/>
                    </w:rPr>
                    <w:t>300</w:t>
                  </w:r>
                </w:p>
              </w:tc>
              <w:tc>
                <w:tcPr>
                  <w:tcW w:w="938" w:type="pct"/>
                  <w:vAlign w:val="center"/>
                </w:tcPr>
                <w:p>
                  <w:pPr>
                    <w:jc w:val="center"/>
                    <w:rPr>
                      <w:color w:val="auto"/>
                      <w:szCs w:val="21"/>
                    </w:rPr>
                  </w:pPr>
                  <w:r>
                    <w:rPr>
                      <w:rFonts w:hint="eastAsia"/>
                      <w:color w:val="auto"/>
                      <w:szCs w:val="21"/>
                    </w:rPr>
                    <w:t>集中收集至园区废料仓回收站，统一处理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1" w:type="pct"/>
                  <w:vAlign w:val="center"/>
                </w:tcPr>
                <w:p>
                  <w:pPr>
                    <w:jc w:val="center"/>
                    <w:rPr>
                      <w:color w:val="auto"/>
                      <w:szCs w:val="21"/>
                    </w:rPr>
                  </w:pPr>
                  <w:r>
                    <w:rPr>
                      <w:color w:val="auto"/>
                      <w:szCs w:val="21"/>
                    </w:rPr>
                    <w:t>2</w:t>
                  </w:r>
                </w:p>
              </w:tc>
              <w:tc>
                <w:tcPr>
                  <w:tcW w:w="712" w:type="pct"/>
                  <w:vAlign w:val="center"/>
                </w:tcPr>
                <w:p>
                  <w:pPr>
                    <w:jc w:val="center"/>
                    <w:rPr>
                      <w:color w:val="auto"/>
                      <w:szCs w:val="21"/>
                    </w:rPr>
                  </w:pPr>
                  <w:r>
                    <w:rPr>
                      <w:rFonts w:hint="eastAsia"/>
                      <w:color w:val="auto"/>
                      <w:szCs w:val="21"/>
                    </w:rPr>
                    <w:t>发泡成型废料</w:t>
                  </w:r>
                </w:p>
              </w:tc>
              <w:tc>
                <w:tcPr>
                  <w:tcW w:w="767" w:type="pct"/>
                  <w:vAlign w:val="center"/>
                </w:tcPr>
                <w:p>
                  <w:pPr>
                    <w:jc w:val="center"/>
                    <w:rPr>
                      <w:color w:val="auto"/>
                      <w:szCs w:val="21"/>
                    </w:rPr>
                  </w:pPr>
                  <w:r>
                    <w:rPr>
                      <w:rFonts w:hint="eastAsia"/>
                      <w:color w:val="auto"/>
                      <w:szCs w:val="21"/>
                    </w:rPr>
                    <w:t>发泡</w:t>
                  </w:r>
                </w:p>
              </w:tc>
              <w:tc>
                <w:tcPr>
                  <w:tcW w:w="455" w:type="pct"/>
                  <w:vAlign w:val="center"/>
                </w:tcPr>
                <w:p>
                  <w:pPr>
                    <w:jc w:val="center"/>
                    <w:rPr>
                      <w:color w:val="auto"/>
                      <w:szCs w:val="21"/>
                    </w:rPr>
                  </w:pPr>
                  <w:r>
                    <w:rPr>
                      <w:rFonts w:hint="eastAsia"/>
                      <w:color w:val="auto"/>
                      <w:szCs w:val="21"/>
                    </w:rPr>
                    <w:t>固态</w:t>
                  </w:r>
                </w:p>
              </w:tc>
              <w:tc>
                <w:tcPr>
                  <w:tcW w:w="931" w:type="pct"/>
                  <w:vAlign w:val="center"/>
                </w:tcPr>
                <w:p>
                  <w:pPr>
                    <w:jc w:val="center"/>
                    <w:rPr>
                      <w:color w:val="auto"/>
                      <w:szCs w:val="21"/>
                    </w:rPr>
                  </w:pPr>
                  <w:r>
                    <w:rPr>
                      <w:rFonts w:hint="eastAsia"/>
                      <w:color w:val="auto"/>
                      <w:szCs w:val="21"/>
                    </w:rPr>
                    <w:t>发泡边角料</w:t>
                  </w:r>
                </w:p>
              </w:tc>
              <w:tc>
                <w:tcPr>
                  <w:tcW w:w="753" w:type="pct"/>
                  <w:vAlign w:val="center"/>
                </w:tcPr>
                <w:p>
                  <w:pPr>
                    <w:jc w:val="center"/>
                    <w:rPr>
                      <w:color w:val="auto"/>
                      <w:szCs w:val="21"/>
                    </w:rPr>
                  </w:pPr>
                  <w:r>
                    <w:rPr>
                      <w:rFonts w:hint="eastAsia"/>
                      <w:color w:val="auto"/>
                      <w:szCs w:val="21"/>
                    </w:rPr>
                    <w:t>20</w:t>
                  </w:r>
                </w:p>
              </w:tc>
              <w:tc>
                <w:tcPr>
                  <w:tcW w:w="938" w:type="pct"/>
                  <w:vAlign w:val="center"/>
                </w:tcPr>
                <w:p>
                  <w:pPr>
                    <w:jc w:val="center"/>
                    <w:rPr>
                      <w:color w:val="auto"/>
                      <w:szCs w:val="21"/>
                    </w:rPr>
                  </w:pPr>
                  <w:r>
                    <w:rPr>
                      <w:rFonts w:hint="eastAsia"/>
                      <w:color w:val="auto"/>
                      <w:szCs w:val="21"/>
                    </w:rPr>
                    <w:t>集中收集至园区废料仓回收站，统一处理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1" w:type="pct"/>
                  <w:vAlign w:val="center"/>
                </w:tcPr>
                <w:p>
                  <w:pPr>
                    <w:jc w:val="center"/>
                    <w:rPr>
                      <w:color w:val="auto"/>
                      <w:szCs w:val="21"/>
                    </w:rPr>
                  </w:pPr>
                  <w:r>
                    <w:rPr>
                      <w:color w:val="auto"/>
                      <w:szCs w:val="21"/>
                    </w:rPr>
                    <w:t>3</w:t>
                  </w:r>
                </w:p>
              </w:tc>
              <w:tc>
                <w:tcPr>
                  <w:tcW w:w="712" w:type="pct"/>
                  <w:vAlign w:val="center"/>
                </w:tcPr>
                <w:p>
                  <w:pPr>
                    <w:jc w:val="center"/>
                    <w:rPr>
                      <w:color w:val="auto"/>
                      <w:szCs w:val="21"/>
                    </w:rPr>
                  </w:pPr>
                  <w:r>
                    <w:rPr>
                      <w:rFonts w:hint="eastAsia"/>
                      <w:color w:val="auto"/>
                      <w:szCs w:val="21"/>
                    </w:rPr>
                    <w:t>废包装</w:t>
                  </w:r>
                </w:p>
              </w:tc>
              <w:tc>
                <w:tcPr>
                  <w:tcW w:w="767" w:type="pct"/>
                  <w:vAlign w:val="center"/>
                </w:tcPr>
                <w:p>
                  <w:pPr>
                    <w:jc w:val="center"/>
                    <w:rPr>
                      <w:color w:val="auto"/>
                      <w:szCs w:val="21"/>
                    </w:rPr>
                  </w:pPr>
                  <w:r>
                    <w:rPr>
                      <w:rFonts w:hint="eastAsia"/>
                      <w:color w:val="auto"/>
                      <w:szCs w:val="21"/>
                    </w:rPr>
                    <w:t>包装</w:t>
                  </w:r>
                </w:p>
              </w:tc>
              <w:tc>
                <w:tcPr>
                  <w:tcW w:w="455" w:type="pct"/>
                  <w:vAlign w:val="center"/>
                </w:tcPr>
                <w:p>
                  <w:pPr>
                    <w:jc w:val="center"/>
                    <w:rPr>
                      <w:color w:val="auto"/>
                      <w:szCs w:val="21"/>
                    </w:rPr>
                  </w:pPr>
                  <w:r>
                    <w:rPr>
                      <w:rFonts w:hint="eastAsia"/>
                      <w:color w:val="auto"/>
                      <w:szCs w:val="21"/>
                    </w:rPr>
                    <w:t>固态</w:t>
                  </w:r>
                </w:p>
              </w:tc>
              <w:tc>
                <w:tcPr>
                  <w:tcW w:w="931" w:type="pct"/>
                  <w:vAlign w:val="center"/>
                </w:tcPr>
                <w:p>
                  <w:pPr>
                    <w:jc w:val="center"/>
                    <w:rPr>
                      <w:color w:val="auto"/>
                      <w:szCs w:val="21"/>
                    </w:rPr>
                  </w:pPr>
                  <w:r>
                    <w:rPr>
                      <w:color w:val="auto"/>
                      <w:szCs w:val="21"/>
                    </w:rPr>
                    <w:t>塑料、纸箱等</w:t>
                  </w:r>
                </w:p>
              </w:tc>
              <w:tc>
                <w:tcPr>
                  <w:tcW w:w="753" w:type="pct"/>
                  <w:vAlign w:val="center"/>
                </w:tcPr>
                <w:p>
                  <w:pPr>
                    <w:jc w:val="center"/>
                    <w:rPr>
                      <w:color w:val="auto"/>
                      <w:szCs w:val="21"/>
                    </w:rPr>
                  </w:pPr>
                  <w:r>
                    <w:rPr>
                      <w:rFonts w:hint="eastAsia"/>
                      <w:color w:val="auto"/>
                      <w:szCs w:val="21"/>
                    </w:rPr>
                    <w:t>10</w:t>
                  </w:r>
                </w:p>
              </w:tc>
              <w:tc>
                <w:tcPr>
                  <w:tcW w:w="938" w:type="pct"/>
                  <w:vAlign w:val="center"/>
                </w:tcPr>
                <w:p>
                  <w:pPr>
                    <w:jc w:val="center"/>
                    <w:rPr>
                      <w:color w:val="auto"/>
                      <w:szCs w:val="21"/>
                    </w:rPr>
                  </w:pPr>
                  <w:r>
                    <w:rPr>
                      <w:rFonts w:hint="eastAsia"/>
                      <w:color w:val="auto"/>
                      <w:szCs w:val="21"/>
                    </w:rPr>
                    <w:t>集中收集至园区废料仓回收站，统一处理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1" w:type="pct"/>
                  <w:vAlign w:val="center"/>
                </w:tcPr>
                <w:p>
                  <w:pPr>
                    <w:jc w:val="center"/>
                    <w:rPr>
                      <w:color w:val="auto"/>
                      <w:szCs w:val="21"/>
                    </w:rPr>
                  </w:pPr>
                  <w:r>
                    <w:rPr>
                      <w:rFonts w:hint="eastAsia"/>
                      <w:color w:val="auto"/>
                      <w:szCs w:val="21"/>
                    </w:rPr>
                    <w:t>4</w:t>
                  </w:r>
                </w:p>
              </w:tc>
              <w:tc>
                <w:tcPr>
                  <w:tcW w:w="712" w:type="pct"/>
                  <w:vAlign w:val="center"/>
                </w:tcPr>
                <w:p>
                  <w:pPr>
                    <w:jc w:val="center"/>
                    <w:rPr>
                      <w:color w:val="auto"/>
                      <w:szCs w:val="21"/>
                    </w:rPr>
                  </w:pPr>
                  <w:r>
                    <w:rPr>
                      <w:rFonts w:hint="eastAsia"/>
                      <w:color w:val="auto"/>
                      <w:szCs w:val="21"/>
                    </w:rPr>
                    <w:t>水刀切割滤渣</w:t>
                  </w:r>
                </w:p>
              </w:tc>
              <w:tc>
                <w:tcPr>
                  <w:tcW w:w="767" w:type="pct"/>
                  <w:vAlign w:val="center"/>
                </w:tcPr>
                <w:p>
                  <w:pPr>
                    <w:jc w:val="center"/>
                    <w:rPr>
                      <w:color w:val="auto"/>
                      <w:szCs w:val="21"/>
                    </w:rPr>
                  </w:pPr>
                  <w:r>
                    <w:rPr>
                      <w:rFonts w:hint="eastAsia"/>
                      <w:color w:val="auto"/>
                      <w:szCs w:val="21"/>
                    </w:rPr>
                    <w:t>水刀切割</w:t>
                  </w:r>
                </w:p>
              </w:tc>
              <w:tc>
                <w:tcPr>
                  <w:tcW w:w="455" w:type="pct"/>
                  <w:vAlign w:val="center"/>
                </w:tcPr>
                <w:p>
                  <w:pPr>
                    <w:jc w:val="center"/>
                    <w:rPr>
                      <w:color w:val="auto"/>
                      <w:szCs w:val="21"/>
                    </w:rPr>
                  </w:pPr>
                  <w:r>
                    <w:rPr>
                      <w:rFonts w:hint="eastAsia"/>
                      <w:color w:val="auto"/>
                      <w:szCs w:val="21"/>
                    </w:rPr>
                    <w:t>固态</w:t>
                  </w:r>
                </w:p>
              </w:tc>
              <w:tc>
                <w:tcPr>
                  <w:tcW w:w="931" w:type="pct"/>
                  <w:vAlign w:val="center"/>
                </w:tcPr>
                <w:p>
                  <w:pPr>
                    <w:jc w:val="center"/>
                    <w:rPr>
                      <w:color w:val="auto"/>
                      <w:szCs w:val="21"/>
                    </w:rPr>
                  </w:pPr>
                  <w:r>
                    <w:rPr>
                      <w:rFonts w:hint="eastAsia"/>
                      <w:color w:val="auto"/>
                      <w:szCs w:val="21"/>
                    </w:rPr>
                    <w:t>废毛毡</w:t>
                  </w:r>
                </w:p>
              </w:tc>
              <w:tc>
                <w:tcPr>
                  <w:tcW w:w="753" w:type="pct"/>
                  <w:vAlign w:val="center"/>
                </w:tcPr>
                <w:p>
                  <w:pPr>
                    <w:jc w:val="center"/>
                    <w:rPr>
                      <w:color w:val="auto"/>
                      <w:szCs w:val="21"/>
                    </w:rPr>
                  </w:pPr>
                  <w:r>
                    <w:rPr>
                      <w:rFonts w:hint="eastAsia"/>
                      <w:color w:val="auto"/>
                      <w:szCs w:val="21"/>
                    </w:rPr>
                    <w:t>0.3</w:t>
                  </w:r>
                </w:p>
              </w:tc>
              <w:tc>
                <w:tcPr>
                  <w:tcW w:w="938" w:type="pct"/>
                  <w:vAlign w:val="center"/>
                </w:tcPr>
                <w:p>
                  <w:pPr>
                    <w:jc w:val="center"/>
                    <w:rPr>
                      <w:color w:val="auto"/>
                      <w:szCs w:val="21"/>
                    </w:rPr>
                  </w:pPr>
                  <w:r>
                    <w:rPr>
                      <w:rFonts w:hint="eastAsia"/>
                      <w:color w:val="auto"/>
                      <w:szCs w:val="21"/>
                    </w:rPr>
                    <w:t>集中收集至园区废料仓回收站，统一处理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1" w:type="pct"/>
                  <w:vAlign w:val="center"/>
                </w:tcPr>
                <w:p>
                  <w:pPr>
                    <w:jc w:val="center"/>
                    <w:rPr>
                      <w:color w:val="auto"/>
                      <w:szCs w:val="21"/>
                    </w:rPr>
                  </w:pPr>
                  <w:r>
                    <w:rPr>
                      <w:rFonts w:hint="eastAsia"/>
                      <w:color w:val="auto"/>
                      <w:szCs w:val="21"/>
                    </w:rPr>
                    <w:t>5</w:t>
                  </w:r>
                </w:p>
              </w:tc>
              <w:tc>
                <w:tcPr>
                  <w:tcW w:w="712" w:type="pct"/>
                  <w:vAlign w:val="center"/>
                </w:tcPr>
                <w:p>
                  <w:pPr>
                    <w:jc w:val="center"/>
                    <w:rPr>
                      <w:color w:val="auto"/>
                      <w:szCs w:val="21"/>
                    </w:rPr>
                  </w:pPr>
                  <w:r>
                    <w:rPr>
                      <w:rFonts w:hint="eastAsia"/>
                      <w:color w:val="auto"/>
                      <w:szCs w:val="21"/>
                    </w:rPr>
                    <w:t>废无纺布</w:t>
                  </w:r>
                </w:p>
              </w:tc>
              <w:tc>
                <w:tcPr>
                  <w:tcW w:w="767" w:type="pct"/>
                  <w:vAlign w:val="center"/>
                </w:tcPr>
                <w:p>
                  <w:pPr>
                    <w:jc w:val="center"/>
                    <w:rPr>
                      <w:color w:val="auto"/>
                      <w:szCs w:val="21"/>
                    </w:rPr>
                  </w:pPr>
                  <w:r>
                    <w:rPr>
                      <w:rFonts w:hint="eastAsia"/>
                      <w:color w:val="auto"/>
                      <w:szCs w:val="21"/>
                    </w:rPr>
                    <w:t>水刀切割</w:t>
                  </w:r>
                </w:p>
              </w:tc>
              <w:tc>
                <w:tcPr>
                  <w:tcW w:w="455" w:type="pct"/>
                  <w:vAlign w:val="center"/>
                </w:tcPr>
                <w:p>
                  <w:pPr>
                    <w:jc w:val="center"/>
                    <w:rPr>
                      <w:color w:val="auto"/>
                      <w:szCs w:val="21"/>
                    </w:rPr>
                  </w:pPr>
                  <w:r>
                    <w:rPr>
                      <w:rFonts w:hint="eastAsia"/>
                      <w:color w:val="auto"/>
                      <w:szCs w:val="21"/>
                    </w:rPr>
                    <w:t>固态</w:t>
                  </w:r>
                </w:p>
              </w:tc>
              <w:tc>
                <w:tcPr>
                  <w:tcW w:w="931" w:type="pct"/>
                  <w:vAlign w:val="center"/>
                </w:tcPr>
                <w:p>
                  <w:pPr>
                    <w:jc w:val="center"/>
                    <w:rPr>
                      <w:color w:val="auto"/>
                      <w:szCs w:val="21"/>
                    </w:rPr>
                  </w:pPr>
                  <w:r>
                    <w:rPr>
                      <w:rFonts w:hint="eastAsia"/>
                      <w:color w:val="auto"/>
                      <w:szCs w:val="21"/>
                    </w:rPr>
                    <w:t>无纺布</w:t>
                  </w:r>
                </w:p>
              </w:tc>
              <w:tc>
                <w:tcPr>
                  <w:tcW w:w="753" w:type="pct"/>
                  <w:vAlign w:val="center"/>
                </w:tcPr>
                <w:p>
                  <w:pPr>
                    <w:jc w:val="center"/>
                    <w:rPr>
                      <w:color w:val="auto"/>
                      <w:szCs w:val="21"/>
                    </w:rPr>
                  </w:pPr>
                  <w:r>
                    <w:rPr>
                      <w:rFonts w:hint="eastAsia"/>
                      <w:color w:val="auto"/>
                      <w:szCs w:val="21"/>
                    </w:rPr>
                    <w:t>10</w:t>
                  </w:r>
                </w:p>
              </w:tc>
              <w:tc>
                <w:tcPr>
                  <w:tcW w:w="938" w:type="pct"/>
                  <w:vAlign w:val="center"/>
                </w:tcPr>
                <w:p>
                  <w:pPr>
                    <w:jc w:val="center"/>
                    <w:rPr>
                      <w:color w:val="auto"/>
                      <w:szCs w:val="21"/>
                    </w:rPr>
                  </w:pPr>
                  <w:r>
                    <w:rPr>
                      <w:rFonts w:hint="eastAsia"/>
                      <w:color w:val="auto"/>
                      <w:szCs w:val="21"/>
                    </w:rPr>
                    <w:t>集中收集至园区废料仓回收站，统一处理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1" w:type="pct"/>
                  <w:vAlign w:val="center"/>
                </w:tcPr>
                <w:p>
                  <w:pPr>
                    <w:jc w:val="center"/>
                    <w:rPr>
                      <w:bCs/>
                      <w:color w:val="auto"/>
                      <w:szCs w:val="21"/>
                    </w:rPr>
                  </w:pPr>
                  <w:r>
                    <w:rPr>
                      <w:bCs/>
                      <w:color w:val="auto"/>
                      <w:szCs w:val="21"/>
                    </w:rPr>
                    <w:t>合计</w:t>
                  </w:r>
                </w:p>
              </w:tc>
              <w:tc>
                <w:tcPr>
                  <w:tcW w:w="712" w:type="pct"/>
                  <w:vAlign w:val="center"/>
                </w:tcPr>
                <w:p>
                  <w:pPr>
                    <w:jc w:val="center"/>
                    <w:rPr>
                      <w:bCs/>
                      <w:color w:val="auto"/>
                      <w:szCs w:val="21"/>
                    </w:rPr>
                  </w:pPr>
                  <w:r>
                    <w:rPr>
                      <w:rFonts w:hint="eastAsia"/>
                      <w:bCs/>
                      <w:color w:val="auto"/>
                      <w:szCs w:val="21"/>
                    </w:rPr>
                    <w:t>/</w:t>
                  </w:r>
                </w:p>
              </w:tc>
              <w:tc>
                <w:tcPr>
                  <w:tcW w:w="767" w:type="pct"/>
                  <w:vAlign w:val="center"/>
                </w:tcPr>
                <w:p>
                  <w:pPr>
                    <w:jc w:val="center"/>
                    <w:rPr>
                      <w:bCs/>
                      <w:color w:val="auto"/>
                      <w:szCs w:val="21"/>
                    </w:rPr>
                  </w:pPr>
                  <w:r>
                    <w:rPr>
                      <w:rFonts w:hint="eastAsia"/>
                      <w:bCs/>
                      <w:color w:val="auto"/>
                      <w:szCs w:val="21"/>
                    </w:rPr>
                    <w:t>/</w:t>
                  </w:r>
                </w:p>
              </w:tc>
              <w:tc>
                <w:tcPr>
                  <w:tcW w:w="455" w:type="pct"/>
                  <w:vAlign w:val="center"/>
                </w:tcPr>
                <w:p>
                  <w:pPr>
                    <w:jc w:val="center"/>
                    <w:rPr>
                      <w:bCs/>
                      <w:color w:val="auto"/>
                      <w:szCs w:val="21"/>
                    </w:rPr>
                  </w:pPr>
                  <w:r>
                    <w:rPr>
                      <w:rFonts w:hint="eastAsia"/>
                      <w:bCs/>
                      <w:color w:val="auto"/>
                      <w:szCs w:val="21"/>
                    </w:rPr>
                    <w:t>/</w:t>
                  </w:r>
                </w:p>
              </w:tc>
              <w:tc>
                <w:tcPr>
                  <w:tcW w:w="931" w:type="pct"/>
                  <w:vAlign w:val="center"/>
                </w:tcPr>
                <w:p>
                  <w:pPr>
                    <w:jc w:val="center"/>
                    <w:rPr>
                      <w:bCs/>
                      <w:color w:val="auto"/>
                      <w:szCs w:val="21"/>
                    </w:rPr>
                  </w:pPr>
                  <w:r>
                    <w:rPr>
                      <w:rFonts w:hint="eastAsia"/>
                      <w:bCs/>
                      <w:color w:val="auto"/>
                      <w:szCs w:val="21"/>
                    </w:rPr>
                    <w:t>/</w:t>
                  </w:r>
                </w:p>
              </w:tc>
              <w:tc>
                <w:tcPr>
                  <w:tcW w:w="753" w:type="pct"/>
                  <w:vAlign w:val="center"/>
                </w:tcPr>
                <w:p>
                  <w:pPr>
                    <w:jc w:val="center"/>
                    <w:rPr>
                      <w:bCs/>
                      <w:color w:val="auto"/>
                      <w:szCs w:val="21"/>
                    </w:rPr>
                  </w:pPr>
                  <w:r>
                    <w:rPr>
                      <w:rFonts w:hint="eastAsia"/>
                      <w:bCs/>
                      <w:color w:val="auto"/>
                      <w:szCs w:val="21"/>
                    </w:rPr>
                    <w:t>340.3</w:t>
                  </w:r>
                </w:p>
              </w:tc>
              <w:tc>
                <w:tcPr>
                  <w:tcW w:w="938" w:type="pct"/>
                  <w:vAlign w:val="center"/>
                </w:tcPr>
                <w:p>
                  <w:pPr>
                    <w:jc w:val="center"/>
                    <w:rPr>
                      <w:color w:val="auto"/>
                      <w:szCs w:val="21"/>
                    </w:rPr>
                  </w:pPr>
                  <w:r>
                    <w:rPr>
                      <w:rFonts w:hint="eastAsia"/>
                      <w:color w:val="auto"/>
                      <w:szCs w:val="21"/>
                    </w:rPr>
                    <w:t>/</w:t>
                  </w:r>
                </w:p>
              </w:tc>
            </w:tr>
          </w:tbl>
          <w:p>
            <w:pPr>
              <w:adjustRightInd w:val="0"/>
              <w:snapToGrid w:val="0"/>
              <w:spacing w:line="360" w:lineRule="auto"/>
              <w:ind w:firstLine="480" w:firstLineChars="200"/>
              <w:rPr>
                <w:rFonts w:hAnsi="Cambria Math"/>
                <w:color w:val="auto"/>
                <w:sz w:val="24"/>
              </w:rPr>
            </w:pPr>
            <w:r>
              <w:rPr>
                <w:rFonts w:hint="eastAsia" w:hAnsi="Cambria Math"/>
                <w:color w:val="auto"/>
                <w:sz w:val="24"/>
              </w:rPr>
              <w:t>（2）危险废物</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①</w:t>
            </w:r>
            <w:r>
              <w:rPr>
                <w:rFonts w:hAnsi="Cambria Math"/>
                <w:color w:val="auto"/>
                <w:sz w:val="24"/>
              </w:rPr>
              <w:t>废AB料</w:t>
            </w:r>
          </w:p>
          <w:p>
            <w:pPr>
              <w:adjustRightInd w:val="0"/>
              <w:snapToGrid w:val="0"/>
              <w:spacing w:line="360" w:lineRule="auto"/>
              <w:ind w:firstLine="480" w:firstLineChars="200"/>
              <w:rPr>
                <w:rFonts w:hAnsi="Cambria Math"/>
                <w:color w:val="auto"/>
                <w:sz w:val="24"/>
              </w:rPr>
            </w:pPr>
            <w:r>
              <w:rPr>
                <w:rFonts w:hint="eastAsia" w:hAnsi="Cambria Math"/>
                <w:color w:val="auto"/>
                <w:sz w:val="24"/>
              </w:rPr>
              <w:t>发泡工序后，模具清理过程使用高压气枪对设备进行清理，</w:t>
            </w:r>
            <w:r>
              <w:rPr>
                <w:rFonts w:hint="eastAsia" w:ascii="宋体" w:hAnsi="宋体" w:cs="宋体"/>
                <w:color w:val="auto"/>
                <w:kern w:val="0"/>
                <w:sz w:val="24"/>
              </w:rPr>
              <w:t>检查排气孔是否堵塞，此过程产生少量</w:t>
            </w:r>
            <w:r>
              <w:rPr>
                <w:rFonts w:hAnsi="Cambria Math"/>
                <w:color w:val="auto"/>
                <w:sz w:val="24"/>
              </w:rPr>
              <w:t>废AB料</w:t>
            </w:r>
            <w:r>
              <w:rPr>
                <w:rFonts w:hint="eastAsia" w:hAnsi="Cambria Math"/>
                <w:color w:val="auto"/>
                <w:sz w:val="24"/>
              </w:rPr>
              <w:t>，属于《国家危险废物名录》（2021年版）中的HW13-265-101-13树脂、乳胶、增塑剂、胶水/胶合剂生产过程中精馏、分离、精制等工序产生的釜底残液、废过滤介质和残渣，采用专用容器收集，暂存在厂区危废站，定期交由富平海螺环保科技有限公司、冀东海德堡（扶风）水泥有限公司、派尔森创新科技股份有限公司、铜川海螺环保科技有限责任公司、渭南德昌环保科技有限公司、陕西新天地固体废物综合处置有限公司等有资质单位处置</w:t>
            </w:r>
            <w:r>
              <w:rPr>
                <w:rFonts w:hint="eastAsia" w:hAnsi="Cambria Math"/>
                <w:color w:val="auto"/>
                <w:sz w:val="24"/>
                <w:lang w:eastAsia="zh-CN"/>
              </w:rPr>
              <w:t>（</w:t>
            </w:r>
            <w:r>
              <w:rPr>
                <w:rFonts w:hint="eastAsia" w:hAnsi="Cambria Math"/>
                <w:color w:val="auto"/>
                <w:sz w:val="24"/>
                <w:lang w:val="en-US" w:eastAsia="zh-CN"/>
              </w:rPr>
              <w:t>附件10</w:t>
            </w:r>
            <w:r>
              <w:rPr>
                <w:rFonts w:hint="eastAsia" w:hAnsi="Cambria Math"/>
                <w:color w:val="auto"/>
                <w:sz w:val="24"/>
                <w:lang w:eastAsia="zh-CN"/>
              </w:rPr>
              <w:t>）</w:t>
            </w:r>
            <w:r>
              <w:rPr>
                <w:rFonts w:hint="eastAsia" w:hAnsi="Cambria Math"/>
                <w:color w:val="auto"/>
                <w:sz w:val="24"/>
              </w:rPr>
              <w:t>。</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②废脱模剂</w:t>
            </w:r>
          </w:p>
          <w:p>
            <w:pPr>
              <w:adjustRightInd w:val="0"/>
              <w:snapToGrid w:val="0"/>
              <w:spacing w:line="360" w:lineRule="auto"/>
              <w:ind w:firstLine="480" w:firstLineChars="200"/>
              <w:rPr>
                <w:rFonts w:hAnsi="Cambria Math"/>
                <w:color w:val="auto"/>
                <w:sz w:val="24"/>
              </w:rPr>
            </w:pPr>
            <w:r>
              <w:rPr>
                <w:rFonts w:hint="eastAsia" w:hAnsi="Cambria Math"/>
                <w:color w:val="auto"/>
                <w:sz w:val="24"/>
              </w:rPr>
              <w:t>发泡过程喷洒脱模剂，因此在模具清理过程使用高压气枪对设备进行清理时会产生废脱模剂，脱模剂主要成分为蜡、脱芳烃溶液、聚氨酯催化剂，属于《国家危险废物名录》（2021年版）中的HW13-265-102-13树脂、合成乳胶、增塑剂、胶水/胶合剂生产过程中合成、酯化、缩合等工序产生的废母液</w:t>
            </w:r>
            <w:r>
              <w:rPr>
                <w:rFonts w:hint="eastAsia" w:hAnsi="Cambria Math"/>
                <w:color w:val="auto"/>
                <w:sz w:val="24"/>
                <w:lang w:eastAsia="zh-CN"/>
              </w:rPr>
              <w:t>，</w:t>
            </w:r>
            <w:r>
              <w:rPr>
                <w:rFonts w:hint="eastAsia" w:hAnsi="Cambria Math"/>
                <w:color w:val="auto"/>
                <w:sz w:val="24"/>
              </w:rPr>
              <w:t>采用专用容器收集，暂存在厂区危废站，定期交由富平海螺环保科技有限公司、冀东海德堡（扶风）水泥有限公司、派尔森创新科技股份有限公司、铜川海螺环保科技有限责任公司、渭南德昌环保科技有限公司、陕西新天地固体废物综合处置有限公司等有资质单位处置</w:t>
            </w:r>
            <w:r>
              <w:rPr>
                <w:rFonts w:hint="eastAsia" w:hAnsi="Cambria Math"/>
                <w:color w:val="auto"/>
                <w:sz w:val="24"/>
                <w:lang w:eastAsia="zh-CN"/>
              </w:rPr>
              <w:t>（</w:t>
            </w:r>
            <w:r>
              <w:rPr>
                <w:rFonts w:hint="eastAsia" w:hAnsi="Cambria Math"/>
                <w:color w:val="auto"/>
                <w:sz w:val="24"/>
                <w:lang w:val="en-US" w:eastAsia="zh-CN"/>
              </w:rPr>
              <w:t>附件10</w:t>
            </w:r>
            <w:r>
              <w:rPr>
                <w:rFonts w:hint="eastAsia" w:hAnsi="Cambria Math"/>
                <w:color w:val="auto"/>
                <w:sz w:val="24"/>
                <w:lang w:eastAsia="zh-CN"/>
              </w:rPr>
              <w:t>）</w:t>
            </w:r>
            <w:r>
              <w:rPr>
                <w:rFonts w:hint="eastAsia" w:hAnsi="Cambria Math"/>
                <w:color w:val="auto"/>
                <w:sz w:val="24"/>
              </w:rPr>
              <w:t>。</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③废沾染物空桶</w:t>
            </w:r>
            <w:r>
              <w:rPr>
                <w:rFonts w:hint="eastAsia"/>
                <w:color w:val="auto"/>
                <w:kern w:val="0"/>
                <w:sz w:val="24"/>
              </w:rPr>
              <w:t>、废含油手套、抹布</w:t>
            </w:r>
          </w:p>
          <w:p>
            <w:pPr>
              <w:pStyle w:val="17"/>
              <w:ind w:firstLine="480"/>
              <w:rPr>
                <w:rFonts w:hAnsi="Cambria Math" w:eastAsia="宋体"/>
                <w:color w:val="auto"/>
                <w:sz w:val="24"/>
              </w:rPr>
            </w:pPr>
            <w:r>
              <w:rPr>
                <w:rFonts w:hAnsi="Cambria Math" w:eastAsia="宋体"/>
                <w:color w:val="auto"/>
                <w:sz w:val="24"/>
              </w:rPr>
              <w:t xml:space="preserve">生产使用原辅料产生少量粘有机物废弃包装桶，属于危险废物，产生量约为 </w:t>
            </w:r>
            <w:r>
              <w:rPr>
                <w:rFonts w:hint="eastAsia" w:hAnsi="Cambria Math" w:eastAsia="宋体"/>
                <w:color w:val="auto"/>
                <w:sz w:val="24"/>
              </w:rPr>
              <w:t xml:space="preserve">40 </w:t>
            </w:r>
            <w:r>
              <w:rPr>
                <w:rFonts w:hAnsi="Cambria Math" w:eastAsia="宋体"/>
                <w:color w:val="auto"/>
                <w:sz w:val="24"/>
              </w:rPr>
              <w:t>t/a，暂存于厂区危废站，</w:t>
            </w:r>
            <w:r>
              <w:rPr>
                <w:rFonts w:hint="eastAsia" w:hAnsi="Cambria Math" w:eastAsia="宋体"/>
                <w:color w:val="auto"/>
                <w:sz w:val="24"/>
              </w:rPr>
              <w:t>定期交由富平海螺环保科技有限公司、冀东海德堡（扶风）水泥有限公司、派尔森创新科技股份有限公司、铜川海螺环保科技有限责任公司、渭南德昌环保科技有限公司、陕西新天地固体废物综合处置有限公司等有资质单位处置</w:t>
            </w:r>
            <w:r>
              <w:rPr>
                <w:rFonts w:hint="eastAsia" w:hAnsi="Cambria Math" w:eastAsia="宋体"/>
                <w:color w:val="auto"/>
                <w:sz w:val="24"/>
                <w:lang w:eastAsia="zh-CN"/>
              </w:rPr>
              <w:t>（</w:t>
            </w:r>
            <w:r>
              <w:rPr>
                <w:rFonts w:hint="eastAsia" w:hAnsi="Cambria Math" w:eastAsia="宋体"/>
                <w:color w:val="auto"/>
                <w:sz w:val="24"/>
                <w:lang w:val="en-US" w:eastAsia="zh-CN"/>
              </w:rPr>
              <w:t>附件10</w:t>
            </w:r>
            <w:r>
              <w:rPr>
                <w:rFonts w:hint="eastAsia" w:hAnsi="Cambria Math" w:eastAsia="宋体"/>
                <w:color w:val="auto"/>
                <w:sz w:val="24"/>
                <w:lang w:eastAsia="zh-CN"/>
              </w:rPr>
              <w:t>）</w:t>
            </w:r>
            <w:r>
              <w:rPr>
                <w:rFonts w:hint="eastAsia" w:hAnsi="Cambria Math" w:eastAsia="宋体"/>
                <w:color w:val="auto"/>
                <w:sz w:val="24"/>
              </w:rPr>
              <w:t>。</w:t>
            </w:r>
          </w:p>
          <w:p>
            <w:pPr>
              <w:adjustRightInd w:val="0"/>
              <w:snapToGrid w:val="0"/>
              <w:spacing w:line="360" w:lineRule="auto"/>
              <w:ind w:firstLine="480" w:firstLineChars="200"/>
              <w:rPr>
                <w:rFonts w:hAnsi="Cambria Math"/>
                <w:color w:val="auto"/>
                <w:sz w:val="24"/>
              </w:rPr>
            </w:pPr>
            <w:r>
              <w:rPr>
                <w:rFonts w:hint="eastAsia" w:hAnsi="Cambria Math"/>
                <w:color w:val="auto"/>
                <w:sz w:val="24"/>
              </w:rPr>
              <w:t>④废活性炭</w:t>
            </w:r>
          </w:p>
          <w:p>
            <w:pPr>
              <w:adjustRightInd w:val="0"/>
              <w:snapToGrid w:val="0"/>
              <w:spacing w:line="360" w:lineRule="auto"/>
              <w:ind w:firstLine="480" w:firstLineChars="200"/>
              <w:rPr>
                <w:color w:val="auto"/>
                <w:kern w:val="0"/>
                <w:sz w:val="24"/>
              </w:rPr>
            </w:pPr>
            <w:r>
              <w:rPr>
                <w:rFonts w:hint="eastAsia" w:hAnsi="Cambria Math"/>
                <w:color w:val="auto"/>
                <w:sz w:val="24"/>
              </w:rPr>
              <w:t>项目产生的非甲烷总烃有机废气通过二级活性炭吸附装置处</w:t>
            </w:r>
            <w:r>
              <w:rPr>
                <w:rFonts w:hint="eastAsia"/>
                <w:color w:val="auto"/>
                <w:kern w:val="0"/>
                <w:sz w:val="24"/>
              </w:rPr>
              <w:t>理，有机废气处理装置在运行过程中会产生一定量的废活性炭。</w:t>
            </w:r>
          </w:p>
          <w:p>
            <w:pPr>
              <w:adjustRightInd w:val="0"/>
              <w:snapToGrid w:val="0"/>
              <w:spacing w:line="360" w:lineRule="auto"/>
              <w:ind w:firstLine="480" w:firstLineChars="200"/>
              <w:rPr>
                <w:rFonts w:hAnsi="Cambria Math"/>
                <w:color w:val="auto"/>
                <w:sz w:val="24"/>
              </w:rPr>
            </w:pPr>
            <w:r>
              <w:rPr>
                <w:rFonts w:hAnsi="Cambria Math"/>
                <w:color w:val="auto"/>
                <w:sz w:val="24"/>
              </w:rPr>
              <w:t>废活性炭产生量为</w:t>
            </w:r>
            <w:r>
              <w:rPr>
                <w:rFonts w:hint="eastAsia" w:hAnsi="Cambria Math"/>
                <w:color w:val="auto"/>
                <w:sz w:val="24"/>
              </w:rPr>
              <w:t xml:space="preserve">1.5 </w:t>
            </w:r>
            <w:r>
              <w:rPr>
                <w:rFonts w:hAnsi="Cambria Math"/>
                <w:color w:val="auto"/>
                <w:sz w:val="24"/>
              </w:rPr>
              <w:t>t/a。根据《国家危险废物名录》，废活性炭属于危废HW49，危废代码为：900-039-49，定期更换后</w:t>
            </w:r>
            <w:r>
              <w:rPr>
                <w:rFonts w:hint="eastAsia" w:hAnsi="Cambria Math"/>
                <w:color w:val="auto"/>
                <w:sz w:val="24"/>
              </w:rPr>
              <w:t>交由富平海螺环保科技有限公司、冀东海德堡（扶风）水泥有限公司、派尔森创新科技股份有限公司、铜川海螺环保科技有限责任公司、渭南德昌环保科技有限公司、陕西新天地固体废物综合处置有限公司等有资质单位处置</w:t>
            </w:r>
            <w:r>
              <w:rPr>
                <w:rFonts w:hint="eastAsia" w:hAnsi="Cambria Math"/>
                <w:color w:val="auto"/>
                <w:sz w:val="24"/>
                <w:lang w:eastAsia="zh-CN"/>
              </w:rPr>
              <w:t>（</w:t>
            </w:r>
            <w:r>
              <w:rPr>
                <w:rFonts w:hint="eastAsia" w:hAnsi="Cambria Math"/>
                <w:color w:val="auto"/>
                <w:sz w:val="24"/>
                <w:lang w:val="en-US" w:eastAsia="zh-CN"/>
              </w:rPr>
              <w:t>附件10</w:t>
            </w:r>
            <w:r>
              <w:rPr>
                <w:rFonts w:hint="eastAsia" w:hAnsi="Cambria Math"/>
                <w:color w:val="auto"/>
                <w:sz w:val="24"/>
                <w:lang w:eastAsia="zh-CN"/>
              </w:rPr>
              <w:t>）</w:t>
            </w:r>
            <w:r>
              <w:rPr>
                <w:rFonts w:hint="eastAsia" w:hAnsi="Cambria Math"/>
                <w:color w:val="auto"/>
                <w:sz w:val="24"/>
              </w:rPr>
              <w:t>。</w:t>
            </w:r>
          </w:p>
          <w:p>
            <w:pPr>
              <w:pStyle w:val="17"/>
              <w:ind w:firstLine="480"/>
              <w:rPr>
                <w:rFonts w:hAnsi="Cambria Math" w:eastAsia="宋体"/>
                <w:color w:val="auto"/>
                <w:sz w:val="24"/>
              </w:rPr>
            </w:pPr>
            <w:r>
              <w:rPr>
                <w:rFonts w:hint="eastAsia" w:hAnsi="Cambria Math" w:eastAsia="宋体"/>
                <w:color w:val="auto"/>
                <w:sz w:val="24"/>
              </w:rPr>
              <w:t>⑤废液压油</w:t>
            </w:r>
          </w:p>
          <w:p>
            <w:pPr>
              <w:spacing w:line="360" w:lineRule="auto"/>
              <w:ind w:firstLine="480" w:firstLineChars="200"/>
              <w:rPr>
                <w:rFonts w:hint="eastAsia" w:eastAsia="宋体"/>
                <w:color w:val="auto"/>
                <w:lang w:eastAsia="zh-CN"/>
              </w:rPr>
            </w:pPr>
            <w:r>
              <w:rPr>
                <w:color w:val="auto"/>
                <w:kern w:val="0"/>
                <w:sz w:val="24"/>
              </w:rPr>
              <w:t>项目生产过程、设备维护及机械设备维修过程中使用机油作为润滑，因此会产生少量的废机油</w:t>
            </w:r>
            <w:r>
              <w:rPr>
                <w:rFonts w:hint="eastAsia"/>
                <w:color w:val="auto"/>
                <w:kern w:val="0"/>
                <w:sz w:val="24"/>
              </w:rPr>
              <w:t>等</w:t>
            </w:r>
            <w:r>
              <w:rPr>
                <w:color w:val="auto"/>
                <w:kern w:val="0"/>
                <w:sz w:val="24"/>
              </w:rPr>
              <w:t>，根据建设单位提供的资料，按照年最大检修量，一年检修两次，废</w:t>
            </w:r>
            <w:r>
              <w:rPr>
                <w:rFonts w:hint="eastAsia"/>
                <w:color w:val="auto"/>
                <w:kern w:val="0"/>
                <w:sz w:val="24"/>
              </w:rPr>
              <w:t>液压</w:t>
            </w:r>
            <w:r>
              <w:rPr>
                <w:color w:val="auto"/>
                <w:kern w:val="0"/>
                <w:sz w:val="24"/>
              </w:rPr>
              <w:t>油产生量为</w:t>
            </w:r>
            <w:r>
              <w:rPr>
                <w:rFonts w:hint="eastAsia"/>
                <w:color w:val="auto"/>
                <w:kern w:val="0"/>
                <w:sz w:val="24"/>
              </w:rPr>
              <w:t xml:space="preserve">4 </w:t>
            </w:r>
            <w:r>
              <w:rPr>
                <w:color w:val="auto"/>
                <w:kern w:val="0"/>
                <w:sz w:val="24"/>
              </w:rPr>
              <w:t>t/a</w:t>
            </w:r>
            <w:r>
              <w:rPr>
                <w:rFonts w:hint="eastAsia"/>
                <w:color w:val="auto"/>
                <w:kern w:val="0"/>
                <w:sz w:val="24"/>
              </w:rPr>
              <w:t>，</w:t>
            </w:r>
            <w:r>
              <w:rPr>
                <w:color w:val="auto"/>
                <w:kern w:val="0"/>
                <w:sz w:val="24"/>
              </w:rPr>
              <w:t>属于《危险废物名录（2021年版）》中的HW08废矿物油与含矿物油废物 900-217-08（使用工业齿轮油进行机械设备润滑过程中产生的废润滑油）</w:t>
            </w:r>
            <w:r>
              <w:rPr>
                <w:rFonts w:hint="eastAsia"/>
                <w:color w:val="auto"/>
                <w:kern w:val="0"/>
                <w:sz w:val="24"/>
                <w:lang w:eastAsia="zh-CN"/>
              </w:rPr>
              <w:t>，</w:t>
            </w:r>
            <w:r>
              <w:rPr>
                <w:rFonts w:hint="eastAsia" w:hAnsi="Cambria Math"/>
                <w:color w:val="auto"/>
                <w:sz w:val="24"/>
              </w:rPr>
              <w:t>定期交由富平海螺环保科技有限公司、冀东海德堡（扶风）水泥有限公司、派尔森创新科技股份有限公司、铜川海螺环保科技有限责任公司、渭南德昌环保科技有限公司、陕西新天地固体废物综合处置有限公司等有资质单位处置</w:t>
            </w:r>
            <w:r>
              <w:rPr>
                <w:rFonts w:hint="eastAsia" w:hAnsi="Cambria Math"/>
                <w:color w:val="auto"/>
                <w:sz w:val="24"/>
                <w:lang w:eastAsia="zh-CN"/>
              </w:rPr>
              <w:t>（</w:t>
            </w:r>
            <w:r>
              <w:rPr>
                <w:rFonts w:hint="eastAsia" w:hAnsi="Cambria Math"/>
                <w:color w:val="auto"/>
                <w:sz w:val="24"/>
                <w:lang w:val="en-US" w:eastAsia="zh-CN"/>
              </w:rPr>
              <w:t>附件10</w:t>
            </w:r>
            <w:r>
              <w:rPr>
                <w:rFonts w:hint="eastAsia" w:hAnsi="Cambria Math"/>
                <w:color w:val="auto"/>
                <w:sz w:val="24"/>
                <w:lang w:eastAsia="zh-CN"/>
              </w:rPr>
              <w:t>）</w:t>
            </w:r>
            <w:r>
              <w:rPr>
                <w:rFonts w:hint="eastAsia" w:hAnsi="Cambria Math"/>
                <w:color w:val="auto"/>
                <w:sz w:val="24"/>
              </w:rPr>
              <w:t>。</w:t>
            </w:r>
          </w:p>
          <w:p>
            <w:pPr>
              <w:adjustRightInd w:val="0"/>
              <w:snapToGrid w:val="0"/>
              <w:spacing w:line="360" w:lineRule="auto"/>
              <w:ind w:firstLine="480" w:firstLineChars="200"/>
              <w:rPr>
                <w:color w:val="auto"/>
                <w:sz w:val="24"/>
              </w:rPr>
            </w:pPr>
            <w:r>
              <w:rPr>
                <w:color w:val="auto"/>
                <w:sz w:val="24"/>
              </w:rPr>
              <w:t>根据环境保护部2017年第43号公告《建设项目危险废物环境影响评价指南》，针对危险废物列明危险废物的名称、数量、类别、形态、危险特性和污染防治措施等内容，本项目建成后产生的危险废物汇总表如下：</w:t>
            </w:r>
          </w:p>
          <w:p>
            <w:pPr>
              <w:adjustRightInd w:val="0"/>
              <w:snapToGrid w:val="0"/>
              <w:spacing w:line="360" w:lineRule="auto"/>
              <w:ind w:firstLine="422" w:firstLineChars="200"/>
              <w:jc w:val="center"/>
              <w:rPr>
                <w:color w:val="auto"/>
              </w:rPr>
            </w:pPr>
            <w:r>
              <w:rPr>
                <w:b/>
                <w:color w:val="auto"/>
                <w:szCs w:val="21"/>
              </w:rPr>
              <w:t>表4-1</w:t>
            </w:r>
            <w:r>
              <w:rPr>
                <w:rFonts w:hint="eastAsia"/>
                <w:b/>
                <w:color w:val="auto"/>
                <w:szCs w:val="21"/>
              </w:rPr>
              <w:t>4</w:t>
            </w:r>
            <w:r>
              <w:rPr>
                <w:b/>
                <w:color w:val="auto"/>
                <w:szCs w:val="21"/>
              </w:rPr>
              <w:t xml:space="preserve">  </w:t>
            </w:r>
            <w:r>
              <w:rPr>
                <w:rFonts w:hint="eastAsia"/>
                <w:b/>
                <w:color w:val="auto"/>
                <w:szCs w:val="21"/>
              </w:rPr>
              <w:t>本项目建成后危险废物汇总表 单位t/a</w:t>
            </w:r>
          </w:p>
          <w:tbl>
            <w:tblPr>
              <w:tblStyle w:val="18"/>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1"/>
              <w:gridCol w:w="749"/>
              <w:gridCol w:w="776"/>
              <w:gridCol w:w="1327"/>
              <w:gridCol w:w="635"/>
              <w:gridCol w:w="797"/>
              <w:gridCol w:w="427"/>
              <w:gridCol w:w="655"/>
              <w:gridCol w:w="637"/>
              <w:gridCol w:w="513"/>
              <w:gridCol w:w="522"/>
              <w:gridCol w:w="6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1" w:type="pct"/>
                  <w:vAlign w:val="center"/>
                </w:tcPr>
                <w:p>
                  <w:pPr>
                    <w:spacing w:line="320" w:lineRule="exact"/>
                    <w:ind w:left="-63" w:leftChars="-30" w:right="-63" w:rightChars="-30"/>
                    <w:jc w:val="center"/>
                    <w:rPr>
                      <w:b/>
                      <w:color w:val="auto"/>
                      <w:szCs w:val="21"/>
                    </w:rPr>
                  </w:pPr>
                  <w:r>
                    <w:rPr>
                      <w:b/>
                      <w:color w:val="auto"/>
                      <w:szCs w:val="21"/>
                    </w:rPr>
                    <w:t>序号</w:t>
                  </w:r>
                </w:p>
              </w:tc>
              <w:tc>
                <w:tcPr>
                  <w:tcW w:w="473" w:type="pct"/>
                  <w:vAlign w:val="center"/>
                </w:tcPr>
                <w:p>
                  <w:pPr>
                    <w:spacing w:line="320" w:lineRule="exact"/>
                    <w:ind w:left="-63" w:leftChars="-30" w:right="-63" w:rightChars="-30"/>
                    <w:jc w:val="center"/>
                    <w:rPr>
                      <w:b/>
                      <w:color w:val="auto"/>
                      <w:szCs w:val="21"/>
                    </w:rPr>
                  </w:pPr>
                  <w:r>
                    <w:rPr>
                      <w:b/>
                      <w:color w:val="auto"/>
                      <w:szCs w:val="21"/>
                    </w:rPr>
                    <w:t>危险废物名称</w:t>
                  </w:r>
                </w:p>
              </w:tc>
              <w:tc>
                <w:tcPr>
                  <w:tcW w:w="438" w:type="pct"/>
                  <w:vAlign w:val="center"/>
                </w:tcPr>
                <w:p>
                  <w:pPr>
                    <w:spacing w:line="320" w:lineRule="exact"/>
                    <w:ind w:left="-63" w:leftChars="-30" w:right="-63" w:rightChars="-30"/>
                    <w:jc w:val="center"/>
                    <w:rPr>
                      <w:b/>
                      <w:color w:val="auto"/>
                      <w:szCs w:val="21"/>
                    </w:rPr>
                  </w:pPr>
                  <w:r>
                    <w:rPr>
                      <w:b/>
                      <w:color w:val="auto"/>
                      <w:szCs w:val="21"/>
                    </w:rPr>
                    <w:t>危险废物类别</w:t>
                  </w:r>
                </w:p>
              </w:tc>
              <w:tc>
                <w:tcPr>
                  <w:tcW w:w="834" w:type="pct"/>
                  <w:vAlign w:val="center"/>
                </w:tcPr>
                <w:p>
                  <w:pPr>
                    <w:spacing w:line="320" w:lineRule="exact"/>
                    <w:ind w:left="-63" w:leftChars="-30" w:right="-63" w:rightChars="-30"/>
                    <w:jc w:val="center"/>
                    <w:rPr>
                      <w:b/>
                      <w:color w:val="auto"/>
                      <w:szCs w:val="21"/>
                    </w:rPr>
                  </w:pPr>
                  <w:r>
                    <w:rPr>
                      <w:b/>
                      <w:color w:val="auto"/>
                      <w:szCs w:val="21"/>
                    </w:rPr>
                    <w:t>危险废物代码</w:t>
                  </w:r>
                </w:p>
              </w:tc>
              <w:tc>
                <w:tcPr>
                  <w:tcW w:w="402" w:type="pct"/>
                  <w:vAlign w:val="center"/>
                </w:tcPr>
                <w:p>
                  <w:pPr>
                    <w:spacing w:line="320" w:lineRule="exact"/>
                    <w:ind w:left="-63" w:leftChars="-30" w:right="-63" w:rightChars="-30"/>
                    <w:jc w:val="center"/>
                    <w:rPr>
                      <w:b/>
                      <w:color w:val="auto"/>
                      <w:szCs w:val="21"/>
                    </w:rPr>
                  </w:pPr>
                  <w:r>
                    <w:rPr>
                      <w:b/>
                      <w:color w:val="auto"/>
                      <w:szCs w:val="21"/>
                    </w:rPr>
                    <w:t>产生量(t/a)</w:t>
                  </w:r>
                </w:p>
              </w:tc>
              <w:tc>
                <w:tcPr>
                  <w:tcW w:w="503" w:type="pct"/>
                  <w:vAlign w:val="center"/>
                </w:tcPr>
                <w:p>
                  <w:pPr>
                    <w:spacing w:line="320" w:lineRule="exact"/>
                    <w:ind w:left="-63" w:leftChars="-30" w:right="-63" w:rightChars="-30"/>
                    <w:jc w:val="center"/>
                    <w:rPr>
                      <w:b/>
                      <w:color w:val="auto"/>
                      <w:szCs w:val="21"/>
                    </w:rPr>
                  </w:pPr>
                  <w:r>
                    <w:rPr>
                      <w:b/>
                      <w:color w:val="auto"/>
                      <w:szCs w:val="21"/>
                    </w:rPr>
                    <w:t>产生工序及装置</w:t>
                  </w:r>
                </w:p>
              </w:tc>
              <w:tc>
                <w:tcPr>
                  <w:tcW w:w="267" w:type="pct"/>
                  <w:vAlign w:val="center"/>
                </w:tcPr>
                <w:p>
                  <w:pPr>
                    <w:spacing w:line="320" w:lineRule="exact"/>
                    <w:ind w:left="-63" w:leftChars="-30" w:right="-63" w:rightChars="-30"/>
                    <w:jc w:val="center"/>
                    <w:rPr>
                      <w:b/>
                      <w:color w:val="auto"/>
                      <w:szCs w:val="21"/>
                    </w:rPr>
                  </w:pPr>
                  <w:r>
                    <w:rPr>
                      <w:b/>
                      <w:color w:val="auto"/>
                      <w:szCs w:val="21"/>
                    </w:rPr>
                    <w:t>形态</w:t>
                  </w:r>
                </w:p>
              </w:tc>
              <w:tc>
                <w:tcPr>
                  <w:tcW w:w="418" w:type="pct"/>
                  <w:vAlign w:val="center"/>
                </w:tcPr>
                <w:p>
                  <w:pPr>
                    <w:spacing w:line="320" w:lineRule="exact"/>
                    <w:ind w:left="-63" w:leftChars="-30" w:right="-63" w:rightChars="-30"/>
                    <w:jc w:val="center"/>
                    <w:rPr>
                      <w:b/>
                      <w:color w:val="auto"/>
                      <w:szCs w:val="21"/>
                    </w:rPr>
                  </w:pPr>
                  <w:r>
                    <w:rPr>
                      <w:b/>
                      <w:color w:val="auto"/>
                      <w:szCs w:val="21"/>
                    </w:rPr>
                    <w:t>主要</w:t>
                  </w:r>
                </w:p>
                <w:p>
                  <w:pPr>
                    <w:spacing w:line="320" w:lineRule="exact"/>
                    <w:ind w:left="-63" w:leftChars="-30" w:right="-63" w:rightChars="-30"/>
                    <w:jc w:val="center"/>
                    <w:rPr>
                      <w:b/>
                      <w:color w:val="auto"/>
                      <w:szCs w:val="21"/>
                    </w:rPr>
                  </w:pPr>
                  <w:r>
                    <w:rPr>
                      <w:b/>
                      <w:color w:val="auto"/>
                      <w:szCs w:val="21"/>
                    </w:rPr>
                    <w:t>成分</w:t>
                  </w:r>
                </w:p>
              </w:tc>
              <w:tc>
                <w:tcPr>
                  <w:tcW w:w="399" w:type="pct"/>
                  <w:vAlign w:val="center"/>
                </w:tcPr>
                <w:p>
                  <w:pPr>
                    <w:spacing w:line="320" w:lineRule="exact"/>
                    <w:ind w:left="-63" w:leftChars="-30" w:right="-63" w:rightChars="-30"/>
                    <w:jc w:val="center"/>
                    <w:rPr>
                      <w:b/>
                      <w:color w:val="auto"/>
                      <w:szCs w:val="21"/>
                    </w:rPr>
                  </w:pPr>
                  <w:r>
                    <w:rPr>
                      <w:b/>
                      <w:color w:val="auto"/>
                      <w:szCs w:val="21"/>
                    </w:rPr>
                    <w:t>有害</w:t>
                  </w:r>
                </w:p>
                <w:p>
                  <w:pPr>
                    <w:spacing w:line="320" w:lineRule="exact"/>
                    <w:ind w:left="-63" w:leftChars="-30" w:right="-63" w:rightChars="-30"/>
                    <w:jc w:val="center"/>
                    <w:rPr>
                      <w:b/>
                      <w:color w:val="auto"/>
                      <w:szCs w:val="21"/>
                    </w:rPr>
                  </w:pPr>
                  <w:r>
                    <w:rPr>
                      <w:b/>
                      <w:color w:val="auto"/>
                      <w:szCs w:val="21"/>
                    </w:rPr>
                    <w:t>成分</w:t>
                  </w:r>
                </w:p>
              </w:tc>
              <w:tc>
                <w:tcPr>
                  <w:tcW w:w="329" w:type="pct"/>
                  <w:vAlign w:val="center"/>
                </w:tcPr>
                <w:p>
                  <w:pPr>
                    <w:spacing w:line="320" w:lineRule="exact"/>
                    <w:ind w:left="-63" w:leftChars="-30" w:right="-63" w:rightChars="-30"/>
                    <w:jc w:val="center"/>
                    <w:rPr>
                      <w:b/>
                      <w:color w:val="auto"/>
                      <w:szCs w:val="21"/>
                    </w:rPr>
                  </w:pPr>
                  <w:r>
                    <w:rPr>
                      <w:b/>
                      <w:color w:val="auto"/>
                      <w:szCs w:val="21"/>
                    </w:rPr>
                    <w:t>产废</w:t>
                  </w:r>
                </w:p>
                <w:p>
                  <w:pPr>
                    <w:spacing w:line="320" w:lineRule="exact"/>
                    <w:ind w:left="-63" w:leftChars="-30" w:right="-63" w:rightChars="-30"/>
                    <w:jc w:val="center"/>
                    <w:rPr>
                      <w:b/>
                      <w:color w:val="auto"/>
                      <w:szCs w:val="21"/>
                    </w:rPr>
                  </w:pPr>
                  <w:r>
                    <w:rPr>
                      <w:b/>
                      <w:color w:val="auto"/>
                      <w:szCs w:val="21"/>
                    </w:rPr>
                    <w:t>周期</w:t>
                  </w:r>
                </w:p>
              </w:tc>
              <w:tc>
                <w:tcPr>
                  <w:tcW w:w="331" w:type="pct"/>
                  <w:vAlign w:val="center"/>
                </w:tcPr>
                <w:p>
                  <w:pPr>
                    <w:spacing w:line="320" w:lineRule="exact"/>
                    <w:ind w:left="-63" w:leftChars="-30" w:right="-63" w:rightChars="-30"/>
                    <w:jc w:val="center"/>
                    <w:rPr>
                      <w:b/>
                      <w:color w:val="auto"/>
                      <w:szCs w:val="21"/>
                    </w:rPr>
                  </w:pPr>
                  <w:r>
                    <w:rPr>
                      <w:b/>
                      <w:color w:val="auto"/>
                      <w:szCs w:val="21"/>
                    </w:rPr>
                    <w:t>危险</w:t>
                  </w:r>
                </w:p>
                <w:p>
                  <w:pPr>
                    <w:spacing w:line="320" w:lineRule="exact"/>
                    <w:ind w:left="-63" w:leftChars="-30" w:right="-63" w:rightChars="-30"/>
                    <w:jc w:val="center"/>
                    <w:rPr>
                      <w:b/>
                      <w:color w:val="auto"/>
                      <w:szCs w:val="21"/>
                    </w:rPr>
                  </w:pPr>
                  <w:r>
                    <w:rPr>
                      <w:b/>
                      <w:color w:val="auto"/>
                      <w:szCs w:val="21"/>
                    </w:rPr>
                    <w:t>特性</w:t>
                  </w:r>
                </w:p>
              </w:tc>
              <w:tc>
                <w:tcPr>
                  <w:tcW w:w="418" w:type="pct"/>
                  <w:vAlign w:val="center"/>
                </w:tcPr>
                <w:p>
                  <w:pPr>
                    <w:spacing w:line="320" w:lineRule="exact"/>
                    <w:ind w:left="-63" w:leftChars="-30" w:right="-63" w:rightChars="-30"/>
                    <w:jc w:val="center"/>
                    <w:rPr>
                      <w:b/>
                      <w:color w:val="auto"/>
                      <w:szCs w:val="21"/>
                    </w:rPr>
                  </w:pPr>
                  <w:r>
                    <w:rPr>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1" w:type="pct"/>
                  <w:vAlign w:val="center"/>
                </w:tcPr>
                <w:p>
                  <w:pPr>
                    <w:spacing w:line="320" w:lineRule="exact"/>
                    <w:ind w:left="-63" w:leftChars="-30" w:right="-63" w:rightChars="-30"/>
                    <w:jc w:val="center"/>
                    <w:rPr>
                      <w:bCs/>
                      <w:color w:val="auto"/>
                      <w:szCs w:val="21"/>
                    </w:rPr>
                  </w:pPr>
                  <w:r>
                    <w:rPr>
                      <w:bCs/>
                      <w:color w:val="auto"/>
                      <w:szCs w:val="21"/>
                    </w:rPr>
                    <w:t>1</w:t>
                  </w:r>
                </w:p>
              </w:tc>
              <w:tc>
                <w:tcPr>
                  <w:tcW w:w="473" w:type="pct"/>
                  <w:vAlign w:val="center"/>
                </w:tcPr>
                <w:p>
                  <w:pPr>
                    <w:pStyle w:val="49"/>
                    <w:spacing w:line="320" w:lineRule="exact"/>
                    <w:ind w:left="-105" w:leftChars="-50" w:right="-105" w:rightChars="-50"/>
                    <w:rPr>
                      <w:color w:val="auto"/>
                      <w:sz w:val="21"/>
                    </w:rPr>
                  </w:pPr>
                  <w:r>
                    <w:rPr>
                      <w:rFonts w:hAnsi="Cambria Math"/>
                      <w:color w:val="auto"/>
                      <w:sz w:val="21"/>
                    </w:rPr>
                    <w:t>废AB料</w:t>
                  </w:r>
                </w:p>
              </w:tc>
              <w:tc>
                <w:tcPr>
                  <w:tcW w:w="438" w:type="pct"/>
                  <w:vAlign w:val="center"/>
                </w:tcPr>
                <w:p>
                  <w:pPr>
                    <w:spacing w:line="320" w:lineRule="exact"/>
                    <w:ind w:left="-63" w:leftChars="-30" w:right="-63" w:rightChars="-30"/>
                    <w:jc w:val="center"/>
                    <w:rPr>
                      <w:color w:val="auto"/>
                      <w:szCs w:val="21"/>
                    </w:rPr>
                  </w:pPr>
                  <w:r>
                    <w:rPr>
                      <w:rFonts w:hint="eastAsia" w:hAnsi="Cambria Math"/>
                      <w:color w:val="auto"/>
                      <w:szCs w:val="21"/>
                    </w:rPr>
                    <w:t>HW13</w:t>
                  </w:r>
                </w:p>
              </w:tc>
              <w:tc>
                <w:tcPr>
                  <w:tcW w:w="834" w:type="pct"/>
                  <w:vAlign w:val="center"/>
                </w:tcPr>
                <w:p>
                  <w:pPr>
                    <w:spacing w:line="320" w:lineRule="exact"/>
                    <w:ind w:left="-63" w:leftChars="-30" w:right="-63" w:rightChars="-30"/>
                    <w:jc w:val="center"/>
                    <w:rPr>
                      <w:color w:val="auto"/>
                      <w:szCs w:val="21"/>
                    </w:rPr>
                  </w:pPr>
                  <w:r>
                    <w:rPr>
                      <w:rFonts w:hint="eastAsia" w:hAnsi="Cambria Math"/>
                      <w:color w:val="auto"/>
                      <w:szCs w:val="21"/>
                    </w:rPr>
                    <w:t>265-101-13</w:t>
                  </w:r>
                </w:p>
              </w:tc>
              <w:tc>
                <w:tcPr>
                  <w:tcW w:w="402" w:type="pct"/>
                  <w:vAlign w:val="center"/>
                </w:tcPr>
                <w:p>
                  <w:pPr>
                    <w:pStyle w:val="49"/>
                    <w:spacing w:line="320" w:lineRule="exact"/>
                    <w:ind w:left="-105" w:leftChars="-50" w:right="-105" w:rightChars="-50"/>
                    <w:rPr>
                      <w:color w:val="auto"/>
                      <w:sz w:val="21"/>
                    </w:rPr>
                  </w:pPr>
                  <w:r>
                    <w:rPr>
                      <w:rFonts w:hint="eastAsia"/>
                      <w:color w:val="auto"/>
                      <w:sz w:val="21"/>
                    </w:rPr>
                    <w:t>30</w:t>
                  </w:r>
                </w:p>
              </w:tc>
              <w:tc>
                <w:tcPr>
                  <w:tcW w:w="503" w:type="pct"/>
                  <w:vAlign w:val="center"/>
                </w:tcPr>
                <w:p>
                  <w:pPr>
                    <w:pStyle w:val="49"/>
                    <w:spacing w:line="320" w:lineRule="exact"/>
                    <w:ind w:left="-105" w:leftChars="-50" w:right="-105" w:rightChars="-50"/>
                    <w:rPr>
                      <w:color w:val="auto"/>
                      <w:sz w:val="21"/>
                    </w:rPr>
                  </w:pPr>
                  <w:r>
                    <w:rPr>
                      <w:rFonts w:hint="eastAsia"/>
                      <w:color w:val="auto"/>
                      <w:sz w:val="21"/>
                    </w:rPr>
                    <w:t>发泡</w:t>
                  </w:r>
                </w:p>
              </w:tc>
              <w:tc>
                <w:tcPr>
                  <w:tcW w:w="267" w:type="pct"/>
                  <w:vAlign w:val="center"/>
                </w:tcPr>
                <w:p>
                  <w:pPr>
                    <w:spacing w:line="320" w:lineRule="exact"/>
                    <w:ind w:left="-63" w:leftChars="-30" w:right="-63" w:rightChars="-30"/>
                    <w:jc w:val="center"/>
                    <w:rPr>
                      <w:color w:val="auto"/>
                      <w:szCs w:val="21"/>
                    </w:rPr>
                  </w:pPr>
                  <w:r>
                    <w:rPr>
                      <w:rFonts w:hint="eastAsia"/>
                      <w:color w:val="auto"/>
                      <w:szCs w:val="21"/>
                    </w:rPr>
                    <w:t>固态</w:t>
                  </w:r>
                </w:p>
              </w:tc>
              <w:tc>
                <w:tcPr>
                  <w:tcW w:w="418" w:type="pct"/>
                  <w:vAlign w:val="center"/>
                </w:tcPr>
                <w:p>
                  <w:pPr>
                    <w:spacing w:line="320" w:lineRule="exact"/>
                    <w:ind w:left="-63" w:leftChars="-30" w:right="-63" w:rightChars="-30"/>
                    <w:jc w:val="center"/>
                    <w:rPr>
                      <w:bCs/>
                      <w:color w:val="auto"/>
                      <w:szCs w:val="21"/>
                    </w:rPr>
                  </w:pPr>
                  <w:r>
                    <w:rPr>
                      <w:rFonts w:hint="eastAsia"/>
                      <w:bCs/>
                      <w:color w:val="auto"/>
                      <w:szCs w:val="21"/>
                    </w:rPr>
                    <w:t>异氰酸酯、组合聚醚</w:t>
                  </w:r>
                </w:p>
              </w:tc>
              <w:tc>
                <w:tcPr>
                  <w:tcW w:w="399" w:type="pct"/>
                  <w:vAlign w:val="center"/>
                </w:tcPr>
                <w:p>
                  <w:pPr>
                    <w:spacing w:line="320" w:lineRule="exact"/>
                    <w:ind w:left="-63" w:leftChars="-30" w:right="-63" w:rightChars="-30"/>
                    <w:jc w:val="center"/>
                    <w:rPr>
                      <w:bCs/>
                      <w:color w:val="auto"/>
                      <w:szCs w:val="21"/>
                    </w:rPr>
                  </w:pPr>
                  <w:r>
                    <w:rPr>
                      <w:rFonts w:hint="eastAsia"/>
                      <w:color w:val="auto"/>
                      <w:szCs w:val="21"/>
                    </w:rPr>
                    <w:t>有毒、有害物</w:t>
                  </w:r>
                </w:p>
              </w:tc>
              <w:tc>
                <w:tcPr>
                  <w:tcW w:w="329" w:type="pct"/>
                  <w:vAlign w:val="center"/>
                </w:tcPr>
                <w:p>
                  <w:pPr>
                    <w:spacing w:line="320" w:lineRule="exact"/>
                    <w:ind w:left="-63" w:leftChars="-30" w:right="-63" w:rightChars="-30"/>
                    <w:jc w:val="center"/>
                    <w:rPr>
                      <w:bCs/>
                      <w:color w:val="auto"/>
                      <w:szCs w:val="21"/>
                    </w:rPr>
                  </w:pPr>
                  <w:r>
                    <w:rPr>
                      <w:rFonts w:hint="eastAsia"/>
                      <w:bCs/>
                      <w:color w:val="auto"/>
                      <w:szCs w:val="21"/>
                    </w:rPr>
                    <w:t>半年一次</w:t>
                  </w:r>
                </w:p>
              </w:tc>
              <w:tc>
                <w:tcPr>
                  <w:tcW w:w="331" w:type="pct"/>
                  <w:vAlign w:val="center"/>
                </w:tcPr>
                <w:p>
                  <w:pPr>
                    <w:spacing w:line="320" w:lineRule="exact"/>
                    <w:ind w:left="-63" w:leftChars="-30" w:right="-63" w:rightChars="-30"/>
                    <w:jc w:val="center"/>
                    <w:rPr>
                      <w:bCs/>
                      <w:color w:val="auto"/>
                      <w:szCs w:val="21"/>
                    </w:rPr>
                  </w:pPr>
                  <w:r>
                    <w:rPr>
                      <w:rFonts w:hint="eastAsia"/>
                      <w:bCs/>
                      <w:color w:val="auto"/>
                      <w:szCs w:val="21"/>
                    </w:rPr>
                    <w:t>T</w:t>
                  </w:r>
                </w:p>
              </w:tc>
              <w:tc>
                <w:tcPr>
                  <w:tcW w:w="418" w:type="pct"/>
                  <w:vMerge w:val="restart"/>
                  <w:vAlign w:val="center"/>
                </w:tcPr>
                <w:p>
                  <w:pPr>
                    <w:spacing w:line="320" w:lineRule="exact"/>
                    <w:ind w:left="-63" w:leftChars="-30" w:right="-63" w:rightChars="-30"/>
                    <w:jc w:val="center"/>
                    <w:rPr>
                      <w:bCs/>
                      <w:color w:val="auto"/>
                      <w:szCs w:val="21"/>
                    </w:rPr>
                  </w:pPr>
                  <w:r>
                    <w:rPr>
                      <w:bCs/>
                      <w:color w:val="auto"/>
                      <w:szCs w:val="21"/>
                    </w:rPr>
                    <w:t>暂存于危废暂存库内，委托有危废处置资质单位进行处理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1" w:type="pct"/>
                  <w:vAlign w:val="center"/>
                </w:tcPr>
                <w:p>
                  <w:pPr>
                    <w:spacing w:line="320" w:lineRule="exact"/>
                    <w:ind w:left="-63" w:leftChars="-30" w:right="-63" w:rightChars="-30"/>
                    <w:jc w:val="center"/>
                    <w:rPr>
                      <w:bCs/>
                      <w:color w:val="auto"/>
                      <w:szCs w:val="21"/>
                    </w:rPr>
                  </w:pPr>
                  <w:r>
                    <w:rPr>
                      <w:rFonts w:hint="eastAsia"/>
                      <w:bCs/>
                      <w:color w:val="auto"/>
                      <w:szCs w:val="21"/>
                    </w:rPr>
                    <w:t>2</w:t>
                  </w:r>
                </w:p>
              </w:tc>
              <w:tc>
                <w:tcPr>
                  <w:tcW w:w="473" w:type="pct"/>
                  <w:vAlign w:val="center"/>
                </w:tcPr>
                <w:p>
                  <w:pPr>
                    <w:pStyle w:val="49"/>
                    <w:spacing w:line="320" w:lineRule="exact"/>
                    <w:ind w:left="-105" w:leftChars="-50" w:right="-105" w:rightChars="-50"/>
                    <w:rPr>
                      <w:color w:val="auto"/>
                      <w:sz w:val="21"/>
                    </w:rPr>
                  </w:pPr>
                  <w:r>
                    <w:rPr>
                      <w:rFonts w:hint="eastAsia" w:hAnsi="Cambria Math"/>
                      <w:color w:val="auto"/>
                      <w:sz w:val="21"/>
                    </w:rPr>
                    <w:t>废脱模剂</w:t>
                  </w:r>
                </w:p>
              </w:tc>
              <w:tc>
                <w:tcPr>
                  <w:tcW w:w="438" w:type="pct"/>
                  <w:vAlign w:val="center"/>
                </w:tcPr>
                <w:p>
                  <w:pPr>
                    <w:snapToGrid w:val="0"/>
                    <w:jc w:val="center"/>
                    <w:rPr>
                      <w:color w:val="auto"/>
                      <w:szCs w:val="21"/>
                    </w:rPr>
                  </w:pPr>
                  <w:r>
                    <w:rPr>
                      <w:rFonts w:hint="eastAsia" w:hAnsi="Cambria Math"/>
                      <w:color w:val="auto"/>
                      <w:szCs w:val="21"/>
                    </w:rPr>
                    <w:t>HW13</w:t>
                  </w:r>
                </w:p>
              </w:tc>
              <w:tc>
                <w:tcPr>
                  <w:tcW w:w="834" w:type="pct"/>
                  <w:vAlign w:val="center"/>
                </w:tcPr>
                <w:p>
                  <w:pPr>
                    <w:snapToGrid w:val="0"/>
                    <w:jc w:val="center"/>
                    <w:rPr>
                      <w:color w:val="auto"/>
                      <w:szCs w:val="21"/>
                    </w:rPr>
                  </w:pPr>
                  <w:r>
                    <w:rPr>
                      <w:rFonts w:hint="eastAsia" w:hAnsi="Cambria Math"/>
                      <w:color w:val="auto"/>
                      <w:szCs w:val="21"/>
                    </w:rPr>
                    <w:t>265-102-13</w:t>
                  </w:r>
                </w:p>
              </w:tc>
              <w:tc>
                <w:tcPr>
                  <w:tcW w:w="402" w:type="pct"/>
                  <w:vAlign w:val="center"/>
                </w:tcPr>
                <w:p>
                  <w:pPr>
                    <w:pStyle w:val="49"/>
                    <w:spacing w:line="320" w:lineRule="exact"/>
                    <w:ind w:left="-105" w:leftChars="-50" w:right="-105" w:rightChars="-50"/>
                    <w:rPr>
                      <w:color w:val="auto"/>
                      <w:sz w:val="21"/>
                    </w:rPr>
                  </w:pPr>
                  <w:r>
                    <w:rPr>
                      <w:rFonts w:hint="eastAsia"/>
                      <w:color w:val="auto"/>
                      <w:sz w:val="21"/>
                    </w:rPr>
                    <w:t>18</w:t>
                  </w:r>
                </w:p>
              </w:tc>
              <w:tc>
                <w:tcPr>
                  <w:tcW w:w="503" w:type="pct"/>
                  <w:vAlign w:val="center"/>
                </w:tcPr>
                <w:p>
                  <w:pPr>
                    <w:pStyle w:val="49"/>
                    <w:spacing w:line="320" w:lineRule="exact"/>
                    <w:ind w:left="-105" w:leftChars="-50" w:right="-105" w:rightChars="-50"/>
                    <w:rPr>
                      <w:color w:val="auto"/>
                      <w:sz w:val="21"/>
                    </w:rPr>
                  </w:pPr>
                  <w:r>
                    <w:rPr>
                      <w:rFonts w:hint="eastAsia"/>
                      <w:color w:val="auto"/>
                      <w:sz w:val="21"/>
                    </w:rPr>
                    <w:t>模具清理</w:t>
                  </w:r>
                </w:p>
              </w:tc>
              <w:tc>
                <w:tcPr>
                  <w:tcW w:w="267" w:type="pct"/>
                  <w:vAlign w:val="center"/>
                </w:tcPr>
                <w:p>
                  <w:pPr>
                    <w:spacing w:line="320" w:lineRule="exact"/>
                    <w:ind w:left="-63" w:leftChars="-30" w:right="-63" w:rightChars="-30"/>
                    <w:jc w:val="center"/>
                    <w:rPr>
                      <w:color w:val="auto"/>
                      <w:szCs w:val="21"/>
                    </w:rPr>
                  </w:pPr>
                  <w:r>
                    <w:rPr>
                      <w:rFonts w:hint="eastAsia"/>
                      <w:color w:val="auto"/>
                      <w:szCs w:val="21"/>
                    </w:rPr>
                    <w:t>固态</w:t>
                  </w:r>
                </w:p>
              </w:tc>
              <w:tc>
                <w:tcPr>
                  <w:tcW w:w="418" w:type="pct"/>
                  <w:vAlign w:val="center"/>
                </w:tcPr>
                <w:p>
                  <w:pPr>
                    <w:spacing w:line="320" w:lineRule="exact"/>
                    <w:ind w:left="-63" w:leftChars="-30" w:right="-63" w:rightChars="-30"/>
                    <w:jc w:val="center"/>
                    <w:rPr>
                      <w:bCs/>
                      <w:color w:val="auto"/>
                      <w:szCs w:val="21"/>
                    </w:rPr>
                  </w:pPr>
                  <w:r>
                    <w:rPr>
                      <w:rFonts w:hint="eastAsia"/>
                      <w:bCs/>
                      <w:color w:val="auto"/>
                      <w:szCs w:val="21"/>
                    </w:rPr>
                    <w:t>聚氨酯</w:t>
                  </w:r>
                </w:p>
              </w:tc>
              <w:tc>
                <w:tcPr>
                  <w:tcW w:w="399" w:type="pct"/>
                  <w:vAlign w:val="center"/>
                </w:tcPr>
                <w:p>
                  <w:pPr>
                    <w:spacing w:line="320" w:lineRule="exact"/>
                    <w:ind w:left="-63" w:leftChars="-30" w:right="-63" w:rightChars="-30"/>
                    <w:jc w:val="center"/>
                    <w:rPr>
                      <w:bCs/>
                      <w:color w:val="auto"/>
                      <w:szCs w:val="21"/>
                    </w:rPr>
                  </w:pPr>
                  <w:r>
                    <w:rPr>
                      <w:rFonts w:hint="eastAsia"/>
                      <w:bCs/>
                      <w:color w:val="auto"/>
                      <w:szCs w:val="21"/>
                    </w:rPr>
                    <w:t>烃水混合物</w:t>
                  </w:r>
                </w:p>
              </w:tc>
              <w:tc>
                <w:tcPr>
                  <w:tcW w:w="329" w:type="pct"/>
                  <w:vAlign w:val="center"/>
                </w:tcPr>
                <w:p>
                  <w:pPr>
                    <w:spacing w:line="320" w:lineRule="exact"/>
                    <w:ind w:left="-63" w:leftChars="-30" w:right="-63" w:rightChars="-30"/>
                    <w:jc w:val="center"/>
                    <w:rPr>
                      <w:bCs/>
                      <w:color w:val="auto"/>
                      <w:szCs w:val="21"/>
                    </w:rPr>
                  </w:pPr>
                  <w:r>
                    <w:rPr>
                      <w:rFonts w:hint="eastAsia"/>
                      <w:bCs/>
                      <w:color w:val="auto"/>
                      <w:szCs w:val="21"/>
                    </w:rPr>
                    <w:t>半年一次</w:t>
                  </w:r>
                </w:p>
              </w:tc>
              <w:tc>
                <w:tcPr>
                  <w:tcW w:w="331" w:type="pct"/>
                  <w:vAlign w:val="center"/>
                </w:tcPr>
                <w:p>
                  <w:pPr>
                    <w:spacing w:line="320" w:lineRule="exact"/>
                    <w:ind w:left="-63" w:leftChars="-30" w:right="-63" w:rightChars="-30"/>
                    <w:jc w:val="center"/>
                    <w:rPr>
                      <w:bCs/>
                      <w:color w:val="auto"/>
                      <w:szCs w:val="21"/>
                    </w:rPr>
                  </w:pPr>
                  <w:r>
                    <w:rPr>
                      <w:rFonts w:hint="eastAsia"/>
                      <w:bCs/>
                      <w:color w:val="auto"/>
                      <w:szCs w:val="21"/>
                    </w:rPr>
                    <w:t>T</w:t>
                  </w:r>
                </w:p>
              </w:tc>
              <w:tc>
                <w:tcPr>
                  <w:tcW w:w="418" w:type="pct"/>
                  <w:vMerge w:val="continue"/>
                  <w:vAlign w:val="center"/>
                </w:tcPr>
                <w:p>
                  <w:pPr>
                    <w:spacing w:line="320" w:lineRule="exact"/>
                    <w:ind w:left="-63" w:leftChars="-30" w:right="-63" w:rightChars="-30"/>
                    <w:jc w:val="center"/>
                    <w:rPr>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1" w:type="pct"/>
                  <w:vAlign w:val="center"/>
                </w:tcPr>
                <w:p>
                  <w:pPr>
                    <w:spacing w:line="320" w:lineRule="exact"/>
                    <w:ind w:left="-63" w:leftChars="-30" w:right="-63" w:rightChars="-30"/>
                    <w:jc w:val="center"/>
                    <w:rPr>
                      <w:bCs/>
                      <w:color w:val="auto"/>
                      <w:szCs w:val="21"/>
                    </w:rPr>
                  </w:pPr>
                  <w:r>
                    <w:rPr>
                      <w:rFonts w:hint="eastAsia"/>
                      <w:bCs/>
                      <w:color w:val="auto"/>
                      <w:szCs w:val="21"/>
                    </w:rPr>
                    <w:t>3</w:t>
                  </w:r>
                </w:p>
              </w:tc>
              <w:tc>
                <w:tcPr>
                  <w:tcW w:w="473" w:type="pct"/>
                  <w:vAlign w:val="center"/>
                </w:tcPr>
                <w:p>
                  <w:pPr>
                    <w:adjustRightInd w:val="0"/>
                    <w:snapToGrid w:val="0"/>
                    <w:spacing w:line="360" w:lineRule="auto"/>
                    <w:rPr>
                      <w:color w:val="auto"/>
                      <w:szCs w:val="21"/>
                    </w:rPr>
                  </w:pPr>
                  <w:r>
                    <w:rPr>
                      <w:rFonts w:hint="eastAsia" w:hAnsi="Cambria Math"/>
                      <w:color w:val="auto"/>
                      <w:szCs w:val="21"/>
                    </w:rPr>
                    <w:t>废含油手套、抹布、废沾染物空桶</w:t>
                  </w:r>
                </w:p>
              </w:tc>
              <w:tc>
                <w:tcPr>
                  <w:tcW w:w="438" w:type="pct"/>
                  <w:vAlign w:val="center"/>
                </w:tcPr>
                <w:p>
                  <w:pPr>
                    <w:snapToGrid w:val="0"/>
                    <w:jc w:val="center"/>
                    <w:rPr>
                      <w:color w:val="auto"/>
                      <w:szCs w:val="21"/>
                    </w:rPr>
                  </w:pPr>
                  <w:r>
                    <w:rPr>
                      <w:color w:val="auto"/>
                      <w:szCs w:val="21"/>
                    </w:rPr>
                    <w:t>HW49</w:t>
                  </w:r>
                </w:p>
              </w:tc>
              <w:tc>
                <w:tcPr>
                  <w:tcW w:w="834" w:type="pct"/>
                  <w:vAlign w:val="center"/>
                </w:tcPr>
                <w:p>
                  <w:pPr>
                    <w:snapToGrid w:val="0"/>
                    <w:jc w:val="center"/>
                    <w:rPr>
                      <w:color w:val="auto"/>
                      <w:szCs w:val="21"/>
                    </w:rPr>
                  </w:pPr>
                  <w:r>
                    <w:rPr>
                      <w:color w:val="auto"/>
                      <w:szCs w:val="21"/>
                    </w:rPr>
                    <w:t>900-</w:t>
                  </w:r>
                  <w:r>
                    <w:rPr>
                      <w:rFonts w:hint="eastAsia"/>
                      <w:color w:val="auto"/>
                      <w:szCs w:val="21"/>
                    </w:rPr>
                    <w:t>041</w:t>
                  </w:r>
                  <w:r>
                    <w:rPr>
                      <w:color w:val="auto"/>
                      <w:szCs w:val="21"/>
                    </w:rPr>
                    <w:t>-49</w:t>
                  </w:r>
                </w:p>
              </w:tc>
              <w:tc>
                <w:tcPr>
                  <w:tcW w:w="402" w:type="pct"/>
                  <w:vAlign w:val="center"/>
                </w:tcPr>
                <w:p>
                  <w:pPr>
                    <w:snapToGrid w:val="0"/>
                    <w:jc w:val="center"/>
                    <w:rPr>
                      <w:color w:val="auto"/>
                      <w:szCs w:val="21"/>
                    </w:rPr>
                  </w:pPr>
                  <w:r>
                    <w:rPr>
                      <w:rFonts w:hint="eastAsia"/>
                      <w:color w:val="auto"/>
                      <w:szCs w:val="21"/>
                    </w:rPr>
                    <w:t>40</w:t>
                  </w:r>
                </w:p>
              </w:tc>
              <w:tc>
                <w:tcPr>
                  <w:tcW w:w="503" w:type="pct"/>
                  <w:vAlign w:val="center"/>
                </w:tcPr>
                <w:p>
                  <w:pPr>
                    <w:snapToGrid w:val="0"/>
                    <w:jc w:val="center"/>
                    <w:rPr>
                      <w:color w:val="auto"/>
                      <w:szCs w:val="21"/>
                    </w:rPr>
                  </w:pPr>
                  <w:r>
                    <w:rPr>
                      <w:rFonts w:hint="eastAsia"/>
                      <w:color w:val="auto"/>
                      <w:szCs w:val="21"/>
                    </w:rPr>
                    <w:t>包装</w:t>
                  </w:r>
                </w:p>
              </w:tc>
              <w:tc>
                <w:tcPr>
                  <w:tcW w:w="267" w:type="pct"/>
                  <w:vAlign w:val="center"/>
                </w:tcPr>
                <w:p>
                  <w:pPr>
                    <w:snapToGrid w:val="0"/>
                    <w:jc w:val="center"/>
                    <w:rPr>
                      <w:color w:val="auto"/>
                      <w:szCs w:val="21"/>
                    </w:rPr>
                  </w:pPr>
                  <w:r>
                    <w:rPr>
                      <w:rFonts w:hint="eastAsia"/>
                      <w:color w:val="auto"/>
                      <w:szCs w:val="21"/>
                    </w:rPr>
                    <w:t>固态</w:t>
                  </w:r>
                </w:p>
              </w:tc>
              <w:tc>
                <w:tcPr>
                  <w:tcW w:w="418" w:type="pct"/>
                  <w:vAlign w:val="center"/>
                </w:tcPr>
                <w:p>
                  <w:pPr>
                    <w:snapToGrid w:val="0"/>
                    <w:jc w:val="center"/>
                    <w:rPr>
                      <w:color w:val="auto"/>
                      <w:szCs w:val="21"/>
                    </w:rPr>
                  </w:pPr>
                  <w:r>
                    <w:rPr>
                      <w:rFonts w:hint="eastAsia"/>
                      <w:color w:val="auto"/>
                      <w:szCs w:val="21"/>
                    </w:rPr>
                    <w:t>有毒、有害物</w:t>
                  </w:r>
                </w:p>
              </w:tc>
              <w:tc>
                <w:tcPr>
                  <w:tcW w:w="399" w:type="pct"/>
                  <w:vAlign w:val="center"/>
                </w:tcPr>
                <w:p>
                  <w:pPr>
                    <w:snapToGrid w:val="0"/>
                    <w:jc w:val="center"/>
                    <w:rPr>
                      <w:color w:val="auto"/>
                      <w:szCs w:val="21"/>
                    </w:rPr>
                  </w:pPr>
                  <w:r>
                    <w:rPr>
                      <w:rFonts w:hint="eastAsia"/>
                      <w:color w:val="auto"/>
                      <w:szCs w:val="21"/>
                    </w:rPr>
                    <w:t>有毒、有害物</w:t>
                  </w:r>
                </w:p>
              </w:tc>
              <w:tc>
                <w:tcPr>
                  <w:tcW w:w="329" w:type="pct"/>
                  <w:vAlign w:val="center"/>
                </w:tcPr>
                <w:p>
                  <w:pPr>
                    <w:snapToGrid w:val="0"/>
                    <w:jc w:val="center"/>
                    <w:rPr>
                      <w:color w:val="auto"/>
                      <w:szCs w:val="21"/>
                    </w:rPr>
                  </w:pPr>
                  <w:r>
                    <w:rPr>
                      <w:rFonts w:hint="eastAsia"/>
                      <w:bCs/>
                      <w:color w:val="auto"/>
                      <w:szCs w:val="21"/>
                    </w:rPr>
                    <w:t>半年一次</w:t>
                  </w:r>
                </w:p>
              </w:tc>
              <w:tc>
                <w:tcPr>
                  <w:tcW w:w="331" w:type="pct"/>
                  <w:vAlign w:val="center"/>
                </w:tcPr>
                <w:p>
                  <w:pPr>
                    <w:snapToGrid w:val="0"/>
                    <w:ind w:left="-53" w:leftChars="-25" w:right="-53" w:rightChars="-25"/>
                    <w:jc w:val="center"/>
                    <w:rPr>
                      <w:color w:val="auto"/>
                      <w:szCs w:val="21"/>
                    </w:rPr>
                  </w:pPr>
                  <w:r>
                    <w:rPr>
                      <w:rFonts w:hint="eastAsia"/>
                      <w:color w:val="auto"/>
                      <w:szCs w:val="21"/>
                    </w:rPr>
                    <w:t>T</w:t>
                  </w:r>
                </w:p>
              </w:tc>
              <w:tc>
                <w:tcPr>
                  <w:tcW w:w="418" w:type="pct"/>
                  <w:vMerge w:val="continue"/>
                  <w:vAlign w:val="center"/>
                </w:tcPr>
                <w:p>
                  <w:pPr>
                    <w:spacing w:line="320" w:lineRule="exact"/>
                    <w:ind w:left="-63" w:leftChars="-30" w:right="-63" w:rightChars="-30"/>
                    <w:jc w:val="center"/>
                    <w:rPr>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1" w:type="pct"/>
                  <w:vAlign w:val="center"/>
                </w:tcPr>
                <w:p>
                  <w:pPr>
                    <w:spacing w:line="320" w:lineRule="exact"/>
                    <w:ind w:left="-63" w:leftChars="-30" w:right="-63" w:rightChars="-30"/>
                    <w:jc w:val="center"/>
                    <w:rPr>
                      <w:bCs/>
                      <w:color w:val="auto"/>
                      <w:szCs w:val="21"/>
                    </w:rPr>
                  </w:pPr>
                  <w:r>
                    <w:rPr>
                      <w:rFonts w:hint="eastAsia"/>
                      <w:bCs/>
                      <w:color w:val="auto"/>
                      <w:szCs w:val="21"/>
                    </w:rPr>
                    <w:t>4</w:t>
                  </w:r>
                </w:p>
              </w:tc>
              <w:tc>
                <w:tcPr>
                  <w:tcW w:w="473" w:type="pct"/>
                  <w:vAlign w:val="center"/>
                </w:tcPr>
                <w:p>
                  <w:pPr>
                    <w:snapToGrid w:val="0"/>
                    <w:ind w:left="-53" w:leftChars="-25" w:right="-53" w:rightChars="-25"/>
                    <w:jc w:val="center"/>
                    <w:rPr>
                      <w:color w:val="auto"/>
                      <w:szCs w:val="21"/>
                    </w:rPr>
                  </w:pPr>
                  <w:r>
                    <w:rPr>
                      <w:rFonts w:hint="eastAsia" w:hAnsi="Cambria Math"/>
                      <w:color w:val="auto"/>
                      <w:szCs w:val="21"/>
                    </w:rPr>
                    <w:t>废活性炭</w:t>
                  </w:r>
                </w:p>
              </w:tc>
              <w:tc>
                <w:tcPr>
                  <w:tcW w:w="438" w:type="pct"/>
                  <w:vAlign w:val="center"/>
                </w:tcPr>
                <w:p>
                  <w:pPr>
                    <w:snapToGrid w:val="0"/>
                    <w:jc w:val="center"/>
                    <w:rPr>
                      <w:color w:val="auto"/>
                      <w:szCs w:val="21"/>
                    </w:rPr>
                  </w:pPr>
                  <w:r>
                    <w:rPr>
                      <w:color w:val="auto"/>
                      <w:szCs w:val="21"/>
                    </w:rPr>
                    <w:t>HW49</w:t>
                  </w:r>
                </w:p>
              </w:tc>
              <w:tc>
                <w:tcPr>
                  <w:tcW w:w="834" w:type="pct"/>
                  <w:vAlign w:val="center"/>
                </w:tcPr>
                <w:p>
                  <w:pPr>
                    <w:snapToGrid w:val="0"/>
                    <w:jc w:val="center"/>
                    <w:rPr>
                      <w:color w:val="auto"/>
                      <w:szCs w:val="21"/>
                    </w:rPr>
                  </w:pPr>
                  <w:r>
                    <w:rPr>
                      <w:color w:val="auto"/>
                      <w:szCs w:val="21"/>
                    </w:rPr>
                    <w:t>900-039-49</w:t>
                  </w:r>
                </w:p>
              </w:tc>
              <w:tc>
                <w:tcPr>
                  <w:tcW w:w="402" w:type="pct"/>
                  <w:vAlign w:val="center"/>
                </w:tcPr>
                <w:p>
                  <w:pPr>
                    <w:snapToGrid w:val="0"/>
                    <w:jc w:val="center"/>
                    <w:rPr>
                      <w:color w:val="auto"/>
                      <w:szCs w:val="21"/>
                    </w:rPr>
                  </w:pPr>
                  <w:r>
                    <w:rPr>
                      <w:rFonts w:hint="eastAsia"/>
                      <w:color w:val="auto"/>
                      <w:szCs w:val="21"/>
                    </w:rPr>
                    <w:t>1.5</w:t>
                  </w:r>
                </w:p>
              </w:tc>
              <w:tc>
                <w:tcPr>
                  <w:tcW w:w="503" w:type="pct"/>
                  <w:vAlign w:val="center"/>
                </w:tcPr>
                <w:p>
                  <w:pPr>
                    <w:snapToGrid w:val="0"/>
                    <w:jc w:val="center"/>
                    <w:rPr>
                      <w:color w:val="auto"/>
                      <w:szCs w:val="21"/>
                    </w:rPr>
                  </w:pPr>
                  <w:r>
                    <w:rPr>
                      <w:rFonts w:hint="eastAsia"/>
                      <w:color w:val="auto"/>
                      <w:szCs w:val="21"/>
                    </w:rPr>
                    <w:t>废气处理</w:t>
                  </w:r>
                </w:p>
              </w:tc>
              <w:tc>
                <w:tcPr>
                  <w:tcW w:w="267" w:type="pct"/>
                  <w:vAlign w:val="center"/>
                </w:tcPr>
                <w:p>
                  <w:pPr>
                    <w:snapToGrid w:val="0"/>
                    <w:jc w:val="center"/>
                    <w:rPr>
                      <w:color w:val="auto"/>
                      <w:szCs w:val="21"/>
                    </w:rPr>
                  </w:pPr>
                  <w:r>
                    <w:rPr>
                      <w:rFonts w:hint="eastAsia"/>
                      <w:color w:val="auto"/>
                      <w:szCs w:val="21"/>
                    </w:rPr>
                    <w:t>固态</w:t>
                  </w:r>
                </w:p>
              </w:tc>
              <w:tc>
                <w:tcPr>
                  <w:tcW w:w="418" w:type="pct"/>
                  <w:vAlign w:val="center"/>
                </w:tcPr>
                <w:p>
                  <w:pPr>
                    <w:snapToGrid w:val="0"/>
                    <w:jc w:val="center"/>
                    <w:rPr>
                      <w:color w:val="auto"/>
                      <w:szCs w:val="21"/>
                    </w:rPr>
                  </w:pPr>
                  <w:r>
                    <w:rPr>
                      <w:rFonts w:hint="eastAsia"/>
                      <w:color w:val="auto"/>
                      <w:szCs w:val="21"/>
                    </w:rPr>
                    <w:t>活性炭</w:t>
                  </w:r>
                </w:p>
              </w:tc>
              <w:tc>
                <w:tcPr>
                  <w:tcW w:w="399" w:type="pct"/>
                  <w:vAlign w:val="center"/>
                </w:tcPr>
                <w:p>
                  <w:pPr>
                    <w:snapToGrid w:val="0"/>
                    <w:jc w:val="center"/>
                    <w:rPr>
                      <w:color w:val="auto"/>
                      <w:szCs w:val="21"/>
                    </w:rPr>
                  </w:pPr>
                  <w:r>
                    <w:rPr>
                      <w:rFonts w:hint="eastAsia"/>
                      <w:color w:val="auto"/>
                      <w:szCs w:val="21"/>
                    </w:rPr>
                    <w:t>有机物</w:t>
                  </w:r>
                </w:p>
              </w:tc>
              <w:tc>
                <w:tcPr>
                  <w:tcW w:w="329" w:type="pct"/>
                  <w:vAlign w:val="center"/>
                </w:tcPr>
                <w:p>
                  <w:pPr>
                    <w:snapToGrid w:val="0"/>
                    <w:jc w:val="center"/>
                    <w:rPr>
                      <w:color w:val="auto"/>
                      <w:szCs w:val="21"/>
                    </w:rPr>
                  </w:pPr>
                  <w:r>
                    <w:rPr>
                      <w:rFonts w:hint="eastAsia"/>
                      <w:bCs/>
                      <w:color w:val="auto"/>
                      <w:szCs w:val="21"/>
                    </w:rPr>
                    <w:t>半年一次</w:t>
                  </w:r>
                </w:p>
              </w:tc>
              <w:tc>
                <w:tcPr>
                  <w:tcW w:w="331" w:type="pct"/>
                  <w:vAlign w:val="center"/>
                </w:tcPr>
                <w:p>
                  <w:pPr>
                    <w:snapToGrid w:val="0"/>
                    <w:ind w:left="-53" w:leftChars="-25" w:right="-53" w:rightChars="-25"/>
                    <w:jc w:val="center"/>
                    <w:rPr>
                      <w:color w:val="auto"/>
                      <w:szCs w:val="21"/>
                    </w:rPr>
                  </w:pPr>
                  <w:r>
                    <w:rPr>
                      <w:rFonts w:hint="eastAsia"/>
                      <w:color w:val="auto"/>
                      <w:szCs w:val="21"/>
                    </w:rPr>
                    <w:t>T</w:t>
                  </w:r>
                </w:p>
              </w:tc>
              <w:tc>
                <w:tcPr>
                  <w:tcW w:w="418" w:type="pct"/>
                  <w:vMerge w:val="continue"/>
                  <w:vAlign w:val="center"/>
                </w:tcPr>
                <w:p>
                  <w:pPr>
                    <w:spacing w:line="320" w:lineRule="exact"/>
                    <w:ind w:left="-63" w:leftChars="-30" w:right="-63" w:rightChars="-30"/>
                    <w:jc w:val="center"/>
                    <w:rPr>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1" w:type="pct"/>
                  <w:vAlign w:val="center"/>
                </w:tcPr>
                <w:p>
                  <w:pPr>
                    <w:spacing w:line="320" w:lineRule="exact"/>
                    <w:ind w:left="-63" w:leftChars="-30" w:right="-63" w:rightChars="-30"/>
                    <w:jc w:val="center"/>
                    <w:rPr>
                      <w:bCs/>
                      <w:color w:val="auto"/>
                      <w:szCs w:val="21"/>
                    </w:rPr>
                  </w:pPr>
                  <w:r>
                    <w:rPr>
                      <w:rFonts w:hint="eastAsia"/>
                      <w:bCs/>
                      <w:color w:val="auto"/>
                      <w:szCs w:val="21"/>
                    </w:rPr>
                    <w:t>5</w:t>
                  </w:r>
                </w:p>
              </w:tc>
              <w:tc>
                <w:tcPr>
                  <w:tcW w:w="473" w:type="pct"/>
                  <w:vAlign w:val="center"/>
                </w:tcPr>
                <w:p>
                  <w:pPr>
                    <w:snapToGrid w:val="0"/>
                    <w:ind w:left="-53" w:leftChars="-25" w:right="-53" w:rightChars="-25"/>
                    <w:jc w:val="center"/>
                    <w:rPr>
                      <w:rFonts w:hAnsi="Cambria Math"/>
                      <w:color w:val="auto"/>
                      <w:szCs w:val="21"/>
                    </w:rPr>
                  </w:pPr>
                  <w:r>
                    <w:rPr>
                      <w:rFonts w:hint="eastAsia" w:hAnsi="Cambria Math"/>
                      <w:color w:val="auto"/>
                      <w:szCs w:val="21"/>
                    </w:rPr>
                    <w:t>废液压油</w:t>
                  </w:r>
                </w:p>
              </w:tc>
              <w:tc>
                <w:tcPr>
                  <w:tcW w:w="438" w:type="pct"/>
                  <w:vAlign w:val="center"/>
                </w:tcPr>
                <w:p>
                  <w:pPr>
                    <w:snapToGrid w:val="0"/>
                    <w:jc w:val="center"/>
                    <w:rPr>
                      <w:color w:val="auto"/>
                      <w:szCs w:val="21"/>
                    </w:rPr>
                  </w:pPr>
                  <w:r>
                    <w:rPr>
                      <w:color w:val="auto"/>
                      <w:szCs w:val="21"/>
                    </w:rPr>
                    <w:t>HW</w:t>
                  </w:r>
                  <w:r>
                    <w:rPr>
                      <w:rFonts w:hint="eastAsia"/>
                      <w:color w:val="auto"/>
                      <w:szCs w:val="21"/>
                    </w:rPr>
                    <w:t>08</w:t>
                  </w:r>
                </w:p>
              </w:tc>
              <w:tc>
                <w:tcPr>
                  <w:tcW w:w="834" w:type="pct"/>
                  <w:vAlign w:val="center"/>
                </w:tcPr>
                <w:p>
                  <w:pPr>
                    <w:snapToGrid w:val="0"/>
                    <w:jc w:val="center"/>
                    <w:rPr>
                      <w:color w:val="auto"/>
                      <w:szCs w:val="21"/>
                    </w:rPr>
                  </w:pPr>
                  <w:r>
                    <w:rPr>
                      <w:color w:val="auto"/>
                      <w:kern w:val="0"/>
                      <w:szCs w:val="21"/>
                    </w:rPr>
                    <w:t>900-217-08</w:t>
                  </w:r>
                </w:p>
              </w:tc>
              <w:tc>
                <w:tcPr>
                  <w:tcW w:w="402" w:type="pct"/>
                  <w:vAlign w:val="center"/>
                </w:tcPr>
                <w:p>
                  <w:pPr>
                    <w:snapToGrid w:val="0"/>
                    <w:jc w:val="center"/>
                    <w:rPr>
                      <w:color w:val="auto"/>
                      <w:szCs w:val="21"/>
                    </w:rPr>
                  </w:pPr>
                  <w:r>
                    <w:rPr>
                      <w:rFonts w:hint="eastAsia"/>
                      <w:color w:val="auto"/>
                      <w:szCs w:val="21"/>
                    </w:rPr>
                    <w:t>4</w:t>
                  </w:r>
                </w:p>
              </w:tc>
              <w:tc>
                <w:tcPr>
                  <w:tcW w:w="503" w:type="pct"/>
                  <w:vAlign w:val="center"/>
                </w:tcPr>
                <w:p>
                  <w:pPr>
                    <w:snapToGrid w:val="0"/>
                    <w:jc w:val="center"/>
                    <w:rPr>
                      <w:color w:val="auto"/>
                      <w:szCs w:val="21"/>
                    </w:rPr>
                  </w:pPr>
                  <w:r>
                    <w:rPr>
                      <w:rFonts w:hint="eastAsia"/>
                      <w:color w:val="auto"/>
                      <w:szCs w:val="21"/>
                    </w:rPr>
                    <w:t>机修</w:t>
                  </w:r>
                </w:p>
              </w:tc>
              <w:tc>
                <w:tcPr>
                  <w:tcW w:w="267" w:type="pct"/>
                  <w:vAlign w:val="center"/>
                </w:tcPr>
                <w:p>
                  <w:pPr>
                    <w:snapToGrid w:val="0"/>
                    <w:jc w:val="center"/>
                    <w:rPr>
                      <w:color w:val="auto"/>
                      <w:szCs w:val="21"/>
                    </w:rPr>
                  </w:pPr>
                  <w:r>
                    <w:rPr>
                      <w:rFonts w:hint="eastAsia"/>
                      <w:color w:val="auto"/>
                      <w:szCs w:val="21"/>
                    </w:rPr>
                    <w:t>固/夜</w:t>
                  </w:r>
                </w:p>
              </w:tc>
              <w:tc>
                <w:tcPr>
                  <w:tcW w:w="418" w:type="pct"/>
                  <w:vAlign w:val="center"/>
                </w:tcPr>
                <w:p>
                  <w:pPr>
                    <w:spacing w:line="320" w:lineRule="exact"/>
                    <w:ind w:left="-63" w:leftChars="-30" w:right="-63" w:rightChars="-30"/>
                    <w:jc w:val="center"/>
                    <w:rPr>
                      <w:bCs/>
                      <w:color w:val="auto"/>
                      <w:szCs w:val="21"/>
                    </w:rPr>
                  </w:pPr>
                  <w:r>
                    <w:rPr>
                      <w:color w:val="auto"/>
                      <w:szCs w:val="21"/>
                    </w:rPr>
                    <w:t>石油类</w:t>
                  </w:r>
                </w:p>
              </w:tc>
              <w:tc>
                <w:tcPr>
                  <w:tcW w:w="399" w:type="pct"/>
                  <w:vAlign w:val="center"/>
                </w:tcPr>
                <w:p>
                  <w:pPr>
                    <w:spacing w:line="320" w:lineRule="exact"/>
                    <w:ind w:left="-63" w:leftChars="-30" w:right="-63" w:rightChars="-30"/>
                    <w:jc w:val="center"/>
                    <w:rPr>
                      <w:bCs/>
                      <w:color w:val="auto"/>
                      <w:szCs w:val="21"/>
                    </w:rPr>
                  </w:pPr>
                  <w:r>
                    <w:rPr>
                      <w:color w:val="auto"/>
                      <w:szCs w:val="21"/>
                    </w:rPr>
                    <w:t>石油类</w:t>
                  </w:r>
                </w:p>
              </w:tc>
              <w:tc>
                <w:tcPr>
                  <w:tcW w:w="329" w:type="pct"/>
                  <w:vAlign w:val="center"/>
                </w:tcPr>
                <w:p>
                  <w:pPr>
                    <w:spacing w:line="320" w:lineRule="exact"/>
                    <w:ind w:left="-63" w:leftChars="-30" w:right="-63" w:rightChars="-30"/>
                    <w:jc w:val="center"/>
                    <w:rPr>
                      <w:bCs/>
                      <w:color w:val="auto"/>
                      <w:szCs w:val="21"/>
                    </w:rPr>
                  </w:pPr>
                  <w:r>
                    <w:rPr>
                      <w:bCs/>
                      <w:color w:val="auto"/>
                      <w:szCs w:val="21"/>
                    </w:rPr>
                    <w:t>每年两次</w:t>
                  </w:r>
                </w:p>
              </w:tc>
              <w:tc>
                <w:tcPr>
                  <w:tcW w:w="331" w:type="pct"/>
                  <w:vAlign w:val="center"/>
                </w:tcPr>
                <w:p>
                  <w:pPr>
                    <w:spacing w:line="320" w:lineRule="exact"/>
                    <w:ind w:left="-63" w:leftChars="-30" w:right="-63" w:rightChars="-30"/>
                    <w:jc w:val="center"/>
                    <w:rPr>
                      <w:bCs/>
                      <w:color w:val="auto"/>
                      <w:szCs w:val="21"/>
                    </w:rPr>
                  </w:pPr>
                  <w:r>
                    <w:rPr>
                      <w:color w:val="auto"/>
                      <w:szCs w:val="21"/>
                    </w:rPr>
                    <w:t>T</w:t>
                  </w:r>
                </w:p>
              </w:tc>
              <w:tc>
                <w:tcPr>
                  <w:tcW w:w="418" w:type="pct"/>
                  <w:vMerge w:val="continue"/>
                  <w:vAlign w:val="center"/>
                </w:tcPr>
                <w:p>
                  <w:pPr>
                    <w:spacing w:line="320" w:lineRule="exact"/>
                    <w:ind w:left="-63" w:leftChars="-30" w:right="-63" w:rightChars="-30"/>
                    <w:jc w:val="center"/>
                    <w:rPr>
                      <w:bCs/>
                      <w:color w:val="auto"/>
                      <w:szCs w:val="21"/>
                    </w:rPr>
                  </w:pPr>
                </w:p>
              </w:tc>
            </w:tr>
          </w:tbl>
          <w:p>
            <w:pPr>
              <w:adjustRightInd w:val="0"/>
              <w:snapToGrid w:val="0"/>
              <w:spacing w:line="360" w:lineRule="auto"/>
              <w:ind w:firstLine="480" w:firstLineChars="200"/>
              <w:rPr>
                <w:rFonts w:hAnsi="Cambria Math"/>
                <w:color w:val="auto"/>
                <w:sz w:val="24"/>
              </w:rPr>
            </w:pPr>
            <w:r>
              <w:rPr>
                <w:rFonts w:hint="eastAsia" w:hAnsi="Cambria Math"/>
                <w:color w:val="auto"/>
                <w:sz w:val="24"/>
              </w:rPr>
              <w:t>（3）生活垃圾</w:t>
            </w:r>
          </w:p>
          <w:p>
            <w:pPr>
              <w:adjustRightInd w:val="0"/>
              <w:snapToGrid w:val="0"/>
              <w:spacing w:line="360" w:lineRule="auto"/>
              <w:ind w:firstLine="480" w:firstLineChars="200"/>
              <w:rPr>
                <w:color w:val="auto"/>
                <w:sz w:val="24"/>
              </w:rPr>
            </w:pPr>
            <w:r>
              <w:rPr>
                <w:color w:val="auto"/>
                <w:sz w:val="24"/>
              </w:rPr>
              <w:t>本项目新增劳动定员</w:t>
            </w:r>
            <w:r>
              <w:rPr>
                <w:rFonts w:hint="eastAsia"/>
                <w:color w:val="auto"/>
                <w:sz w:val="24"/>
              </w:rPr>
              <w:t>180</w:t>
            </w:r>
            <w:r>
              <w:rPr>
                <w:color w:val="auto"/>
                <w:sz w:val="24"/>
              </w:rPr>
              <w:t>人，生活垃圾产生系数按0.5</w:t>
            </w:r>
            <w:r>
              <w:rPr>
                <w:rFonts w:hint="eastAsia"/>
                <w:color w:val="auto"/>
                <w:sz w:val="24"/>
              </w:rPr>
              <w:t xml:space="preserve"> </w:t>
            </w:r>
            <w:r>
              <w:rPr>
                <w:color w:val="auto"/>
                <w:sz w:val="24"/>
              </w:rPr>
              <w:t>kg/（人·d）计，则生活垃圾产生量约为</w:t>
            </w:r>
            <w:r>
              <w:rPr>
                <w:rFonts w:hint="eastAsia"/>
                <w:color w:val="auto"/>
                <w:sz w:val="24"/>
              </w:rPr>
              <w:t xml:space="preserve">27 </w:t>
            </w:r>
            <w:r>
              <w:rPr>
                <w:color w:val="auto"/>
                <w:sz w:val="24"/>
              </w:rPr>
              <w:t>t/a。经收集后由环卫部门统一收集定期清运处理。</w:t>
            </w:r>
          </w:p>
          <w:p>
            <w:pPr>
              <w:adjustRightInd w:val="0"/>
              <w:snapToGrid w:val="0"/>
              <w:spacing w:line="360" w:lineRule="auto"/>
              <w:ind w:firstLine="480" w:firstLineChars="200"/>
              <w:rPr>
                <w:rFonts w:hAnsi="Cambria Math"/>
                <w:color w:val="auto"/>
                <w:sz w:val="24"/>
              </w:rPr>
            </w:pPr>
            <w:r>
              <w:rPr>
                <w:rFonts w:hint="eastAsia" w:hAnsi="Cambria Math"/>
                <w:color w:val="auto"/>
                <w:sz w:val="24"/>
              </w:rPr>
              <w:t>（4）固废依托设施可行性分析</w:t>
            </w:r>
          </w:p>
          <w:p>
            <w:pPr>
              <w:adjustRightInd w:val="0"/>
              <w:snapToGrid w:val="0"/>
              <w:spacing w:line="360" w:lineRule="auto"/>
              <w:ind w:firstLine="480" w:firstLineChars="200"/>
              <w:rPr>
                <w:rFonts w:hAnsi="Cambria Math"/>
                <w:color w:val="auto"/>
                <w:sz w:val="24"/>
              </w:rPr>
            </w:pPr>
            <w:r>
              <w:rPr>
                <w:rFonts w:hint="eastAsia" w:hAnsi="Cambria Math"/>
                <w:color w:val="auto"/>
                <w:sz w:val="24"/>
              </w:rPr>
              <w:t>本项目产生的一般工业固废依托厂区现有废料仓，集中收集全厂生产过程中产生的一般固体废物，定期外售处理；危险废物依托厂区现有危废站集中收集全厂生产过程中产生的危险废物，定期送有资质的危废处置单位进行处理。</w:t>
            </w:r>
          </w:p>
          <w:p>
            <w:pPr>
              <w:pStyle w:val="17"/>
              <w:ind w:firstLine="480"/>
              <w:rPr>
                <w:rFonts w:hAnsi="Cambria Math" w:eastAsia="宋体"/>
                <w:color w:val="auto"/>
                <w:sz w:val="24"/>
              </w:rPr>
            </w:pPr>
            <w:r>
              <w:rPr>
                <w:rFonts w:hint="eastAsia" w:hAnsi="Cambria Math" w:eastAsia="宋体"/>
                <w:color w:val="auto"/>
                <w:sz w:val="24"/>
              </w:rPr>
              <w:t>废料仓位于厂区东南角，建筑面积 6642 m</w:t>
            </w:r>
            <w:r>
              <w:rPr>
                <w:rFonts w:hint="eastAsia" w:hAnsi="Cambria Math" w:eastAsia="宋体"/>
                <w:color w:val="auto"/>
                <w:sz w:val="24"/>
                <w:vertAlign w:val="superscript"/>
              </w:rPr>
              <w:t>2</w:t>
            </w:r>
            <w:r>
              <w:rPr>
                <w:rFonts w:hint="eastAsia" w:hAnsi="Cambria Math" w:eastAsia="宋体"/>
                <w:color w:val="auto"/>
                <w:sz w:val="24"/>
              </w:rPr>
              <w:t xml:space="preserve"> ，根据现场情况，废料仓地面硬化，设有防风防雨设施，各类废物分类存放，墙面均设置有明显的废物类别标志，定期清理。该暂存区严格执行《一般工业固体废物贮存和填埋污染控制标准》（GB18599-2020）的相关规定，进行“三防”处理，即“防渗漏、防雨淋、防流失”。并建立进出库台账，设置专人管理，保证一般固体废物得到安全合理的处置。主要暂存集贤厂区生产过程中产生的冲压边角料等一般固体废物，定期外售处理。</w:t>
            </w:r>
          </w:p>
          <w:p>
            <w:pPr>
              <w:spacing w:line="360" w:lineRule="auto"/>
              <w:ind w:firstLine="480" w:firstLineChars="200"/>
              <w:jc w:val="left"/>
              <w:rPr>
                <w:color w:val="auto"/>
                <w:sz w:val="24"/>
              </w:rPr>
            </w:pPr>
            <w:r>
              <w:rPr>
                <w:rFonts w:hint="eastAsia" w:hAnsi="Cambria Math"/>
                <w:color w:val="auto"/>
                <w:sz w:val="24"/>
              </w:rPr>
              <w:t>厂区危废站</w:t>
            </w:r>
            <w:r>
              <w:rPr>
                <w:color w:val="auto"/>
                <w:sz w:val="24"/>
              </w:rPr>
              <w:t>地面高于路面，各跨位内均设置有围挡，且地面及周边挡墙高度约1m处均涂覆环氧树脂，并在地面设置泄漏收集设施。各类危险废物分类存放，墙面注明危险名称，并标识有明显的危险废物标志，危废储存处有专人看管，并有进出库记录。墙面悬挂有《危险废弃物仓库日常管理规定》、《危险废弃物仓库管理人员职责》、《危险废弃物仓库进出库管理规定》、《危险废弃物仓库工商事故（含中毒）应急处理流程》等管理规定及应急流程</w:t>
            </w:r>
            <w:r>
              <w:rPr>
                <w:rFonts w:hint="eastAsia"/>
                <w:color w:val="auto"/>
                <w:sz w:val="24"/>
              </w:rPr>
              <w:t>。</w:t>
            </w:r>
            <w:r>
              <w:rPr>
                <w:rFonts w:hint="eastAsia" w:hAnsi="Cambria Math"/>
                <w:color w:val="auto"/>
                <w:sz w:val="24"/>
              </w:rPr>
              <w:t>厂区设置危废站 2 座，每座占地面积 720 m</w:t>
            </w:r>
            <w:r>
              <w:rPr>
                <w:rFonts w:hint="eastAsia" w:hAnsi="Cambria Math"/>
                <w:color w:val="auto"/>
                <w:sz w:val="24"/>
                <w:vertAlign w:val="superscript"/>
              </w:rPr>
              <w:t>2</w:t>
            </w:r>
            <w:r>
              <w:rPr>
                <w:rFonts w:hint="eastAsia" w:hAnsi="Cambria Math"/>
                <w:color w:val="auto"/>
                <w:sz w:val="24"/>
              </w:rPr>
              <w:t xml:space="preserve"> ，位于22#厂房东侧，集中收集生产过程中产生的废活性炭等危险废物，定期送有资质的危废处置单位进行处理。</w:t>
            </w:r>
            <w:r>
              <w:rPr>
                <w:rFonts w:hint="eastAsia"/>
                <w:color w:val="auto"/>
                <w:sz w:val="24"/>
              </w:rPr>
              <w:t>能够满足本项目危废储存的需求</w:t>
            </w:r>
            <w:r>
              <w:rPr>
                <w:color w:val="auto"/>
                <w:sz w:val="24"/>
              </w:rPr>
              <w:t>。</w:t>
            </w:r>
          </w:p>
          <w:p>
            <w:pPr>
              <w:spacing w:line="360" w:lineRule="auto"/>
              <w:ind w:firstLine="480" w:firstLineChars="200"/>
              <w:rPr>
                <w:color w:val="auto"/>
                <w:kern w:val="0"/>
                <w:sz w:val="24"/>
              </w:rPr>
            </w:pPr>
            <w:r>
              <w:rPr>
                <w:rFonts w:ascii="宋体" w:hAnsi="宋体" w:cs="宋体"/>
                <w:color w:val="auto"/>
                <w:sz w:val="24"/>
              </w:rPr>
              <w:t>综上所述，项目产生的固体废物均得到合理贮存、处置，对环境影响较小。</w:t>
            </w:r>
            <w:r>
              <w:rPr>
                <w:color w:val="auto"/>
                <w:kern w:val="0"/>
                <w:sz w:val="24"/>
              </w:rPr>
              <w:t>现有危废</w:t>
            </w:r>
            <w:r>
              <w:rPr>
                <w:rFonts w:hint="eastAsia"/>
                <w:color w:val="auto"/>
                <w:kern w:val="0"/>
                <w:sz w:val="24"/>
              </w:rPr>
              <w:t>库</w:t>
            </w:r>
            <w:r>
              <w:rPr>
                <w:color w:val="auto"/>
                <w:kern w:val="0"/>
                <w:sz w:val="24"/>
              </w:rPr>
              <w:t>和一般固废暂存</w:t>
            </w:r>
            <w:r>
              <w:rPr>
                <w:rFonts w:hint="eastAsia"/>
                <w:color w:val="auto"/>
                <w:kern w:val="0"/>
                <w:sz w:val="24"/>
              </w:rPr>
              <w:t>间</w:t>
            </w:r>
            <w:r>
              <w:rPr>
                <w:color w:val="auto"/>
                <w:kern w:val="0"/>
                <w:sz w:val="24"/>
              </w:rPr>
              <w:t>已全部纳入企业排污许可证管理</w:t>
            </w:r>
            <w:r>
              <w:rPr>
                <w:rFonts w:hint="eastAsia"/>
                <w:color w:val="auto"/>
                <w:kern w:val="0"/>
                <w:sz w:val="24"/>
              </w:rPr>
              <w:t>，综上所述，本项目固废依托现有措施可行</w:t>
            </w:r>
            <w:r>
              <w:rPr>
                <w:color w:val="auto"/>
                <w:kern w:val="0"/>
                <w:sz w:val="24"/>
              </w:rPr>
              <w:t>。</w:t>
            </w:r>
          </w:p>
          <w:p>
            <w:pPr>
              <w:spacing w:line="360" w:lineRule="auto"/>
              <w:ind w:firstLine="482" w:firstLineChars="200"/>
              <w:rPr>
                <w:color w:val="auto"/>
                <w:kern w:val="0"/>
                <w:sz w:val="24"/>
              </w:rPr>
            </w:pPr>
            <w:r>
              <w:rPr>
                <w:rFonts w:hint="eastAsia"/>
                <w:b/>
                <w:bCs/>
                <w:color w:val="auto"/>
                <w:sz w:val="24"/>
                <w:lang w:val="en-US" w:eastAsia="zh-CN"/>
              </w:rPr>
              <w:t>5、地</w:t>
            </w:r>
            <w:r>
              <w:rPr>
                <w:rFonts w:ascii="Times New Roman" w:hAnsi="Times New Roman" w:eastAsia="宋体"/>
                <w:b/>
                <w:bCs/>
                <w:color w:val="auto"/>
                <w:sz w:val="24"/>
              </w:rPr>
              <w:t>下水及土壤环境影响分析</w:t>
            </w:r>
          </w:p>
          <w:p>
            <w:pPr>
              <w:adjustRightInd w:val="0"/>
              <w:snapToGrid w:val="0"/>
              <w:spacing w:line="360" w:lineRule="auto"/>
              <w:ind w:firstLine="480" w:firstLineChars="200"/>
              <w:rPr>
                <w:rFonts w:ascii="Times New Roman" w:hAnsi="Times New Roman"/>
                <w:color w:val="auto"/>
                <w:sz w:val="24"/>
              </w:rPr>
            </w:pPr>
            <w:r>
              <w:rPr>
                <w:rFonts w:ascii="Times New Roman" w:hAnsi="Times New Roman" w:eastAsia="宋体"/>
                <w:color w:val="auto"/>
                <w:sz w:val="24"/>
              </w:rPr>
              <w:t>（1）污染途径</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根据工程分析，本项目生生产废水，生活污水依托厂区内</w:t>
            </w:r>
            <w:r>
              <w:rPr>
                <w:rFonts w:hint="eastAsia"/>
                <w:bCs/>
                <w:color w:val="auto"/>
                <w:sz w:val="24"/>
              </w:rPr>
              <w:t>西安比亚迪汽车零部件有限公司集贤新能源汽车零部件产业园项目厂区污水处理站处理</w:t>
            </w:r>
            <w:r>
              <w:rPr>
                <w:rFonts w:hint="eastAsia"/>
                <w:color w:val="auto"/>
                <w:sz w:val="24"/>
                <w:lang w:eastAsia="zh-CN"/>
              </w:rPr>
              <w:t>、</w:t>
            </w:r>
            <w:r>
              <w:rPr>
                <w:rFonts w:ascii="Times New Roman" w:hAnsi="Times New Roman" w:eastAsia="宋体"/>
                <w:color w:val="auto"/>
                <w:sz w:val="24"/>
              </w:rPr>
              <w:t>生活污水处理设施进行处理。项目污染地下水途径包括污水持续泄漏造成地下水污染、危化品原料</w:t>
            </w:r>
            <w:r>
              <w:rPr>
                <w:rFonts w:hint="eastAsia" w:ascii="Times New Roman" w:hAnsi="Times New Roman" w:eastAsia="宋体"/>
                <w:color w:val="auto"/>
                <w:sz w:val="24"/>
              </w:rPr>
              <w:t>、危废等</w:t>
            </w:r>
            <w:r>
              <w:rPr>
                <w:rFonts w:ascii="Times New Roman" w:hAnsi="Times New Roman" w:eastAsia="宋体"/>
                <w:color w:val="auto"/>
                <w:sz w:val="24"/>
              </w:rPr>
              <w:t>泄漏造成地下水污染以及危险废物泄漏造成地下水污染</w:t>
            </w:r>
            <w:r>
              <w:rPr>
                <w:rFonts w:hint="eastAsia" w:ascii="Times New Roman" w:hAnsi="Times New Roman" w:eastAsia="宋体"/>
                <w:color w:val="auto"/>
                <w:sz w:val="24"/>
              </w:rPr>
              <w:t>等</w:t>
            </w:r>
            <w:r>
              <w:rPr>
                <w:rFonts w:ascii="Times New Roman" w:hAnsi="Times New Roman" w:eastAsia="宋体"/>
                <w:color w:val="auto"/>
                <w:sz w:val="24"/>
              </w:rPr>
              <w:t>。</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根据现场调查，本项目生活污水处理依托现有生活污水处理站，</w:t>
            </w:r>
            <w:r>
              <w:rPr>
                <w:rFonts w:hint="eastAsia"/>
                <w:color w:val="auto"/>
                <w:sz w:val="24"/>
                <w:lang w:val="en-US" w:eastAsia="zh-CN"/>
              </w:rPr>
              <w:t>生产废水依托</w:t>
            </w:r>
            <w:r>
              <w:rPr>
                <w:rFonts w:hint="eastAsia"/>
                <w:bCs/>
                <w:color w:val="auto"/>
                <w:sz w:val="24"/>
              </w:rPr>
              <w:t>西安比亚迪汽车零部件有限公司集贤新能源汽车零部件产业园项目厂区污水处理站</w:t>
            </w:r>
            <w:r>
              <w:rPr>
                <w:rFonts w:hint="eastAsia"/>
                <w:color w:val="auto"/>
                <w:sz w:val="24"/>
                <w:lang w:eastAsia="zh-CN"/>
              </w:rPr>
              <w:t>，</w:t>
            </w:r>
            <w:r>
              <w:rPr>
                <w:rFonts w:hint="eastAsia"/>
                <w:color w:val="auto"/>
                <w:sz w:val="24"/>
                <w:lang w:val="en-US" w:eastAsia="zh-CN"/>
              </w:rPr>
              <w:t>池体均已进行防渗</w:t>
            </w:r>
            <w:r>
              <w:rPr>
                <w:rFonts w:ascii="Times New Roman" w:hAnsi="Times New Roman" w:eastAsia="宋体"/>
                <w:color w:val="auto"/>
                <w:sz w:val="24"/>
              </w:rPr>
              <w:t>；本项目</w:t>
            </w:r>
            <w:r>
              <w:rPr>
                <w:rFonts w:hint="eastAsia" w:ascii="Times New Roman" w:hAnsi="Times New Roman" w:eastAsia="宋体"/>
                <w:color w:val="auto"/>
                <w:sz w:val="24"/>
              </w:rPr>
              <w:t>危险废物</w:t>
            </w:r>
            <w:r>
              <w:rPr>
                <w:rFonts w:ascii="Times New Roman" w:hAnsi="Times New Roman" w:eastAsia="宋体"/>
                <w:color w:val="auto"/>
                <w:sz w:val="24"/>
              </w:rPr>
              <w:t>依托现有</w:t>
            </w:r>
            <w:r>
              <w:rPr>
                <w:rFonts w:hint="eastAsia"/>
                <w:color w:val="auto"/>
                <w:sz w:val="24"/>
                <w:lang w:val="en-US" w:eastAsia="zh-CN"/>
              </w:rPr>
              <w:t>危废站</w:t>
            </w:r>
            <w:r>
              <w:rPr>
                <w:rFonts w:hint="eastAsia" w:ascii="Times New Roman" w:hAnsi="Times New Roman" w:eastAsia="宋体"/>
                <w:color w:val="auto"/>
                <w:sz w:val="24"/>
              </w:rPr>
              <w:t>暂存</w:t>
            </w:r>
            <w:r>
              <w:rPr>
                <w:rFonts w:ascii="Times New Roman" w:hAnsi="Times New Roman" w:eastAsia="宋体"/>
                <w:color w:val="auto"/>
                <w:sz w:val="24"/>
              </w:rPr>
              <w:t>，</w:t>
            </w:r>
            <w:r>
              <w:rPr>
                <w:rFonts w:hint="eastAsia" w:ascii="Times New Roman" w:hAnsi="Times New Roman" w:eastAsia="宋体"/>
                <w:color w:val="auto"/>
                <w:sz w:val="24"/>
              </w:rPr>
              <w:t>现有</w:t>
            </w:r>
            <w:r>
              <w:rPr>
                <w:rFonts w:hint="eastAsia"/>
                <w:color w:val="auto"/>
                <w:sz w:val="24"/>
                <w:lang w:val="en-US" w:eastAsia="zh-CN"/>
              </w:rPr>
              <w:t>危废站地面</w:t>
            </w:r>
            <w:r>
              <w:rPr>
                <w:rFonts w:ascii="Times New Roman" w:hAnsi="Times New Roman" w:eastAsia="宋体"/>
                <w:color w:val="auto"/>
                <w:sz w:val="24"/>
              </w:rPr>
              <w:t>已进行防渗，</w:t>
            </w:r>
            <w:r>
              <w:rPr>
                <w:rFonts w:hint="eastAsia"/>
                <w:color w:val="auto"/>
                <w:sz w:val="24"/>
                <w:lang w:val="en-US" w:eastAsia="zh-CN"/>
              </w:rPr>
              <w:t>危险化学品依托现有危化品库暂存</w:t>
            </w:r>
            <w:r>
              <w:rPr>
                <w:rFonts w:hint="eastAsia" w:ascii="Times New Roman" w:hAnsi="Times New Roman" w:eastAsia="宋体"/>
                <w:color w:val="auto"/>
                <w:sz w:val="24"/>
              </w:rPr>
              <w:t>现有</w:t>
            </w:r>
            <w:r>
              <w:rPr>
                <w:rFonts w:hint="eastAsia"/>
                <w:color w:val="auto"/>
                <w:sz w:val="24"/>
                <w:lang w:val="en-US" w:eastAsia="zh-CN"/>
              </w:rPr>
              <w:t>危化品库地面</w:t>
            </w:r>
            <w:r>
              <w:rPr>
                <w:rFonts w:ascii="Times New Roman" w:hAnsi="Times New Roman" w:eastAsia="宋体"/>
                <w:color w:val="auto"/>
                <w:sz w:val="24"/>
              </w:rPr>
              <w:t>已进行防渗</w:t>
            </w:r>
            <w:r>
              <w:rPr>
                <w:rFonts w:hint="eastAsia"/>
                <w:color w:val="auto"/>
                <w:sz w:val="24"/>
                <w:lang w:eastAsia="zh-CN"/>
              </w:rPr>
              <w:t>，</w:t>
            </w:r>
            <w:r>
              <w:rPr>
                <w:rFonts w:hint="eastAsia"/>
                <w:color w:val="auto"/>
                <w:sz w:val="24"/>
                <w:lang w:val="en-US" w:eastAsia="zh-CN"/>
              </w:rPr>
              <w:t>11#厂房暂存少量异氰酸酯、组合聚醚，本次环评要求对11#厂房AB料暂存区及搅拌区地面进行防渗</w:t>
            </w:r>
            <w:r>
              <w:rPr>
                <w:rFonts w:hint="eastAsia"/>
                <w:color w:val="auto"/>
                <w:sz w:val="24"/>
                <w:lang w:eastAsia="zh-CN"/>
              </w:rPr>
              <w:t>，</w:t>
            </w:r>
            <w:r>
              <w:rPr>
                <w:rFonts w:ascii="Times New Roman" w:hAnsi="Times New Roman" w:eastAsia="宋体"/>
                <w:color w:val="auto"/>
                <w:sz w:val="24"/>
              </w:rPr>
              <w:t>因此，本项目对地下水及土壤的污染的主要途径为危险化学品垂直下渗造成土壤及地下水污染。</w:t>
            </w:r>
          </w:p>
          <w:p>
            <w:pPr>
              <w:snapToGrid w:val="0"/>
              <w:spacing w:line="360" w:lineRule="auto"/>
              <w:ind w:firstLine="480" w:firstLineChars="200"/>
              <w:rPr>
                <w:rFonts w:ascii="Times New Roman" w:hAnsi="Times New Roman"/>
                <w:color w:val="auto"/>
                <w:sz w:val="24"/>
              </w:rPr>
            </w:pPr>
            <w:r>
              <w:rPr>
                <w:rFonts w:ascii="Times New Roman" w:hAnsi="Times New Roman" w:eastAsia="宋体"/>
                <w:color w:val="auto"/>
                <w:sz w:val="24"/>
              </w:rPr>
              <w:t>同时，</w:t>
            </w:r>
            <w:r>
              <w:rPr>
                <w:rFonts w:hint="eastAsia" w:ascii="Times New Roman" w:hAnsi="Times New Roman" w:eastAsia="宋体"/>
                <w:color w:val="auto"/>
                <w:sz w:val="24"/>
              </w:rPr>
              <w:t>参考</w:t>
            </w:r>
            <w:r>
              <w:rPr>
                <w:rFonts w:ascii="Times New Roman" w:hAnsi="Times New Roman" w:eastAsia="宋体"/>
                <w:color w:val="auto"/>
                <w:sz w:val="24"/>
              </w:rPr>
              <w:t>《环境影响评价技术导则</w:t>
            </w:r>
            <w:r>
              <w:rPr>
                <w:rFonts w:ascii="Times New Roman" w:hAnsi="Times New Roman"/>
                <w:color w:val="auto"/>
                <w:sz w:val="24"/>
              </w:rPr>
              <w:t xml:space="preserve"> </w:t>
            </w:r>
            <w:r>
              <w:rPr>
                <w:rFonts w:ascii="Times New Roman" w:hAnsi="Times New Roman" w:eastAsia="宋体"/>
                <w:color w:val="auto"/>
                <w:sz w:val="24"/>
              </w:rPr>
              <w:t>地下水环境》（</w:t>
            </w:r>
            <w:r>
              <w:rPr>
                <w:rFonts w:ascii="Times New Roman" w:hAnsi="Times New Roman"/>
                <w:color w:val="auto"/>
                <w:sz w:val="24"/>
              </w:rPr>
              <w:t>HJ610-2016</w:t>
            </w:r>
            <w:r>
              <w:rPr>
                <w:rFonts w:ascii="Times New Roman" w:hAnsi="Times New Roman" w:eastAsia="宋体"/>
                <w:color w:val="auto"/>
                <w:sz w:val="24"/>
              </w:rPr>
              <w:t>），本项目属于73、汽车、摩托车制造项目-其他，地下水环境影响评价项目类别为</w:t>
            </w:r>
            <w:r>
              <w:rPr>
                <w:rFonts w:ascii="Times New Roman" w:hAnsi="Times New Roman"/>
                <w:color w:val="auto"/>
                <w:sz w:val="24"/>
              </w:rPr>
              <w:fldChar w:fldCharType="begin"/>
            </w:r>
            <w:r>
              <w:rPr>
                <w:rFonts w:ascii="Times New Roman" w:hAnsi="Times New Roman"/>
                <w:color w:val="auto"/>
                <w:sz w:val="24"/>
              </w:rPr>
              <w:instrText xml:space="preserve"> = 4 \* ROMAN </w:instrText>
            </w:r>
            <w:r>
              <w:rPr>
                <w:rFonts w:ascii="Times New Roman" w:hAnsi="Times New Roman"/>
                <w:color w:val="auto"/>
                <w:sz w:val="24"/>
              </w:rPr>
              <w:fldChar w:fldCharType="separate"/>
            </w:r>
            <w:r>
              <w:rPr>
                <w:rFonts w:ascii="Times New Roman" w:hAnsi="Times New Roman"/>
                <w:color w:val="auto"/>
                <w:sz w:val="24"/>
              </w:rPr>
              <w:t>IV</w:t>
            </w:r>
            <w:r>
              <w:rPr>
                <w:rFonts w:ascii="Times New Roman" w:hAnsi="Times New Roman"/>
                <w:color w:val="auto"/>
                <w:sz w:val="24"/>
              </w:rPr>
              <w:fldChar w:fldCharType="end"/>
            </w:r>
            <w:r>
              <w:rPr>
                <w:rFonts w:ascii="Times New Roman" w:hAnsi="Times New Roman" w:eastAsia="宋体"/>
                <w:color w:val="auto"/>
                <w:sz w:val="24"/>
              </w:rPr>
              <w:t>类，可不开展地下水环境影响评价。</w:t>
            </w:r>
          </w:p>
          <w:p>
            <w:pPr>
              <w:snapToGrid w:val="0"/>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参考</w:t>
            </w:r>
            <w:r>
              <w:rPr>
                <w:rFonts w:ascii="Times New Roman" w:hAnsi="Times New Roman" w:eastAsia="宋体"/>
                <w:color w:val="auto"/>
                <w:sz w:val="24"/>
              </w:rPr>
              <w:t>《环境影响评价技术导则</w:t>
            </w:r>
            <w:r>
              <w:rPr>
                <w:rFonts w:ascii="Times New Roman" w:hAnsi="Times New Roman"/>
                <w:color w:val="auto"/>
                <w:sz w:val="24"/>
              </w:rPr>
              <w:t xml:space="preserve"> </w:t>
            </w:r>
            <w:r>
              <w:rPr>
                <w:rFonts w:ascii="Times New Roman" w:hAnsi="Times New Roman" w:eastAsia="宋体"/>
                <w:color w:val="auto"/>
                <w:sz w:val="24"/>
              </w:rPr>
              <w:t>土壤环境（试行）》（</w:t>
            </w:r>
            <w:r>
              <w:rPr>
                <w:rFonts w:ascii="Times New Roman" w:hAnsi="Times New Roman"/>
                <w:color w:val="auto"/>
                <w:sz w:val="24"/>
              </w:rPr>
              <w:t>HJ964-2018</w:t>
            </w:r>
            <w:r>
              <w:rPr>
                <w:rFonts w:ascii="Times New Roman" w:hAnsi="Times New Roman" w:eastAsia="宋体"/>
                <w:color w:val="auto"/>
                <w:sz w:val="24"/>
              </w:rPr>
              <w:t>）附录</w:t>
            </w:r>
            <w:r>
              <w:rPr>
                <w:rFonts w:ascii="Times New Roman" w:hAnsi="Times New Roman"/>
                <w:color w:val="auto"/>
                <w:sz w:val="24"/>
              </w:rPr>
              <w:t>A</w:t>
            </w:r>
            <w:r>
              <w:rPr>
                <w:rFonts w:ascii="Times New Roman" w:hAnsi="Times New Roman" w:eastAsia="宋体"/>
                <w:color w:val="auto"/>
                <w:sz w:val="24"/>
              </w:rPr>
              <w:t>，本项目属于</w:t>
            </w:r>
            <w:r>
              <w:rPr>
                <w:rFonts w:hint="eastAsia"/>
                <w:color w:val="auto"/>
                <w:sz w:val="24"/>
                <w:lang w:eastAsia="zh-CN"/>
              </w:rPr>
              <w:t>“</w:t>
            </w:r>
            <w:r>
              <w:rPr>
                <w:rFonts w:ascii="Times New Roman" w:hAnsi="Times New Roman" w:eastAsia="宋体"/>
                <w:color w:val="auto"/>
                <w:sz w:val="24"/>
              </w:rPr>
              <w:t>设备制造、金属制品、汽车制造及其他用品制造-其他</w:t>
            </w:r>
            <w:r>
              <w:rPr>
                <w:rFonts w:hint="eastAsia"/>
                <w:color w:val="auto"/>
                <w:sz w:val="24"/>
                <w:lang w:eastAsia="zh-CN"/>
              </w:rPr>
              <w:t>”</w:t>
            </w:r>
            <w:r>
              <w:rPr>
                <w:rFonts w:ascii="Times New Roman" w:hAnsi="Times New Roman" w:eastAsia="宋体"/>
                <w:color w:val="auto"/>
                <w:sz w:val="24"/>
              </w:rPr>
              <w:t>，属于Ⅲ类项目，占地规模为小型，敏感程度为不敏感，可不开展土壤环境影响评价。</w:t>
            </w:r>
          </w:p>
          <w:p>
            <w:pPr>
              <w:snapToGrid w:val="0"/>
              <w:spacing w:line="360" w:lineRule="auto"/>
              <w:ind w:firstLine="480" w:firstLineChars="200"/>
              <w:rPr>
                <w:rFonts w:ascii="Times New Roman" w:hAnsi="Times New Roman"/>
                <w:color w:val="auto"/>
                <w:sz w:val="24"/>
              </w:rPr>
            </w:pPr>
            <w:r>
              <w:rPr>
                <w:rFonts w:ascii="Times New Roman" w:hAnsi="Times New Roman" w:eastAsia="宋体"/>
                <w:color w:val="auto"/>
                <w:sz w:val="24"/>
              </w:rPr>
              <w:t>因此，本次环评主要针对</w:t>
            </w:r>
            <w:r>
              <w:rPr>
                <w:rFonts w:hint="eastAsia"/>
                <w:color w:val="auto"/>
                <w:kern w:val="0"/>
                <w:sz w:val="24"/>
                <w:szCs w:val="21"/>
                <w:lang w:val="en-US" w:eastAsia="zh-CN" w:bidi="en-US"/>
              </w:rPr>
              <w:t>11#厂房AB料暂存区和搅拌区</w:t>
            </w:r>
            <w:r>
              <w:rPr>
                <w:rFonts w:ascii="Times New Roman" w:hAnsi="Times New Roman" w:eastAsia="宋体"/>
                <w:color w:val="auto"/>
                <w:sz w:val="24"/>
              </w:rPr>
              <w:t>提出相关要求。</w:t>
            </w:r>
            <w:r>
              <w:rPr>
                <w:rFonts w:ascii="Times New Roman" w:hAnsi="Times New Roman"/>
                <w:color w:val="auto"/>
                <w:sz w:val="24"/>
              </w:rPr>
              <w:t xml:space="preserve"> </w:t>
            </w:r>
          </w:p>
          <w:p>
            <w:pPr>
              <w:adjustRightInd w:val="0"/>
              <w:snapToGrid w:val="0"/>
              <w:spacing w:line="360" w:lineRule="auto"/>
              <w:ind w:firstLine="480" w:firstLineChars="200"/>
              <w:rPr>
                <w:rFonts w:ascii="Times New Roman" w:hAnsi="Times New Roman"/>
                <w:color w:val="auto"/>
                <w:sz w:val="24"/>
              </w:rPr>
            </w:pPr>
            <w:r>
              <w:rPr>
                <w:rFonts w:ascii="Times New Roman" w:hAnsi="Times New Roman" w:eastAsia="宋体"/>
                <w:color w:val="auto"/>
                <w:sz w:val="24"/>
              </w:rPr>
              <w:t>（2）分区防控措施</w:t>
            </w:r>
          </w:p>
          <w:p>
            <w:pPr>
              <w:spacing w:line="360" w:lineRule="auto"/>
              <w:ind w:firstLine="480" w:firstLineChars="200"/>
              <w:rPr>
                <w:rFonts w:ascii="Times New Roman" w:hAnsi="Times New Roman"/>
                <w:color w:val="auto"/>
                <w:sz w:val="24"/>
              </w:rPr>
            </w:pPr>
            <w:r>
              <w:rPr>
                <w:rFonts w:ascii="Times New Roman" w:hAnsi="Times New Roman" w:eastAsia="宋体"/>
                <w:color w:val="auto"/>
                <w:sz w:val="24"/>
              </w:rPr>
              <w:t>目前，现有厂房均为钢结构厂房，水泥硬化地面。本次主要针对</w:t>
            </w:r>
            <w:r>
              <w:rPr>
                <w:rFonts w:ascii="Times New Roman" w:hAnsi="Times New Roman" w:eastAsia="宋体"/>
                <w:color w:val="auto"/>
                <w:kern w:val="0"/>
                <w:sz w:val="24"/>
                <w:szCs w:val="21"/>
                <w:lang w:bidi="en-US"/>
              </w:rPr>
              <w:t>危化品转运仓</w:t>
            </w:r>
            <w:r>
              <w:rPr>
                <w:rFonts w:ascii="Times New Roman" w:hAnsi="Times New Roman" w:eastAsia="宋体"/>
                <w:color w:val="auto"/>
                <w:sz w:val="24"/>
              </w:rPr>
              <w:t>可能对地下水、土壤造成影响的各环节，按照</w:t>
            </w:r>
            <w:r>
              <w:rPr>
                <w:rFonts w:hint="eastAsia"/>
                <w:color w:val="auto"/>
                <w:sz w:val="24"/>
                <w:lang w:eastAsia="zh-CN"/>
              </w:rPr>
              <w:t>“</w:t>
            </w:r>
            <w:r>
              <w:rPr>
                <w:rFonts w:ascii="Times New Roman" w:hAnsi="Times New Roman" w:eastAsia="宋体"/>
                <w:color w:val="auto"/>
                <w:sz w:val="24"/>
              </w:rPr>
              <w:t>考虑重点，辐射全面</w:t>
            </w:r>
            <w:r>
              <w:rPr>
                <w:rFonts w:hint="eastAsia"/>
                <w:color w:val="auto"/>
                <w:sz w:val="24"/>
                <w:lang w:eastAsia="zh-CN"/>
              </w:rPr>
              <w:t>”</w:t>
            </w:r>
            <w:r>
              <w:rPr>
                <w:rFonts w:ascii="Times New Roman" w:hAnsi="Times New Roman" w:eastAsia="宋体"/>
                <w:color w:val="auto"/>
                <w:sz w:val="24"/>
              </w:rPr>
              <w:t>的防腐防渗原则，按照相关规范要求进行。</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本项目要求对</w:t>
            </w:r>
            <w:r>
              <w:rPr>
                <w:rFonts w:ascii="Times New Roman" w:hAnsi="Times New Roman" w:eastAsia="宋体"/>
                <w:color w:val="auto"/>
                <w:kern w:val="0"/>
                <w:sz w:val="24"/>
                <w:szCs w:val="21"/>
                <w:lang w:bidi="en-US"/>
              </w:rPr>
              <w:t>危化品转运仓</w:t>
            </w:r>
            <w:r>
              <w:rPr>
                <w:rFonts w:ascii="Times New Roman" w:hAnsi="Times New Roman" w:eastAsia="宋体"/>
                <w:color w:val="auto"/>
                <w:sz w:val="24"/>
              </w:rPr>
              <w:t>地面按照重点防渗区进行防渗，在相应防渗区域铺设环氧树脂或</w:t>
            </w:r>
            <w:r>
              <w:rPr>
                <w:rFonts w:ascii="Times New Roman" w:hAnsi="Times New Roman"/>
                <w:color w:val="auto"/>
                <w:sz w:val="24"/>
              </w:rPr>
              <w:t xml:space="preserve">PVC </w:t>
            </w:r>
            <w:r>
              <w:rPr>
                <w:rFonts w:ascii="Times New Roman" w:hAnsi="Times New Roman" w:eastAsia="宋体"/>
                <w:color w:val="auto"/>
                <w:sz w:val="24"/>
              </w:rPr>
              <w:t>板进行防渗处理，防止废水（液）下渗进入地基下土壤层及地下水，同时要求在转运过程中严格把控，防止</w:t>
            </w:r>
            <w:r>
              <w:rPr>
                <w:rFonts w:hint="eastAsia"/>
                <w:color w:val="auto"/>
                <w:sz w:val="24"/>
                <w:lang w:eastAsia="zh-CN"/>
              </w:rPr>
              <w:t>“</w:t>
            </w:r>
            <w:r>
              <w:rPr>
                <w:rFonts w:ascii="Times New Roman" w:hAnsi="Times New Roman" w:eastAsia="宋体"/>
                <w:color w:val="auto"/>
                <w:sz w:val="24"/>
              </w:rPr>
              <w:t>跑、冒、滴、漏</w:t>
            </w:r>
            <w:r>
              <w:rPr>
                <w:rFonts w:hint="eastAsia"/>
                <w:color w:val="auto"/>
                <w:sz w:val="24"/>
                <w:lang w:eastAsia="zh-CN"/>
              </w:rPr>
              <w:t>”</w:t>
            </w:r>
            <w:r>
              <w:rPr>
                <w:rFonts w:ascii="Times New Roman" w:hAnsi="Times New Roman" w:eastAsia="宋体"/>
                <w:color w:val="auto"/>
                <w:sz w:val="24"/>
              </w:rPr>
              <w:t>。其他区域可按照一般防渗区进行防渗。</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具体分区防治措施详见下表。</w:t>
            </w:r>
          </w:p>
          <w:p>
            <w:pPr>
              <w:pStyle w:val="17"/>
              <w:ind w:left="0" w:leftChars="0" w:firstLine="0" w:firstLineChars="0"/>
              <w:jc w:val="center"/>
              <w:rPr>
                <w:rFonts w:ascii="Times New Roman" w:hAnsi="Times New Roman" w:eastAsia="宋体"/>
                <w:b/>
                <w:color w:val="auto"/>
                <w:sz w:val="21"/>
                <w:szCs w:val="21"/>
              </w:rPr>
            </w:pPr>
            <w:r>
              <w:rPr>
                <w:rFonts w:ascii="Times New Roman" w:hAnsi="Times New Roman" w:eastAsia="宋体"/>
                <w:b/>
                <w:color w:val="auto"/>
                <w:sz w:val="21"/>
                <w:szCs w:val="21"/>
              </w:rPr>
              <w:t>表4-1</w:t>
            </w:r>
            <w:r>
              <w:rPr>
                <w:rFonts w:hint="eastAsia" w:eastAsia="宋体"/>
                <w:b/>
                <w:color w:val="auto"/>
                <w:sz w:val="21"/>
                <w:szCs w:val="21"/>
                <w:lang w:val="en-US" w:eastAsia="zh-CN"/>
              </w:rPr>
              <w:t>5</w:t>
            </w:r>
            <w:r>
              <w:rPr>
                <w:rFonts w:ascii="Times New Roman" w:hAnsi="Times New Roman" w:eastAsia="宋体"/>
                <w:b/>
                <w:color w:val="auto"/>
                <w:sz w:val="21"/>
                <w:szCs w:val="21"/>
              </w:rPr>
              <w:t xml:space="preserve">  项目防渗分区</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877"/>
              <w:gridCol w:w="2287"/>
              <w:gridCol w:w="29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noWrap w:val="0"/>
                  <w:vAlign w:val="center"/>
                </w:tcPr>
                <w:p>
                  <w:pPr>
                    <w:jc w:val="center"/>
                    <w:rPr>
                      <w:rFonts w:ascii="Times New Roman" w:hAnsi="Times New Roman"/>
                      <w:b/>
                      <w:color w:val="auto"/>
                      <w:szCs w:val="21"/>
                    </w:rPr>
                  </w:pPr>
                  <w:r>
                    <w:rPr>
                      <w:rFonts w:ascii="Times New Roman" w:hAnsi="Times New Roman" w:eastAsia="宋体"/>
                      <w:b/>
                      <w:color w:val="auto"/>
                      <w:szCs w:val="21"/>
                    </w:rPr>
                    <w:t>防渗区</w:t>
                  </w:r>
                </w:p>
              </w:tc>
              <w:tc>
                <w:tcPr>
                  <w:tcW w:w="1173" w:type="pct"/>
                  <w:noWrap w:val="0"/>
                  <w:vAlign w:val="center"/>
                </w:tcPr>
                <w:p>
                  <w:pPr>
                    <w:jc w:val="center"/>
                    <w:rPr>
                      <w:rFonts w:ascii="Times New Roman" w:hAnsi="Times New Roman"/>
                      <w:b/>
                      <w:color w:val="auto"/>
                      <w:szCs w:val="21"/>
                    </w:rPr>
                  </w:pPr>
                  <w:r>
                    <w:rPr>
                      <w:rFonts w:ascii="Times New Roman" w:hAnsi="Times New Roman" w:eastAsia="宋体"/>
                      <w:b/>
                      <w:color w:val="auto"/>
                      <w:szCs w:val="21"/>
                    </w:rPr>
                    <w:t>构筑物名称</w:t>
                  </w:r>
                </w:p>
              </w:tc>
              <w:tc>
                <w:tcPr>
                  <w:tcW w:w="1429" w:type="pct"/>
                  <w:noWrap w:val="0"/>
                  <w:vAlign w:val="center"/>
                </w:tcPr>
                <w:p>
                  <w:pPr>
                    <w:jc w:val="center"/>
                    <w:rPr>
                      <w:rFonts w:ascii="Times New Roman" w:hAnsi="Times New Roman"/>
                      <w:b/>
                      <w:color w:val="auto"/>
                      <w:szCs w:val="21"/>
                    </w:rPr>
                  </w:pPr>
                  <w:r>
                    <w:rPr>
                      <w:rFonts w:ascii="Times New Roman" w:hAnsi="Times New Roman" w:eastAsia="宋体"/>
                      <w:b/>
                      <w:color w:val="auto"/>
                      <w:szCs w:val="21"/>
                    </w:rPr>
                    <w:t>防腐防渗措施</w:t>
                  </w:r>
                </w:p>
              </w:tc>
              <w:tc>
                <w:tcPr>
                  <w:tcW w:w="1838" w:type="pct"/>
                  <w:noWrap w:val="0"/>
                  <w:vAlign w:val="center"/>
                </w:tcPr>
                <w:p>
                  <w:pPr>
                    <w:jc w:val="center"/>
                    <w:rPr>
                      <w:rFonts w:ascii="Times New Roman" w:hAnsi="Times New Roman"/>
                      <w:b/>
                      <w:color w:val="auto"/>
                      <w:szCs w:val="21"/>
                    </w:rPr>
                  </w:pPr>
                  <w:r>
                    <w:rPr>
                      <w:rFonts w:ascii="Times New Roman" w:hAnsi="Times New Roman" w:eastAsia="宋体"/>
                      <w:b/>
                      <w:color w:val="auto"/>
                      <w:szCs w:val="21"/>
                    </w:rPr>
                    <w:t>防渗技术要求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noWrap w:val="0"/>
                  <w:vAlign w:val="center"/>
                </w:tcPr>
                <w:p>
                  <w:pPr>
                    <w:jc w:val="center"/>
                    <w:rPr>
                      <w:rFonts w:ascii="Times New Roman" w:hAnsi="Times New Roman"/>
                      <w:color w:val="auto"/>
                      <w:szCs w:val="21"/>
                    </w:rPr>
                  </w:pPr>
                  <w:r>
                    <w:rPr>
                      <w:rFonts w:ascii="Times New Roman" w:hAnsi="Times New Roman" w:eastAsia="宋体"/>
                      <w:color w:val="auto"/>
                      <w:szCs w:val="21"/>
                    </w:rPr>
                    <w:t>重点防渗区</w:t>
                  </w:r>
                </w:p>
              </w:tc>
              <w:tc>
                <w:tcPr>
                  <w:tcW w:w="1173" w:type="pct"/>
                  <w:noWrap w:val="0"/>
                  <w:vAlign w:val="center"/>
                </w:tcPr>
                <w:p>
                  <w:pPr>
                    <w:jc w:val="center"/>
                    <w:rPr>
                      <w:rFonts w:hint="default" w:ascii="Times New Roman" w:hAnsi="Times New Roman" w:eastAsia="宋体"/>
                      <w:color w:val="auto"/>
                      <w:szCs w:val="21"/>
                      <w:lang w:val="en-US" w:eastAsia="zh-CN"/>
                    </w:rPr>
                  </w:pPr>
                  <w:r>
                    <w:rPr>
                      <w:rFonts w:hint="eastAsia"/>
                      <w:color w:val="auto"/>
                      <w:kern w:val="0"/>
                      <w:szCs w:val="21"/>
                      <w:lang w:val="en-US" w:eastAsia="zh-CN" w:bidi="en-US"/>
                    </w:rPr>
                    <w:t>11#厂房AB料暂存区、搅拌区</w:t>
                  </w:r>
                </w:p>
              </w:tc>
              <w:tc>
                <w:tcPr>
                  <w:tcW w:w="1429" w:type="pct"/>
                  <w:noWrap w:val="0"/>
                  <w:vAlign w:val="center"/>
                </w:tcPr>
                <w:p>
                  <w:pPr>
                    <w:jc w:val="center"/>
                    <w:rPr>
                      <w:rFonts w:ascii="Times New Roman" w:hAnsi="Times New Roman"/>
                      <w:color w:val="auto"/>
                      <w:szCs w:val="21"/>
                    </w:rPr>
                  </w:pPr>
                  <w:r>
                    <w:rPr>
                      <w:rFonts w:ascii="Times New Roman" w:hAnsi="Times New Roman" w:eastAsia="宋体"/>
                      <w:color w:val="auto"/>
                      <w:szCs w:val="21"/>
                    </w:rPr>
                    <w:t>抗渗混凝土</w:t>
                  </w:r>
                  <w:r>
                    <w:rPr>
                      <w:rFonts w:ascii="Times New Roman" w:hAnsi="Times New Roman"/>
                      <w:color w:val="auto"/>
                      <w:szCs w:val="21"/>
                    </w:rPr>
                    <w:t>+</w:t>
                  </w:r>
                  <w:r>
                    <w:rPr>
                      <w:rFonts w:ascii="Times New Roman" w:hAnsi="Times New Roman" w:eastAsia="宋体"/>
                      <w:color w:val="auto"/>
                      <w:szCs w:val="21"/>
                    </w:rPr>
                    <w:t>环氧树脂</w:t>
                  </w:r>
                </w:p>
              </w:tc>
              <w:tc>
                <w:tcPr>
                  <w:tcW w:w="1838" w:type="pct"/>
                  <w:noWrap w:val="0"/>
                  <w:vAlign w:val="center"/>
                </w:tcPr>
                <w:p>
                  <w:pPr>
                    <w:jc w:val="center"/>
                    <w:rPr>
                      <w:rFonts w:ascii="Times New Roman" w:hAnsi="Times New Roman"/>
                      <w:color w:val="auto"/>
                      <w:szCs w:val="21"/>
                    </w:rPr>
                  </w:pPr>
                  <w:r>
                    <w:rPr>
                      <w:rFonts w:ascii="Times New Roman" w:hAnsi="Times New Roman" w:eastAsia="宋体"/>
                      <w:color w:val="auto"/>
                      <w:szCs w:val="21"/>
                    </w:rPr>
                    <w:t>等效黏土防渗层</w:t>
                  </w:r>
                  <w:r>
                    <w:rPr>
                      <w:rFonts w:ascii="Times New Roman" w:hAnsi="Times New Roman"/>
                      <w:color w:val="auto"/>
                      <w:szCs w:val="21"/>
                    </w:rPr>
                    <w:t>Mb≥6.0m</w:t>
                  </w:r>
                  <w:r>
                    <w:rPr>
                      <w:rFonts w:ascii="Times New Roman" w:hAnsi="Times New Roman" w:eastAsia="宋体"/>
                      <w:color w:val="auto"/>
                      <w:szCs w:val="21"/>
                    </w:rPr>
                    <w:t>，</w:t>
                  </w:r>
                  <w:r>
                    <w:rPr>
                      <w:rFonts w:ascii="Times New Roman" w:hAnsi="Times New Roman"/>
                      <w:color w:val="auto"/>
                      <w:szCs w:val="21"/>
                    </w:rPr>
                    <w:t>K≤10</w:t>
                  </w:r>
                  <w:r>
                    <w:rPr>
                      <w:rFonts w:ascii="Times New Roman" w:hAnsi="Times New Roman"/>
                      <w:color w:val="auto"/>
                      <w:szCs w:val="21"/>
                      <w:vertAlign w:val="superscript"/>
                    </w:rPr>
                    <w:t>-7</w:t>
                  </w:r>
                  <w:r>
                    <w:rPr>
                      <w:rFonts w:ascii="Times New Roman" w:hAnsi="Times New Roman"/>
                      <w:color w:val="auto"/>
                      <w:szCs w:val="21"/>
                    </w:rPr>
                    <w:t>cm/s</w:t>
                  </w:r>
                  <w:r>
                    <w:rPr>
                      <w:rFonts w:ascii="Times New Roman" w:hAnsi="Times New Roman" w:eastAsia="宋体"/>
                      <w:color w:val="auto"/>
                      <w:szCs w:val="21"/>
                    </w:rPr>
                    <w:t>或者参照</w:t>
                  </w:r>
                  <w:r>
                    <w:rPr>
                      <w:rFonts w:ascii="Times New Roman" w:hAnsi="Times New Roman"/>
                      <w:color w:val="auto"/>
                      <w:szCs w:val="21"/>
                    </w:rPr>
                    <w:t>GB18598</w:t>
                  </w:r>
                  <w:r>
                    <w:rPr>
                      <w:rFonts w:ascii="Times New Roman" w:hAnsi="Times New Roman" w:eastAsia="宋体"/>
                      <w:color w:val="auto"/>
                      <w:szCs w:val="21"/>
                    </w:rPr>
                    <w:t>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noWrap w:val="0"/>
                  <w:vAlign w:val="center"/>
                </w:tcPr>
                <w:p>
                  <w:pPr>
                    <w:jc w:val="center"/>
                    <w:rPr>
                      <w:rFonts w:ascii="Times New Roman" w:hAnsi="Times New Roman"/>
                      <w:color w:val="auto"/>
                      <w:szCs w:val="21"/>
                    </w:rPr>
                  </w:pPr>
                  <w:r>
                    <w:rPr>
                      <w:rFonts w:ascii="Times New Roman" w:hAnsi="Times New Roman" w:eastAsia="宋体"/>
                      <w:color w:val="auto"/>
                      <w:szCs w:val="21"/>
                    </w:rPr>
                    <w:t>一般防渗区</w:t>
                  </w:r>
                </w:p>
              </w:tc>
              <w:tc>
                <w:tcPr>
                  <w:tcW w:w="1173" w:type="pct"/>
                  <w:noWrap w:val="0"/>
                  <w:vAlign w:val="center"/>
                </w:tcPr>
                <w:p>
                  <w:pPr>
                    <w:jc w:val="center"/>
                    <w:rPr>
                      <w:rFonts w:ascii="Times New Roman" w:hAnsi="Times New Roman"/>
                      <w:color w:val="auto"/>
                      <w:szCs w:val="21"/>
                    </w:rPr>
                  </w:pPr>
                  <w:r>
                    <w:rPr>
                      <w:rFonts w:hint="eastAsia"/>
                      <w:color w:val="auto"/>
                      <w:szCs w:val="21"/>
                      <w:lang w:val="en-US" w:eastAsia="zh-CN"/>
                    </w:rPr>
                    <w:t>11#厂房</w:t>
                  </w:r>
                  <w:r>
                    <w:rPr>
                      <w:rFonts w:ascii="Times New Roman" w:hAnsi="Times New Roman" w:eastAsia="宋体"/>
                      <w:color w:val="auto"/>
                      <w:szCs w:val="21"/>
                    </w:rPr>
                    <w:t>重点污染防治区之外的区域</w:t>
                  </w:r>
                </w:p>
              </w:tc>
              <w:tc>
                <w:tcPr>
                  <w:tcW w:w="1429" w:type="pct"/>
                  <w:noWrap w:val="0"/>
                  <w:vAlign w:val="center"/>
                </w:tcPr>
                <w:p>
                  <w:pPr>
                    <w:jc w:val="center"/>
                    <w:rPr>
                      <w:rFonts w:ascii="Times New Roman" w:hAnsi="Times New Roman"/>
                      <w:color w:val="auto"/>
                      <w:szCs w:val="21"/>
                    </w:rPr>
                  </w:pPr>
                  <w:r>
                    <w:rPr>
                      <w:rFonts w:ascii="Times New Roman" w:hAnsi="Times New Roman" w:eastAsia="宋体"/>
                      <w:color w:val="auto"/>
                      <w:szCs w:val="21"/>
                    </w:rPr>
                    <w:t>抗渗混凝土浇注地面</w:t>
                  </w:r>
                </w:p>
              </w:tc>
              <w:tc>
                <w:tcPr>
                  <w:tcW w:w="1838" w:type="pct"/>
                  <w:noWrap w:val="0"/>
                  <w:vAlign w:val="center"/>
                </w:tcPr>
                <w:p>
                  <w:pPr>
                    <w:jc w:val="center"/>
                    <w:rPr>
                      <w:rFonts w:ascii="Times New Roman" w:hAnsi="Times New Roman"/>
                      <w:color w:val="auto"/>
                      <w:szCs w:val="21"/>
                    </w:rPr>
                  </w:pPr>
                  <w:r>
                    <w:rPr>
                      <w:rFonts w:ascii="Times New Roman" w:hAnsi="Times New Roman" w:eastAsia="宋体"/>
                      <w:color w:val="auto"/>
                      <w:szCs w:val="21"/>
                    </w:rPr>
                    <w:t>等效黏土防渗层</w:t>
                  </w:r>
                  <w:r>
                    <w:rPr>
                      <w:rFonts w:ascii="Times New Roman" w:hAnsi="Times New Roman"/>
                      <w:color w:val="auto"/>
                      <w:szCs w:val="21"/>
                    </w:rPr>
                    <w:t>Mb≥1.5m</w:t>
                  </w:r>
                  <w:r>
                    <w:rPr>
                      <w:rFonts w:ascii="Times New Roman" w:hAnsi="Times New Roman" w:eastAsia="宋体"/>
                      <w:color w:val="auto"/>
                      <w:szCs w:val="21"/>
                    </w:rPr>
                    <w:t>，</w:t>
                  </w:r>
                  <w:r>
                    <w:rPr>
                      <w:rFonts w:ascii="Times New Roman" w:hAnsi="Times New Roman"/>
                      <w:color w:val="auto"/>
                      <w:szCs w:val="21"/>
                    </w:rPr>
                    <w:t>K≤10</w:t>
                  </w:r>
                  <w:r>
                    <w:rPr>
                      <w:rFonts w:ascii="Times New Roman" w:hAnsi="Times New Roman"/>
                      <w:color w:val="auto"/>
                      <w:szCs w:val="21"/>
                      <w:vertAlign w:val="superscript"/>
                    </w:rPr>
                    <w:t>-7</w:t>
                  </w:r>
                  <w:r>
                    <w:rPr>
                      <w:rFonts w:ascii="Times New Roman" w:hAnsi="Times New Roman"/>
                      <w:color w:val="auto"/>
                      <w:szCs w:val="21"/>
                    </w:rPr>
                    <w:t>cm/s</w:t>
                  </w:r>
                  <w:r>
                    <w:rPr>
                      <w:rFonts w:ascii="Times New Roman" w:hAnsi="Times New Roman" w:eastAsia="宋体"/>
                      <w:color w:val="auto"/>
                      <w:szCs w:val="21"/>
                    </w:rPr>
                    <w:t>或者参照</w:t>
                  </w:r>
                  <w:r>
                    <w:rPr>
                      <w:rFonts w:ascii="Times New Roman" w:hAnsi="Times New Roman"/>
                      <w:color w:val="auto"/>
                      <w:szCs w:val="21"/>
                    </w:rPr>
                    <w:t>GB16889</w:t>
                  </w:r>
                  <w:r>
                    <w:rPr>
                      <w:rFonts w:ascii="Times New Roman" w:hAnsi="Times New Roman" w:eastAsia="宋体"/>
                      <w:color w:val="auto"/>
                      <w:szCs w:val="21"/>
                    </w:rPr>
                    <w:t>执行</w:t>
                  </w:r>
                </w:p>
              </w:tc>
            </w:tr>
          </w:tbl>
          <w:p>
            <w:pPr>
              <w:spacing w:line="360" w:lineRule="auto"/>
              <w:ind w:firstLine="482"/>
              <w:rPr>
                <w:color w:val="auto"/>
                <w:sz w:val="24"/>
              </w:rPr>
            </w:pPr>
            <w:r>
              <w:rPr>
                <w:b/>
                <w:bCs/>
                <w:color w:val="auto"/>
                <w:sz w:val="24"/>
              </w:rPr>
              <w:t>6、环境风险</w:t>
            </w:r>
          </w:p>
          <w:p>
            <w:pPr>
              <w:snapToGrid w:val="0"/>
              <w:spacing w:line="360" w:lineRule="auto"/>
              <w:ind w:firstLine="480"/>
              <w:rPr>
                <w:bCs/>
                <w:color w:val="auto"/>
                <w:sz w:val="24"/>
              </w:rPr>
            </w:pPr>
            <w:r>
              <w:rPr>
                <w:bCs/>
                <w:color w:val="auto"/>
                <w:sz w:val="24"/>
              </w:rPr>
              <w:t>（1）评价依据</w:t>
            </w:r>
          </w:p>
          <w:p>
            <w:pPr>
              <w:snapToGrid w:val="0"/>
              <w:spacing w:line="360" w:lineRule="auto"/>
              <w:ind w:firstLine="480"/>
              <w:rPr>
                <w:bCs/>
                <w:color w:val="auto"/>
                <w:sz w:val="24"/>
              </w:rPr>
            </w:pPr>
            <w:r>
              <w:rPr>
                <w:bCs/>
                <w:color w:val="auto"/>
                <w:sz w:val="24"/>
              </w:rPr>
              <w:fldChar w:fldCharType="begin"/>
            </w:r>
            <w:r>
              <w:rPr>
                <w:bCs/>
                <w:color w:val="auto"/>
                <w:sz w:val="24"/>
              </w:rPr>
              <w:instrText xml:space="preserve"> = 1 \* GB3 </w:instrText>
            </w:r>
            <w:r>
              <w:rPr>
                <w:bCs/>
                <w:color w:val="auto"/>
                <w:sz w:val="24"/>
              </w:rPr>
              <w:fldChar w:fldCharType="separate"/>
            </w:r>
            <w:r>
              <w:rPr>
                <w:bCs/>
                <w:color w:val="auto"/>
                <w:sz w:val="24"/>
              </w:rPr>
              <w:t>①</w:t>
            </w:r>
            <w:r>
              <w:rPr>
                <w:bCs/>
                <w:color w:val="auto"/>
                <w:sz w:val="24"/>
              </w:rPr>
              <w:fldChar w:fldCharType="end"/>
            </w:r>
            <w:r>
              <w:rPr>
                <w:bCs/>
                <w:color w:val="auto"/>
                <w:sz w:val="24"/>
              </w:rPr>
              <w:t>风险调查</w:t>
            </w:r>
          </w:p>
          <w:p>
            <w:pPr>
              <w:adjustRightInd w:val="0"/>
              <w:snapToGrid w:val="0"/>
              <w:spacing w:line="360" w:lineRule="auto"/>
              <w:ind w:firstLine="480" w:firstLineChars="200"/>
              <w:rPr>
                <w:color w:val="auto"/>
                <w:sz w:val="24"/>
                <w:szCs w:val="22"/>
              </w:rPr>
            </w:pPr>
            <w:r>
              <w:rPr>
                <w:bCs/>
                <w:color w:val="auto"/>
                <w:sz w:val="24"/>
              </w:rPr>
              <w:t>根据《建设项目环境风险评价技术导则》（HJ 169-2018）及相关文件的相关规定，建设项目涉及的风险物质为：</w:t>
            </w:r>
            <w:r>
              <w:rPr>
                <w:color w:val="auto"/>
                <w:sz w:val="24"/>
                <w:szCs w:val="22"/>
              </w:rPr>
              <w:t>二苯基甲烷二异氰酸酯</w:t>
            </w:r>
            <w:r>
              <w:rPr>
                <w:rFonts w:hint="eastAsia"/>
                <w:color w:val="auto"/>
                <w:sz w:val="24"/>
                <w:szCs w:val="22"/>
              </w:rPr>
              <w:t>（</w:t>
            </w:r>
            <w:r>
              <w:rPr>
                <w:bCs/>
                <w:color w:val="auto"/>
                <w:sz w:val="24"/>
              </w:rPr>
              <w:t>MDI</w:t>
            </w:r>
            <w:r>
              <w:rPr>
                <w:rFonts w:hint="eastAsia"/>
                <w:color w:val="auto"/>
                <w:sz w:val="24"/>
                <w:szCs w:val="22"/>
              </w:rPr>
              <w:t>）</w:t>
            </w:r>
            <w:r>
              <w:rPr>
                <w:bCs/>
                <w:color w:val="auto"/>
                <w:sz w:val="24"/>
              </w:rPr>
              <w:t>，本项目使用的原料为</w:t>
            </w:r>
            <w:r>
              <w:rPr>
                <w:color w:val="auto"/>
                <w:sz w:val="24"/>
                <w:szCs w:val="22"/>
              </w:rPr>
              <w:t>异氰酸酯</w:t>
            </w:r>
            <w:r>
              <w:rPr>
                <w:rFonts w:hint="eastAsia"/>
                <w:color w:val="auto"/>
                <w:sz w:val="24"/>
                <w:szCs w:val="22"/>
              </w:rPr>
              <w:t>，</w:t>
            </w:r>
            <w:r>
              <w:rPr>
                <w:color w:val="auto"/>
                <w:sz w:val="24"/>
                <w:szCs w:val="22"/>
              </w:rPr>
              <w:t>根据MSDS数据表，该物质为混合物，主要成分有：二苯基甲烷二异氰酸酯</w:t>
            </w:r>
            <w:r>
              <w:rPr>
                <w:rFonts w:hint="eastAsia"/>
                <w:color w:val="auto"/>
                <w:sz w:val="24"/>
                <w:szCs w:val="22"/>
                <w:lang w:eastAsia="zh-CN"/>
              </w:rPr>
              <w:t>（</w:t>
            </w:r>
            <w:r>
              <w:rPr>
                <w:rFonts w:hint="eastAsia"/>
                <w:color w:val="auto"/>
                <w:sz w:val="24"/>
                <w:szCs w:val="22"/>
              </w:rPr>
              <w:t>MDI</w:t>
            </w:r>
            <w:r>
              <w:rPr>
                <w:rFonts w:hint="eastAsia"/>
                <w:color w:val="auto"/>
                <w:sz w:val="24"/>
                <w:szCs w:val="22"/>
                <w:lang w:eastAsia="zh-CN"/>
              </w:rPr>
              <w:t>）</w:t>
            </w:r>
            <w:r>
              <w:rPr>
                <w:rFonts w:hint="eastAsia"/>
                <w:color w:val="auto"/>
                <w:sz w:val="24"/>
                <w:szCs w:val="22"/>
              </w:rPr>
              <w:t>（占比20%-40%）、氨基甲酸酯改性二苯基甲烷二异氰酸酯（占比50%-70%）、多亚甲基多苯基多异氰酸酯（占比10%-30%）。</w:t>
            </w:r>
          </w:p>
          <w:p>
            <w:pPr>
              <w:pStyle w:val="17"/>
              <w:ind w:firstLine="480"/>
              <w:rPr>
                <w:color w:val="auto"/>
              </w:rPr>
            </w:pPr>
            <w:r>
              <w:rPr>
                <w:rFonts w:eastAsia="宋体"/>
                <w:color w:val="auto"/>
                <w:sz w:val="24"/>
                <w:szCs w:val="22"/>
              </w:rPr>
              <w:t>二苯基甲烷二异氰酸酯（MDI）理化性质：白色或浅黄色固体，有毒，室温下易于生成不溶解的二聚体，溶于苯、甲苯、氯苯、丙酮等，密度为1.19，熔点为36~39℃，沸点为190℃（667Pa），闪点为202℃，对皮肤有刺激性，对眼鼻有严重刺激性，有轻微致癌性风险，对水体、土壤和大气可造成污染，遇高热和明火可燃。</w:t>
            </w:r>
          </w:p>
          <w:p>
            <w:pPr>
              <w:tabs>
                <w:tab w:val="left" w:pos="3072"/>
              </w:tabs>
              <w:snapToGrid w:val="0"/>
              <w:spacing w:line="360" w:lineRule="auto"/>
              <w:ind w:firstLine="480"/>
              <w:rPr>
                <w:rFonts w:hint="eastAsia" w:eastAsia="宋体"/>
                <w:color w:val="auto"/>
                <w:sz w:val="24"/>
                <w:lang w:eastAsia="zh-CN"/>
              </w:rPr>
            </w:pPr>
            <w:r>
              <w:rPr>
                <w:color w:val="auto"/>
                <w:sz w:val="24"/>
              </w:rPr>
              <w:fldChar w:fldCharType="begin"/>
            </w:r>
            <w:r>
              <w:rPr>
                <w:color w:val="auto"/>
                <w:sz w:val="24"/>
              </w:rPr>
              <w:instrText xml:space="preserve"> = 2 \* GB3 </w:instrText>
            </w:r>
            <w:r>
              <w:rPr>
                <w:color w:val="auto"/>
                <w:sz w:val="24"/>
              </w:rPr>
              <w:fldChar w:fldCharType="separate"/>
            </w:r>
            <w:r>
              <w:rPr>
                <w:color w:val="auto"/>
                <w:sz w:val="24"/>
              </w:rPr>
              <w:t>②</w:t>
            </w:r>
            <w:r>
              <w:rPr>
                <w:color w:val="auto"/>
                <w:sz w:val="24"/>
              </w:rPr>
              <w:fldChar w:fldCharType="end"/>
            </w:r>
            <w:r>
              <w:rPr>
                <w:color w:val="auto"/>
                <w:sz w:val="24"/>
              </w:rPr>
              <w:t>风险潜势初判</w:t>
            </w:r>
            <w:r>
              <w:rPr>
                <w:rFonts w:hint="eastAsia"/>
                <w:color w:val="auto"/>
                <w:sz w:val="24"/>
                <w:lang w:eastAsia="zh-CN"/>
              </w:rPr>
              <w:tab/>
            </w:r>
          </w:p>
          <w:p>
            <w:pPr>
              <w:snapToGrid w:val="0"/>
              <w:spacing w:line="360" w:lineRule="auto"/>
              <w:ind w:firstLine="480"/>
              <w:rPr>
                <w:bCs/>
                <w:color w:val="auto"/>
                <w:sz w:val="24"/>
              </w:rPr>
            </w:pPr>
            <w:r>
              <w:rPr>
                <w:bCs/>
                <w:color w:val="auto"/>
                <w:sz w:val="24"/>
              </w:rPr>
              <w:t>本项目原料</w:t>
            </w:r>
            <w:r>
              <w:rPr>
                <w:color w:val="auto"/>
                <w:sz w:val="24"/>
                <w:szCs w:val="22"/>
              </w:rPr>
              <w:t>异氰酸酯的最大存储量为</w:t>
            </w:r>
            <w:r>
              <w:rPr>
                <w:rFonts w:hint="eastAsia"/>
                <w:color w:val="auto"/>
                <w:sz w:val="24"/>
                <w:szCs w:val="22"/>
              </w:rPr>
              <w:t xml:space="preserve">1 </w:t>
            </w:r>
            <w:r>
              <w:rPr>
                <w:color w:val="auto"/>
                <w:sz w:val="24"/>
                <w:szCs w:val="22"/>
              </w:rPr>
              <w:t>t，则二苯基甲烷二异氰酸酯</w:t>
            </w:r>
            <w:r>
              <w:rPr>
                <w:rFonts w:hint="eastAsia"/>
                <w:color w:val="auto"/>
                <w:sz w:val="24"/>
                <w:szCs w:val="22"/>
              </w:rPr>
              <w:t>（</w:t>
            </w:r>
            <w:r>
              <w:rPr>
                <w:color w:val="auto"/>
                <w:sz w:val="24"/>
                <w:szCs w:val="22"/>
              </w:rPr>
              <w:t>MDI</w:t>
            </w:r>
            <w:r>
              <w:rPr>
                <w:rFonts w:hint="eastAsia"/>
                <w:color w:val="auto"/>
                <w:sz w:val="24"/>
                <w:szCs w:val="22"/>
              </w:rPr>
              <w:t>）</w:t>
            </w:r>
            <w:r>
              <w:rPr>
                <w:color w:val="auto"/>
                <w:sz w:val="24"/>
                <w:szCs w:val="22"/>
              </w:rPr>
              <w:t>的最大存储量为</w:t>
            </w:r>
            <w:r>
              <w:rPr>
                <w:rFonts w:hint="eastAsia"/>
                <w:color w:val="auto"/>
                <w:sz w:val="24"/>
                <w:szCs w:val="22"/>
              </w:rPr>
              <w:t xml:space="preserve">0.4 </w:t>
            </w:r>
            <w:r>
              <w:rPr>
                <w:color w:val="auto"/>
                <w:sz w:val="24"/>
                <w:szCs w:val="22"/>
              </w:rPr>
              <w:t>t，本项目涉及的风险物质为MDI。</w:t>
            </w:r>
            <w:r>
              <w:rPr>
                <w:bCs/>
                <w:color w:val="auto"/>
                <w:sz w:val="24"/>
              </w:rPr>
              <w:t>根据《建设项目环境风险评价技术导则》（HJ 169-2018）附录B中表B.1以及企业提供资料，风险物质的存最大存储量以及临界量见表4-</w:t>
            </w:r>
            <w:r>
              <w:rPr>
                <w:rFonts w:hint="eastAsia"/>
                <w:bCs/>
                <w:color w:val="auto"/>
                <w:sz w:val="24"/>
              </w:rPr>
              <w:t>1</w:t>
            </w:r>
            <w:r>
              <w:rPr>
                <w:rFonts w:hint="eastAsia"/>
                <w:bCs/>
                <w:color w:val="auto"/>
                <w:sz w:val="24"/>
                <w:lang w:val="en-US" w:eastAsia="zh-CN"/>
              </w:rPr>
              <w:t>6</w:t>
            </w:r>
            <w:r>
              <w:rPr>
                <w:bCs/>
                <w:color w:val="auto"/>
                <w:sz w:val="24"/>
              </w:rPr>
              <w:t>。</w:t>
            </w:r>
          </w:p>
          <w:p>
            <w:pPr>
              <w:adjustRightInd w:val="0"/>
              <w:snapToGrid w:val="0"/>
              <w:spacing w:line="360" w:lineRule="auto"/>
              <w:ind w:firstLine="422" w:firstLineChars="200"/>
              <w:jc w:val="center"/>
              <w:rPr>
                <w:b/>
                <w:color w:val="auto"/>
                <w:szCs w:val="21"/>
              </w:rPr>
            </w:pPr>
          </w:p>
          <w:p>
            <w:pPr>
              <w:adjustRightInd w:val="0"/>
              <w:snapToGrid w:val="0"/>
              <w:spacing w:line="360" w:lineRule="auto"/>
              <w:ind w:firstLine="422" w:firstLineChars="200"/>
              <w:jc w:val="center"/>
              <w:rPr>
                <w:b/>
                <w:color w:val="auto"/>
                <w:szCs w:val="21"/>
              </w:rPr>
            </w:pPr>
          </w:p>
          <w:p>
            <w:pPr>
              <w:adjustRightInd w:val="0"/>
              <w:snapToGrid w:val="0"/>
              <w:spacing w:line="360" w:lineRule="auto"/>
              <w:ind w:firstLine="422" w:firstLineChars="200"/>
              <w:jc w:val="center"/>
              <w:rPr>
                <w:rFonts w:hAnsi="Cambria Math"/>
                <w:color w:val="auto"/>
                <w:sz w:val="24"/>
              </w:rPr>
            </w:pPr>
            <w:r>
              <w:rPr>
                <w:b/>
                <w:color w:val="auto"/>
                <w:szCs w:val="21"/>
              </w:rPr>
              <w:t>表4-</w:t>
            </w:r>
            <w:r>
              <w:rPr>
                <w:rFonts w:hint="eastAsia"/>
                <w:b/>
                <w:color w:val="auto"/>
                <w:szCs w:val="21"/>
              </w:rPr>
              <w:t>1</w:t>
            </w:r>
            <w:r>
              <w:rPr>
                <w:rFonts w:hint="eastAsia"/>
                <w:b/>
                <w:color w:val="auto"/>
                <w:szCs w:val="21"/>
                <w:lang w:val="en-US" w:eastAsia="zh-CN"/>
              </w:rPr>
              <w:t>6</w:t>
            </w:r>
            <w:r>
              <w:rPr>
                <w:b/>
                <w:color w:val="auto"/>
                <w:szCs w:val="21"/>
              </w:rPr>
              <w:t xml:space="preserve">  环境风险物质数量与临界量Q计算结果表</w:t>
            </w:r>
          </w:p>
          <w:tbl>
            <w:tblPr>
              <w:tblStyle w:val="19"/>
              <w:tblW w:w="499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197"/>
              <w:gridCol w:w="1199"/>
              <w:gridCol w:w="1311"/>
              <w:gridCol w:w="1109"/>
              <w:gridCol w:w="1109"/>
              <w:gridCol w:w="12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tcBorders>
                    <w:top w:val="single" w:color="auto" w:sz="12" w:space="0"/>
                  </w:tcBorders>
                  <w:vAlign w:val="center"/>
                </w:tcPr>
                <w:p>
                  <w:pPr>
                    <w:pStyle w:val="50"/>
                    <w:rPr>
                      <w:color w:val="auto"/>
                      <w:sz w:val="21"/>
                      <w:szCs w:val="21"/>
                    </w:rPr>
                  </w:pPr>
                  <w:r>
                    <w:rPr>
                      <w:rFonts w:hint="eastAsia"/>
                      <w:color w:val="auto"/>
                      <w:sz w:val="21"/>
                      <w:szCs w:val="21"/>
                    </w:rPr>
                    <w:t>序号</w:t>
                  </w:r>
                </w:p>
              </w:tc>
              <w:tc>
                <w:tcPr>
                  <w:tcW w:w="748" w:type="pct"/>
                  <w:tcBorders>
                    <w:top w:val="single" w:color="auto" w:sz="12" w:space="0"/>
                  </w:tcBorders>
                  <w:vAlign w:val="center"/>
                </w:tcPr>
                <w:p>
                  <w:pPr>
                    <w:pStyle w:val="50"/>
                    <w:rPr>
                      <w:color w:val="auto"/>
                      <w:sz w:val="21"/>
                      <w:szCs w:val="21"/>
                    </w:rPr>
                  </w:pPr>
                  <w:r>
                    <w:rPr>
                      <w:rFonts w:hint="eastAsia"/>
                      <w:color w:val="auto"/>
                      <w:sz w:val="21"/>
                      <w:szCs w:val="21"/>
                    </w:rPr>
                    <w:t>风险单元</w:t>
                  </w:r>
                </w:p>
              </w:tc>
              <w:tc>
                <w:tcPr>
                  <w:tcW w:w="749" w:type="pct"/>
                  <w:tcBorders>
                    <w:top w:val="single" w:color="auto" w:sz="12" w:space="0"/>
                  </w:tcBorders>
                  <w:vAlign w:val="center"/>
                </w:tcPr>
                <w:p>
                  <w:pPr>
                    <w:pStyle w:val="50"/>
                    <w:rPr>
                      <w:color w:val="auto"/>
                      <w:sz w:val="21"/>
                      <w:szCs w:val="21"/>
                    </w:rPr>
                  </w:pPr>
                  <w:r>
                    <w:rPr>
                      <w:rFonts w:hint="eastAsia"/>
                      <w:color w:val="auto"/>
                      <w:sz w:val="21"/>
                      <w:szCs w:val="21"/>
                    </w:rPr>
                    <w:t>危险物质名称</w:t>
                  </w:r>
                </w:p>
              </w:tc>
              <w:tc>
                <w:tcPr>
                  <w:tcW w:w="819" w:type="pct"/>
                  <w:tcBorders>
                    <w:top w:val="single" w:color="auto" w:sz="12" w:space="0"/>
                  </w:tcBorders>
                  <w:vAlign w:val="center"/>
                </w:tcPr>
                <w:p>
                  <w:pPr>
                    <w:pStyle w:val="50"/>
                    <w:rPr>
                      <w:color w:val="auto"/>
                      <w:sz w:val="21"/>
                      <w:szCs w:val="21"/>
                    </w:rPr>
                  </w:pPr>
                  <w:r>
                    <w:rPr>
                      <w:rFonts w:hint="eastAsia"/>
                      <w:color w:val="auto"/>
                      <w:sz w:val="21"/>
                      <w:szCs w:val="21"/>
                    </w:rPr>
                    <w:t>CAS号</w:t>
                  </w:r>
                </w:p>
              </w:tc>
              <w:tc>
                <w:tcPr>
                  <w:tcW w:w="693" w:type="pct"/>
                  <w:tcBorders>
                    <w:top w:val="single" w:color="auto" w:sz="12" w:space="0"/>
                  </w:tcBorders>
                  <w:vAlign w:val="center"/>
                </w:tcPr>
                <w:p>
                  <w:pPr>
                    <w:pStyle w:val="50"/>
                    <w:rPr>
                      <w:color w:val="auto"/>
                      <w:sz w:val="21"/>
                      <w:szCs w:val="21"/>
                    </w:rPr>
                  </w:pPr>
                  <w:r>
                    <w:rPr>
                      <w:color w:val="auto"/>
                      <w:sz w:val="21"/>
                      <w:szCs w:val="21"/>
                    </w:rPr>
                    <w:t>最大存在总量</w:t>
                  </w:r>
                </w:p>
                <w:p>
                  <w:pPr>
                    <w:pStyle w:val="50"/>
                    <w:rPr>
                      <w:color w:val="auto"/>
                      <w:sz w:val="21"/>
                      <w:szCs w:val="21"/>
                    </w:rPr>
                  </w:pPr>
                  <w:r>
                    <w:rPr>
                      <w:color w:val="auto"/>
                      <w:sz w:val="21"/>
                      <w:szCs w:val="21"/>
                    </w:rPr>
                    <w:t>q</w:t>
                  </w:r>
                  <w:r>
                    <w:rPr>
                      <w:color w:val="auto"/>
                      <w:sz w:val="21"/>
                      <w:szCs w:val="21"/>
                      <w:vertAlign w:val="subscript"/>
                    </w:rPr>
                    <w:t>n</w:t>
                  </w:r>
                  <w:r>
                    <w:rPr>
                      <w:color w:val="auto"/>
                      <w:sz w:val="21"/>
                      <w:szCs w:val="21"/>
                    </w:rPr>
                    <w:t>/t</w:t>
                  </w:r>
                </w:p>
              </w:tc>
              <w:tc>
                <w:tcPr>
                  <w:tcW w:w="693" w:type="pct"/>
                  <w:tcBorders>
                    <w:top w:val="single" w:color="auto" w:sz="12" w:space="0"/>
                  </w:tcBorders>
                  <w:vAlign w:val="center"/>
                </w:tcPr>
                <w:p>
                  <w:pPr>
                    <w:pStyle w:val="50"/>
                    <w:rPr>
                      <w:color w:val="auto"/>
                      <w:sz w:val="21"/>
                      <w:szCs w:val="21"/>
                    </w:rPr>
                  </w:pPr>
                  <w:r>
                    <w:rPr>
                      <w:color w:val="auto"/>
                      <w:sz w:val="21"/>
                      <w:szCs w:val="21"/>
                    </w:rPr>
                    <w:t>临界量</w:t>
                  </w:r>
                </w:p>
                <w:p>
                  <w:pPr>
                    <w:pStyle w:val="50"/>
                    <w:rPr>
                      <w:color w:val="auto"/>
                      <w:sz w:val="21"/>
                      <w:szCs w:val="21"/>
                    </w:rPr>
                  </w:pPr>
                  <w:r>
                    <w:rPr>
                      <w:color w:val="auto"/>
                      <w:sz w:val="21"/>
                      <w:szCs w:val="21"/>
                    </w:rPr>
                    <w:t>Qn/t</w:t>
                  </w:r>
                </w:p>
              </w:tc>
              <w:tc>
                <w:tcPr>
                  <w:tcW w:w="798" w:type="pct"/>
                  <w:tcBorders>
                    <w:top w:val="single" w:color="auto" w:sz="12" w:space="0"/>
                  </w:tcBorders>
                  <w:vAlign w:val="center"/>
                </w:tcPr>
                <w:p>
                  <w:pPr>
                    <w:pStyle w:val="50"/>
                    <w:rPr>
                      <w:color w:val="auto"/>
                      <w:sz w:val="21"/>
                      <w:szCs w:val="21"/>
                    </w:rPr>
                  </w:pPr>
                  <w:r>
                    <w:rPr>
                      <w:color w:val="auto"/>
                      <w:sz w:val="21"/>
                      <w:szCs w:val="21"/>
                    </w:rPr>
                    <w:t>Q 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vAlign w:val="center"/>
                </w:tcPr>
                <w:p>
                  <w:pPr>
                    <w:pStyle w:val="50"/>
                    <w:rPr>
                      <w:b w:val="0"/>
                      <w:bCs/>
                      <w:color w:val="auto"/>
                      <w:sz w:val="21"/>
                      <w:szCs w:val="21"/>
                    </w:rPr>
                  </w:pPr>
                  <w:r>
                    <w:rPr>
                      <w:rFonts w:hint="eastAsia"/>
                      <w:b w:val="0"/>
                      <w:bCs/>
                      <w:color w:val="auto"/>
                      <w:sz w:val="21"/>
                      <w:szCs w:val="21"/>
                    </w:rPr>
                    <w:t>1</w:t>
                  </w:r>
                </w:p>
              </w:tc>
              <w:tc>
                <w:tcPr>
                  <w:tcW w:w="748" w:type="pct"/>
                  <w:vMerge w:val="restart"/>
                  <w:vAlign w:val="center"/>
                </w:tcPr>
                <w:p>
                  <w:pPr>
                    <w:pStyle w:val="50"/>
                    <w:rPr>
                      <w:b w:val="0"/>
                      <w:bCs/>
                      <w:color w:val="auto"/>
                      <w:sz w:val="21"/>
                      <w:szCs w:val="21"/>
                    </w:rPr>
                  </w:pPr>
                  <w:r>
                    <w:rPr>
                      <w:rFonts w:hint="eastAsia"/>
                      <w:b w:val="0"/>
                      <w:bCs/>
                      <w:color w:val="auto"/>
                      <w:sz w:val="21"/>
                      <w:szCs w:val="21"/>
                    </w:rPr>
                    <w:t>11#厂房AB料暂存区</w:t>
                  </w:r>
                </w:p>
              </w:tc>
              <w:tc>
                <w:tcPr>
                  <w:tcW w:w="749" w:type="pct"/>
                  <w:vAlign w:val="center"/>
                </w:tcPr>
                <w:p>
                  <w:pPr>
                    <w:pStyle w:val="50"/>
                    <w:rPr>
                      <w:b w:val="0"/>
                      <w:bCs/>
                      <w:color w:val="auto"/>
                      <w:sz w:val="21"/>
                      <w:szCs w:val="21"/>
                    </w:rPr>
                  </w:pPr>
                  <w:r>
                    <w:rPr>
                      <w:rFonts w:hint="eastAsia"/>
                      <w:b w:val="0"/>
                      <w:bCs/>
                      <w:color w:val="auto"/>
                      <w:sz w:val="21"/>
                      <w:szCs w:val="21"/>
                    </w:rPr>
                    <w:t>异氰酸酯</w:t>
                  </w:r>
                </w:p>
              </w:tc>
              <w:tc>
                <w:tcPr>
                  <w:tcW w:w="819" w:type="pct"/>
                  <w:vAlign w:val="center"/>
                </w:tcPr>
                <w:p>
                  <w:pPr>
                    <w:pStyle w:val="50"/>
                    <w:rPr>
                      <w:b w:val="0"/>
                      <w:bCs/>
                      <w:color w:val="auto"/>
                      <w:sz w:val="21"/>
                      <w:szCs w:val="21"/>
                    </w:rPr>
                  </w:pPr>
                  <w:r>
                    <w:rPr>
                      <w:rFonts w:hint="eastAsia"/>
                      <w:b w:val="0"/>
                      <w:bCs/>
                      <w:color w:val="auto"/>
                      <w:sz w:val="21"/>
                      <w:szCs w:val="21"/>
                    </w:rPr>
                    <w:t>/</w:t>
                  </w:r>
                </w:p>
              </w:tc>
              <w:tc>
                <w:tcPr>
                  <w:tcW w:w="693" w:type="pct"/>
                  <w:vAlign w:val="center"/>
                </w:tcPr>
                <w:p>
                  <w:pPr>
                    <w:pStyle w:val="50"/>
                    <w:rPr>
                      <w:b w:val="0"/>
                      <w:bCs/>
                      <w:color w:val="auto"/>
                      <w:sz w:val="21"/>
                      <w:szCs w:val="21"/>
                    </w:rPr>
                  </w:pPr>
                  <w:r>
                    <w:rPr>
                      <w:rFonts w:hint="eastAsia"/>
                      <w:b w:val="0"/>
                      <w:bCs/>
                      <w:color w:val="auto"/>
                      <w:sz w:val="21"/>
                      <w:szCs w:val="21"/>
                    </w:rPr>
                    <w:t>1</w:t>
                  </w:r>
                </w:p>
              </w:tc>
              <w:tc>
                <w:tcPr>
                  <w:tcW w:w="693" w:type="pct"/>
                  <w:vAlign w:val="center"/>
                </w:tcPr>
                <w:p>
                  <w:pPr>
                    <w:pStyle w:val="50"/>
                    <w:ind w:firstLine="420"/>
                    <w:rPr>
                      <w:rFonts w:hint="eastAsia" w:eastAsia="宋体"/>
                      <w:b w:val="0"/>
                      <w:bCs/>
                      <w:color w:val="auto"/>
                      <w:sz w:val="21"/>
                      <w:szCs w:val="21"/>
                      <w:lang w:val="en-US" w:eastAsia="zh-CN"/>
                    </w:rPr>
                  </w:pPr>
                  <w:r>
                    <w:rPr>
                      <w:rFonts w:hint="eastAsia"/>
                      <w:b w:val="0"/>
                      <w:bCs/>
                      <w:color w:val="auto"/>
                      <w:sz w:val="21"/>
                      <w:szCs w:val="21"/>
                      <w:lang w:val="en-US" w:eastAsia="zh-CN"/>
                    </w:rPr>
                    <w:t>/</w:t>
                  </w:r>
                </w:p>
              </w:tc>
              <w:tc>
                <w:tcPr>
                  <w:tcW w:w="798" w:type="pct"/>
                  <w:vAlign w:val="center"/>
                </w:tcPr>
                <w:p>
                  <w:pPr>
                    <w:pStyle w:val="50"/>
                    <w:ind w:firstLine="420"/>
                    <w:rPr>
                      <w:rFonts w:hint="eastAsia" w:eastAsia="宋体"/>
                      <w:b w:val="0"/>
                      <w:bCs/>
                      <w:color w:val="auto"/>
                      <w:sz w:val="21"/>
                      <w:szCs w:val="21"/>
                      <w:lang w:val="en-US" w:eastAsia="zh-CN"/>
                    </w:rPr>
                  </w:pPr>
                  <w:r>
                    <w:rPr>
                      <w:rFonts w:hint="eastAsia"/>
                      <w:b w:val="0"/>
                      <w:bCs/>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499" w:type="pct"/>
                  <w:vAlign w:val="center"/>
                </w:tcPr>
                <w:p>
                  <w:pPr>
                    <w:pStyle w:val="50"/>
                    <w:rPr>
                      <w:b w:val="0"/>
                      <w:bCs/>
                      <w:color w:val="auto"/>
                      <w:sz w:val="21"/>
                      <w:szCs w:val="21"/>
                    </w:rPr>
                  </w:pPr>
                  <w:r>
                    <w:rPr>
                      <w:rFonts w:hint="eastAsia"/>
                      <w:b w:val="0"/>
                      <w:bCs/>
                      <w:color w:val="auto"/>
                      <w:sz w:val="21"/>
                      <w:szCs w:val="21"/>
                    </w:rPr>
                    <w:t>1.1</w:t>
                  </w:r>
                </w:p>
              </w:tc>
              <w:tc>
                <w:tcPr>
                  <w:tcW w:w="748" w:type="pct"/>
                  <w:vMerge w:val="continue"/>
                  <w:vAlign w:val="center"/>
                </w:tcPr>
                <w:p>
                  <w:pPr>
                    <w:pStyle w:val="50"/>
                    <w:ind w:firstLine="420"/>
                    <w:rPr>
                      <w:b w:val="0"/>
                      <w:bCs/>
                      <w:color w:val="auto"/>
                      <w:sz w:val="21"/>
                      <w:szCs w:val="21"/>
                    </w:rPr>
                  </w:pPr>
                </w:p>
              </w:tc>
              <w:tc>
                <w:tcPr>
                  <w:tcW w:w="749" w:type="pct"/>
                  <w:vAlign w:val="center"/>
                </w:tcPr>
                <w:p>
                  <w:pPr>
                    <w:pStyle w:val="50"/>
                    <w:rPr>
                      <w:b w:val="0"/>
                      <w:bCs/>
                      <w:color w:val="auto"/>
                      <w:sz w:val="21"/>
                      <w:szCs w:val="21"/>
                    </w:rPr>
                  </w:pPr>
                  <w:r>
                    <w:rPr>
                      <w:rFonts w:hint="eastAsia"/>
                      <w:b w:val="0"/>
                      <w:bCs/>
                      <w:color w:val="auto"/>
                      <w:sz w:val="21"/>
                      <w:szCs w:val="21"/>
                    </w:rPr>
                    <w:t>二苯基甲烷二异氰酸酯（MDI）</w:t>
                  </w:r>
                </w:p>
              </w:tc>
              <w:tc>
                <w:tcPr>
                  <w:tcW w:w="819" w:type="pct"/>
                  <w:vAlign w:val="center"/>
                </w:tcPr>
                <w:p>
                  <w:pPr>
                    <w:pStyle w:val="50"/>
                    <w:rPr>
                      <w:b w:val="0"/>
                      <w:bCs/>
                      <w:color w:val="auto"/>
                      <w:sz w:val="21"/>
                      <w:szCs w:val="21"/>
                    </w:rPr>
                  </w:pPr>
                  <w:r>
                    <w:rPr>
                      <w:rFonts w:hint="eastAsia"/>
                      <w:b w:val="0"/>
                      <w:bCs/>
                      <w:color w:val="auto"/>
                      <w:sz w:val="21"/>
                      <w:szCs w:val="21"/>
                    </w:rPr>
                    <w:t>26447-40-5</w:t>
                  </w:r>
                </w:p>
              </w:tc>
              <w:tc>
                <w:tcPr>
                  <w:tcW w:w="693" w:type="pct"/>
                  <w:vAlign w:val="center"/>
                </w:tcPr>
                <w:p>
                  <w:pPr>
                    <w:pStyle w:val="50"/>
                    <w:rPr>
                      <w:b w:val="0"/>
                      <w:bCs/>
                      <w:color w:val="auto"/>
                      <w:sz w:val="21"/>
                      <w:szCs w:val="21"/>
                    </w:rPr>
                  </w:pPr>
                  <w:r>
                    <w:rPr>
                      <w:rFonts w:hint="eastAsia"/>
                      <w:b w:val="0"/>
                      <w:bCs/>
                      <w:color w:val="auto"/>
                      <w:sz w:val="21"/>
                      <w:szCs w:val="21"/>
                    </w:rPr>
                    <w:t>0.4</w:t>
                  </w:r>
                </w:p>
              </w:tc>
              <w:tc>
                <w:tcPr>
                  <w:tcW w:w="693" w:type="pct"/>
                  <w:vAlign w:val="center"/>
                </w:tcPr>
                <w:p>
                  <w:pPr>
                    <w:pStyle w:val="50"/>
                    <w:rPr>
                      <w:b w:val="0"/>
                      <w:bCs/>
                      <w:color w:val="auto"/>
                      <w:sz w:val="21"/>
                      <w:szCs w:val="21"/>
                    </w:rPr>
                  </w:pPr>
                  <w:r>
                    <w:rPr>
                      <w:rFonts w:hint="eastAsia"/>
                      <w:b w:val="0"/>
                      <w:bCs/>
                      <w:color w:val="auto"/>
                      <w:sz w:val="21"/>
                      <w:szCs w:val="21"/>
                    </w:rPr>
                    <w:t>0.5</w:t>
                  </w:r>
                </w:p>
              </w:tc>
              <w:tc>
                <w:tcPr>
                  <w:tcW w:w="798" w:type="pct"/>
                  <w:vAlign w:val="center"/>
                </w:tcPr>
                <w:p>
                  <w:pPr>
                    <w:pStyle w:val="50"/>
                    <w:rPr>
                      <w:b w:val="0"/>
                      <w:bCs/>
                      <w:color w:val="auto"/>
                      <w:sz w:val="21"/>
                      <w:szCs w:val="21"/>
                    </w:rPr>
                  </w:pPr>
                  <w:r>
                    <w:rPr>
                      <w:rFonts w:hint="eastAsia"/>
                      <w:b w:val="0"/>
                      <w:bCs/>
                      <w:color w:val="auto"/>
                      <w:sz w:val="21"/>
                      <w:szCs w:val="21"/>
                    </w:rPr>
                    <w:t>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vAlign w:val="center"/>
                </w:tcPr>
                <w:p>
                  <w:pPr>
                    <w:pStyle w:val="50"/>
                    <w:rPr>
                      <w:rFonts w:hint="default" w:eastAsia="宋体"/>
                      <w:b w:val="0"/>
                      <w:bCs/>
                      <w:color w:val="auto"/>
                      <w:sz w:val="21"/>
                      <w:szCs w:val="21"/>
                      <w:lang w:val="en-US" w:eastAsia="zh-CN"/>
                    </w:rPr>
                  </w:pPr>
                  <w:r>
                    <w:rPr>
                      <w:rFonts w:hint="eastAsia"/>
                      <w:b w:val="0"/>
                      <w:bCs/>
                      <w:color w:val="auto"/>
                      <w:sz w:val="21"/>
                      <w:szCs w:val="21"/>
                      <w:lang w:val="en-US" w:eastAsia="zh-CN"/>
                    </w:rPr>
                    <w:t>2</w:t>
                  </w:r>
                </w:p>
              </w:tc>
              <w:tc>
                <w:tcPr>
                  <w:tcW w:w="748" w:type="pct"/>
                  <w:vMerge w:val="continue"/>
                  <w:vAlign w:val="center"/>
                </w:tcPr>
                <w:p>
                  <w:pPr>
                    <w:pStyle w:val="50"/>
                    <w:ind w:firstLine="420"/>
                    <w:rPr>
                      <w:b w:val="0"/>
                      <w:bCs/>
                      <w:color w:val="auto"/>
                      <w:sz w:val="21"/>
                      <w:szCs w:val="21"/>
                    </w:rPr>
                  </w:pPr>
                </w:p>
              </w:tc>
              <w:tc>
                <w:tcPr>
                  <w:tcW w:w="749" w:type="pct"/>
                  <w:vAlign w:val="center"/>
                </w:tcPr>
                <w:p>
                  <w:pPr>
                    <w:pStyle w:val="50"/>
                    <w:rPr>
                      <w:rFonts w:hint="eastAsia" w:eastAsia="宋体"/>
                      <w:b w:val="0"/>
                      <w:bCs/>
                      <w:color w:val="auto"/>
                      <w:sz w:val="21"/>
                      <w:szCs w:val="21"/>
                      <w:lang w:val="en-US" w:eastAsia="zh-CN"/>
                    </w:rPr>
                  </w:pPr>
                  <w:r>
                    <w:rPr>
                      <w:rFonts w:hint="eastAsia"/>
                      <w:b w:val="0"/>
                      <w:bCs/>
                      <w:color w:val="auto"/>
                      <w:sz w:val="21"/>
                      <w:szCs w:val="21"/>
                      <w:lang w:val="en-US" w:eastAsia="zh-CN"/>
                    </w:rPr>
                    <w:t>组合聚醚</w:t>
                  </w:r>
                </w:p>
              </w:tc>
              <w:tc>
                <w:tcPr>
                  <w:tcW w:w="819" w:type="pct"/>
                  <w:vAlign w:val="center"/>
                </w:tcPr>
                <w:p>
                  <w:pPr>
                    <w:pStyle w:val="50"/>
                    <w:rPr>
                      <w:rFonts w:hint="eastAsia" w:eastAsia="宋体"/>
                      <w:b w:val="0"/>
                      <w:bCs/>
                      <w:color w:val="auto"/>
                      <w:sz w:val="21"/>
                      <w:szCs w:val="21"/>
                      <w:lang w:val="en-US" w:eastAsia="zh-CN"/>
                    </w:rPr>
                  </w:pPr>
                  <w:r>
                    <w:rPr>
                      <w:rFonts w:hint="eastAsia"/>
                      <w:b w:val="0"/>
                      <w:bCs/>
                      <w:color w:val="auto"/>
                      <w:sz w:val="21"/>
                      <w:szCs w:val="21"/>
                      <w:lang w:val="en-US" w:eastAsia="zh-CN"/>
                    </w:rPr>
                    <w:t>/</w:t>
                  </w:r>
                </w:p>
              </w:tc>
              <w:tc>
                <w:tcPr>
                  <w:tcW w:w="693" w:type="pct"/>
                  <w:vAlign w:val="center"/>
                </w:tcPr>
                <w:p>
                  <w:pPr>
                    <w:pStyle w:val="50"/>
                    <w:rPr>
                      <w:rFonts w:hint="default" w:eastAsia="宋体"/>
                      <w:b w:val="0"/>
                      <w:bCs/>
                      <w:color w:val="auto"/>
                      <w:sz w:val="21"/>
                      <w:szCs w:val="21"/>
                      <w:lang w:val="en-US" w:eastAsia="zh-CN"/>
                    </w:rPr>
                  </w:pPr>
                  <w:r>
                    <w:rPr>
                      <w:rFonts w:hint="eastAsia"/>
                      <w:b w:val="0"/>
                      <w:bCs/>
                      <w:color w:val="auto"/>
                      <w:sz w:val="21"/>
                      <w:szCs w:val="21"/>
                      <w:lang w:val="en-US" w:eastAsia="zh-CN"/>
                    </w:rPr>
                    <w:t>20</w:t>
                  </w:r>
                </w:p>
              </w:tc>
              <w:tc>
                <w:tcPr>
                  <w:tcW w:w="693" w:type="pct"/>
                  <w:vAlign w:val="center"/>
                </w:tcPr>
                <w:p>
                  <w:pPr>
                    <w:pStyle w:val="50"/>
                    <w:rPr>
                      <w:rFonts w:hint="eastAsia" w:eastAsia="宋体"/>
                      <w:b w:val="0"/>
                      <w:bCs/>
                      <w:color w:val="auto"/>
                      <w:sz w:val="21"/>
                      <w:szCs w:val="21"/>
                      <w:lang w:val="en-US" w:eastAsia="zh-CN"/>
                    </w:rPr>
                  </w:pPr>
                  <w:r>
                    <w:rPr>
                      <w:rFonts w:hint="eastAsia"/>
                      <w:b w:val="0"/>
                      <w:bCs/>
                      <w:color w:val="auto"/>
                      <w:sz w:val="21"/>
                      <w:szCs w:val="21"/>
                      <w:lang w:val="en-US" w:eastAsia="zh-CN"/>
                    </w:rPr>
                    <w:t>/</w:t>
                  </w:r>
                </w:p>
              </w:tc>
              <w:tc>
                <w:tcPr>
                  <w:tcW w:w="798" w:type="pct"/>
                  <w:vAlign w:val="center"/>
                </w:tcPr>
                <w:p>
                  <w:pPr>
                    <w:pStyle w:val="50"/>
                    <w:rPr>
                      <w:rFonts w:hint="eastAsia" w:eastAsia="宋体"/>
                      <w:b w:val="0"/>
                      <w:bCs/>
                      <w:color w:val="auto"/>
                      <w:sz w:val="21"/>
                      <w:szCs w:val="21"/>
                      <w:lang w:val="en-US" w:eastAsia="zh-CN"/>
                    </w:rPr>
                  </w:pPr>
                  <w:r>
                    <w:rPr>
                      <w:rFonts w:hint="eastAsia"/>
                      <w:b w:val="0"/>
                      <w:bCs/>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vAlign w:val="center"/>
                </w:tcPr>
                <w:p>
                  <w:pPr>
                    <w:pStyle w:val="50"/>
                    <w:rPr>
                      <w:rFonts w:hint="default"/>
                      <w:b w:val="0"/>
                      <w:bCs/>
                      <w:color w:val="auto"/>
                      <w:sz w:val="21"/>
                      <w:szCs w:val="21"/>
                      <w:lang w:val="en-US" w:eastAsia="zh-CN"/>
                    </w:rPr>
                  </w:pPr>
                  <w:r>
                    <w:rPr>
                      <w:rFonts w:hint="eastAsia"/>
                      <w:b w:val="0"/>
                      <w:bCs/>
                      <w:color w:val="auto"/>
                      <w:sz w:val="21"/>
                      <w:szCs w:val="21"/>
                      <w:lang w:val="en-US" w:eastAsia="zh-CN"/>
                    </w:rPr>
                    <w:t>2.1</w:t>
                  </w:r>
                </w:p>
              </w:tc>
              <w:tc>
                <w:tcPr>
                  <w:tcW w:w="748" w:type="pct"/>
                  <w:vMerge w:val="continue"/>
                  <w:vAlign w:val="center"/>
                </w:tcPr>
                <w:p>
                  <w:pPr>
                    <w:pStyle w:val="50"/>
                    <w:ind w:firstLine="420"/>
                    <w:rPr>
                      <w:b w:val="0"/>
                      <w:bCs/>
                      <w:color w:val="auto"/>
                      <w:sz w:val="21"/>
                      <w:szCs w:val="21"/>
                    </w:rPr>
                  </w:pPr>
                </w:p>
              </w:tc>
              <w:tc>
                <w:tcPr>
                  <w:tcW w:w="749" w:type="pct"/>
                  <w:vAlign w:val="center"/>
                </w:tcPr>
                <w:p>
                  <w:pPr>
                    <w:pStyle w:val="50"/>
                    <w:ind w:right="113" w:rightChars="0"/>
                    <w:rPr>
                      <w:rFonts w:hint="eastAsia" w:ascii="Times New Roman" w:hAnsi="Times New Roman" w:eastAsia="宋体" w:cs="Times New Roman"/>
                      <w:b w:val="0"/>
                      <w:bCs/>
                      <w:color w:val="auto"/>
                      <w:kern w:val="0"/>
                      <w:sz w:val="21"/>
                      <w:szCs w:val="21"/>
                      <w:lang w:val="en-US" w:eastAsia="zh-CN" w:bidi="ar-SA"/>
                    </w:rPr>
                  </w:pPr>
                  <w:r>
                    <w:rPr>
                      <w:rFonts w:hint="eastAsia"/>
                      <w:b w:val="0"/>
                      <w:bCs/>
                      <w:color w:val="auto"/>
                      <w:sz w:val="21"/>
                      <w:szCs w:val="21"/>
                    </w:rPr>
                    <w:t>聚醚多元醇</w:t>
                  </w:r>
                </w:p>
              </w:tc>
              <w:tc>
                <w:tcPr>
                  <w:tcW w:w="819" w:type="pct"/>
                  <w:vAlign w:val="center"/>
                </w:tcPr>
                <w:p>
                  <w:pPr>
                    <w:pStyle w:val="50"/>
                    <w:ind w:right="113" w:rightChars="0"/>
                    <w:rPr>
                      <w:rFonts w:hint="eastAsia" w:ascii="Times New Roman" w:hAnsi="Times New Roman" w:eastAsia="宋体" w:cs="Times New Roman"/>
                      <w:b w:val="0"/>
                      <w:bCs/>
                      <w:color w:val="auto"/>
                      <w:kern w:val="0"/>
                      <w:sz w:val="21"/>
                      <w:szCs w:val="21"/>
                      <w:lang w:val="en-US" w:eastAsia="zh-CN" w:bidi="ar-SA"/>
                    </w:rPr>
                  </w:pPr>
                  <w:r>
                    <w:rPr>
                      <w:rFonts w:hint="eastAsia"/>
                      <w:b w:val="0"/>
                      <w:bCs/>
                      <w:color w:val="auto"/>
                      <w:sz w:val="21"/>
                      <w:szCs w:val="21"/>
                    </w:rPr>
                    <w:t>9003-11-6</w:t>
                  </w:r>
                </w:p>
              </w:tc>
              <w:tc>
                <w:tcPr>
                  <w:tcW w:w="693" w:type="pct"/>
                  <w:vAlign w:val="center"/>
                </w:tcPr>
                <w:p>
                  <w:pPr>
                    <w:pStyle w:val="50"/>
                    <w:ind w:right="113" w:rightChars="0"/>
                    <w:rPr>
                      <w:rFonts w:hint="default" w:ascii="Times New Roman" w:hAnsi="Times New Roman" w:eastAsia="宋体" w:cs="Times New Roman"/>
                      <w:b w:val="0"/>
                      <w:bCs/>
                      <w:color w:val="auto"/>
                      <w:kern w:val="0"/>
                      <w:sz w:val="21"/>
                      <w:szCs w:val="21"/>
                      <w:lang w:val="en-US" w:eastAsia="zh-CN" w:bidi="ar-SA"/>
                    </w:rPr>
                  </w:pPr>
                  <w:r>
                    <w:rPr>
                      <w:rFonts w:hint="eastAsia"/>
                      <w:b w:val="0"/>
                      <w:bCs/>
                      <w:color w:val="auto"/>
                      <w:sz w:val="21"/>
                      <w:szCs w:val="21"/>
                      <w:lang w:val="en-US" w:eastAsia="zh-CN"/>
                    </w:rPr>
                    <w:t>19</w:t>
                  </w:r>
                </w:p>
              </w:tc>
              <w:tc>
                <w:tcPr>
                  <w:tcW w:w="693" w:type="pct"/>
                  <w:vAlign w:val="center"/>
                </w:tcPr>
                <w:p>
                  <w:pPr>
                    <w:pStyle w:val="50"/>
                    <w:rPr>
                      <w:rFonts w:hint="default"/>
                      <w:b w:val="0"/>
                      <w:bCs/>
                      <w:color w:val="auto"/>
                      <w:sz w:val="21"/>
                      <w:szCs w:val="21"/>
                      <w:lang w:val="en-US" w:eastAsia="zh-CN"/>
                    </w:rPr>
                  </w:pPr>
                  <w:r>
                    <w:rPr>
                      <w:rFonts w:hint="eastAsia"/>
                      <w:b w:val="0"/>
                      <w:bCs/>
                      <w:color w:val="auto"/>
                      <w:sz w:val="21"/>
                      <w:szCs w:val="21"/>
                      <w:lang w:val="en-US" w:eastAsia="zh-CN"/>
                    </w:rPr>
                    <w:t>/</w:t>
                  </w:r>
                </w:p>
              </w:tc>
              <w:tc>
                <w:tcPr>
                  <w:tcW w:w="798" w:type="pct"/>
                  <w:vAlign w:val="center"/>
                </w:tcPr>
                <w:p>
                  <w:pPr>
                    <w:pStyle w:val="50"/>
                    <w:rPr>
                      <w:rFonts w:hint="default"/>
                      <w:b w:val="0"/>
                      <w:bCs/>
                      <w:color w:val="auto"/>
                      <w:sz w:val="21"/>
                      <w:szCs w:val="21"/>
                      <w:lang w:val="en-US" w:eastAsia="zh-CN"/>
                    </w:rPr>
                  </w:pPr>
                  <w:r>
                    <w:rPr>
                      <w:rFonts w:hint="eastAsia"/>
                      <w:b w:val="0"/>
                      <w:bCs/>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01" w:type="pct"/>
                  <w:gridSpan w:val="6"/>
                  <w:tcBorders>
                    <w:bottom w:val="single" w:color="auto" w:sz="12" w:space="0"/>
                  </w:tcBorders>
                  <w:vAlign w:val="center"/>
                </w:tcPr>
                <w:p>
                  <w:pPr>
                    <w:pStyle w:val="50"/>
                    <w:rPr>
                      <w:b w:val="0"/>
                      <w:bCs/>
                      <w:color w:val="auto"/>
                      <w:sz w:val="21"/>
                      <w:szCs w:val="21"/>
                    </w:rPr>
                  </w:pPr>
                  <w:r>
                    <w:rPr>
                      <w:rFonts w:hint="eastAsia"/>
                      <w:b w:val="0"/>
                      <w:bCs/>
                      <w:color w:val="auto"/>
                      <w:sz w:val="21"/>
                      <w:szCs w:val="21"/>
                    </w:rPr>
                    <w:t>合计</w:t>
                  </w:r>
                </w:p>
              </w:tc>
              <w:tc>
                <w:tcPr>
                  <w:tcW w:w="798" w:type="pct"/>
                  <w:tcBorders>
                    <w:bottom w:val="single" w:color="auto" w:sz="12" w:space="0"/>
                  </w:tcBorders>
                  <w:vAlign w:val="center"/>
                </w:tcPr>
                <w:p>
                  <w:pPr>
                    <w:pStyle w:val="50"/>
                    <w:rPr>
                      <w:b w:val="0"/>
                      <w:bCs/>
                      <w:color w:val="auto"/>
                      <w:sz w:val="21"/>
                      <w:szCs w:val="21"/>
                    </w:rPr>
                  </w:pPr>
                  <w:r>
                    <w:rPr>
                      <w:rFonts w:hint="eastAsia"/>
                      <w:b w:val="0"/>
                      <w:bCs/>
                      <w:color w:val="auto"/>
                      <w:sz w:val="21"/>
                      <w:szCs w:val="21"/>
                    </w:rPr>
                    <w:t>0.8</w:t>
                  </w:r>
                </w:p>
              </w:tc>
            </w:tr>
          </w:tbl>
          <w:p>
            <w:pPr>
              <w:snapToGrid w:val="0"/>
              <w:spacing w:before="120" w:beforeLines="50" w:line="360" w:lineRule="auto"/>
              <w:ind w:firstLine="480"/>
              <w:rPr>
                <w:rFonts w:eastAsia="PMingLiU"/>
                <w:bCs/>
                <w:color w:val="auto"/>
                <w:sz w:val="24"/>
              </w:rPr>
            </w:pPr>
            <w:r>
              <w:rPr>
                <w:bCs/>
                <w:color w:val="auto"/>
                <w:sz w:val="24"/>
              </w:rPr>
              <w:t>根据《建设项目环境风险评价技术导则》（HJ 169-2018）附录C，当只有一种危险物质时，计算该物质的总量于其临界值比值，当存在多种危险物质时，则照下列公式计算物质总量与其临界值比值。</w:t>
            </w:r>
          </w:p>
          <w:p>
            <w:pPr>
              <w:adjustRightInd w:val="0"/>
              <w:snapToGrid w:val="0"/>
              <w:spacing w:line="360" w:lineRule="auto"/>
              <w:rPr>
                <w:rFonts w:hAnsi="Cambria Math"/>
                <w:color w:val="auto"/>
                <w:sz w:val="24"/>
              </w:rPr>
            </w:pPr>
            <m:oMathPara>
              <m:oMath>
                <m:r>
                  <m:rPr>
                    <m:sty m:val="p"/>
                  </m:rPr>
                  <w:rPr>
                    <w:rFonts w:ascii="Cambria Math" w:hAnsi="Cambria Math"/>
                    <w:color w:val="auto"/>
                    <w:sz w:val="24"/>
                  </w:rPr>
                  <m:t>Q=</m:t>
                </m:r>
                <m:f>
                  <m:fPr>
                    <m:ctrlPr>
                      <w:rPr>
                        <w:rFonts w:ascii="Cambria Math" w:hAnsi="Cambria Math"/>
                        <w:color w:val="auto"/>
                        <w:sz w:val="24"/>
                      </w:rPr>
                    </m:ctrlPr>
                  </m:fPr>
                  <m:num>
                    <m:sSub>
                      <m:sSubPr>
                        <m:ctrlPr>
                          <w:rPr>
                            <w:rFonts w:ascii="Cambria Math" w:hAnsi="Cambria Math"/>
                            <w:color w:val="auto"/>
                            <w:sz w:val="24"/>
                          </w:rPr>
                        </m:ctrlPr>
                      </m:sSubPr>
                      <m:e>
                        <m:r>
                          <m:rPr>
                            <m:sty m:val="p"/>
                          </m:rPr>
                          <w:rPr>
                            <w:rFonts w:hint="eastAsia" w:ascii="Cambria Math" w:hAnsi="Cambria Math"/>
                            <w:color w:val="auto"/>
                            <w:sz w:val="24"/>
                          </w:rPr>
                          <m:t>q</m:t>
                        </m:r>
                        <m:ctrlPr>
                          <w:rPr>
                            <w:rFonts w:ascii="Cambria Math" w:hAnsi="Cambria Math"/>
                            <w:color w:val="auto"/>
                            <w:sz w:val="24"/>
                          </w:rPr>
                        </m:ctrlPr>
                      </m:e>
                      <m:sub>
                        <m:r>
                          <m:rPr>
                            <m:sty m:val="p"/>
                          </m:rPr>
                          <w:rPr>
                            <w:rFonts w:ascii="Cambria Math" w:hAnsi="Cambria Math"/>
                            <w:color w:val="auto"/>
                            <w:sz w:val="24"/>
                          </w:rPr>
                          <m:t>1</m:t>
                        </m:r>
                        <m:ctrlPr>
                          <w:rPr>
                            <w:rFonts w:ascii="Cambria Math" w:hAnsi="Cambria Math"/>
                            <w:color w:val="auto"/>
                            <w:sz w:val="24"/>
                          </w:rPr>
                        </m:ctrlPr>
                      </m:sub>
                    </m:sSub>
                    <m:ctrlPr>
                      <w:rPr>
                        <w:rFonts w:ascii="Cambria Math" w:hAnsi="Cambria Math"/>
                        <w:color w:val="auto"/>
                        <w:sz w:val="24"/>
                      </w:rPr>
                    </m:ctrlPr>
                  </m:num>
                  <m:den>
                    <m:sSub>
                      <m:sSubPr>
                        <m:ctrlPr>
                          <w:rPr>
                            <w:rFonts w:ascii="Cambria Math" w:hAnsi="Cambria Math"/>
                            <w:color w:val="auto"/>
                            <w:sz w:val="24"/>
                          </w:rPr>
                        </m:ctrlPr>
                      </m:sSubPr>
                      <m:e>
                        <m:r>
                          <m:rPr>
                            <m:sty m:val="p"/>
                          </m:rPr>
                          <w:rPr>
                            <w:rFonts w:ascii="Cambria Math" w:hAnsi="Cambria Math"/>
                            <w:color w:val="auto"/>
                            <w:sz w:val="24"/>
                          </w:rPr>
                          <m:t>Q</m:t>
                        </m:r>
                        <m:ctrlPr>
                          <w:rPr>
                            <w:rFonts w:ascii="Cambria Math" w:hAnsi="Cambria Math"/>
                            <w:color w:val="auto"/>
                            <w:sz w:val="24"/>
                          </w:rPr>
                        </m:ctrlPr>
                      </m:e>
                      <m:sub>
                        <m:r>
                          <m:rPr>
                            <m:sty m:val="p"/>
                          </m:rPr>
                          <w:rPr>
                            <w:rFonts w:ascii="Cambria Math" w:hAnsi="Cambria Math"/>
                            <w:color w:val="auto"/>
                            <w:sz w:val="24"/>
                          </w:rPr>
                          <m:t>1</m:t>
                        </m:r>
                        <m:ctrlPr>
                          <w:rPr>
                            <w:rFonts w:ascii="Cambria Math" w:hAnsi="Cambria Math"/>
                            <w:color w:val="auto"/>
                            <w:sz w:val="24"/>
                          </w:rPr>
                        </m:ctrlPr>
                      </m:sub>
                    </m:sSub>
                    <m:ctrlPr>
                      <w:rPr>
                        <w:rFonts w:ascii="Cambria Math" w:hAnsi="Cambria Math"/>
                        <w:color w:val="auto"/>
                        <w:sz w:val="24"/>
                      </w:rPr>
                    </m:ctrlPr>
                  </m:den>
                </m:f>
                <m:r>
                  <m:rPr>
                    <m:sty m:val="p"/>
                  </m:rPr>
                  <w:rPr>
                    <w:rFonts w:ascii="Cambria Math" w:hAnsi="Cambria Math"/>
                    <w:color w:val="auto"/>
                    <w:sz w:val="24"/>
                  </w:rPr>
                  <m:t>+</m:t>
                </m:r>
                <m:f>
                  <m:fPr>
                    <m:ctrlPr>
                      <w:rPr>
                        <w:rFonts w:ascii="Cambria Math" w:hAnsi="Cambria Math"/>
                        <w:color w:val="auto"/>
                        <w:sz w:val="24"/>
                      </w:rPr>
                    </m:ctrlPr>
                  </m:fPr>
                  <m:num>
                    <m:sSub>
                      <m:sSubPr>
                        <m:ctrlPr>
                          <w:rPr>
                            <w:rFonts w:ascii="Cambria Math" w:hAnsi="Cambria Math"/>
                            <w:color w:val="auto"/>
                            <w:sz w:val="24"/>
                          </w:rPr>
                        </m:ctrlPr>
                      </m:sSubPr>
                      <m:e>
                        <m:r>
                          <m:rPr>
                            <m:sty m:val="p"/>
                          </m:rPr>
                          <w:rPr>
                            <w:rFonts w:ascii="Cambria Math" w:hAnsi="Cambria Math"/>
                            <w:color w:val="auto"/>
                            <w:sz w:val="24"/>
                          </w:rPr>
                          <m:t>q</m:t>
                        </m:r>
                        <m:ctrlPr>
                          <w:rPr>
                            <w:rFonts w:ascii="Cambria Math" w:hAnsi="Cambria Math"/>
                            <w:color w:val="auto"/>
                            <w:sz w:val="24"/>
                          </w:rPr>
                        </m:ctrlPr>
                      </m:e>
                      <m:sub>
                        <m:r>
                          <m:rPr>
                            <m:sty m:val="p"/>
                          </m:rPr>
                          <w:rPr>
                            <w:rFonts w:ascii="Cambria Math" w:hAnsi="Cambria Math"/>
                            <w:color w:val="auto"/>
                            <w:sz w:val="24"/>
                          </w:rPr>
                          <m:t>2</m:t>
                        </m:r>
                        <m:ctrlPr>
                          <w:rPr>
                            <w:rFonts w:ascii="Cambria Math" w:hAnsi="Cambria Math"/>
                            <w:color w:val="auto"/>
                            <w:sz w:val="24"/>
                          </w:rPr>
                        </m:ctrlPr>
                      </m:sub>
                    </m:sSub>
                    <m:ctrlPr>
                      <w:rPr>
                        <w:rFonts w:ascii="Cambria Math" w:hAnsi="Cambria Math"/>
                        <w:color w:val="auto"/>
                        <w:sz w:val="24"/>
                      </w:rPr>
                    </m:ctrlPr>
                  </m:num>
                  <m:den>
                    <m:sSub>
                      <m:sSubPr>
                        <m:ctrlPr>
                          <w:rPr>
                            <w:rFonts w:ascii="Cambria Math" w:hAnsi="Cambria Math"/>
                            <w:color w:val="auto"/>
                            <w:sz w:val="24"/>
                          </w:rPr>
                        </m:ctrlPr>
                      </m:sSubPr>
                      <m:e>
                        <m:r>
                          <m:rPr>
                            <m:sty m:val="p"/>
                          </m:rPr>
                          <w:rPr>
                            <w:rFonts w:ascii="Cambria Math" w:hAnsi="Cambria Math"/>
                            <w:color w:val="auto"/>
                            <w:sz w:val="24"/>
                          </w:rPr>
                          <m:t>Q</m:t>
                        </m:r>
                        <m:ctrlPr>
                          <w:rPr>
                            <w:rFonts w:ascii="Cambria Math" w:hAnsi="Cambria Math"/>
                            <w:color w:val="auto"/>
                            <w:sz w:val="24"/>
                          </w:rPr>
                        </m:ctrlPr>
                      </m:e>
                      <m:sub>
                        <m:r>
                          <m:rPr>
                            <m:sty m:val="p"/>
                          </m:rPr>
                          <w:rPr>
                            <w:rFonts w:ascii="Cambria Math" w:hAnsi="Cambria Math"/>
                            <w:color w:val="auto"/>
                            <w:sz w:val="24"/>
                          </w:rPr>
                          <m:t>2</m:t>
                        </m:r>
                        <m:ctrlPr>
                          <w:rPr>
                            <w:rFonts w:ascii="Cambria Math" w:hAnsi="Cambria Math"/>
                            <w:color w:val="auto"/>
                            <w:sz w:val="24"/>
                          </w:rPr>
                        </m:ctrlPr>
                      </m:sub>
                    </m:sSub>
                    <m:ctrlPr>
                      <w:rPr>
                        <w:rFonts w:ascii="Cambria Math" w:hAnsi="Cambria Math"/>
                        <w:color w:val="auto"/>
                        <w:sz w:val="24"/>
                      </w:rPr>
                    </m:ctrlPr>
                  </m:den>
                </m:f>
                <m:r>
                  <m:rPr>
                    <m:sty m:val="p"/>
                  </m:rPr>
                  <w:rPr>
                    <w:rFonts w:ascii="Cambria Math" w:hAnsi="Cambria Math"/>
                    <w:color w:val="auto"/>
                    <w:sz w:val="24"/>
                  </w:rPr>
                  <m:t>+......+</m:t>
                </m:r>
                <m:f>
                  <m:fPr>
                    <m:ctrlPr>
                      <w:rPr>
                        <w:rFonts w:ascii="Cambria Math" w:hAnsi="Cambria Math"/>
                        <w:color w:val="auto"/>
                        <w:sz w:val="24"/>
                      </w:rPr>
                    </m:ctrlPr>
                  </m:fPr>
                  <m:num>
                    <m:sSub>
                      <m:sSubPr>
                        <m:ctrlPr>
                          <w:rPr>
                            <w:rFonts w:ascii="Cambria Math" w:hAnsi="Cambria Math"/>
                            <w:color w:val="auto"/>
                            <w:sz w:val="24"/>
                          </w:rPr>
                        </m:ctrlPr>
                      </m:sSubPr>
                      <m:e>
                        <m:r>
                          <m:rPr>
                            <m:sty m:val="p"/>
                          </m:rPr>
                          <w:rPr>
                            <w:rFonts w:ascii="Cambria Math" w:hAnsi="Cambria Math"/>
                            <w:color w:val="auto"/>
                            <w:sz w:val="24"/>
                          </w:rPr>
                          <m:t>q</m:t>
                        </m:r>
                        <m:ctrlPr>
                          <w:rPr>
                            <w:rFonts w:ascii="Cambria Math" w:hAnsi="Cambria Math"/>
                            <w:color w:val="auto"/>
                            <w:sz w:val="24"/>
                          </w:rPr>
                        </m:ctrlPr>
                      </m:e>
                      <m:sub>
                        <m:r>
                          <m:rPr>
                            <m:sty m:val="p"/>
                          </m:rPr>
                          <w:rPr>
                            <w:rFonts w:ascii="Cambria Math" w:hAnsi="Cambria Math"/>
                            <w:color w:val="auto"/>
                            <w:sz w:val="24"/>
                          </w:rPr>
                          <m:t>n</m:t>
                        </m:r>
                        <m:ctrlPr>
                          <w:rPr>
                            <w:rFonts w:ascii="Cambria Math" w:hAnsi="Cambria Math"/>
                            <w:color w:val="auto"/>
                            <w:sz w:val="24"/>
                          </w:rPr>
                        </m:ctrlPr>
                      </m:sub>
                    </m:sSub>
                    <m:ctrlPr>
                      <w:rPr>
                        <w:rFonts w:ascii="Cambria Math" w:hAnsi="Cambria Math"/>
                        <w:color w:val="auto"/>
                        <w:sz w:val="24"/>
                      </w:rPr>
                    </m:ctrlPr>
                  </m:num>
                  <m:den>
                    <m:sSub>
                      <m:sSubPr>
                        <m:ctrlPr>
                          <w:rPr>
                            <w:rFonts w:ascii="Cambria Math" w:hAnsi="Cambria Math"/>
                            <w:color w:val="auto"/>
                            <w:sz w:val="24"/>
                          </w:rPr>
                        </m:ctrlPr>
                      </m:sSubPr>
                      <m:e>
                        <m:r>
                          <m:rPr>
                            <m:sty m:val="p"/>
                          </m:rPr>
                          <w:rPr>
                            <w:rFonts w:ascii="Cambria Math" w:hAnsi="Cambria Math"/>
                            <w:color w:val="auto"/>
                            <w:sz w:val="24"/>
                          </w:rPr>
                          <m:t>Q</m:t>
                        </m:r>
                        <m:ctrlPr>
                          <w:rPr>
                            <w:rFonts w:ascii="Cambria Math" w:hAnsi="Cambria Math"/>
                            <w:color w:val="auto"/>
                            <w:sz w:val="24"/>
                          </w:rPr>
                        </m:ctrlPr>
                      </m:e>
                      <m:sub>
                        <m:r>
                          <m:rPr>
                            <m:sty m:val="p"/>
                          </m:rPr>
                          <w:rPr>
                            <w:rFonts w:ascii="Cambria Math" w:hAnsi="Cambria Math"/>
                            <w:color w:val="auto"/>
                            <w:sz w:val="24"/>
                          </w:rPr>
                          <m:t>n</m:t>
                        </m:r>
                        <m:ctrlPr>
                          <w:rPr>
                            <w:rFonts w:ascii="Cambria Math" w:hAnsi="Cambria Math"/>
                            <w:color w:val="auto"/>
                            <w:sz w:val="24"/>
                          </w:rPr>
                        </m:ctrlPr>
                      </m:sub>
                    </m:sSub>
                    <m:ctrlPr>
                      <w:rPr>
                        <w:rFonts w:ascii="Cambria Math" w:hAnsi="Cambria Math"/>
                        <w:color w:val="auto"/>
                        <w:sz w:val="24"/>
                      </w:rPr>
                    </m:ctrlPr>
                  </m:den>
                </m:f>
              </m:oMath>
            </m:oMathPara>
          </w:p>
          <w:p>
            <w:pPr>
              <w:adjustRightInd w:val="0"/>
              <w:snapToGrid w:val="0"/>
              <w:spacing w:line="360" w:lineRule="auto"/>
              <w:ind w:firstLine="480" w:firstLineChars="200"/>
              <w:rPr>
                <w:rFonts w:hAnsi="Cambria Math"/>
                <w:color w:val="auto"/>
                <w:sz w:val="24"/>
              </w:rPr>
            </w:pPr>
            <w:r>
              <w:rPr>
                <w:rFonts w:hAnsi="Cambria Math"/>
                <w:color w:val="auto"/>
                <w:sz w:val="24"/>
              </w:rPr>
              <w:t>式中：q</w:t>
            </w:r>
            <w:r>
              <w:rPr>
                <w:rFonts w:hAnsi="Cambria Math"/>
                <w:color w:val="auto"/>
                <w:sz w:val="24"/>
                <w:vertAlign w:val="subscript"/>
              </w:rPr>
              <w:t>1</w:t>
            </w:r>
            <w:r>
              <w:rPr>
                <w:rFonts w:hAnsi="Cambria Math"/>
                <w:color w:val="auto"/>
                <w:sz w:val="24"/>
              </w:rPr>
              <w:t>、q</w:t>
            </w:r>
            <w:r>
              <w:rPr>
                <w:rFonts w:hAnsi="Cambria Math"/>
                <w:color w:val="auto"/>
                <w:sz w:val="24"/>
                <w:vertAlign w:val="subscript"/>
              </w:rPr>
              <w:t>2</w:t>
            </w:r>
            <w:r>
              <w:rPr>
                <w:rFonts w:hAnsi="Cambria Math"/>
                <w:color w:val="auto"/>
                <w:sz w:val="24"/>
              </w:rPr>
              <w:t>…q</w:t>
            </w:r>
            <w:r>
              <w:rPr>
                <w:rFonts w:hAnsi="Cambria Math"/>
                <w:color w:val="auto"/>
                <w:sz w:val="24"/>
                <w:vertAlign w:val="subscript"/>
              </w:rPr>
              <w:t>n</w:t>
            </w:r>
            <w:r>
              <w:rPr>
                <w:rFonts w:hAnsi="Cambria Math"/>
                <w:color w:val="auto"/>
                <w:sz w:val="24"/>
              </w:rPr>
              <w:t>—每种危险物质的最大存在量，t；</w:t>
            </w:r>
          </w:p>
          <w:p>
            <w:pPr>
              <w:adjustRightInd w:val="0"/>
              <w:snapToGrid w:val="0"/>
              <w:spacing w:line="360" w:lineRule="auto"/>
              <w:ind w:firstLine="1200" w:firstLineChars="500"/>
              <w:rPr>
                <w:rFonts w:hAnsi="Cambria Math"/>
                <w:color w:val="auto"/>
                <w:sz w:val="24"/>
              </w:rPr>
            </w:pPr>
            <w:r>
              <w:rPr>
                <w:rFonts w:hAnsi="Cambria Math"/>
                <w:color w:val="auto"/>
                <w:sz w:val="24"/>
              </w:rPr>
              <w:t>Q</w:t>
            </w:r>
            <w:r>
              <w:rPr>
                <w:rFonts w:hAnsi="Cambria Math"/>
                <w:color w:val="auto"/>
                <w:sz w:val="24"/>
                <w:vertAlign w:val="subscript"/>
              </w:rPr>
              <w:t>1</w:t>
            </w:r>
            <w:r>
              <w:rPr>
                <w:rFonts w:hAnsi="Cambria Math"/>
                <w:color w:val="auto"/>
                <w:sz w:val="24"/>
              </w:rPr>
              <w:t>、Q</w:t>
            </w:r>
            <w:r>
              <w:rPr>
                <w:rFonts w:hAnsi="Cambria Math"/>
                <w:color w:val="auto"/>
                <w:sz w:val="24"/>
                <w:vertAlign w:val="subscript"/>
              </w:rPr>
              <w:t>2</w:t>
            </w:r>
            <w:r>
              <w:rPr>
                <w:rFonts w:hAnsi="Cambria Math"/>
                <w:color w:val="auto"/>
                <w:sz w:val="24"/>
              </w:rPr>
              <w:t>…Q</w:t>
            </w:r>
            <w:r>
              <w:rPr>
                <w:rFonts w:hAnsi="Cambria Math"/>
                <w:color w:val="auto"/>
                <w:sz w:val="24"/>
                <w:vertAlign w:val="subscript"/>
              </w:rPr>
              <w:t>n</w:t>
            </w:r>
            <w:r>
              <w:rPr>
                <w:rFonts w:hAnsi="Cambria Math"/>
                <w:color w:val="auto"/>
                <w:sz w:val="24"/>
              </w:rPr>
              <w:t>—每种危险物质临界量，t。</w:t>
            </w:r>
          </w:p>
          <w:p>
            <w:pPr>
              <w:adjustRightInd w:val="0"/>
              <w:snapToGrid w:val="0"/>
              <w:spacing w:line="360" w:lineRule="auto"/>
              <w:ind w:firstLine="1200" w:firstLineChars="500"/>
              <w:rPr>
                <w:rFonts w:hAnsi="Cambria Math"/>
                <w:color w:val="auto"/>
                <w:sz w:val="24"/>
              </w:rPr>
            </w:pPr>
            <w:r>
              <w:rPr>
                <w:rFonts w:hAnsi="Cambria Math"/>
                <w:color w:val="auto"/>
                <w:sz w:val="24"/>
              </w:rPr>
              <w:t>当Q＜1时，该项目环境风险潜势为Ⅰ；</w:t>
            </w:r>
          </w:p>
          <w:p>
            <w:pPr>
              <w:adjustRightInd w:val="0"/>
              <w:snapToGrid w:val="0"/>
              <w:spacing w:line="360" w:lineRule="auto"/>
              <w:ind w:firstLine="1200" w:firstLineChars="500"/>
              <w:rPr>
                <w:rFonts w:hAnsi="Cambria Math"/>
                <w:color w:val="auto"/>
                <w:sz w:val="24"/>
              </w:rPr>
            </w:pPr>
            <w:r>
              <w:rPr>
                <w:rFonts w:hAnsi="Cambria Math"/>
                <w:color w:val="auto"/>
                <w:sz w:val="24"/>
              </w:rPr>
              <w:t>当Q≥1时，将Q值划分为1≤Q＜10；10≤Q＜100；Q≥100。</w:t>
            </w:r>
          </w:p>
          <w:p>
            <w:pPr>
              <w:adjustRightInd w:val="0"/>
              <w:snapToGrid w:val="0"/>
              <w:spacing w:line="360" w:lineRule="auto"/>
              <w:ind w:firstLine="480" w:firstLineChars="200"/>
              <w:rPr>
                <w:rFonts w:hAnsi="Cambria Math"/>
                <w:color w:val="auto"/>
                <w:sz w:val="24"/>
              </w:rPr>
            </w:pPr>
            <w:r>
              <w:rPr>
                <w:rFonts w:hAnsi="Cambria Math"/>
                <w:color w:val="auto"/>
                <w:sz w:val="24"/>
              </w:rPr>
              <w:t>根据本项目原辅材料涉及的危险物质在厂</w:t>
            </w:r>
            <w:r>
              <w:rPr>
                <w:rFonts w:hint="eastAsia" w:hAnsi="Cambria Math"/>
                <w:color w:val="auto"/>
                <w:sz w:val="24"/>
              </w:rPr>
              <w:t>房</w:t>
            </w:r>
            <w:r>
              <w:rPr>
                <w:rFonts w:hAnsi="Cambria Math"/>
                <w:color w:val="auto"/>
                <w:sz w:val="24"/>
              </w:rPr>
              <w:t>内的最大储存量及其对应的临界量，确定项目Q</w:t>
            </w:r>
            <w:r>
              <w:rPr>
                <w:rFonts w:hint="eastAsia" w:hAnsi="Cambria Math"/>
                <w:color w:val="auto"/>
                <w:sz w:val="24"/>
              </w:rPr>
              <w:t>=0.8</w:t>
            </w:r>
            <w:r>
              <w:rPr>
                <w:rFonts w:hAnsi="Cambria Math"/>
                <w:color w:val="auto"/>
                <w:sz w:val="24"/>
              </w:rPr>
              <w:t>＜1</w:t>
            </w:r>
            <w:r>
              <w:rPr>
                <w:rFonts w:hint="eastAsia" w:hAnsi="Cambria Math"/>
                <w:color w:val="auto"/>
                <w:sz w:val="24"/>
              </w:rPr>
              <w:t>，</w:t>
            </w:r>
            <w:r>
              <w:rPr>
                <w:bCs/>
                <w:color w:val="auto"/>
                <w:sz w:val="24"/>
              </w:rPr>
              <w:t>环境风险潜势为</w:t>
            </w:r>
            <w:r>
              <w:rPr>
                <w:bCs/>
                <w:color w:val="auto"/>
                <w:sz w:val="24"/>
              </w:rPr>
              <w:fldChar w:fldCharType="begin"/>
            </w:r>
            <w:r>
              <w:rPr>
                <w:bCs/>
                <w:color w:val="auto"/>
                <w:sz w:val="24"/>
              </w:rPr>
              <w:instrText xml:space="preserve"> = 1 \* ROMAN </w:instrText>
            </w:r>
            <w:r>
              <w:rPr>
                <w:bCs/>
                <w:color w:val="auto"/>
                <w:sz w:val="24"/>
              </w:rPr>
              <w:fldChar w:fldCharType="separate"/>
            </w:r>
            <w:r>
              <w:rPr>
                <w:bCs/>
                <w:color w:val="auto"/>
                <w:sz w:val="24"/>
              </w:rPr>
              <w:t>I</w:t>
            </w:r>
            <w:r>
              <w:rPr>
                <w:bCs/>
                <w:color w:val="auto"/>
                <w:sz w:val="24"/>
              </w:rPr>
              <w:fldChar w:fldCharType="end"/>
            </w:r>
            <w:r>
              <w:rPr>
                <w:rFonts w:hint="eastAsia"/>
                <w:bCs/>
                <w:color w:val="auto"/>
                <w:sz w:val="24"/>
              </w:rPr>
              <w:t>。</w:t>
            </w:r>
          </w:p>
          <w:p>
            <w:pPr>
              <w:snapToGrid w:val="0"/>
              <w:spacing w:line="360" w:lineRule="auto"/>
              <w:ind w:firstLine="480"/>
              <w:rPr>
                <w:color w:val="auto"/>
                <w:sz w:val="24"/>
              </w:rPr>
            </w:pPr>
            <w:r>
              <w:rPr>
                <w:color w:val="auto"/>
                <w:sz w:val="24"/>
              </w:rPr>
              <w:fldChar w:fldCharType="begin"/>
            </w:r>
            <w:r>
              <w:rPr>
                <w:color w:val="auto"/>
                <w:sz w:val="24"/>
              </w:rPr>
              <w:instrText xml:space="preserve"> = 3 \* GB3 </w:instrText>
            </w:r>
            <w:r>
              <w:rPr>
                <w:color w:val="auto"/>
                <w:sz w:val="24"/>
              </w:rPr>
              <w:fldChar w:fldCharType="separate"/>
            </w:r>
            <w:r>
              <w:rPr>
                <w:color w:val="auto"/>
                <w:sz w:val="24"/>
              </w:rPr>
              <w:t>③</w:t>
            </w:r>
            <w:r>
              <w:rPr>
                <w:color w:val="auto"/>
                <w:sz w:val="24"/>
              </w:rPr>
              <w:fldChar w:fldCharType="end"/>
            </w:r>
            <w:r>
              <w:rPr>
                <w:color w:val="auto"/>
                <w:sz w:val="24"/>
              </w:rPr>
              <w:t>评价等级</w:t>
            </w:r>
          </w:p>
          <w:p>
            <w:pPr>
              <w:snapToGrid w:val="0"/>
              <w:spacing w:line="360" w:lineRule="auto"/>
              <w:ind w:firstLine="480"/>
              <w:rPr>
                <w:bCs/>
                <w:color w:val="auto"/>
                <w:sz w:val="24"/>
              </w:rPr>
            </w:pPr>
            <w:r>
              <w:rPr>
                <w:bCs/>
                <w:color w:val="auto"/>
                <w:sz w:val="24"/>
              </w:rPr>
              <w:t>根据《建设项目环境风险评价技术导则》（HJ 169-2018），评价工作等级划分依据见下表4-</w:t>
            </w:r>
            <w:r>
              <w:rPr>
                <w:rFonts w:hint="eastAsia"/>
                <w:bCs/>
                <w:color w:val="auto"/>
                <w:sz w:val="24"/>
              </w:rPr>
              <w:t>1</w:t>
            </w:r>
            <w:r>
              <w:rPr>
                <w:rFonts w:hint="eastAsia"/>
                <w:bCs/>
                <w:color w:val="auto"/>
                <w:sz w:val="24"/>
                <w:lang w:val="en-US" w:eastAsia="zh-CN"/>
              </w:rPr>
              <w:t>7</w:t>
            </w:r>
            <w:r>
              <w:rPr>
                <w:bCs/>
                <w:color w:val="auto"/>
                <w:sz w:val="24"/>
              </w:rPr>
              <w:t>。</w:t>
            </w:r>
          </w:p>
          <w:p>
            <w:pPr>
              <w:ind w:firstLine="482"/>
              <w:jc w:val="center"/>
              <w:rPr>
                <w:b/>
                <w:color w:val="auto"/>
                <w:szCs w:val="21"/>
              </w:rPr>
            </w:pPr>
          </w:p>
          <w:p>
            <w:pPr>
              <w:ind w:firstLine="482"/>
              <w:jc w:val="center"/>
              <w:rPr>
                <w:b/>
                <w:color w:val="auto"/>
                <w:szCs w:val="21"/>
              </w:rPr>
            </w:pPr>
          </w:p>
          <w:p>
            <w:pPr>
              <w:ind w:firstLine="482"/>
              <w:jc w:val="center"/>
              <w:rPr>
                <w:b/>
                <w:color w:val="auto"/>
                <w:szCs w:val="21"/>
              </w:rPr>
            </w:pPr>
          </w:p>
          <w:p>
            <w:pPr>
              <w:ind w:firstLine="482"/>
              <w:jc w:val="center"/>
              <w:rPr>
                <w:b/>
                <w:color w:val="auto"/>
                <w:szCs w:val="21"/>
              </w:rPr>
            </w:pPr>
          </w:p>
          <w:p>
            <w:pPr>
              <w:ind w:firstLine="482"/>
              <w:jc w:val="center"/>
              <w:rPr>
                <w:b/>
                <w:color w:val="auto"/>
                <w:szCs w:val="21"/>
              </w:rPr>
            </w:pPr>
          </w:p>
          <w:p>
            <w:pPr>
              <w:ind w:firstLine="482"/>
              <w:jc w:val="center"/>
              <w:rPr>
                <w:b/>
                <w:color w:val="auto"/>
                <w:szCs w:val="21"/>
              </w:rPr>
            </w:pPr>
            <w:r>
              <w:rPr>
                <w:b/>
                <w:color w:val="auto"/>
                <w:szCs w:val="21"/>
              </w:rPr>
              <w:t>表4-</w:t>
            </w:r>
            <w:r>
              <w:rPr>
                <w:rFonts w:hint="eastAsia"/>
                <w:b/>
                <w:color w:val="auto"/>
                <w:szCs w:val="21"/>
              </w:rPr>
              <w:t>1</w:t>
            </w:r>
            <w:r>
              <w:rPr>
                <w:rFonts w:hint="eastAsia"/>
                <w:b/>
                <w:color w:val="auto"/>
                <w:szCs w:val="21"/>
                <w:lang w:val="en-US" w:eastAsia="zh-CN"/>
              </w:rPr>
              <w:t>7</w:t>
            </w:r>
            <w:r>
              <w:rPr>
                <w:b/>
                <w:color w:val="auto"/>
                <w:szCs w:val="21"/>
              </w:rPr>
              <w:t xml:space="preserve">  评价工作等级划分</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488"/>
              <w:gridCol w:w="1489"/>
              <w:gridCol w:w="1488"/>
              <w:gridCol w:w="20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9" w:type="pct"/>
                  <w:vAlign w:val="center"/>
                </w:tcPr>
                <w:p>
                  <w:pPr>
                    <w:pStyle w:val="35"/>
                    <w:spacing w:before="24" w:after="24"/>
                    <w:rPr>
                      <w:rFonts w:ascii="Times New Roman"/>
                      <w:b/>
                      <w:color w:val="auto"/>
                    </w:rPr>
                  </w:pPr>
                  <w:r>
                    <w:rPr>
                      <w:rFonts w:ascii="Times New Roman"/>
                      <w:b/>
                      <w:color w:val="auto"/>
                    </w:rPr>
                    <w:t>环境风险潜势</w:t>
                  </w:r>
                </w:p>
              </w:tc>
              <w:tc>
                <w:tcPr>
                  <w:tcW w:w="929" w:type="pct"/>
                  <w:vAlign w:val="center"/>
                </w:tcPr>
                <w:p>
                  <w:pPr>
                    <w:pStyle w:val="35"/>
                    <w:spacing w:before="24" w:after="24"/>
                    <w:rPr>
                      <w:rFonts w:ascii="Times New Roman"/>
                      <w:color w:val="auto"/>
                    </w:rPr>
                  </w:pPr>
                  <w:r>
                    <w:rPr>
                      <w:rFonts w:ascii="Times New Roman"/>
                      <w:color w:val="auto"/>
                    </w:rPr>
                    <w:t>Ⅳ、Ⅳ</w:t>
                  </w:r>
                  <w:r>
                    <w:rPr>
                      <w:rFonts w:ascii="Times New Roman"/>
                      <w:color w:val="auto"/>
                      <w:vertAlign w:val="superscript"/>
                    </w:rPr>
                    <w:t>+</w:t>
                  </w:r>
                </w:p>
              </w:tc>
              <w:tc>
                <w:tcPr>
                  <w:tcW w:w="930" w:type="pct"/>
                  <w:vAlign w:val="center"/>
                </w:tcPr>
                <w:p>
                  <w:pPr>
                    <w:pStyle w:val="35"/>
                    <w:spacing w:before="24" w:after="24"/>
                    <w:rPr>
                      <w:rFonts w:ascii="Times New Roman"/>
                      <w:color w:val="auto"/>
                    </w:rPr>
                  </w:pPr>
                  <w:r>
                    <w:rPr>
                      <w:rFonts w:ascii="Times New Roman"/>
                      <w:color w:val="auto"/>
                    </w:rPr>
                    <w:t>Ⅲ</w:t>
                  </w:r>
                </w:p>
              </w:tc>
              <w:tc>
                <w:tcPr>
                  <w:tcW w:w="929" w:type="pct"/>
                  <w:vAlign w:val="center"/>
                </w:tcPr>
                <w:p>
                  <w:pPr>
                    <w:pStyle w:val="35"/>
                    <w:spacing w:before="24" w:after="24"/>
                    <w:rPr>
                      <w:rFonts w:ascii="Times New Roman"/>
                      <w:color w:val="auto"/>
                    </w:rPr>
                  </w:pPr>
                  <w:r>
                    <w:rPr>
                      <w:rFonts w:ascii="Times New Roman"/>
                      <w:color w:val="auto"/>
                    </w:rPr>
                    <w:t>Ⅱ</w:t>
                  </w:r>
                </w:p>
              </w:tc>
              <w:tc>
                <w:tcPr>
                  <w:tcW w:w="1282" w:type="pct"/>
                  <w:vAlign w:val="center"/>
                </w:tcPr>
                <w:p>
                  <w:pPr>
                    <w:pStyle w:val="35"/>
                    <w:spacing w:before="24" w:after="24"/>
                    <w:rPr>
                      <w:rFonts w:ascii="Times New Roman"/>
                      <w:color w:val="auto"/>
                    </w:rPr>
                  </w:pPr>
                  <w:r>
                    <w:rPr>
                      <w:rFonts w:ascii="Times New Roman"/>
                      <w:color w:val="auto"/>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9" w:type="pct"/>
                  <w:vAlign w:val="center"/>
                </w:tcPr>
                <w:p>
                  <w:pPr>
                    <w:pStyle w:val="35"/>
                    <w:spacing w:before="24" w:after="24"/>
                    <w:rPr>
                      <w:rFonts w:ascii="Times New Roman"/>
                      <w:b/>
                      <w:color w:val="auto"/>
                    </w:rPr>
                  </w:pPr>
                  <w:r>
                    <w:rPr>
                      <w:rFonts w:ascii="Times New Roman"/>
                      <w:b/>
                      <w:color w:val="auto"/>
                    </w:rPr>
                    <w:t>评价工作等级</w:t>
                  </w:r>
                </w:p>
              </w:tc>
              <w:tc>
                <w:tcPr>
                  <w:tcW w:w="929" w:type="pct"/>
                  <w:vAlign w:val="center"/>
                </w:tcPr>
                <w:p>
                  <w:pPr>
                    <w:pStyle w:val="35"/>
                    <w:spacing w:before="24" w:after="24"/>
                    <w:rPr>
                      <w:rFonts w:ascii="Times New Roman"/>
                      <w:color w:val="auto"/>
                    </w:rPr>
                  </w:pPr>
                  <w:r>
                    <w:rPr>
                      <w:rFonts w:ascii="Times New Roman"/>
                      <w:color w:val="auto"/>
                    </w:rPr>
                    <w:t>一</w:t>
                  </w:r>
                </w:p>
              </w:tc>
              <w:tc>
                <w:tcPr>
                  <w:tcW w:w="930" w:type="pct"/>
                  <w:vAlign w:val="center"/>
                </w:tcPr>
                <w:p>
                  <w:pPr>
                    <w:pStyle w:val="35"/>
                    <w:spacing w:before="24" w:after="24"/>
                    <w:rPr>
                      <w:rFonts w:ascii="Times New Roman"/>
                      <w:color w:val="auto"/>
                    </w:rPr>
                  </w:pPr>
                  <w:r>
                    <w:rPr>
                      <w:rFonts w:ascii="Times New Roman"/>
                      <w:color w:val="auto"/>
                    </w:rPr>
                    <w:t>二</w:t>
                  </w:r>
                </w:p>
              </w:tc>
              <w:tc>
                <w:tcPr>
                  <w:tcW w:w="929" w:type="pct"/>
                  <w:vAlign w:val="center"/>
                </w:tcPr>
                <w:p>
                  <w:pPr>
                    <w:pStyle w:val="35"/>
                    <w:spacing w:before="24" w:after="24"/>
                    <w:rPr>
                      <w:rFonts w:ascii="Times New Roman"/>
                      <w:color w:val="auto"/>
                    </w:rPr>
                  </w:pPr>
                  <w:r>
                    <w:rPr>
                      <w:rFonts w:ascii="Times New Roman"/>
                      <w:color w:val="auto"/>
                    </w:rPr>
                    <w:t>三</w:t>
                  </w:r>
                </w:p>
              </w:tc>
              <w:tc>
                <w:tcPr>
                  <w:tcW w:w="1282" w:type="pct"/>
                  <w:vAlign w:val="center"/>
                </w:tcPr>
                <w:p>
                  <w:pPr>
                    <w:pStyle w:val="35"/>
                    <w:spacing w:before="24" w:after="24"/>
                    <w:rPr>
                      <w:rFonts w:ascii="Times New Roman"/>
                      <w:color w:val="auto"/>
                    </w:rPr>
                  </w:pPr>
                  <w:r>
                    <w:rPr>
                      <w:rFonts w:ascii="Times New Roman"/>
                      <w:color w:val="auto"/>
                    </w:rPr>
                    <w:t>简单分析</w:t>
                  </w:r>
                  <w:r>
                    <w:rPr>
                      <w:rFonts w:ascii="Times New Roman"/>
                      <w:color w:val="auto"/>
                      <w:vertAlign w:val="superscript"/>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000" w:type="pct"/>
                  <w:gridSpan w:val="5"/>
                  <w:vAlign w:val="center"/>
                </w:tcPr>
                <w:p>
                  <w:pPr>
                    <w:pStyle w:val="35"/>
                    <w:spacing w:before="24" w:after="24"/>
                    <w:rPr>
                      <w:rFonts w:ascii="Times New Roman"/>
                      <w:color w:val="auto"/>
                    </w:rPr>
                  </w:pPr>
                  <w:r>
                    <w:rPr>
                      <w:rFonts w:ascii="Times New Roman"/>
                      <w:color w:val="auto"/>
                      <w:vertAlign w:val="superscript"/>
                    </w:rPr>
                    <w:t>a</w:t>
                  </w:r>
                  <w:r>
                    <w:rPr>
                      <w:rFonts w:ascii="Times New Roman"/>
                      <w:color w:val="auto"/>
                    </w:rPr>
                    <w:t>是相对于详细评价工作内容而言，在描述危险物质、环境影响途径、环境危害后果、风险防范措施等方面给出定性的说明。见附录A。</w:t>
                  </w:r>
                </w:p>
              </w:tc>
            </w:tr>
          </w:tbl>
          <w:p>
            <w:pPr>
              <w:snapToGrid w:val="0"/>
              <w:spacing w:line="360" w:lineRule="auto"/>
              <w:ind w:firstLine="480" w:firstLineChars="200"/>
              <w:rPr>
                <w:bCs/>
                <w:color w:val="auto"/>
                <w:sz w:val="24"/>
              </w:rPr>
            </w:pPr>
            <w:r>
              <w:rPr>
                <w:bCs/>
                <w:color w:val="auto"/>
                <w:sz w:val="24"/>
              </w:rPr>
              <w:t>结合《建设项目环境风险评价技术导则》（HJ 169-2018）中</w:t>
            </w:r>
            <w:r>
              <w:rPr>
                <w:rFonts w:hint="eastAsia"/>
                <w:bCs/>
                <w:color w:val="auto"/>
                <w:sz w:val="24"/>
              </w:rPr>
              <w:t>“</w:t>
            </w:r>
            <w:r>
              <w:rPr>
                <w:bCs/>
                <w:color w:val="auto"/>
                <w:sz w:val="24"/>
              </w:rPr>
              <w:t>4.3 评价工作等级划分</w:t>
            </w:r>
            <w:r>
              <w:rPr>
                <w:rFonts w:hint="eastAsia"/>
                <w:bCs/>
                <w:color w:val="auto"/>
                <w:sz w:val="24"/>
              </w:rPr>
              <w:t>”</w:t>
            </w:r>
            <w:r>
              <w:rPr>
                <w:bCs/>
                <w:color w:val="auto"/>
                <w:sz w:val="24"/>
              </w:rPr>
              <w:t>相关要求，本项目环境风险潜势为</w:t>
            </w:r>
            <w:r>
              <w:rPr>
                <w:bCs/>
                <w:color w:val="auto"/>
                <w:sz w:val="24"/>
              </w:rPr>
              <w:fldChar w:fldCharType="begin"/>
            </w:r>
            <w:r>
              <w:rPr>
                <w:bCs/>
                <w:color w:val="auto"/>
                <w:sz w:val="24"/>
              </w:rPr>
              <w:instrText xml:space="preserve"> = 1 \* ROMAN </w:instrText>
            </w:r>
            <w:r>
              <w:rPr>
                <w:bCs/>
                <w:color w:val="auto"/>
                <w:sz w:val="24"/>
              </w:rPr>
              <w:fldChar w:fldCharType="separate"/>
            </w:r>
            <w:r>
              <w:rPr>
                <w:bCs/>
                <w:color w:val="auto"/>
                <w:sz w:val="24"/>
              </w:rPr>
              <w:t>I</w:t>
            </w:r>
            <w:r>
              <w:rPr>
                <w:bCs/>
                <w:color w:val="auto"/>
                <w:sz w:val="24"/>
              </w:rPr>
              <w:fldChar w:fldCharType="end"/>
            </w:r>
            <w:r>
              <w:rPr>
                <w:bCs/>
                <w:color w:val="auto"/>
                <w:sz w:val="24"/>
              </w:rPr>
              <w:t>，仅开展简单分析。</w:t>
            </w:r>
          </w:p>
          <w:p>
            <w:pPr>
              <w:snapToGrid w:val="0"/>
              <w:spacing w:line="360" w:lineRule="auto"/>
              <w:ind w:firstLine="480" w:firstLineChars="200"/>
              <w:rPr>
                <w:color w:val="auto"/>
                <w:sz w:val="24"/>
              </w:rPr>
            </w:pPr>
            <w:r>
              <w:rPr>
                <w:color w:val="auto"/>
                <w:sz w:val="24"/>
              </w:rPr>
              <w:t>（2）环境风险事故类型</w:t>
            </w:r>
          </w:p>
          <w:p>
            <w:pPr>
              <w:snapToGrid w:val="0"/>
              <w:spacing w:line="360" w:lineRule="auto"/>
              <w:ind w:firstLine="480" w:firstLineChars="200"/>
              <w:rPr>
                <w:rFonts w:eastAsia="PMingLiU"/>
                <w:color w:val="auto"/>
                <w:sz w:val="24"/>
              </w:rPr>
            </w:pPr>
            <w:r>
              <w:rPr>
                <w:color w:val="auto"/>
                <w:sz w:val="24"/>
              </w:rPr>
              <w:t>本项目可能发生的环境风险事故及类型为泄露、火灾和爆炸风险</w:t>
            </w:r>
            <w:r>
              <w:rPr>
                <w:rFonts w:hint="eastAsia"/>
                <w:color w:val="auto"/>
                <w:sz w:val="24"/>
              </w:rPr>
              <w:t>，本项目危化品为委外运输，因此厂外运输风险不在本次评价范围内</w:t>
            </w:r>
            <w:r>
              <w:rPr>
                <w:color w:val="auto"/>
                <w:sz w:val="24"/>
              </w:rPr>
              <w:t>。</w:t>
            </w:r>
          </w:p>
          <w:p>
            <w:pPr>
              <w:snapToGrid w:val="0"/>
              <w:spacing w:line="360" w:lineRule="auto"/>
              <w:ind w:left="420" w:leftChars="200"/>
              <w:rPr>
                <w:color w:val="auto"/>
                <w:sz w:val="24"/>
              </w:rPr>
            </w:pPr>
            <w:r>
              <w:rPr>
                <w:rFonts w:hint="eastAsia" w:ascii="宋体" w:hAnsi="宋体" w:cs="宋体"/>
                <w:color w:val="auto"/>
                <w:sz w:val="24"/>
              </w:rPr>
              <w:t>①</w:t>
            </w:r>
            <w:r>
              <w:rPr>
                <w:color w:val="auto"/>
                <w:sz w:val="24"/>
              </w:rPr>
              <w:t>泄露风险</w:t>
            </w:r>
          </w:p>
          <w:p>
            <w:pPr>
              <w:snapToGrid w:val="0"/>
              <w:spacing w:line="360" w:lineRule="auto"/>
              <w:ind w:firstLine="480" w:firstLineChars="200"/>
              <w:rPr>
                <w:color w:val="auto"/>
                <w:sz w:val="24"/>
              </w:rPr>
            </w:pPr>
            <w:r>
              <w:rPr>
                <w:color w:val="auto"/>
                <w:sz w:val="24"/>
              </w:rPr>
              <w:t>危险物品原料包装破裂、操作不当</w:t>
            </w:r>
            <w:r>
              <w:rPr>
                <w:rFonts w:hint="eastAsia"/>
                <w:color w:val="auto"/>
                <w:sz w:val="24"/>
              </w:rPr>
              <w:t>等</w:t>
            </w:r>
            <w:r>
              <w:rPr>
                <w:color w:val="auto"/>
                <w:sz w:val="24"/>
              </w:rPr>
              <w:t>发生意外等均有可能导致危险物品泄露。</w:t>
            </w:r>
            <w:r>
              <w:rPr>
                <w:color w:val="auto"/>
                <w:sz w:val="24"/>
                <w:szCs w:val="22"/>
              </w:rPr>
              <w:t>二苯基甲烷二异氰酸酯（MDI）有毒，</w:t>
            </w:r>
            <w:r>
              <w:rPr>
                <w:color w:val="auto"/>
                <w:sz w:val="24"/>
              </w:rPr>
              <w:t>如上述泄漏事故发生，则会危及人身安全、对大气环境造成严重污染。</w:t>
            </w:r>
          </w:p>
          <w:p>
            <w:pPr>
              <w:snapToGrid w:val="0"/>
              <w:spacing w:line="360" w:lineRule="auto"/>
              <w:ind w:left="420" w:leftChars="200"/>
              <w:rPr>
                <w:color w:val="auto"/>
                <w:sz w:val="24"/>
              </w:rPr>
            </w:pPr>
            <w:r>
              <w:rPr>
                <w:rFonts w:hint="eastAsia" w:ascii="宋体" w:hAnsi="宋体" w:cs="宋体"/>
                <w:color w:val="auto"/>
                <w:sz w:val="24"/>
              </w:rPr>
              <w:t>②</w:t>
            </w:r>
            <w:r>
              <w:rPr>
                <w:color w:val="auto"/>
                <w:sz w:val="24"/>
              </w:rPr>
              <w:t>火灾和爆炸风险</w:t>
            </w:r>
          </w:p>
          <w:p>
            <w:pPr>
              <w:snapToGrid w:val="0"/>
              <w:spacing w:line="360" w:lineRule="auto"/>
              <w:ind w:firstLine="480" w:firstLineChars="200"/>
              <w:rPr>
                <w:color w:val="auto"/>
                <w:sz w:val="24"/>
                <w:szCs w:val="22"/>
              </w:rPr>
            </w:pPr>
            <w:r>
              <w:rPr>
                <w:color w:val="auto"/>
                <w:sz w:val="24"/>
                <w:szCs w:val="22"/>
              </w:rPr>
              <w:t>二苯基甲烷二异氰酸酯（MDI）遇高热或者明火可燃，分解后可能会引起容器破裂或爆炸，热的物料能与水强烈反应，放出有害气体。</w:t>
            </w:r>
          </w:p>
          <w:p>
            <w:pPr>
              <w:autoSpaceDE w:val="0"/>
              <w:autoSpaceDN w:val="0"/>
              <w:spacing w:line="360" w:lineRule="auto"/>
              <w:ind w:firstLine="480" w:firstLineChars="200"/>
              <w:rPr>
                <w:color w:val="auto"/>
                <w:sz w:val="24"/>
                <w:szCs w:val="22"/>
              </w:rPr>
            </w:pPr>
            <w:r>
              <w:rPr>
                <w:color w:val="auto"/>
                <w:sz w:val="24"/>
              </w:rPr>
              <w:t>（3）环境风险分析</w:t>
            </w:r>
          </w:p>
          <w:p>
            <w:pPr>
              <w:autoSpaceDE w:val="0"/>
              <w:autoSpaceDN w:val="0"/>
              <w:spacing w:line="360" w:lineRule="auto"/>
              <w:ind w:firstLine="480" w:firstLineChars="200"/>
              <w:rPr>
                <w:color w:val="auto"/>
                <w:sz w:val="24"/>
              </w:rPr>
            </w:pPr>
            <w:r>
              <w:rPr>
                <w:color w:val="auto"/>
                <w:sz w:val="24"/>
              </w:rPr>
              <w:fldChar w:fldCharType="begin"/>
            </w:r>
            <w:r>
              <w:rPr>
                <w:color w:val="auto"/>
                <w:sz w:val="24"/>
              </w:rPr>
              <w:instrText xml:space="preserve"> = 1 \* GB3 </w:instrText>
            </w:r>
            <w:r>
              <w:rPr>
                <w:color w:val="auto"/>
                <w:sz w:val="24"/>
              </w:rPr>
              <w:fldChar w:fldCharType="separate"/>
            </w:r>
            <w:r>
              <w:rPr>
                <w:color w:val="auto"/>
                <w:sz w:val="24"/>
              </w:rPr>
              <w:t>①</w:t>
            </w:r>
            <w:r>
              <w:rPr>
                <w:color w:val="auto"/>
                <w:sz w:val="24"/>
              </w:rPr>
              <w:fldChar w:fldCharType="end"/>
            </w:r>
            <w:r>
              <w:rPr>
                <w:color w:val="auto"/>
                <w:sz w:val="24"/>
              </w:rPr>
              <w:t>对环境空气的危害成果</w:t>
            </w:r>
          </w:p>
          <w:p>
            <w:pPr>
              <w:autoSpaceDE w:val="0"/>
              <w:autoSpaceDN w:val="0"/>
              <w:spacing w:line="360" w:lineRule="auto"/>
              <w:ind w:firstLine="480" w:firstLineChars="200"/>
              <w:rPr>
                <w:rFonts w:hint="eastAsia"/>
                <w:color w:val="auto"/>
                <w:sz w:val="24"/>
              </w:rPr>
            </w:pPr>
            <w:r>
              <w:rPr>
                <w:color w:val="auto"/>
                <w:sz w:val="24"/>
                <w:szCs w:val="22"/>
              </w:rPr>
              <w:t>二苯基甲烷二异氰酸酯（MDI）吸入可引起头痛、气喘，刺激呼吸道</w:t>
            </w:r>
            <w:r>
              <w:rPr>
                <w:color w:val="auto"/>
                <w:sz w:val="24"/>
              </w:rPr>
              <w:t>，若泄露量大可能会对周边居民造成伤害。</w:t>
            </w:r>
            <w:r>
              <w:rPr>
                <w:rFonts w:hint="eastAsia"/>
                <w:color w:val="auto"/>
                <w:sz w:val="24"/>
              </w:rPr>
              <w:t>若发生火灾或者爆炸事故，产生的有毒气体也可能会对周边环境空气产生一定的影响。</w:t>
            </w:r>
          </w:p>
          <w:p>
            <w:pPr>
              <w:autoSpaceDE w:val="0"/>
              <w:autoSpaceDN w:val="0"/>
              <w:spacing w:line="360" w:lineRule="auto"/>
              <w:ind w:firstLine="480" w:firstLineChars="200"/>
              <w:rPr>
                <w:rFonts w:ascii="Times New Roman" w:hAnsi="Times New Roman" w:eastAsia="PMingLiU"/>
                <w:color w:val="auto"/>
                <w:sz w:val="24"/>
              </w:rPr>
            </w:pPr>
            <w:r>
              <w:rPr>
                <w:rFonts w:ascii="Times New Roman" w:hAnsi="Times New Roman" w:eastAsia="宋体"/>
                <w:color w:val="auto"/>
                <w:sz w:val="24"/>
              </w:rPr>
              <w:t>②对地表水环境的危害成果</w:t>
            </w:r>
          </w:p>
          <w:p>
            <w:pPr>
              <w:autoSpaceDE w:val="0"/>
              <w:autoSpaceDN w:val="0"/>
              <w:spacing w:line="360" w:lineRule="auto"/>
              <w:ind w:firstLine="480" w:firstLineChars="200"/>
              <w:rPr>
                <w:rFonts w:ascii="Times New Roman" w:hAnsi="Times New Roman" w:eastAsia="PMingLiU"/>
                <w:color w:val="auto"/>
                <w:sz w:val="24"/>
              </w:rPr>
            </w:pPr>
            <w:r>
              <w:rPr>
                <w:rFonts w:ascii="Times New Roman" w:hAnsi="Times New Roman" w:eastAsia="宋体"/>
                <w:color w:val="auto"/>
                <w:sz w:val="24"/>
              </w:rPr>
              <w:t>泄漏或渗漏的危险物品一旦进入地表河流，将造成地表河流的污染，影响范围小到几公里大到几十公里。有毒物质可能会致使水中生物死亡。</w:t>
            </w:r>
          </w:p>
          <w:p>
            <w:pPr>
              <w:autoSpaceDE w:val="0"/>
              <w:autoSpaceDN w:val="0"/>
              <w:spacing w:line="360" w:lineRule="auto"/>
              <w:ind w:firstLine="480" w:firstLineChars="200"/>
              <w:rPr>
                <w:rFonts w:ascii="Times New Roman" w:hAnsi="Times New Roman" w:eastAsia="PMingLiU"/>
                <w:color w:val="auto"/>
                <w:sz w:val="24"/>
              </w:rPr>
            </w:pPr>
            <w:r>
              <w:rPr>
                <w:rFonts w:ascii="Times New Roman" w:hAnsi="Times New Roman" w:eastAsia="宋体"/>
                <w:color w:val="auto"/>
                <w:sz w:val="24"/>
              </w:rPr>
              <w:t>③对地下水环境的危害成果</w:t>
            </w:r>
          </w:p>
          <w:p>
            <w:pPr>
              <w:spacing w:line="360" w:lineRule="auto"/>
              <w:ind w:firstLine="480" w:firstLineChars="200"/>
              <w:rPr>
                <w:rFonts w:ascii="Times New Roman" w:hAnsi="Times New Roman" w:eastAsia="PMingLiU"/>
                <w:color w:val="auto"/>
                <w:sz w:val="24"/>
              </w:rPr>
            </w:pPr>
            <w:r>
              <w:rPr>
                <w:rFonts w:ascii="Times New Roman" w:hAnsi="Times New Roman" w:eastAsia="宋体"/>
                <w:color w:val="auto"/>
                <w:sz w:val="24"/>
              </w:rPr>
              <w:t>危险物品泄漏或渗漏对地下水的污染较为严重，地下水一旦遭到危险物品的污染，将使地下水产生一定的毒性，根本无法饮用。又由于这种渗漏必然穿过较厚的土壤层，使土壤层中吸附了大量的危险物品，土壤层吸附的危险物品不仅会造成植物生物的死亡，而且土壤层吸附的燃料油还会随着地表水的下渗对土壤层的冲刷作用补充到地下水，这样即便污染源得到及时控制，地下水要完全恢复也需几十年甚至上百年的时间。</w:t>
            </w:r>
          </w:p>
          <w:p>
            <w:pPr>
              <w:spacing w:line="360" w:lineRule="auto"/>
              <w:ind w:firstLine="480" w:firstLineChars="200"/>
              <w:rPr>
                <w:rFonts w:ascii="Times New Roman" w:hAnsi="Times New Roman"/>
                <w:color w:val="auto"/>
                <w:sz w:val="24"/>
              </w:rPr>
            </w:pPr>
            <w:r>
              <w:rPr>
                <w:rFonts w:ascii="Times New Roman" w:hAnsi="Times New Roman" w:eastAsia="宋体"/>
                <w:color w:val="auto"/>
                <w:sz w:val="24"/>
              </w:rPr>
              <w:t>④对土壤环境的影响</w:t>
            </w:r>
          </w:p>
          <w:p>
            <w:pPr>
              <w:spacing w:line="360" w:lineRule="auto"/>
              <w:ind w:firstLine="480" w:firstLineChars="200"/>
              <w:rPr>
                <w:color w:val="auto"/>
              </w:rPr>
            </w:pPr>
            <w:r>
              <w:rPr>
                <w:rFonts w:ascii="Times New Roman" w:hAnsi="Times New Roman" w:eastAsia="宋体"/>
                <w:color w:val="auto"/>
                <w:sz w:val="24"/>
              </w:rPr>
              <w:t>危险物品渗漏进入土壤层后，使土壤层中吸附大量的危险物品，在土壤团粒中形成膜网结构，可能会造成土壤中的生物中毒，同时散逸到环境空气中的废气附着颗粒物，可能会对地面上的人或动物造成一定的影响。</w:t>
            </w:r>
          </w:p>
          <w:p>
            <w:pPr>
              <w:snapToGrid w:val="0"/>
              <w:spacing w:line="360" w:lineRule="auto"/>
              <w:ind w:firstLine="480" w:firstLineChars="200"/>
              <w:rPr>
                <w:color w:val="auto"/>
                <w:sz w:val="24"/>
              </w:rPr>
            </w:pPr>
            <w:r>
              <w:rPr>
                <w:color w:val="auto"/>
                <w:sz w:val="24"/>
              </w:rPr>
              <w:t>（4）环境风险防范措施及应急要求</w:t>
            </w:r>
          </w:p>
          <w:p>
            <w:pPr>
              <w:snapToGrid w:val="0"/>
              <w:spacing w:line="360" w:lineRule="auto"/>
              <w:ind w:firstLine="480" w:firstLineChars="200"/>
              <w:rPr>
                <w:color w:val="auto"/>
                <w:kern w:val="0"/>
                <w:sz w:val="24"/>
                <w:lang w:val="zh-TW"/>
              </w:rPr>
            </w:pPr>
            <w:r>
              <w:rPr>
                <w:color w:val="auto"/>
                <w:kern w:val="0"/>
                <w:sz w:val="24"/>
                <w:lang w:val="zh-TW"/>
              </w:rPr>
              <w:fldChar w:fldCharType="begin"/>
            </w:r>
            <w:r>
              <w:rPr>
                <w:color w:val="auto"/>
                <w:kern w:val="0"/>
                <w:sz w:val="24"/>
                <w:lang w:val="zh-TW"/>
              </w:rPr>
              <w:instrText xml:space="preserve"> = 1 \* GB3 </w:instrText>
            </w:r>
            <w:r>
              <w:rPr>
                <w:color w:val="auto"/>
                <w:kern w:val="0"/>
                <w:sz w:val="24"/>
                <w:lang w:val="zh-TW"/>
              </w:rPr>
              <w:fldChar w:fldCharType="separate"/>
            </w:r>
            <w:r>
              <w:rPr>
                <w:color w:val="auto"/>
                <w:kern w:val="0"/>
                <w:sz w:val="24"/>
                <w:lang w:val="zh-TW"/>
              </w:rPr>
              <w:t>①</w:t>
            </w:r>
            <w:r>
              <w:rPr>
                <w:color w:val="auto"/>
                <w:kern w:val="0"/>
                <w:sz w:val="24"/>
                <w:lang w:val="zh-TW"/>
              </w:rPr>
              <w:fldChar w:fldCharType="end"/>
            </w:r>
            <w:r>
              <w:rPr>
                <w:color w:val="auto"/>
                <w:kern w:val="0"/>
                <w:sz w:val="24"/>
                <w:lang w:val="zh-TW"/>
              </w:rPr>
              <w:t>设计规范</w:t>
            </w:r>
          </w:p>
          <w:p>
            <w:pPr>
              <w:snapToGrid w:val="0"/>
              <w:spacing w:line="360" w:lineRule="auto"/>
              <w:ind w:firstLine="480" w:firstLineChars="200"/>
              <w:rPr>
                <w:color w:val="auto"/>
                <w:kern w:val="0"/>
                <w:sz w:val="24"/>
                <w:lang w:val="zh-TW"/>
              </w:rPr>
            </w:pPr>
            <w:r>
              <w:rPr>
                <w:color w:val="auto"/>
                <w:kern w:val="0"/>
                <w:sz w:val="24"/>
                <w:lang w:val="zh-TW"/>
              </w:rPr>
              <w:t>A项目的建设设计贯彻方便工艺布置的原则，平面</w:t>
            </w:r>
            <w:r>
              <w:rPr>
                <w:rFonts w:hint="eastAsia"/>
                <w:color w:val="auto"/>
                <w:kern w:val="0"/>
                <w:sz w:val="24"/>
                <w:lang w:val="zh-TW"/>
              </w:rPr>
              <w:t>简洁</w:t>
            </w:r>
            <w:r>
              <w:rPr>
                <w:color w:val="auto"/>
                <w:kern w:val="0"/>
                <w:sz w:val="24"/>
                <w:lang w:val="zh-TW"/>
              </w:rPr>
              <w:t>规整，功能分区明确。项目建筑物耐火等级、防火间距、防火分区和防火构造均按照《工业企业总平面设计规范》、《建筑设计防火规范》等设计，厂房建筑设计中，采取防爆泄压和通风措施，并配备必要的消防器材。</w:t>
            </w:r>
          </w:p>
          <w:p>
            <w:pPr>
              <w:snapToGrid w:val="0"/>
              <w:spacing w:line="360" w:lineRule="auto"/>
              <w:ind w:firstLine="480" w:firstLineChars="200"/>
              <w:rPr>
                <w:rFonts w:eastAsia="PMingLiU"/>
                <w:color w:val="auto"/>
                <w:kern w:val="0"/>
                <w:sz w:val="24"/>
                <w:lang w:val="zh-TW"/>
              </w:rPr>
            </w:pPr>
            <w:r>
              <w:rPr>
                <w:color w:val="auto"/>
                <w:kern w:val="0"/>
                <w:sz w:val="24"/>
                <w:lang w:val="zh-TW"/>
              </w:rPr>
              <w:t>B在危化品转运仓设置安全标志，厂区内禁止火源，危险化学品原料使用区域地面应按要求进行防渗。</w:t>
            </w:r>
          </w:p>
          <w:p>
            <w:pPr>
              <w:snapToGrid w:val="0"/>
              <w:spacing w:line="360" w:lineRule="auto"/>
              <w:ind w:firstLine="480" w:firstLineChars="200"/>
              <w:rPr>
                <w:color w:val="auto"/>
                <w:sz w:val="24"/>
              </w:rPr>
            </w:pPr>
            <w:r>
              <w:rPr>
                <w:rFonts w:hint="eastAsia" w:ascii="宋体" w:hAnsi="宋体" w:cs="宋体"/>
                <w:color w:val="auto"/>
                <w:sz w:val="24"/>
              </w:rPr>
              <w:t>②</w:t>
            </w:r>
            <w:r>
              <w:rPr>
                <w:color w:val="auto"/>
                <w:sz w:val="24"/>
              </w:rPr>
              <w:t>管理制度-危险化学品使用</w:t>
            </w:r>
          </w:p>
          <w:p>
            <w:pPr>
              <w:snapToGrid w:val="0"/>
              <w:spacing w:line="360" w:lineRule="auto"/>
              <w:ind w:firstLine="480" w:firstLineChars="200"/>
              <w:rPr>
                <w:color w:val="auto"/>
                <w:sz w:val="24"/>
              </w:rPr>
            </w:pPr>
            <w:r>
              <w:rPr>
                <w:color w:val="auto"/>
                <w:sz w:val="24"/>
              </w:rPr>
              <w:t>A生产车间应加强排风，使工作场所空气中有毒物料浓度符合有关规定。</w:t>
            </w:r>
          </w:p>
          <w:p>
            <w:pPr>
              <w:snapToGrid w:val="0"/>
              <w:spacing w:line="360" w:lineRule="auto"/>
              <w:ind w:firstLine="480" w:firstLineChars="200"/>
              <w:rPr>
                <w:color w:val="auto"/>
                <w:sz w:val="24"/>
              </w:rPr>
            </w:pPr>
            <w:r>
              <w:rPr>
                <w:color w:val="auto"/>
                <w:sz w:val="24"/>
              </w:rPr>
              <w:t>B针对现场电线、电器设备等不安全因素，车间建筑电器进行消防电气安全检测。</w:t>
            </w:r>
          </w:p>
          <w:p>
            <w:pPr>
              <w:snapToGrid w:val="0"/>
              <w:spacing w:line="360" w:lineRule="auto"/>
              <w:ind w:firstLine="480" w:firstLineChars="200"/>
              <w:rPr>
                <w:color w:val="auto"/>
                <w:sz w:val="24"/>
              </w:rPr>
            </w:pPr>
            <w:r>
              <w:rPr>
                <w:color w:val="auto"/>
                <w:sz w:val="24"/>
              </w:rPr>
              <w:t>C企业应制定化学品泄漏物和包装物的废弃处理程序，加强对废弃物的管理。</w:t>
            </w:r>
          </w:p>
          <w:p>
            <w:pPr>
              <w:snapToGrid w:val="0"/>
              <w:spacing w:line="360" w:lineRule="auto"/>
              <w:ind w:firstLine="480" w:firstLineChars="200"/>
              <w:rPr>
                <w:color w:val="auto"/>
                <w:sz w:val="24"/>
              </w:rPr>
            </w:pPr>
            <w:r>
              <w:rPr>
                <w:color w:val="auto"/>
                <w:sz w:val="24"/>
              </w:rPr>
              <w:t>D凡有化学危险物品存放、使用场所，都应在醒目位置张贴《安全须知卡》。</w:t>
            </w:r>
          </w:p>
          <w:p>
            <w:pPr>
              <w:snapToGrid w:val="0"/>
              <w:spacing w:line="360" w:lineRule="auto"/>
              <w:ind w:firstLine="480" w:firstLineChars="200"/>
              <w:rPr>
                <w:color w:val="auto"/>
                <w:sz w:val="24"/>
              </w:rPr>
            </w:pPr>
            <w:r>
              <w:rPr>
                <w:rFonts w:hint="eastAsia" w:ascii="宋体" w:hAnsi="宋体" w:cs="宋体"/>
                <w:color w:val="auto"/>
                <w:sz w:val="24"/>
              </w:rPr>
              <w:t>③</w:t>
            </w:r>
            <w:r>
              <w:rPr>
                <w:color w:val="auto"/>
                <w:sz w:val="24"/>
              </w:rPr>
              <w:t>管理制度-危险化学品储存</w:t>
            </w:r>
          </w:p>
          <w:p>
            <w:pPr>
              <w:snapToGrid w:val="0"/>
              <w:spacing w:line="360" w:lineRule="auto"/>
              <w:ind w:firstLine="480" w:firstLineChars="200"/>
              <w:rPr>
                <w:color w:val="auto"/>
                <w:sz w:val="24"/>
              </w:rPr>
            </w:pPr>
            <w:r>
              <w:rPr>
                <w:color w:val="auto"/>
                <w:sz w:val="24"/>
              </w:rPr>
              <w:t>A尽可能减少危险品储存量和储存周期。物料储存应符合《常用化学危险品贮存通则》（GB15603-1995）、《易燃易爆性商品储藏养护技术条件》（GB17914-2013）、《毒害性商品储藏养护技术条件》（GB17916-2013）等相关技术规范。</w:t>
            </w:r>
          </w:p>
          <w:p>
            <w:pPr>
              <w:snapToGrid w:val="0"/>
              <w:spacing w:line="360" w:lineRule="auto"/>
              <w:ind w:firstLine="480" w:firstLineChars="200"/>
              <w:rPr>
                <w:color w:val="auto"/>
                <w:sz w:val="24"/>
              </w:rPr>
            </w:pPr>
            <w:r>
              <w:rPr>
                <w:color w:val="auto"/>
                <w:sz w:val="24"/>
              </w:rPr>
              <w:t>B化学品储存场所等应设立检查制度；主要化学物料输送管道应安装必要的安全附件；输送管道上应安装切断阀、流量检测或检漏设备。</w:t>
            </w:r>
          </w:p>
          <w:p>
            <w:pPr>
              <w:snapToGrid w:val="0"/>
              <w:spacing w:line="360" w:lineRule="auto"/>
              <w:ind w:firstLine="480" w:firstLineChars="200"/>
              <w:rPr>
                <w:color w:val="auto"/>
                <w:sz w:val="24"/>
              </w:rPr>
            </w:pPr>
            <w:r>
              <w:rPr>
                <w:color w:val="auto"/>
                <w:sz w:val="24"/>
              </w:rPr>
              <w:t>C厂内配备专业技术人员负责管理，同时配备必要的个人防护用品。库内物质分类存放，禁忌混合存放。易燃物与毒害物应分隔存放。</w:t>
            </w:r>
          </w:p>
          <w:p>
            <w:pPr>
              <w:snapToGrid w:val="0"/>
              <w:spacing w:line="360" w:lineRule="auto"/>
              <w:ind w:firstLine="480" w:firstLineChars="200"/>
              <w:rPr>
                <w:color w:val="auto"/>
                <w:sz w:val="24"/>
              </w:rPr>
            </w:pPr>
            <w:r>
              <w:rPr>
                <w:color w:val="auto"/>
                <w:sz w:val="24"/>
              </w:rPr>
              <w:t>D化学品洒落地面、车板上应及时清除，对易燃易爆物品应用松软物经水浸湿后扫除。</w:t>
            </w:r>
          </w:p>
          <w:p>
            <w:pPr>
              <w:snapToGrid w:val="0"/>
              <w:spacing w:line="360" w:lineRule="auto"/>
              <w:ind w:firstLine="480" w:firstLineChars="200"/>
              <w:rPr>
                <w:color w:val="auto"/>
                <w:sz w:val="24"/>
              </w:rPr>
            </w:pPr>
            <w:r>
              <w:rPr>
                <w:color w:val="auto"/>
                <w:sz w:val="24"/>
              </w:rPr>
              <w:t>E装卸化学危险品时，不得饮酒、吸烟，工作完毕后根据工作情况和危险品的性质，及时清洗手、脸、漱口或淋浴。保持现场空气流通，如果发现恶心、头晕等中毒现象，应立即到新鲜空气处休息，重者送医院治疗。</w:t>
            </w:r>
          </w:p>
          <w:p>
            <w:pPr>
              <w:snapToGrid w:val="0"/>
              <w:spacing w:line="360" w:lineRule="auto"/>
              <w:ind w:firstLine="480" w:firstLineChars="200"/>
              <w:rPr>
                <w:color w:val="auto"/>
                <w:sz w:val="24"/>
              </w:rPr>
            </w:pPr>
            <w:r>
              <w:rPr>
                <w:rFonts w:hint="eastAsia" w:ascii="宋体" w:hAnsi="宋体" w:cs="宋体"/>
                <w:color w:val="auto"/>
                <w:sz w:val="24"/>
              </w:rPr>
              <w:t>④</w:t>
            </w:r>
            <w:r>
              <w:rPr>
                <w:color w:val="auto"/>
                <w:sz w:val="24"/>
              </w:rPr>
              <w:t>工艺技术的本质安全</w:t>
            </w:r>
          </w:p>
          <w:p>
            <w:pPr>
              <w:snapToGrid w:val="0"/>
              <w:spacing w:line="360" w:lineRule="auto"/>
              <w:ind w:firstLine="480" w:firstLineChars="200"/>
              <w:rPr>
                <w:color w:val="auto"/>
                <w:sz w:val="24"/>
              </w:rPr>
            </w:pPr>
            <w:r>
              <w:rPr>
                <w:color w:val="auto"/>
                <w:sz w:val="24"/>
              </w:rPr>
              <w:t>A本项目各工艺采用工艺技术先进，经济合理，确保项目本质安全。</w:t>
            </w:r>
          </w:p>
          <w:p>
            <w:pPr>
              <w:snapToGrid w:val="0"/>
              <w:spacing w:line="360" w:lineRule="auto"/>
              <w:ind w:firstLine="480" w:firstLineChars="200"/>
              <w:rPr>
                <w:color w:val="auto"/>
                <w:sz w:val="24"/>
              </w:rPr>
            </w:pPr>
            <w:r>
              <w:rPr>
                <w:color w:val="auto"/>
                <w:sz w:val="24"/>
              </w:rPr>
              <w:t>B设备选择方面，根据各生产装置的工艺特点和物料特性来选择。</w:t>
            </w:r>
          </w:p>
          <w:p>
            <w:pPr>
              <w:snapToGrid w:val="0"/>
              <w:spacing w:line="360" w:lineRule="auto"/>
              <w:ind w:firstLine="480" w:firstLineChars="200"/>
              <w:rPr>
                <w:color w:val="auto"/>
                <w:sz w:val="24"/>
              </w:rPr>
            </w:pPr>
            <w:r>
              <w:rPr>
                <w:color w:val="auto"/>
                <w:sz w:val="24"/>
              </w:rPr>
              <w:t>C对生产工艺中的原料、产品易燃易爆的特点，为确保安全，在设计中，当操作者失误或设备运行一旦达到危险状态时，通过安全报警和联锁装置来终止危险、危害的发生。</w:t>
            </w:r>
          </w:p>
          <w:p>
            <w:pPr>
              <w:snapToGrid w:val="0"/>
              <w:spacing w:line="360" w:lineRule="auto"/>
              <w:ind w:firstLine="480" w:firstLineChars="200"/>
              <w:rPr>
                <w:color w:val="auto"/>
                <w:sz w:val="24"/>
              </w:rPr>
            </w:pPr>
            <w:r>
              <w:rPr>
                <w:rFonts w:hint="eastAsia" w:ascii="宋体" w:hAnsi="宋体" w:cs="宋体"/>
                <w:color w:val="auto"/>
                <w:sz w:val="24"/>
              </w:rPr>
              <w:t>⑤</w:t>
            </w:r>
            <w:r>
              <w:rPr>
                <w:color w:val="auto"/>
                <w:sz w:val="24"/>
              </w:rPr>
              <w:t>库房防火安全对策措施</w:t>
            </w:r>
          </w:p>
          <w:p>
            <w:pPr>
              <w:snapToGrid w:val="0"/>
              <w:spacing w:line="360" w:lineRule="auto"/>
              <w:ind w:firstLine="480" w:firstLineChars="200"/>
              <w:rPr>
                <w:color w:val="auto"/>
                <w:sz w:val="24"/>
              </w:rPr>
            </w:pPr>
            <w:r>
              <w:rPr>
                <w:color w:val="auto"/>
                <w:sz w:val="24"/>
              </w:rPr>
              <w:t>A在仓库外，计划设计摄像机，监视货物装卸站的相关情况。</w:t>
            </w:r>
          </w:p>
          <w:p>
            <w:pPr>
              <w:snapToGrid w:val="0"/>
              <w:spacing w:line="360" w:lineRule="auto"/>
              <w:ind w:firstLine="480" w:firstLineChars="200"/>
              <w:rPr>
                <w:color w:val="auto"/>
                <w:sz w:val="24"/>
              </w:rPr>
            </w:pPr>
            <w:r>
              <w:rPr>
                <w:color w:val="auto"/>
                <w:sz w:val="24"/>
              </w:rPr>
              <w:t>B在仓库内，计划设计扩音对讲系统，作为通讯手段，火灾发生时完成消防广播功能。同时计划设计火灾报警系统。顶部设置烟感探测器，在仓库墙壁靠近出入口的位置安装手动报警按钮及声光报警装置。当发生火灾时，火灾报警系统启动声光报警器，启动消防广播，切断非消防电源，启动防排烟系统。</w:t>
            </w:r>
          </w:p>
          <w:p>
            <w:pPr>
              <w:snapToGrid w:val="0"/>
              <w:spacing w:line="360" w:lineRule="auto"/>
              <w:ind w:firstLine="480" w:firstLineChars="200"/>
              <w:rPr>
                <w:color w:val="auto"/>
                <w:sz w:val="24"/>
              </w:rPr>
            </w:pPr>
            <w:r>
              <w:rPr>
                <w:color w:val="auto"/>
                <w:sz w:val="24"/>
              </w:rPr>
              <w:t>C仓库内将设置室内消火栓、手提灭火器，满足《建筑设计防火规范》</w:t>
            </w:r>
            <w:r>
              <w:rPr>
                <w:rFonts w:hint="eastAsia"/>
                <w:color w:val="auto"/>
                <w:sz w:val="24"/>
                <w:lang w:eastAsia="zh-CN"/>
              </w:rPr>
              <w:t>（</w:t>
            </w:r>
            <w:r>
              <w:rPr>
                <w:color w:val="auto"/>
                <w:sz w:val="24"/>
              </w:rPr>
              <w:t>2018修订版</w:t>
            </w:r>
            <w:r>
              <w:rPr>
                <w:rFonts w:hint="eastAsia"/>
                <w:color w:val="auto"/>
                <w:sz w:val="24"/>
                <w:lang w:eastAsia="zh-CN"/>
              </w:rPr>
              <w:t>）</w:t>
            </w:r>
            <w:r>
              <w:rPr>
                <w:color w:val="auto"/>
                <w:sz w:val="24"/>
              </w:rPr>
              <w:t>规定。</w:t>
            </w:r>
          </w:p>
          <w:p>
            <w:pPr>
              <w:snapToGrid w:val="0"/>
              <w:spacing w:line="360" w:lineRule="auto"/>
              <w:ind w:firstLine="480" w:firstLineChars="200"/>
              <w:rPr>
                <w:color w:val="auto"/>
                <w:sz w:val="24"/>
              </w:rPr>
            </w:pPr>
            <w:r>
              <w:rPr>
                <w:color w:val="auto"/>
                <w:sz w:val="24"/>
              </w:rPr>
              <w:t>D在危险化学品存放区域计划设置手动报警按钮及声光报警装置，及扩音对讲系统。</w:t>
            </w:r>
          </w:p>
          <w:p>
            <w:pPr>
              <w:snapToGrid w:val="0"/>
              <w:spacing w:line="360" w:lineRule="auto"/>
              <w:ind w:firstLine="480" w:firstLineChars="200"/>
              <w:rPr>
                <w:color w:val="auto"/>
                <w:sz w:val="24"/>
              </w:rPr>
            </w:pPr>
            <w:r>
              <w:rPr>
                <w:color w:val="auto"/>
                <w:sz w:val="24"/>
              </w:rPr>
              <w:t>E厂区各单元除按规定设置水消防设施外，还应根据《建筑灭火器配置设计规范》（GB50140-2005）规定设置各类灭火器若干。</w:t>
            </w:r>
          </w:p>
          <w:p>
            <w:pPr>
              <w:snapToGrid w:val="0"/>
              <w:spacing w:line="360" w:lineRule="auto"/>
              <w:ind w:firstLine="480" w:firstLineChars="200"/>
              <w:rPr>
                <w:color w:val="auto"/>
                <w:kern w:val="0"/>
                <w:sz w:val="24"/>
                <w:lang w:val="zh-TW"/>
              </w:rPr>
            </w:pPr>
            <w:r>
              <w:rPr>
                <w:color w:val="auto"/>
                <w:sz w:val="24"/>
              </w:rPr>
              <w:t>F消防队应按标准消防站配备有应急物资，主要有：泡沫消防车、化学救援车、指挥车、视频摄像传输车、空气呼吸器、轻型防化服、重型防化服、隔膜泵、硅藻土吸附剂、收集桶、吸油毡、吸油棉、围油栏、撇油器、吸附垫、扩音器等。</w:t>
            </w:r>
          </w:p>
          <w:p>
            <w:pPr>
              <w:adjustRightInd w:val="0"/>
              <w:snapToGrid w:val="0"/>
              <w:spacing w:line="360" w:lineRule="auto"/>
              <w:ind w:firstLine="480" w:firstLineChars="200"/>
              <w:rPr>
                <w:rFonts w:hAnsi="Cambria Math"/>
                <w:color w:val="auto"/>
                <w:sz w:val="24"/>
              </w:rPr>
            </w:pPr>
            <w:r>
              <w:rPr>
                <w:rFonts w:hAnsi="Cambria Math"/>
                <w:color w:val="auto"/>
                <w:sz w:val="24"/>
              </w:rPr>
              <w:t>（5）建设项目环境分析简单分析内容表</w:t>
            </w:r>
          </w:p>
          <w:p>
            <w:pPr>
              <w:snapToGrid w:val="0"/>
              <w:spacing w:line="360" w:lineRule="auto"/>
              <w:ind w:firstLine="480" w:firstLineChars="200"/>
              <w:rPr>
                <w:color w:val="auto"/>
                <w:sz w:val="24"/>
              </w:rPr>
            </w:pPr>
            <w:r>
              <w:rPr>
                <w:color w:val="auto"/>
                <w:sz w:val="24"/>
              </w:rPr>
              <w:t>综上所述，项目风险水平可以接受，在满足环评各项要求前提下，切实落实各项风险防范措施后，发生事故的可能将进一步降低，从环境风险角度考虑是可以接受的。</w:t>
            </w:r>
          </w:p>
          <w:p>
            <w:pPr>
              <w:snapToGrid w:val="0"/>
              <w:spacing w:line="360" w:lineRule="auto"/>
              <w:ind w:firstLine="480" w:firstLineChars="200"/>
              <w:rPr>
                <w:color w:val="auto"/>
                <w:sz w:val="24"/>
              </w:rPr>
            </w:pPr>
            <w:r>
              <w:rPr>
                <w:color w:val="auto"/>
                <w:sz w:val="24"/>
              </w:rPr>
              <w:t>根据导则要求，本项目环境风险简单分析内容表4-</w:t>
            </w:r>
            <w:r>
              <w:rPr>
                <w:rFonts w:hint="eastAsia"/>
                <w:color w:val="auto"/>
                <w:sz w:val="24"/>
              </w:rPr>
              <w:t>1</w:t>
            </w:r>
            <w:r>
              <w:rPr>
                <w:rFonts w:hint="eastAsia"/>
                <w:color w:val="auto"/>
                <w:sz w:val="24"/>
                <w:lang w:val="en-US" w:eastAsia="zh-CN"/>
              </w:rPr>
              <w:t>8</w:t>
            </w:r>
            <w:r>
              <w:rPr>
                <w:color w:val="auto"/>
                <w:sz w:val="24"/>
              </w:rPr>
              <w:t>。</w:t>
            </w:r>
          </w:p>
          <w:p>
            <w:pPr>
              <w:ind w:firstLine="482"/>
              <w:jc w:val="center"/>
              <w:rPr>
                <w:b/>
                <w:color w:val="auto"/>
                <w:szCs w:val="21"/>
              </w:rPr>
            </w:pPr>
            <w:r>
              <w:rPr>
                <w:b/>
                <w:color w:val="auto"/>
                <w:szCs w:val="21"/>
              </w:rPr>
              <w:t>表4-</w:t>
            </w:r>
            <w:r>
              <w:rPr>
                <w:rFonts w:hint="eastAsia"/>
                <w:b/>
                <w:color w:val="auto"/>
                <w:szCs w:val="21"/>
              </w:rPr>
              <w:t>1</w:t>
            </w:r>
            <w:r>
              <w:rPr>
                <w:rFonts w:hint="eastAsia"/>
                <w:b/>
                <w:color w:val="auto"/>
                <w:szCs w:val="21"/>
                <w:lang w:val="en-US" w:eastAsia="zh-CN"/>
              </w:rPr>
              <w:t>8</w:t>
            </w:r>
            <w:r>
              <w:rPr>
                <w:b/>
                <w:color w:val="auto"/>
                <w:szCs w:val="21"/>
              </w:rPr>
              <w:t xml:space="preserve">  本项目环境风险简单分析内容表</w:t>
            </w:r>
          </w:p>
          <w:tbl>
            <w:tblPr>
              <w:tblStyle w:val="18"/>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126"/>
              <w:gridCol w:w="1336"/>
              <w:gridCol w:w="1334"/>
              <w:gridCol w:w="26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pct"/>
                  <w:vAlign w:val="center"/>
                </w:tcPr>
                <w:p>
                  <w:pPr>
                    <w:pStyle w:val="35"/>
                    <w:spacing w:beforeLines="0" w:afterLines="0" w:line="240" w:lineRule="auto"/>
                    <w:rPr>
                      <w:rFonts w:ascii="Times New Roman"/>
                      <w:color w:val="auto"/>
                    </w:rPr>
                  </w:pPr>
                  <w:r>
                    <w:rPr>
                      <w:rFonts w:ascii="Times New Roman"/>
                      <w:color w:val="auto"/>
                    </w:rPr>
                    <w:t>建设项目名称</w:t>
                  </w:r>
                </w:p>
              </w:tc>
              <w:tc>
                <w:tcPr>
                  <w:tcW w:w="4035" w:type="pct"/>
                  <w:gridSpan w:val="4"/>
                  <w:vAlign w:val="center"/>
                </w:tcPr>
                <w:p>
                  <w:pPr>
                    <w:ind w:firstLine="480"/>
                    <w:jc w:val="center"/>
                    <w:rPr>
                      <w:color w:val="auto"/>
                      <w:szCs w:val="21"/>
                    </w:rPr>
                  </w:pPr>
                  <w:r>
                    <w:rPr>
                      <w:rFonts w:hint="eastAsia"/>
                      <w:color w:val="auto"/>
                      <w:szCs w:val="21"/>
                    </w:rPr>
                    <w:t>西安比亚迪汽车零部件有限公司</w:t>
                  </w:r>
                  <w:r>
                    <w:rPr>
                      <w:color w:val="auto"/>
                      <w:szCs w:val="21"/>
                    </w:rPr>
                    <w:t>年产120万车付NVH隔音隔热产品项目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pct"/>
                  <w:vAlign w:val="center"/>
                </w:tcPr>
                <w:p>
                  <w:pPr>
                    <w:pStyle w:val="35"/>
                    <w:spacing w:beforeLines="0" w:afterLines="0" w:line="240" w:lineRule="auto"/>
                    <w:rPr>
                      <w:rFonts w:ascii="Times New Roman"/>
                      <w:color w:val="auto"/>
                    </w:rPr>
                  </w:pPr>
                  <w:r>
                    <w:rPr>
                      <w:rFonts w:ascii="Times New Roman"/>
                      <w:color w:val="auto"/>
                    </w:rPr>
                    <w:t>建设地点</w:t>
                  </w:r>
                </w:p>
              </w:tc>
              <w:tc>
                <w:tcPr>
                  <w:tcW w:w="4035" w:type="pct"/>
                  <w:gridSpan w:val="4"/>
                  <w:vAlign w:val="center"/>
                </w:tcPr>
                <w:p>
                  <w:pPr>
                    <w:pStyle w:val="35"/>
                    <w:spacing w:before="24" w:after="24"/>
                    <w:ind w:left="480" w:firstLine="480"/>
                    <w:rPr>
                      <w:rFonts w:ascii="Times New Roman"/>
                      <w:color w:val="auto"/>
                    </w:rPr>
                  </w:pPr>
                  <w:r>
                    <w:rPr>
                      <w:rFonts w:ascii="Times New Roman"/>
                      <w:color w:val="auto"/>
                      <w:szCs w:val="21"/>
                    </w:rPr>
                    <w:t>陕西省西安市</w:t>
                  </w:r>
                  <w:r>
                    <w:rPr>
                      <w:rFonts w:hint="eastAsia" w:ascii="Times New Roman"/>
                      <w:color w:val="auto"/>
                      <w:szCs w:val="21"/>
                    </w:rPr>
                    <w:t>周至县</w:t>
                  </w:r>
                  <w:r>
                    <w:rPr>
                      <w:rFonts w:ascii="Times New Roman"/>
                      <w:color w:val="auto"/>
                      <w:szCs w:val="21"/>
                    </w:rPr>
                    <w:t>集贤工业园尚九路以西，10</w:t>
                  </w:r>
                  <w:r>
                    <w:rPr>
                      <w:rFonts w:hint="eastAsia" w:ascii="Times New Roman"/>
                      <w:color w:val="auto"/>
                      <w:szCs w:val="21"/>
                    </w:rPr>
                    <w:t>8省道以北（不在秦岭保护区范围内）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pct"/>
                  <w:vAlign w:val="center"/>
                </w:tcPr>
                <w:p>
                  <w:pPr>
                    <w:pStyle w:val="35"/>
                    <w:spacing w:beforeLines="0" w:afterLines="0" w:line="240" w:lineRule="auto"/>
                    <w:rPr>
                      <w:rFonts w:ascii="Times New Roman"/>
                      <w:color w:val="auto"/>
                    </w:rPr>
                  </w:pPr>
                  <w:r>
                    <w:rPr>
                      <w:rFonts w:ascii="Times New Roman"/>
                      <w:color w:val="auto"/>
                    </w:rPr>
                    <w:t>地理坐标</w:t>
                  </w:r>
                </w:p>
              </w:tc>
              <w:tc>
                <w:tcPr>
                  <w:tcW w:w="703" w:type="pct"/>
                  <w:vAlign w:val="center"/>
                </w:tcPr>
                <w:p>
                  <w:pPr>
                    <w:pStyle w:val="35"/>
                    <w:spacing w:before="24" w:after="24"/>
                    <w:rPr>
                      <w:rFonts w:ascii="Times New Roman"/>
                      <w:color w:val="auto"/>
                    </w:rPr>
                  </w:pPr>
                  <w:r>
                    <w:rPr>
                      <w:rFonts w:ascii="Times New Roman"/>
                      <w:color w:val="auto"/>
                    </w:rPr>
                    <w:t>经度</w:t>
                  </w:r>
                </w:p>
              </w:tc>
              <w:tc>
                <w:tcPr>
                  <w:tcW w:w="834" w:type="pct"/>
                  <w:vAlign w:val="center"/>
                </w:tcPr>
                <w:p>
                  <w:pPr>
                    <w:jc w:val="center"/>
                    <w:rPr>
                      <w:color w:val="auto"/>
                      <w:szCs w:val="21"/>
                    </w:rPr>
                  </w:pPr>
                  <w:r>
                    <w:rPr>
                      <w:color w:val="auto"/>
                      <w:szCs w:val="21"/>
                    </w:rPr>
                    <w:t>108°24′3.09"</w:t>
                  </w:r>
                </w:p>
              </w:tc>
              <w:tc>
                <w:tcPr>
                  <w:tcW w:w="833" w:type="pct"/>
                  <w:vAlign w:val="center"/>
                </w:tcPr>
                <w:p>
                  <w:pPr>
                    <w:jc w:val="center"/>
                    <w:rPr>
                      <w:color w:val="auto"/>
                      <w:szCs w:val="21"/>
                    </w:rPr>
                  </w:pPr>
                  <w:r>
                    <w:rPr>
                      <w:color w:val="auto"/>
                      <w:szCs w:val="21"/>
                    </w:rPr>
                    <w:t>纬度</w:t>
                  </w:r>
                </w:p>
              </w:tc>
              <w:tc>
                <w:tcPr>
                  <w:tcW w:w="1666" w:type="pct"/>
                  <w:vAlign w:val="center"/>
                </w:tcPr>
                <w:p>
                  <w:pPr>
                    <w:pStyle w:val="35"/>
                    <w:spacing w:before="24" w:after="24"/>
                    <w:rPr>
                      <w:rFonts w:ascii="Times New Roman"/>
                      <w:color w:val="auto"/>
                    </w:rPr>
                  </w:pPr>
                  <w:r>
                    <w:rPr>
                      <w:rFonts w:ascii="Times New Roman"/>
                      <w:color w:val="auto"/>
                    </w:rPr>
                    <w:t>34°04′41.40"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pct"/>
                  <w:vAlign w:val="center"/>
                </w:tcPr>
                <w:p>
                  <w:pPr>
                    <w:pStyle w:val="35"/>
                    <w:spacing w:beforeLines="0" w:afterLines="0" w:line="240" w:lineRule="auto"/>
                    <w:rPr>
                      <w:rFonts w:ascii="Times New Roman"/>
                      <w:color w:val="auto"/>
                    </w:rPr>
                  </w:pPr>
                  <w:r>
                    <w:rPr>
                      <w:rFonts w:ascii="Times New Roman"/>
                      <w:color w:val="auto"/>
                    </w:rPr>
                    <w:t>主要危险物质及分布</w:t>
                  </w:r>
                </w:p>
              </w:tc>
              <w:tc>
                <w:tcPr>
                  <w:tcW w:w="4035" w:type="pct"/>
                  <w:gridSpan w:val="4"/>
                  <w:vAlign w:val="center"/>
                </w:tcPr>
                <w:p>
                  <w:pPr>
                    <w:pStyle w:val="35"/>
                    <w:spacing w:before="24" w:after="24"/>
                    <w:rPr>
                      <w:rFonts w:ascii="Times New Roman"/>
                      <w:color w:val="auto"/>
                    </w:rPr>
                  </w:pPr>
                  <w:r>
                    <w:rPr>
                      <w:rFonts w:ascii="Times New Roman"/>
                      <w:color w:val="auto"/>
                    </w:rPr>
                    <w:t>主要危险物质：</w:t>
                  </w:r>
                  <w:r>
                    <w:rPr>
                      <w:rFonts w:ascii="Times New Roman"/>
                      <w:bCs/>
                      <w:color w:val="auto"/>
                    </w:rPr>
                    <w:t>MDI</w:t>
                  </w:r>
                </w:p>
                <w:p>
                  <w:pPr>
                    <w:pStyle w:val="35"/>
                    <w:spacing w:before="24" w:after="24"/>
                    <w:rPr>
                      <w:rFonts w:ascii="Times New Roman"/>
                      <w:color w:val="auto"/>
                    </w:rPr>
                  </w:pPr>
                  <w:r>
                    <w:rPr>
                      <w:rFonts w:ascii="Times New Roman"/>
                      <w:color w:val="auto"/>
                    </w:rPr>
                    <w:t>主要分布在：</w:t>
                  </w:r>
                  <w:r>
                    <w:rPr>
                      <w:rFonts w:hint="eastAsia" w:ascii="Times New Roman"/>
                      <w:color w:val="auto"/>
                    </w:rPr>
                    <w:t>厂区危化品库、11#厂房AB料暂存间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pct"/>
                  <w:vAlign w:val="center"/>
                </w:tcPr>
                <w:p>
                  <w:pPr>
                    <w:pStyle w:val="35"/>
                    <w:spacing w:beforeLines="0" w:afterLines="0" w:line="240" w:lineRule="auto"/>
                    <w:rPr>
                      <w:rFonts w:ascii="Times New Roman"/>
                      <w:color w:val="auto"/>
                    </w:rPr>
                  </w:pPr>
                  <w:r>
                    <w:rPr>
                      <w:rFonts w:ascii="Times New Roman"/>
                      <w:color w:val="auto"/>
                    </w:rPr>
                    <w:t>环境影响途径及危害成果（大气、地表水、地下水等）</w:t>
                  </w:r>
                </w:p>
              </w:tc>
              <w:tc>
                <w:tcPr>
                  <w:tcW w:w="4035" w:type="pct"/>
                  <w:gridSpan w:val="4"/>
                  <w:vAlign w:val="center"/>
                </w:tcPr>
                <w:p>
                  <w:pPr>
                    <w:pStyle w:val="35"/>
                    <w:spacing w:before="24" w:after="24"/>
                    <w:jc w:val="both"/>
                    <w:rPr>
                      <w:rFonts w:ascii="Times New Roman"/>
                      <w:color w:val="auto"/>
                    </w:rPr>
                  </w:pPr>
                  <w:r>
                    <w:rPr>
                      <w:rFonts w:hint="eastAsia" w:hAnsi="宋体" w:cs="宋体"/>
                      <w:b/>
                      <w:color w:val="auto"/>
                    </w:rPr>
                    <w:t>①</w:t>
                  </w:r>
                  <w:r>
                    <w:rPr>
                      <w:rFonts w:ascii="Times New Roman"/>
                      <w:b/>
                      <w:color w:val="auto"/>
                    </w:rPr>
                    <w:t>大气：</w:t>
                  </w:r>
                  <w:r>
                    <w:rPr>
                      <w:rFonts w:ascii="Times New Roman"/>
                      <w:color w:val="auto"/>
                    </w:rPr>
                    <w:t>危险物品泄漏</w:t>
                  </w:r>
                  <w:r>
                    <w:rPr>
                      <w:rFonts w:hint="eastAsia" w:ascii="Times New Roman"/>
                      <w:color w:val="auto"/>
                    </w:rPr>
                    <w:t>或者发生火灾或爆炸</w:t>
                  </w:r>
                  <w:r>
                    <w:rPr>
                      <w:rFonts w:ascii="Times New Roman"/>
                      <w:color w:val="auto"/>
                    </w:rPr>
                    <w:t>后，一部分</w:t>
                  </w:r>
                  <w:r>
                    <w:rPr>
                      <w:rFonts w:hint="eastAsia" w:ascii="Times New Roman"/>
                      <w:color w:val="auto"/>
                    </w:rPr>
                    <w:t>有毒气体</w:t>
                  </w:r>
                  <w:r>
                    <w:rPr>
                      <w:rFonts w:ascii="Times New Roman"/>
                      <w:color w:val="auto"/>
                    </w:rPr>
                    <w:t>会对大气及周边人群健康造成一定影响；</w:t>
                  </w:r>
                </w:p>
                <w:p>
                  <w:pPr>
                    <w:pStyle w:val="35"/>
                    <w:spacing w:before="24" w:after="24"/>
                    <w:jc w:val="both"/>
                    <w:rPr>
                      <w:rFonts w:ascii="Times New Roman"/>
                      <w:color w:val="auto"/>
                    </w:rPr>
                  </w:pPr>
                  <w:r>
                    <w:rPr>
                      <w:rFonts w:hint="eastAsia" w:hAnsi="宋体" w:cs="宋体"/>
                      <w:b/>
                      <w:color w:val="auto"/>
                    </w:rPr>
                    <w:t>②</w:t>
                  </w:r>
                  <w:r>
                    <w:rPr>
                      <w:rFonts w:ascii="Times New Roman"/>
                      <w:b/>
                      <w:color w:val="auto"/>
                    </w:rPr>
                    <w:t>地表水：</w:t>
                  </w:r>
                  <w:r>
                    <w:rPr>
                      <w:rFonts w:ascii="Times New Roman"/>
                      <w:color w:val="auto"/>
                    </w:rPr>
                    <w:t>泄漏或渗漏的危险物品一旦进入地表河流，将造成地表河流的污染；项目危险物品存储区域地面设计防渗，因此对地表水的影响较小。</w:t>
                  </w:r>
                </w:p>
                <w:p>
                  <w:pPr>
                    <w:pStyle w:val="35"/>
                    <w:spacing w:before="24" w:after="24"/>
                    <w:jc w:val="both"/>
                    <w:rPr>
                      <w:rFonts w:ascii="Times New Roman"/>
                      <w:color w:val="auto"/>
                    </w:rPr>
                  </w:pPr>
                  <w:r>
                    <w:rPr>
                      <w:rFonts w:hint="eastAsia" w:hAnsi="宋体" w:cs="宋体"/>
                      <w:b/>
                      <w:color w:val="auto"/>
                    </w:rPr>
                    <w:t>③</w:t>
                  </w:r>
                  <w:r>
                    <w:rPr>
                      <w:rFonts w:ascii="Times New Roman"/>
                      <w:b/>
                      <w:color w:val="auto"/>
                    </w:rPr>
                    <w:t>地下水：</w:t>
                  </w:r>
                  <w:r>
                    <w:rPr>
                      <w:rFonts w:ascii="Times New Roman"/>
                      <w:color w:val="auto"/>
                    </w:rPr>
                    <w:t>地下水一旦遭到危险化学品的污染，将使地下水产生一定的毒性。本项目对储存区域地面进行防渗，且本项目危险化学品储存量较小，对地下水影响较小。</w:t>
                  </w:r>
                </w:p>
                <w:p>
                  <w:pPr>
                    <w:pStyle w:val="35"/>
                    <w:spacing w:before="24" w:after="24"/>
                    <w:jc w:val="both"/>
                    <w:rPr>
                      <w:rFonts w:ascii="Times New Roman"/>
                      <w:color w:val="auto"/>
                    </w:rPr>
                  </w:pPr>
                  <w:r>
                    <w:rPr>
                      <w:rFonts w:hint="eastAsia" w:hAnsi="宋体" w:cs="宋体"/>
                      <w:b/>
                      <w:color w:val="auto"/>
                    </w:rPr>
                    <w:t>④</w:t>
                  </w:r>
                  <w:r>
                    <w:rPr>
                      <w:rFonts w:ascii="Times New Roman"/>
                      <w:b/>
                      <w:color w:val="auto"/>
                    </w:rPr>
                    <w:t>土壤：</w:t>
                  </w:r>
                  <w:r>
                    <w:rPr>
                      <w:rFonts w:ascii="Times New Roman"/>
                      <w:color w:val="auto"/>
                    </w:rPr>
                    <w:t>危险化学品渗漏进入土壤层后，一旦进入土壤可能会造成生物死亡。为防止油品泄漏对土壤造成污染，储存区域地面设计防渗，危险化学品泄漏对土壤造成污染风险的可能性较小。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pct"/>
                  <w:vAlign w:val="center"/>
                </w:tcPr>
                <w:p>
                  <w:pPr>
                    <w:pStyle w:val="35"/>
                    <w:spacing w:beforeLines="0" w:afterLines="0" w:line="240" w:lineRule="auto"/>
                    <w:rPr>
                      <w:rFonts w:ascii="Times New Roman"/>
                      <w:color w:val="auto"/>
                    </w:rPr>
                  </w:pPr>
                  <w:r>
                    <w:rPr>
                      <w:rFonts w:ascii="Times New Roman"/>
                      <w:color w:val="auto"/>
                    </w:rPr>
                    <w:t>风险防范措施要求</w:t>
                  </w:r>
                </w:p>
              </w:tc>
              <w:tc>
                <w:tcPr>
                  <w:tcW w:w="4035" w:type="pct"/>
                  <w:gridSpan w:val="4"/>
                  <w:vAlign w:val="center"/>
                </w:tcPr>
                <w:p>
                  <w:pPr>
                    <w:pStyle w:val="35"/>
                    <w:spacing w:before="24" w:after="24"/>
                    <w:rPr>
                      <w:rFonts w:ascii="Times New Roman"/>
                      <w:color w:val="auto"/>
                    </w:rPr>
                  </w:pPr>
                  <w:r>
                    <w:rPr>
                      <w:rFonts w:ascii="Times New Roman"/>
                      <w:color w:val="auto"/>
                    </w:rPr>
                    <w:t>设置消防器具、规范设计、加强管理制度等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vAlign w:val="center"/>
                </w:tcPr>
                <w:p>
                  <w:pPr>
                    <w:pStyle w:val="35"/>
                    <w:spacing w:before="24" w:after="24"/>
                    <w:ind w:left="480" w:firstLine="480"/>
                    <w:rPr>
                      <w:rFonts w:ascii="Times New Roman"/>
                      <w:color w:val="auto"/>
                    </w:rPr>
                  </w:pPr>
                  <w:r>
                    <w:rPr>
                      <w:rFonts w:ascii="Times New Roman"/>
                      <w:color w:val="auto"/>
                    </w:rPr>
                    <w:t>填表说明（列出项目相关信息及评价说明）：本项目Q值为0.</w:t>
                  </w:r>
                  <w:r>
                    <w:rPr>
                      <w:rFonts w:hint="eastAsia" w:ascii="Times New Roman"/>
                      <w:color w:val="auto"/>
                    </w:rPr>
                    <w:t>8</w:t>
                  </w:r>
                  <w:r>
                    <w:rPr>
                      <w:rFonts w:ascii="Times New Roman"/>
                      <w:color w:val="auto"/>
                    </w:rPr>
                    <w:t>＜1，环境风险潜势为</w:t>
                  </w:r>
                  <w:r>
                    <w:rPr>
                      <w:rFonts w:ascii="Times New Roman"/>
                      <w:color w:val="auto"/>
                    </w:rPr>
                    <w:fldChar w:fldCharType="begin"/>
                  </w:r>
                  <w:r>
                    <w:rPr>
                      <w:rFonts w:ascii="Times New Roman"/>
                      <w:color w:val="auto"/>
                    </w:rPr>
                    <w:instrText xml:space="preserve"> = 1 \* ROMAN </w:instrText>
                  </w:r>
                  <w:r>
                    <w:rPr>
                      <w:rFonts w:ascii="Times New Roman"/>
                      <w:color w:val="auto"/>
                    </w:rPr>
                    <w:fldChar w:fldCharType="separate"/>
                  </w:r>
                  <w:r>
                    <w:rPr>
                      <w:rFonts w:ascii="Times New Roman"/>
                      <w:color w:val="auto"/>
                    </w:rPr>
                    <w:t>I</w:t>
                  </w:r>
                  <w:r>
                    <w:rPr>
                      <w:rFonts w:ascii="Times New Roman"/>
                      <w:color w:val="auto"/>
                    </w:rPr>
                    <w:fldChar w:fldCharType="end"/>
                  </w:r>
                  <w:r>
                    <w:rPr>
                      <w:rFonts w:ascii="Times New Roman"/>
                      <w:color w:val="auto"/>
                    </w:rPr>
                    <w:t>，简单分析</w:t>
                  </w:r>
                </w:p>
              </w:tc>
            </w:tr>
          </w:tbl>
          <w:p>
            <w:pPr>
              <w:spacing w:line="360" w:lineRule="auto"/>
              <w:ind w:firstLine="482"/>
              <w:rPr>
                <w:rFonts w:hint="eastAsia"/>
                <w:b/>
                <w:bCs/>
                <w:color w:val="auto"/>
                <w:sz w:val="24"/>
              </w:rPr>
            </w:pPr>
          </w:p>
          <w:p>
            <w:pPr>
              <w:spacing w:line="360" w:lineRule="auto"/>
              <w:ind w:firstLine="482"/>
              <w:rPr>
                <w:color w:val="auto"/>
                <w:sz w:val="24"/>
              </w:rPr>
            </w:pPr>
            <w:r>
              <w:rPr>
                <w:rFonts w:hint="eastAsia"/>
                <w:b/>
                <w:bCs/>
                <w:color w:val="auto"/>
                <w:sz w:val="24"/>
              </w:rPr>
              <w:t>7</w:t>
            </w:r>
            <w:r>
              <w:rPr>
                <w:b/>
                <w:bCs/>
                <w:color w:val="auto"/>
                <w:sz w:val="24"/>
              </w:rPr>
              <w:t>、环保投资</w:t>
            </w:r>
          </w:p>
          <w:p>
            <w:pPr>
              <w:spacing w:line="360" w:lineRule="auto"/>
              <w:ind w:firstLine="480" w:firstLineChars="200"/>
              <w:rPr>
                <w:color w:val="auto"/>
                <w:sz w:val="24"/>
              </w:rPr>
            </w:pPr>
            <w:r>
              <w:rPr>
                <w:color w:val="auto"/>
                <w:sz w:val="24"/>
              </w:rPr>
              <w:t>本项目利用现有厂区原有已建厂房进行建设，所有废水处理设施、固废处置设施均依托现有厂区或原有车间环保设施进行处置，所有产噪设备厂房隔声等也已在现有工程前期施工中一次建设到位，因此本项目产生的废水、固废以及部分噪声治理环保投资也都已经纳入到现有工程环保经费核算之中，在此不再进行重复计算。</w:t>
            </w:r>
          </w:p>
          <w:p>
            <w:pPr>
              <w:adjustRightInd w:val="0"/>
              <w:snapToGrid w:val="0"/>
              <w:spacing w:line="360" w:lineRule="auto"/>
              <w:ind w:firstLine="480" w:firstLineChars="200"/>
              <w:rPr>
                <w:rFonts w:hAnsi="Cambria Math"/>
                <w:color w:val="auto"/>
                <w:sz w:val="24"/>
              </w:rPr>
            </w:pPr>
            <w:r>
              <w:rPr>
                <w:color w:val="auto"/>
                <w:sz w:val="24"/>
              </w:rPr>
              <w:t>本项目环保投资</w:t>
            </w:r>
            <w:r>
              <w:rPr>
                <w:rFonts w:hint="eastAsia"/>
                <w:color w:val="auto"/>
                <w:sz w:val="24"/>
              </w:rPr>
              <w:t>25</w:t>
            </w:r>
            <w:r>
              <w:rPr>
                <w:color w:val="auto"/>
                <w:sz w:val="24"/>
              </w:rPr>
              <w:t>万元，占总投资的</w:t>
            </w:r>
            <w:r>
              <w:rPr>
                <w:rFonts w:hint="eastAsia"/>
                <w:color w:val="auto"/>
                <w:sz w:val="24"/>
              </w:rPr>
              <w:t>2.5</w:t>
            </w:r>
            <w:r>
              <w:rPr>
                <w:color w:val="auto"/>
                <w:sz w:val="24"/>
              </w:rPr>
              <w:t>%。详见表4-</w:t>
            </w:r>
            <w:r>
              <w:rPr>
                <w:rFonts w:hint="eastAsia"/>
                <w:color w:val="auto"/>
                <w:sz w:val="24"/>
              </w:rPr>
              <w:t>1</w:t>
            </w:r>
            <w:r>
              <w:rPr>
                <w:rFonts w:hint="eastAsia"/>
                <w:color w:val="auto"/>
                <w:sz w:val="24"/>
                <w:lang w:val="en-US" w:eastAsia="zh-CN"/>
              </w:rPr>
              <w:t>9</w:t>
            </w:r>
            <w:r>
              <w:rPr>
                <w:color w:val="auto"/>
                <w:sz w:val="24"/>
              </w:rPr>
              <w:t>。</w:t>
            </w:r>
          </w:p>
          <w:p>
            <w:pPr>
              <w:ind w:firstLine="482"/>
              <w:jc w:val="center"/>
              <w:rPr>
                <w:b/>
                <w:color w:val="auto"/>
                <w:szCs w:val="21"/>
              </w:rPr>
            </w:pPr>
            <w:r>
              <w:rPr>
                <w:b/>
                <w:color w:val="auto"/>
                <w:szCs w:val="21"/>
              </w:rPr>
              <w:t>表4-</w:t>
            </w:r>
            <w:r>
              <w:rPr>
                <w:rFonts w:hint="eastAsia"/>
                <w:b/>
                <w:color w:val="auto"/>
                <w:szCs w:val="21"/>
              </w:rPr>
              <w:t>1</w:t>
            </w:r>
            <w:r>
              <w:rPr>
                <w:rFonts w:hint="eastAsia"/>
                <w:b/>
                <w:color w:val="auto"/>
                <w:szCs w:val="21"/>
                <w:lang w:val="en-US" w:eastAsia="zh-CN"/>
              </w:rPr>
              <w:t>9</w:t>
            </w:r>
            <w:r>
              <w:rPr>
                <w:b/>
                <w:color w:val="auto"/>
                <w:szCs w:val="21"/>
              </w:rPr>
              <w:t xml:space="preserve">      环保投资估算表     单位：万元</w:t>
            </w:r>
          </w:p>
          <w:tbl>
            <w:tblPr>
              <w:tblStyle w:val="18"/>
              <w:tblW w:w="4996"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593"/>
              <w:gridCol w:w="1255"/>
              <w:gridCol w:w="1649"/>
              <w:gridCol w:w="3824"/>
              <w:gridCol w:w="68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Align w:val="center"/>
                </w:tcPr>
                <w:p>
                  <w:pPr>
                    <w:jc w:val="center"/>
                    <w:rPr>
                      <w:b/>
                      <w:bCs/>
                      <w:color w:val="auto"/>
                      <w:szCs w:val="21"/>
                    </w:rPr>
                  </w:pPr>
                  <w:r>
                    <w:rPr>
                      <w:b/>
                      <w:bCs/>
                      <w:color w:val="auto"/>
                      <w:szCs w:val="21"/>
                    </w:rPr>
                    <w:t>类别</w:t>
                  </w:r>
                </w:p>
              </w:tc>
              <w:tc>
                <w:tcPr>
                  <w:tcW w:w="784" w:type="pct"/>
                  <w:vAlign w:val="center"/>
                </w:tcPr>
                <w:p>
                  <w:pPr>
                    <w:jc w:val="center"/>
                    <w:rPr>
                      <w:b/>
                      <w:bCs/>
                      <w:color w:val="auto"/>
                      <w:szCs w:val="21"/>
                    </w:rPr>
                  </w:pPr>
                  <w:r>
                    <w:rPr>
                      <w:b/>
                      <w:bCs/>
                      <w:color w:val="auto"/>
                      <w:szCs w:val="21"/>
                    </w:rPr>
                    <w:t>污染源</w:t>
                  </w:r>
                </w:p>
              </w:tc>
              <w:tc>
                <w:tcPr>
                  <w:tcW w:w="1030" w:type="pct"/>
                  <w:vAlign w:val="center"/>
                </w:tcPr>
                <w:p>
                  <w:pPr>
                    <w:jc w:val="center"/>
                    <w:rPr>
                      <w:b/>
                      <w:bCs/>
                      <w:color w:val="auto"/>
                      <w:szCs w:val="21"/>
                    </w:rPr>
                  </w:pPr>
                  <w:r>
                    <w:rPr>
                      <w:b/>
                      <w:bCs/>
                      <w:color w:val="auto"/>
                      <w:szCs w:val="21"/>
                    </w:rPr>
                    <w:t>污染物</w:t>
                  </w:r>
                </w:p>
              </w:tc>
              <w:tc>
                <w:tcPr>
                  <w:tcW w:w="2387" w:type="pct"/>
                  <w:vAlign w:val="center"/>
                </w:tcPr>
                <w:p>
                  <w:pPr>
                    <w:jc w:val="center"/>
                    <w:rPr>
                      <w:b/>
                      <w:bCs/>
                      <w:color w:val="auto"/>
                      <w:szCs w:val="21"/>
                    </w:rPr>
                  </w:pPr>
                  <w:r>
                    <w:rPr>
                      <w:b/>
                      <w:bCs/>
                      <w:color w:val="auto"/>
                      <w:szCs w:val="21"/>
                    </w:rPr>
                    <w:t>治理措施</w:t>
                  </w:r>
                </w:p>
              </w:tc>
              <w:tc>
                <w:tcPr>
                  <w:tcW w:w="425" w:type="pct"/>
                  <w:vAlign w:val="center"/>
                </w:tcPr>
                <w:p>
                  <w:pPr>
                    <w:jc w:val="center"/>
                    <w:rPr>
                      <w:b/>
                      <w:bCs/>
                      <w:color w:val="auto"/>
                      <w:szCs w:val="21"/>
                    </w:rPr>
                  </w:pPr>
                  <w:r>
                    <w:rPr>
                      <w:b/>
                      <w:bCs/>
                      <w:color w:val="auto"/>
                      <w:szCs w:val="21"/>
                    </w:rPr>
                    <w:t>费用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Merge w:val="restart"/>
                  <w:vAlign w:val="center"/>
                </w:tcPr>
                <w:p>
                  <w:pPr>
                    <w:jc w:val="center"/>
                    <w:rPr>
                      <w:color w:val="auto"/>
                      <w:szCs w:val="21"/>
                    </w:rPr>
                  </w:pPr>
                  <w:r>
                    <w:rPr>
                      <w:color w:val="auto"/>
                      <w:szCs w:val="21"/>
                    </w:rPr>
                    <w:t>废气</w:t>
                  </w:r>
                </w:p>
              </w:tc>
              <w:tc>
                <w:tcPr>
                  <w:tcW w:w="784" w:type="pct"/>
                  <w:vAlign w:val="center"/>
                </w:tcPr>
                <w:p>
                  <w:pPr>
                    <w:jc w:val="center"/>
                    <w:rPr>
                      <w:color w:val="auto"/>
                      <w:szCs w:val="21"/>
                    </w:rPr>
                  </w:pPr>
                  <w:r>
                    <w:rPr>
                      <w:color w:val="auto"/>
                      <w:szCs w:val="21"/>
                    </w:rPr>
                    <w:t>发泡废气</w:t>
                  </w:r>
                </w:p>
                <w:p>
                  <w:pPr>
                    <w:pStyle w:val="17"/>
                    <w:ind w:firstLine="0" w:firstLineChars="0"/>
                    <w:rPr>
                      <w:rFonts w:eastAsia="宋体"/>
                      <w:color w:val="auto"/>
                    </w:rPr>
                  </w:pPr>
                  <w:r>
                    <w:rPr>
                      <w:rFonts w:hint="eastAsia" w:eastAsia="宋体"/>
                      <w:color w:val="auto"/>
                      <w:sz w:val="21"/>
                      <w:szCs w:val="21"/>
                    </w:rPr>
                    <w:t>（DA001）</w:t>
                  </w:r>
                </w:p>
              </w:tc>
              <w:tc>
                <w:tcPr>
                  <w:tcW w:w="1030" w:type="pct"/>
                  <w:vAlign w:val="center"/>
                </w:tcPr>
                <w:p>
                  <w:pPr>
                    <w:jc w:val="center"/>
                    <w:rPr>
                      <w:color w:val="auto"/>
                      <w:szCs w:val="21"/>
                    </w:rPr>
                  </w:pPr>
                  <w:r>
                    <w:rPr>
                      <w:color w:val="auto"/>
                      <w:szCs w:val="21"/>
                    </w:rPr>
                    <w:t>非甲烷总烃</w:t>
                  </w:r>
                  <w:r>
                    <w:rPr>
                      <w:rFonts w:hint="eastAsia"/>
                      <w:color w:val="auto"/>
                      <w:szCs w:val="21"/>
                    </w:rPr>
                    <w:t>、颗粒物</w:t>
                  </w:r>
                </w:p>
              </w:tc>
              <w:tc>
                <w:tcPr>
                  <w:tcW w:w="2387" w:type="pct"/>
                  <w:vAlign w:val="center"/>
                </w:tcPr>
                <w:p>
                  <w:pPr>
                    <w:jc w:val="center"/>
                    <w:rPr>
                      <w:color w:val="auto"/>
                      <w:szCs w:val="21"/>
                    </w:rPr>
                  </w:pPr>
                  <w:r>
                    <w:rPr>
                      <w:color w:val="auto"/>
                      <w:szCs w:val="21"/>
                    </w:rPr>
                    <w:t>集气罩收集+</w:t>
                  </w:r>
                  <w:r>
                    <w:rPr>
                      <w:rFonts w:hint="eastAsia"/>
                      <w:color w:val="auto"/>
                      <w:szCs w:val="21"/>
                    </w:rPr>
                    <w:t>干式过滤器+</w:t>
                  </w:r>
                  <w:r>
                    <w:rPr>
                      <w:color w:val="auto"/>
                      <w:szCs w:val="21"/>
                    </w:rPr>
                    <w:t>二级吸附装置+15m排气筒</w:t>
                  </w:r>
                </w:p>
              </w:tc>
              <w:tc>
                <w:tcPr>
                  <w:tcW w:w="425" w:type="pct"/>
                  <w:vAlign w:val="center"/>
                </w:tcPr>
                <w:p>
                  <w:pPr>
                    <w:jc w:val="center"/>
                    <w:rPr>
                      <w:color w:val="auto"/>
                      <w:szCs w:val="21"/>
                    </w:rPr>
                  </w:pPr>
                  <w:r>
                    <w:rPr>
                      <w:color w:val="auto"/>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Merge w:val="continue"/>
                  <w:vAlign w:val="center"/>
                </w:tcPr>
                <w:p>
                  <w:pPr>
                    <w:jc w:val="center"/>
                    <w:rPr>
                      <w:color w:val="auto"/>
                      <w:szCs w:val="21"/>
                    </w:rPr>
                  </w:pPr>
                </w:p>
              </w:tc>
              <w:tc>
                <w:tcPr>
                  <w:tcW w:w="784" w:type="pct"/>
                  <w:vAlign w:val="center"/>
                </w:tcPr>
                <w:p>
                  <w:pPr>
                    <w:jc w:val="center"/>
                    <w:rPr>
                      <w:rFonts w:hint="eastAsia" w:eastAsia="宋体"/>
                      <w:color w:val="auto"/>
                      <w:szCs w:val="21"/>
                      <w:lang w:eastAsia="zh-CN"/>
                    </w:rPr>
                  </w:pPr>
                  <w:r>
                    <w:rPr>
                      <w:rFonts w:hint="eastAsia"/>
                      <w:color w:val="auto"/>
                      <w:szCs w:val="21"/>
                      <w:lang w:eastAsia="zh-CN"/>
                    </w:rPr>
                    <w:t>模压废气</w:t>
                  </w:r>
                </w:p>
                <w:p>
                  <w:pPr>
                    <w:pStyle w:val="17"/>
                    <w:ind w:firstLine="0" w:firstLineChars="0"/>
                    <w:rPr>
                      <w:color w:val="auto"/>
                    </w:rPr>
                  </w:pPr>
                  <w:r>
                    <w:rPr>
                      <w:rFonts w:hint="eastAsia" w:eastAsia="宋体"/>
                      <w:color w:val="auto"/>
                      <w:sz w:val="21"/>
                      <w:szCs w:val="21"/>
                    </w:rPr>
                    <w:t>（DA002）</w:t>
                  </w:r>
                </w:p>
              </w:tc>
              <w:tc>
                <w:tcPr>
                  <w:tcW w:w="1030" w:type="pct"/>
                  <w:vAlign w:val="center"/>
                </w:tcPr>
                <w:p>
                  <w:pPr>
                    <w:jc w:val="center"/>
                    <w:rPr>
                      <w:color w:val="auto"/>
                      <w:szCs w:val="21"/>
                    </w:rPr>
                  </w:pPr>
                  <w:r>
                    <w:rPr>
                      <w:color w:val="auto"/>
                      <w:szCs w:val="21"/>
                    </w:rPr>
                    <w:t>非甲烷总烃</w:t>
                  </w:r>
                  <w:r>
                    <w:rPr>
                      <w:rFonts w:hint="eastAsia"/>
                      <w:color w:val="auto"/>
                      <w:szCs w:val="21"/>
                    </w:rPr>
                    <w:t>、颗粒物</w:t>
                  </w:r>
                </w:p>
              </w:tc>
              <w:tc>
                <w:tcPr>
                  <w:tcW w:w="2387" w:type="pct"/>
                  <w:vAlign w:val="center"/>
                </w:tcPr>
                <w:p>
                  <w:pPr>
                    <w:jc w:val="center"/>
                    <w:rPr>
                      <w:color w:val="auto"/>
                      <w:szCs w:val="21"/>
                    </w:rPr>
                  </w:pPr>
                  <w:r>
                    <w:rPr>
                      <w:color w:val="auto"/>
                      <w:szCs w:val="21"/>
                    </w:rPr>
                    <w:t>集气罩收集+</w:t>
                  </w:r>
                  <w:r>
                    <w:rPr>
                      <w:rFonts w:hint="eastAsia"/>
                      <w:color w:val="auto"/>
                      <w:szCs w:val="21"/>
                    </w:rPr>
                    <w:t>干式过滤器+</w:t>
                  </w:r>
                  <w:r>
                    <w:rPr>
                      <w:color w:val="auto"/>
                      <w:szCs w:val="21"/>
                    </w:rPr>
                    <w:t>二级吸附装置+15m排气筒</w:t>
                  </w:r>
                </w:p>
              </w:tc>
              <w:tc>
                <w:tcPr>
                  <w:tcW w:w="425" w:type="pct"/>
                  <w:vAlign w:val="center"/>
                </w:tcPr>
                <w:p>
                  <w:pPr>
                    <w:jc w:val="center"/>
                    <w:rPr>
                      <w:color w:val="auto"/>
                      <w:szCs w:val="21"/>
                    </w:rPr>
                  </w:pPr>
                  <w:r>
                    <w:rPr>
                      <w:rFonts w:hint="eastAsia"/>
                      <w:color w:val="auto"/>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Merge w:val="restart"/>
                  <w:vAlign w:val="center"/>
                </w:tcPr>
                <w:p>
                  <w:pPr>
                    <w:jc w:val="center"/>
                    <w:rPr>
                      <w:color w:val="auto"/>
                      <w:szCs w:val="21"/>
                    </w:rPr>
                  </w:pPr>
                  <w:r>
                    <w:rPr>
                      <w:color w:val="auto"/>
                      <w:szCs w:val="21"/>
                    </w:rPr>
                    <w:t>废水</w:t>
                  </w:r>
                </w:p>
              </w:tc>
              <w:tc>
                <w:tcPr>
                  <w:tcW w:w="784" w:type="pct"/>
                  <w:vAlign w:val="center"/>
                </w:tcPr>
                <w:p>
                  <w:pPr>
                    <w:jc w:val="center"/>
                    <w:rPr>
                      <w:color w:val="auto"/>
                      <w:szCs w:val="21"/>
                    </w:rPr>
                  </w:pPr>
                  <w:r>
                    <w:rPr>
                      <w:color w:val="auto"/>
                      <w:szCs w:val="21"/>
                    </w:rPr>
                    <w:t>生活污水</w:t>
                  </w:r>
                </w:p>
              </w:tc>
              <w:tc>
                <w:tcPr>
                  <w:tcW w:w="1030" w:type="pct"/>
                  <w:vAlign w:val="center"/>
                </w:tcPr>
                <w:p>
                  <w:pPr>
                    <w:jc w:val="center"/>
                    <w:rPr>
                      <w:color w:val="auto"/>
                      <w:szCs w:val="21"/>
                    </w:rPr>
                  </w:pPr>
                  <w:r>
                    <w:rPr>
                      <w:color w:val="auto"/>
                      <w:szCs w:val="21"/>
                    </w:rPr>
                    <w:t>COD、BOD</w:t>
                  </w:r>
                  <w:r>
                    <w:rPr>
                      <w:color w:val="auto"/>
                      <w:szCs w:val="21"/>
                      <w:vertAlign w:val="subscript"/>
                    </w:rPr>
                    <w:t>5</w:t>
                  </w:r>
                  <w:r>
                    <w:rPr>
                      <w:color w:val="auto"/>
                      <w:szCs w:val="21"/>
                    </w:rPr>
                    <w:t>、SS、</w:t>
                  </w:r>
                  <w:r>
                    <w:rPr>
                      <w:rFonts w:hint="eastAsia"/>
                      <w:color w:val="auto"/>
                      <w:szCs w:val="21"/>
                    </w:rPr>
                    <w:t>氨氮</w:t>
                  </w:r>
                  <w:r>
                    <w:rPr>
                      <w:color w:val="auto"/>
                      <w:szCs w:val="21"/>
                    </w:rPr>
                    <w:t>等</w:t>
                  </w:r>
                </w:p>
              </w:tc>
              <w:tc>
                <w:tcPr>
                  <w:tcW w:w="2387" w:type="pct"/>
                  <w:vAlign w:val="center"/>
                </w:tcPr>
                <w:p>
                  <w:pPr>
                    <w:jc w:val="center"/>
                    <w:rPr>
                      <w:color w:val="auto"/>
                      <w:szCs w:val="21"/>
                    </w:rPr>
                  </w:pPr>
                  <w:r>
                    <w:rPr>
                      <w:rFonts w:hint="eastAsia"/>
                      <w:color w:val="auto"/>
                      <w:szCs w:val="21"/>
                    </w:rPr>
                    <w:t>企业产生的生活污水依托厂区现有厂区化粪池与处理后排入集贤产业园污水处理厂处理。</w:t>
                  </w:r>
                </w:p>
              </w:tc>
              <w:tc>
                <w:tcPr>
                  <w:tcW w:w="425" w:type="pct"/>
                  <w:vAlign w:val="center"/>
                </w:tcPr>
                <w:p>
                  <w:pPr>
                    <w:jc w:val="center"/>
                    <w:rPr>
                      <w:color w:val="auto"/>
                      <w:szCs w:val="21"/>
                    </w:rPr>
                  </w:pPr>
                  <w:r>
                    <w:rPr>
                      <w:color w:val="auto"/>
                      <w:szCs w:val="21"/>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Merge w:val="continue"/>
                  <w:vAlign w:val="center"/>
                </w:tcPr>
                <w:p>
                  <w:pPr>
                    <w:jc w:val="center"/>
                    <w:rPr>
                      <w:color w:val="auto"/>
                      <w:szCs w:val="21"/>
                    </w:rPr>
                  </w:pPr>
                </w:p>
              </w:tc>
              <w:tc>
                <w:tcPr>
                  <w:tcW w:w="784" w:type="pct"/>
                  <w:vAlign w:val="center"/>
                </w:tcPr>
                <w:p>
                  <w:pPr>
                    <w:jc w:val="center"/>
                    <w:rPr>
                      <w:color w:val="auto"/>
                      <w:szCs w:val="21"/>
                    </w:rPr>
                  </w:pPr>
                  <w:r>
                    <w:rPr>
                      <w:rFonts w:hint="eastAsia"/>
                      <w:color w:val="auto"/>
                      <w:szCs w:val="21"/>
                    </w:rPr>
                    <w:t>生产废水</w:t>
                  </w:r>
                </w:p>
              </w:tc>
              <w:tc>
                <w:tcPr>
                  <w:tcW w:w="1030" w:type="pct"/>
                  <w:vAlign w:val="center"/>
                </w:tcPr>
                <w:p>
                  <w:pPr>
                    <w:jc w:val="center"/>
                    <w:rPr>
                      <w:color w:val="auto"/>
                      <w:szCs w:val="21"/>
                    </w:rPr>
                  </w:pPr>
                  <w:r>
                    <w:rPr>
                      <w:rFonts w:hint="eastAsia"/>
                      <w:color w:val="auto"/>
                      <w:szCs w:val="21"/>
                    </w:rPr>
                    <w:t>SS</w:t>
                  </w:r>
                </w:p>
              </w:tc>
              <w:tc>
                <w:tcPr>
                  <w:tcW w:w="2387" w:type="pct"/>
                  <w:vAlign w:val="center"/>
                </w:tcPr>
                <w:p>
                  <w:pPr>
                    <w:jc w:val="center"/>
                    <w:rPr>
                      <w:color w:val="auto"/>
                      <w:szCs w:val="21"/>
                    </w:rPr>
                  </w:pPr>
                  <w:r>
                    <w:rPr>
                      <w:rFonts w:hint="eastAsia"/>
                      <w:color w:val="auto"/>
                      <w:szCs w:val="21"/>
                    </w:rPr>
                    <w:t>企业产生的生产废水经过滤后依托厂区现有的集贤产业园污水处理厂进一步处理</w:t>
                  </w:r>
                </w:p>
              </w:tc>
              <w:tc>
                <w:tcPr>
                  <w:tcW w:w="425" w:type="pct"/>
                  <w:vAlign w:val="center"/>
                </w:tcPr>
                <w:p>
                  <w:pPr>
                    <w:jc w:val="center"/>
                    <w:rPr>
                      <w:color w:val="auto"/>
                      <w:szCs w:val="21"/>
                    </w:rPr>
                  </w:pPr>
                  <w:r>
                    <w:rPr>
                      <w:rFonts w:hint="eastAsia"/>
                      <w:color w:val="auto"/>
                      <w:szCs w:val="21"/>
                    </w:rPr>
                    <w:t>依托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Align w:val="center"/>
                </w:tcPr>
                <w:p>
                  <w:pPr>
                    <w:jc w:val="center"/>
                    <w:rPr>
                      <w:color w:val="auto"/>
                      <w:szCs w:val="21"/>
                    </w:rPr>
                  </w:pPr>
                  <w:r>
                    <w:rPr>
                      <w:color w:val="auto"/>
                      <w:szCs w:val="21"/>
                    </w:rPr>
                    <w:t>噪声</w:t>
                  </w:r>
                </w:p>
              </w:tc>
              <w:tc>
                <w:tcPr>
                  <w:tcW w:w="784" w:type="pct"/>
                  <w:vAlign w:val="center"/>
                </w:tcPr>
                <w:p>
                  <w:pPr>
                    <w:jc w:val="center"/>
                    <w:rPr>
                      <w:color w:val="auto"/>
                      <w:szCs w:val="21"/>
                    </w:rPr>
                  </w:pPr>
                  <w:r>
                    <w:rPr>
                      <w:color w:val="auto"/>
                      <w:szCs w:val="21"/>
                    </w:rPr>
                    <w:t>设备</w:t>
                  </w:r>
                </w:p>
              </w:tc>
              <w:tc>
                <w:tcPr>
                  <w:tcW w:w="1030" w:type="pct"/>
                  <w:vAlign w:val="center"/>
                </w:tcPr>
                <w:p>
                  <w:pPr>
                    <w:jc w:val="center"/>
                    <w:rPr>
                      <w:color w:val="auto"/>
                      <w:szCs w:val="21"/>
                    </w:rPr>
                  </w:pPr>
                  <w:r>
                    <w:rPr>
                      <w:color w:val="auto"/>
                      <w:szCs w:val="21"/>
                    </w:rPr>
                    <w:t>噪声</w:t>
                  </w:r>
                </w:p>
              </w:tc>
              <w:tc>
                <w:tcPr>
                  <w:tcW w:w="2387" w:type="pct"/>
                  <w:vAlign w:val="center"/>
                </w:tcPr>
                <w:p>
                  <w:pPr>
                    <w:jc w:val="center"/>
                    <w:rPr>
                      <w:color w:val="auto"/>
                      <w:szCs w:val="21"/>
                    </w:rPr>
                  </w:pPr>
                  <w:r>
                    <w:rPr>
                      <w:color w:val="auto"/>
                      <w:szCs w:val="21"/>
                    </w:rPr>
                    <w:t>厂房隔声，安装减振基础等</w:t>
                  </w:r>
                </w:p>
              </w:tc>
              <w:tc>
                <w:tcPr>
                  <w:tcW w:w="425" w:type="pct"/>
                  <w:vAlign w:val="center"/>
                </w:tcPr>
                <w:p>
                  <w:pPr>
                    <w:jc w:val="center"/>
                    <w:rPr>
                      <w:color w:val="auto"/>
                      <w:szCs w:val="21"/>
                    </w:rPr>
                  </w:pPr>
                  <w:r>
                    <w:rPr>
                      <w:color w:val="auto"/>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Merge w:val="restart"/>
                  <w:vAlign w:val="center"/>
                </w:tcPr>
                <w:p>
                  <w:pPr>
                    <w:jc w:val="center"/>
                    <w:rPr>
                      <w:color w:val="auto"/>
                      <w:szCs w:val="21"/>
                    </w:rPr>
                  </w:pPr>
                  <w:r>
                    <w:rPr>
                      <w:color w:val="auto"/>
                      <w:szCs w:val="21"/>
                    </w:rPr>
                    <w:t>固体废物</w:t>
                  </w:r>
                </w:p>
              </w:tc>
              <w:tc>
                <w:tcPr>
                  <w:tcW w:w="784" w:type="pct"/>
                  <w:vAlign w:val="center"/>
                </w:tcPr>
                <w:p>
                  <w:pPr>
                    <w:jc w:val="center"/>
                    <w:rPr>
                      <w:color w:val="auto"/>
                      <w:szCs w:val="21"/>
                    </w:rPr>
                  </w:pPr>
                  <w:r>
                    <w:rPr>
                      <w:color w:val="auto"/>
                      <w:szCs w:val="21"/>
                    </w:rPr>
                    <w:t>一般固废</w:t>
                  </w:r>
                </w:p>
              </w:tc>
              <w:tc>
                <w:tcPr>
                  <w:tcW w:w="3418" w:type="pct"/>
                  <w:gridSpan w:val="2"/>
                  <w:vAlign w:val="center"/>
                </w:tcPr>
                <w:p>
                  <w:pPr>
                    <w:jc w:val="center"/>
                    <w:rPr>
                      <w:color w:val="auto"/>
                      <w:szCs w:val="21"/>
                    </w:rPr>
                  </w:pPr>
                  <w:r>
                    <w:rPr>
                      <w:color w:val="auto"/>
                      <w:szCs w:val="21"/>
                    </w:rPr>
                    <w:t>依托现有一般固废</w:t>
                  </w:r>
                  <w:r>
                    <w:rPr>
                      <w:rFonts w:hint="eastAsia"/>
                      <w:color w:val="auto"/>
                      <w:szCs w:val="21"/>
                    </w:rPr>
                    <w:t>暂存间</w:t>
                  </w:r>
                </w:p>
              </w:tc>
              <w:tc>
                <w:tcPr>
                  <w:tcW w:w="425" w:type="pct"/>
                  <w:vAlign w:val="center"/>
                </w:tcPr>
                <w:p>
                  <w:pPr>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1" w:type="pct"/>
                  <w:vMerge w:val="continue"/>
                  <w:vAlign w:val="center"/>
                </w:tcPr>
                <w:p>
                  <w:pPr>
                    <w:jc w:val="center"/>
                    <w:rPr>
                      <w:color w:val="auto"/>
                      <w:szCs w:val="21"/>
                    </w:rPr>
                  </w:pPr>
                </w:p>
              </w:tc>
              <w:tc>
                <w:tcPr>
                  <w:tcW w:w="784" w:type="pct"/>
                  <w:vAlign w:val="center"/>
                </w:tcPr>
                <w:p>
                  <w:pPr>
                    <w:jc w:val="center"/>
                    <w:rPr>
                      <w:color w:val="auto"/>
                      <w:szCs w:val="21"/>
                    </w:rPr>
                  </w:pPr>
                  <w:r>
                    <w:rPr>
                      <w:color w:val="auto"/>
                      <w:szCs w:val="21"/>
                    </w:rPr>
                    <w:t>危险废物</w:t>
                  </w:r>
                </w:p>
              </w:tc>
              <w:tc>
                <w:tcPr>
                  <w:tcW w:w="3418" w:type="pct"/>
                  <w:gridSpan w:val="2"/>
                  <w:vAlign w:val="center"/>
                </w:tcPr>
                <w:p>
                  <w:pPr>
                    <w:jc w:val="center"/>
                    <w:rPr>
                      <w:color w:val="auto"/>
                      <w:szCs w:val="21"/>
                    </w:rPr>
                  </w:pPr>
                  <w:r>
                    <w:rPr>
                      <w:color w:val="auto"/>
                      <w:szCs w:val="21"/>
                    </w:rPr>
                    <w:t>依托现有危废库</w:t>
                  </w:r>
                </w:p>
              </w:tc>
              <w:tc>
                <w:tcPr>
                  <w:tcW w:w="425" w:type="pct"/>
                  <w:vAlign w:val="center"/>
                </w:tcPr>
                <w:p>
                  <w:pPr>
                    <w:jc w:val="center"/>
                    <w:rPr>
                      <w:color w:val="auto"/>
                      <w:szCs w:val="21"/>
                    </w:rPr>
                  </w:pPr>
                  <w:r>
                    <w:rPr>
                      <w:color w:val="auto"/>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574" w:type="pct"/>
                  <w:gridSpan w:val="4"/>
                  <w:vAlign w:val="center"/>
                </w:tcPr>
                <w:p>
                  <w:pPr>
                    <w:jc w:val="center"/>
                    <w:rPr>
                      <w:color w:val="auto"/>
                      <w:szCs w:val="21"/>
                    </w:rPr>
                  </w:pPr>
                  <w:r>
                    <w:rPr>
                      <w:color w:val="auto"/>
                      <w:szCs w:val="21"/>
                    </w:rPr>
                    <w:t>总计</w:t>
                  </w:r>
                </w:p>
              </w:tc>
              <w:tc>
                <w:tcPr>
                  <w:tcW w:w="425" w:type="pct"/>
                  <w:vAlign w:val="center"/>
                </w:tcPr>
                <w:p>
                  <w:pPr>
                    <w:jc w:val="center"/>
                    <w:rPr>
                      <w:color w:val="auto"/>
                      <w:szCs w:val="21"/>
                    </w:rPr>
                  </w:pPr>
                  <w:r>
                    <w:rPr>
                      <w:rFonts w:hint="eastAsia"/>
                      <w:color w:val="auto"/>
                      <w:szCs w:val="21"/>
                    </w:rPr>
                    <w:t>25</w:t>
                  </w:r>
                </w:p>
              </w:tc>
            </w:tr>
          </w:tbl>
          <w:p>
            <w:pPr>
              <w:spacing w:line="360" w:lineRule="auto"/>
              <w:ind w:firstLine="482"/>
              <w:rPr>
                <w:b/>
                <w:bCs/>
                <w:color w:val="auto"/>
                <w:sz w:val="24"/>
              </w:rPr>
            </w:pPr>
            <w:r>
              <w:rPr>
                <w:rFonts w:hint="eastAsia"/>
                <w:b/>
                <w:bCs/>
                <w:color w:val="auto"/>
                <w:sz w:val="24"/>
              </w:rPr>
              <w:t>8、环保绩效管理</w:t>
            </w:r>
          </w:p>
          <w:p>
            <w:pPr>
              <w:spacing w:line="360" w:lineRule="auto"/>
              <w:ind w:firstLine="480" w:firstLineChars="200"/>
              <w:rPr>
                <w:color w:val="auto"/>
                <w:sz w:val="24"/>
              </w:rPr>
            </w:pPr>
            <w:r>
              <w:rPr>
                <w:rFonts w:hint="eastAsia"/>
                <w:color w:val="auto"/>
                <w:sz w:val="24"/>
              </w:rPr>
              <w:t>根据陕西省生态环境厅《关于进一步加强关中地区涉气重点行业项目环评管理的通知》（陕环环评函[2023]76号），关中地区涉气重点行业项目范围为生态环境部确定的39个重点行业的新改扩建项目，涉及关中各市（区）辖区及开发区范围内的应达到环保绩效A级、绩效引领性水平要求，周至县、蓝田县应达到环保绩效B级及以上水平。本项目模压、发泡与《重污染天气重点行业应急减排措施制定技术指南（2020年修订版）》、《重污染天气重点行业绩效分级及减排措施补充说明》符合性分析如下。</w:t>
            </w:r>
          </w:p>
          <w:p>
            <w:pPr>
              <w:spacing w:line="360" w:lineRule="auto"/>
              <w:jc w:val="center"/>
              <w:rPr>
                <w:color w:val="auto"/>
                <w:sz w:val="24"/>
              </w:rPr>
            </w:pPr>
            <w:r>
              <w:rPr>
                <w:b/>
                <w:color w:val="auto"/>
                <w:szCs w:val="21"/>
              </w:rPr>
              <w:t>表4-</w:t>
            </w:r>
            <w:r>
              <w:rPr>
                <w:rFonts w:hint="eastAsia"/>
                <w:b/>
                <w:color w:val="auto"/>
                <w:szCs w:val="21"/>
                <w:lang w:val="en-US" w:eastAsia="zh-CN"/>
              </w:rPr>
              <w:t>20</w:t>
            </w:r>
            <w:r>
              <w:rPr>
                <w:b/>
                <w:color w:val="auto"/>
                <w:szCs w:val="21"/>
              </w:rPr>
              <w:t xml:space="preserve">      </w:t>
            </w:r>
            <w:r>
              <w:rPr>
                <w:rFonts w:hint="eastAsia"/>
                <w:b/>
                <w:color w:val="auto"/>
                <w:szCs w:val="21"/>
              </w:rPr>
              <w:t>本项目环保绩效管理符合性分析一览表</w:t>
            </w:r>
          </w:p>
          <w:tbl>
            <w:tblPr>
              <w:tblStyle w:val="18"/>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3693"/>
              <w:gridCol w:w="2943"/>
              <w:gridCol w:w="8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331" w:type="pct"/>
                  <w:vAlign w:val="center"/>
                </w:tcPr>
                <w:p>
                  <w:pPr>
                    <w:snapToGrid w:val="0"/>
                    <w:jc w:val="center"/>
                    <w:rPr>
                      <w:b/>
                      <w:bCs/>
                      <w:color w:val="auto"/>
                    </w:rPr>
                  </w:pPr>
                  <w:r>
                    <w:rPr>
                      <w:rFonts w:hint="eastAsia"/>
                      <w:b/>
                      <w:bCs/>
                      <w:color w:val="auto"/>
                    </w:rPr>
                    <w:t>序号</w:t>
                  </w:r>
                </w:p>
              </w:tc>
              <w:tc>
                <w:tcPr>
                  <w:tcW w:w="2305" w:type="pct"/>
                  <w:vAlign w:val="center"/>
                </w:tcPr>
                <w:p>
                  <w:pPr>
                    <w:snapToGrid w:val="0"/>
                    <w:jc w:val="center"/>
                    <w:rPr>
                      <w:b/>
                      <w:bCs/>
                      <w:color w:val="auto"/>
                    </w:rPr>
                  </w:pPr>
                  <w:r>
                    <w:rPr>
                      <w:rFonts w:hint="eastAsia"/>
                      <w:b/>
                      <w:bCs/>
                      <w:color w:val="auto"/>
                    </w:rPr>
                    <w:t>应达到具体要求</w:t>
                  </w:r>
                </w:p>
              </w:tc>
              <w:tc>
                <w:tcPr>
                  <w:tcW w:w="1837" w:type="pct"/>
                  <w:vAlign w:val="center"/>
                </w:tcPr>
                <w:p>
                  <w:pPr>
                    <w:snapToGrid w:val="0"/>
                    <w:jc w:val="center"/>
                    <w:rPr>
                      <w:b/>
                      <w:bCs/>
                      <w:color w:val="auto"/>
                    </w:rPr>
                  </w:pPr>
                  <w:r>
                    <w:rPr>
                      <w:rFonts w:hint="eastAsia"/>
                      <w:b/>
                      <w:bCs/>
                      <w:color w:val="auto"/>
                    </w:rPr>
                    <w:t>项目情况</w:t>
                  </w:r>
                </w:p>
              </w:tc>
              <w:tc>
                <w:tcPr>
                  <w:tcW w:w="525" w:type="pct"/>
                  <w:vAlign w:val="center"/>
                </w:tcPr>
                <w:p>
                  <w:pPr>
                    <w:snapToGrid w:val="0"/>
                    <w:jc w:val="center"/>
                    <w:rPr>
                      <w:b/>
                      <w:bCs/>
                      <w:color w:val="auto"/>
                    </w:rPr>
                  </w:pPr>
                  <w:r>
                    <w:rPr>
                      <w:rFonts w:hint="eastAsia"/>
                      <w:b/>
                      <w:bCs/>
                      <w:color w:val="auto"/>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1</w:t>
                  </w:r>
                </w:p>
              </w:tc>
              <w:tc>
                <w:tcPr>
                  <w:tcW w:w="2305" w:type="pct"/>
                  <w:vAlign w:val="center"/>
                </w:tcPr>
                <w:p>
                  <w:pPr>
                    <w:snapToGrid w:val="0"/>
                    <w:rPr>
                      <w:b/>
                      <w:color w:val="auto"/>
                    </w:rPr>
                  </w:pPr>
                  <w:r>
                    <w:rPr>
                      <w:b/>
                      <w:color w:val="auto"/>
                    </w:rPr>
                    <w:t>能源类型：</w:t>
                  </w:r>
                </w:p>
                <w:p>
                  <w:pPr>
                    <w:snapToGrid w:val="0"/>
                    <w:rPr>
                      <w:color w:val="auto"/>
                    </w:rPr>
                  </w:pPr>
                  <w:r>
                    <w:rPr>
                      <w:color w:val="auto"/>
                    </w:rPr>
                    <w:t>以电、煤、天然气、煤气等作为能源</w:t>
                  </w:r>
                </w:p>
              </w:tc>
              <w:tc>
                <w:tcPr>
                  <w:tcW w:w="1837" w:type="pct"/>
                  <w:vAlign w:val="center"/>
                </w:tcPr>
                <w:p>
                  <w:pPr>
                    <w:snapToGrid w:val="0"/>
                    <w:rPr>
                      <w:color w:val="auto"/>
                    </w:rPr>
                  </w:pPr>
                  <w:r>
                    <w:rPr>
                      <w:rFonts w:hint="eastAsia"/>
                      <w:color w:val="auto"/>
                    </w:rPr>
                    <w:t>本项以电作为能源。满足要求。</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3</w:t>
                  </w:r>
                </w:p>
              </w:tc>
              <w:tc>
                <w:tcPr>
                  <w:tcW w:w="2305" w:type="pct"/>
                  <w:vAlign w:val="center"/>
                </w:tcPr>
                <w:p>
                  <w:pPr>
                    <w:snapToGrid w:val="0"/>
                    <w:rPr>
                      <w:b/>
                      <w:color w:val="auto"/>
                    </w:rPr>
                  </w:pPr>
                  <w:r>
                    <w:rPr>
                      <w:b/>
                      <w:color w:val="auto"/>
                    </w:rPr>
                    <w:t>无组织排放：</w:t>
                  </w:r>
                </w:p>
                <w:p>
                  <w:pPr>
                    <w:snapToGrid w:val="0"/>
                    <w:rPr>
                      <w:color w:val="auto"/>
                    </w:rPr>
                  </w:pPr>
                  <w:r>
                    <w:rPr>
                      <w:rFonts w:hint="eastAsia"/>
                      <w:color w:val="auto"/>
                    </w:rPr>
                    <w:t>1、满足《挥发性有机物无组织排放控制标准》(GB 37822-2019)特别控制要求；2、VOCs物料存储于密闭容器或包装袋中，盛装VOCs物料的容器或包装袋存放于密闭负压的储库、料仓内；3、调漆、喷漆、流平、烘干、清洗等工序在密闭设备或密闭负压空间内操作；4、建设干式喷漆房；使用湿式喷漆房时，循环水泵间和刮渣间应密闭，安装废气收集设施；5、采用HVLP喷涂、静电高速旋杯/盘喷涂、静电辅助的压缩空气喷涂或无气喷涂等高效涂装技术，不可使用手动空气喷涂技术(点补、拼色等特殊工序除外)；</w:t>
                  </w:r>
                </w:p>
              </w:tc>
              <w:tc>
                <w:tcPr>
                  <w:tcW w:w="1837" w:type="pct"/>
                  <w:vAlign w:val="center"/>
                </w:tcPr>
                <w:p>
                  <w:pPr>
                    <w:snapToGrid w:val="0"/>
                    <w:rPr>
                      <w:color w:val="auto"/>
                    </w:rPr>
                  </w:pPr>
                  <w:r>
                    <w:rPr>
                      <w:rFonts w:hint="eastAsia"/>
                      <w:color w:val="auto"/>
                    </w:rPr>
                    <w:t>1、经本次环评核算，本项目能够满足《挥发性有机物无组织排放控制标准》（GB37822-2019）特别控制要求。本项目建成后，建设单位应按照监测计划要求进行挥发性有机物无组织排放监测，确保满足《挥发性有机物无组织排放控制标准》（GB37822-2019）特别控制要求。</w:t>
                  </w:r>
                </w:p>
                <w:p>
                  <w:pPr>
                    <w:snapToGrid w:val="0"/>
                    <w:rPr>
                      <w:color w:val="auto"/>
                    </w:rPr>
                  </w:pPr>
                  <w:r>
                    <w:rPr>
                      <w:rFonts w:hint="eastAsia"/>
                      <w:color w:val="auto"/>
                    </w:rPr>
                    <w:t>2、本项目不涉及喷涂工序</w:t>
                  </w:r>
                </w:p>
                <w:p>
                  <w:pPr>
                    <w:snapToGrid w:val="0"/>
                    <w:rPr>
                      <w:color w:val="auto"/>
                    </w:rPr>
                  </w:pPr>
                  <w:r>
                    <w:rPr>
                      <w:rFonts w:hint="eastAsia"/>
                      <w:color w:val="auto"/>
                    </w:rPr>
                    <w:t>3、本项目VOCs物料为A料和B料，存储于密闭容器放置在密闭负压仓库内</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3</w:t>
                  </w:r>
                </w:p>
              </w:tc>
              <w:tc>
                <w:tcPr>
                  <w:tcW w:w="2305" w:type="pct"/>
                  <w:vAlign w:val="center"/>
                </w:tcPr>
                <w:p>
                  <w:pPr>
                    <w:snapToGrid w:val="0"/>
                    <w:rPr>
                      <w:b/>
                      <w:color w:val="auto"/>
                    </w:rPr>
                  </w:pPr>
                  <w:r>
                    <w:rPr>
                      <w:b/>
                      <w:color w:val="auto"/>
                    </w:rPr>
                    <w:t>VOCs治理设施：</w:t>
                  </w:r>
                </w:p>
                <w:p>
                  <w:pPr>
                    <w:snapToGrid w:val="0"/>
                    <w:rPr>
                      <w:color w:val="auto"/>
                    </w:rPr>
                  </w:pPr>
                  <w:r>
                    <w:rPr>
                      <w:color w:val="auto"/>
                    </w:rPr>
                    <w:t>1、喷涂废气设置干式的石灰石、纸盒等高效漆雾处理装置；2、使用溶剂型涂料时，调漆、喷漆、流平、烘干、清洗等工序含VOCs废气采用吸附浓缩+燃烧、燃烧等治理技术，处理效率≥</w:t>
                  </w:r>
                  <w:r>
                    <w:rPr>
                      <w:rFonts w:hint="eastAsia"/>
                      <w:color w:val="auto"/>
                    </w:rPr>
                    <w:t>80</w:t>
                  </w:r>
                  <w:r>
                    <w:rPr>
                      <w:color w:val="auto"/>
                    </w:rPr>
                    <w:t>%；3、使用水性涂料（含水性UV）时，当车间或生产设施排气中</w:t>
                  </w:r>
                  <w:r>
                    <w:rPr>
                      <w:rFonts w:hint="eastAsia"/>
                      <w:color w:val="auto"/>
                    </w:rPr>
                    <w:t>非甲烷总烃</w:t>
                  </w:r>
                  <w:r>
                    <w:rPr>
                      <w:color w:val="auto"/>
                    </w:rPr>
                    <w:t>（NMHC）初始排放</w:t>
                  </w:r>
                  <w:r>
                    <w:rPr>
                      <w:rFonts w:hint="eastAsia"/>
                      <w:color w:val="auto"/>
                    </w:rPr>
                    <w:t>浓度大于30mg/m</w:t>
                  </w:r>
                  <w:r>
                    <w:rPr>
                      <w:rFonts w:hint="eastAsia"/>
                      <w:color w:val="auto"/>
                      <w:vertAlign w:val="superscript"/>
                    </w:rPr>
                    <w:t>3</w:t>
                  </w:r>
                  <w:r>
                    <w:rPr>
                      <w:color w:val="auto"/>
                    </w:rPr>
                    <w:t>时，建设末端治污设施。</w:t>
                  </w:r>
                </w:p>
              </w:tc>
              <w:tc>
                <w:tcPr>
                  <w:tcW w:w="1837" w:type="pct"/>
                  <w:vAlign w:val="center"/>
                </w:tcPr>
                <w:p>
                  <w:pPr>
                    <w:snapToGrid w:val="0"/>
                    <w:rPr>
                      <w:color w:val="auto"/>
                    </w:rPr>
                  </w:pPr>
                  <w:r>
                    <w:rPr>
                      <w:rFonts w:hint="eastAsia"/>
                      <w:color w:val="auto"/>
                    </w:rPr>
                    <w:t>本项目不涉及喷涂废气</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5</w:t>
                  </w:r>
                </w:p>
              </w:tc>
              <w:tc>
                <w:tcPr>
                  <w:tcW w:w="2305" w:type="pct"/>
                  <w:vAlign w:val="center"/>
                </w:tcPr>
                <w:p>
                  <w:pPr>
                    <w:snapToGrid w:val="0"/>
                    <w:rPr>
                      <w:b/>
                      <w:color w:val="auto"/>
                    </w:rPr>
                  </w:pPr>
                  <w:r>
                    <w:rPr>
                      <w:b/>
                      <w:color w:val="auto"/>
                    </w:rPr>
                    <w:t>排放限值：</w:t>
                  </w:r>
                </w:p>
                <w:p>
                  <w:pPr>
                    <w:snapToGrid w:val="0"/>
                    <w:rPr>
                      <w:color w:val="auto"/>
                    </w:rPr>
                  </w:pPr>
                  <w:r>
                    <w:rPr>
                      <w:color w:val="auto"/>
                    </w:rPr>
                    <w:t>1、在连续一年的监测数据中，车间或生产设施排气筒排放的NMHC</w:t>
                  </w:r>
                  <w:r>
                    <w:rPr>
                      <w:rFonts w:hint="eastAsia"/>
                      <w:color w:val="auto"/>
                    </w:rPr>
                    <w:t>≤40</w:t>
                  </w:r>
                  <w:r>
                    <w:rPr>
                      <w:color w:val="auto"/>
                    </w:rPr>
                    <w:t>mg/m</w:t>
                  </w:r>
                  <w:r>
                    <w:rPr>
                      <w:color w:val="auto"/>
                      <w:vertAlign w:val="superscript"/>
                    </w:rPr>
                    <w:t>3</w:t>
                  </w:r>
                  <w:r>
                    <w:rPr>
                      <w:color w:val="auto"/>
                    </w:rPr>
                    <w:t>、TVOC为</w:t>
                  </w:r>
                  <w:r>
                    <w:rPr>
                      <w:rFonts w:hint="eastAsia"/>
                      <w:color w:val="auto"/>
                    </w:rPr>
                    <w:t>≤60</w:t>
                  </w:r>
                  <w:r>
                    <w:rPr>
                      <w:color w:val="auto"/>
                    </w:rPr>
                    <w:t>mg/m</w:t>
                  </w:r>
                  <w:r>
                    <w:rPr>
                      <w:color w:val="auto"/>
                      <w:vertAlign w:val="superscript"/>
                    </w:rPr>
                    <w:t>3</w:t>
                  </w:r>
                  <w:r>
                    <w:rPr>
                      <w:color w:val="auto"/>
                    </w:rPr>
                    <w:t>；2、厂区内无组织排放监控点NMHC的小时平均浓度值不超过6mg/m</w:t>
                  </w:r>
                  <w:r>
                    <w:rPr>
                      <w:color w:val="auto"/>
                      <w:vertAlign w:val="superscript"/>
                    </w:rPr>
                    <w:t>3</w:t>
                  </w:r>
                  <w:r>
                    <w:rPr>
                      <w:color w:val="auto"/>
                    </w:rPr>
                    <w:t>、任意一次 浓度值不超过20mg/m</w:t>
                  </w:r>
                  <w:r>
                    <w:rPr>
                      <w:color w:val="auto"/>
                      <w:vertAlign w:val="superscript"/>
                    </w:rPr>
                    <w:t>3</w:t>
                  </w:r>
                  <w:r>
                    <w:rPr>
                      <w:color w:val="auto"/>
                    </w:rPr>
                    <w:t>；3、其他各项污染物稳定达到现行排放控制要求，并从严地方要求。备注：车间或生产设施排气筒排放的TVOC浓度限值要求待相应的监测标准 发布后执行。</w:t>
                  </w:r>
                </w:p>
              </w:tc>
              <w:tc>
                <w:tcPr>
                  <w:tcW w:w="1837" w:type="pct"/>
                  <w:vAlign w:val="center"/>
                </w:tcPr>
                <w:p>
                  <w:pPr>
                    <w:snapToGrid w:val="0"/>
                    <w:rPr>
                      <w:color w:val="auto"/>
                    </w:rPr>
                  </w:pPr>
                  <w:r>
                    <w:rPr>
                      <w:rFonts w:hint="eastAsia"/>
                      <w:color w:val="auto"/>
                    </w:rPr>
                    <w:t>根据预测结果可知，生产设施排气筒排放的NMHC均小于40mg/m</w:t>
                  </w:r>
                  <w:r>
                    <w:rPr>
                      <w:rFonts w:hint="eastAsia"/>
                      <w:color w:val="auto"/>
                      <w:vertAlign w:val="superscript"/>
                    </w:rPr>
                    <w:t>3</w:t>
                  </w:r>
                  <w:r>
                    <w:rPr>
                      <w:rFonts w:hint="eastAsia"/>
                      <w:color w:val="auto"/>
                    </w:rPr>
                    <w:t>；无组织废气满足《挥发性有机物无组织排放控制标准》（GB 37822-2019）特别控制要求；本项目其他污染物均能达到国家和地方相关标准。</w:t>
                  </w:r>
                </w:p>
                <w:p>
                  <w:pPr>
                    <w:snapToGrid w:val="0"/>
                    <w:rPr>
                      <w:color w:val="auto"/>
                    </w:rPr>
                  </w:pPr>
                  <w:r>
                    <w:rPr>
                      <w:rFonts w:hint="eastAsia"/>
                      <w:color w:val="auto"/>
                    </w:rPr>
                    <w:t>本项目暂未建成，在建成以后，建设单位应按监测计划要求进行监测并确保达标，并保留监测数据。</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6</w:t>
                  </w:r>
                </w:p>
              </w:tc>
              <w:tc>
                <w:tcPr>
                  <w:tcW w:w="2305" w:type="pct"/>
                  <w:vAlign w:val="center"/>
                </w:tcPr>
                <w:p>
                  <w:pPr>
                    <w:snapToGrid w:val="0"/>
                    <w:rPr>
                      <w:b/>
                      <w:color w:val="auto"/>
                    </w:rPr>
                  </w:pPr>
                  <w:r>
                    <w:rPr>
                      <w:b/>
                      <w:color w:val="auto"/>
                    </w:rPr>
                    <w:t>监测监控水平：</w:t>
                  </w:r>
                </w:p>
                <w:p>
                  <w:pPr>
                    <w:snapToGrid w:val="0"/>
                    <w:rPr>
                      <w:color w:val="auto"/>
                    </w:rPr>
                  </w:pPr>
                  <w:r>
                    <w:rPr>
                      <w:color w:val="auto"/>
                    </w:rPr>
                    <w:t>1、严格执行《排污许可证申请与核发技术规范总则》(HJ 942-2018）以及相关行业排污许可证申请与核发技术规范规定的自行监测管理要求</w:t>
                  </w:r>
                  <w:r>
                    <w:rPr>
                      <w:rFonts w:hint="eastAsia"/>
                      <w:color w:val="auto"/>
                    </w:rPr>
                    <w:t>；</w:t>
                  </w:r>
                  <w:r>
                    <w:rPr>
                      <w:color w:val="auto"/>
                    </w:rPr>
                    <w:t>2、重点排污企业风量大于10000m</w:t>
                  </w:r>
                  <w:r>
                    <w:rPr>
                      <w:color w:val="auto"/>
                      <w:vertAlign w:val="superscript"/>
                    </w:rPr>
                    <w:t>3</w:t>
                  </w:r>
                  <w:r>
                    <w:rPr>
                      <w:color w:val="auto"/>
                    </w:rPr>
                    <w:t>/h的主要排放口，有机废气排放口安装NMHC在线监测设施（FID检测器），自动监控数据保存一年以上；3、安装</w:t>
                  </w:r>
                  <w:r>
                    <w:rPr>
                      <w:rFonts w:hint="eastAsia"/>
                      <w:color w:val="auto"/>
                    </w:rPr>
                    <w:t>PLC系统或</w:t>
                  </w:r>
                  <w:r>
                    <w:rPr>
                      <w:color w:val="auto"/>
                    </w:rPr>
                    <w:t>仪器仪表等装置</w:t>
                  </w:r>
                  <w:r>
                    <w:rPr>
                      <w:rFonts w:hint="eastAsia"/>
                      <w:color w:val="auto"/>
                    </w:rPr>
                    <w:t>，记录治理设施主要参数，</w:t>
                  </w:r>
                  <w:r>
                    <w:rPr>
                      <w:color w:val="auto"/>
                    </w:rPr>
                    <w:t>数据保存一年以上。</w:t>
                  </w:r>
                </w:p>
              </w:tc>
              <w:tc>
                <w:tcPr>
                  <w:tcW w:w="1837" w:type="pct"/>
                  <w:vAlign w:val="center"/>
                </w:tcPr>
                <w:p>
                  <w:pPr>
                    <w:snapToGrid w:val="0"/>
                    <w:rPr>
                      <w:color w:val="auto"/>
                    </w:rPr>
                  </w:pPr>
                  <w:r>
                    <w:rPr>
                      <w:rFonts w:hint="eastAsia"/>
                      <w:color w:val="auto"/>
                    </w:rPr>
                    <w:t>1、本项目监测方案严格执行《排污许可证申请与核发技术规范汽车制造业》（HJ971-2018）、《排污单位自行监测技术指南总则》（HJ819-2017）相关要求；</w:t>
                  </w:r>
                </w:p>
                <w:p>
                  <w:pPr>
                    <w:snapToGrid w:val="0"/>
                    <w:rPr>
                      <w:color w:val="auto"/>
                    </w:rPr>
                  </w:pPr>
                  <w:r>
                    <w:rPr>
                      <w:rFonts w:hint="eastAsia"/>
                      <w:color w:val="auto"/>
                    </w:rPr>
                    <w:t>2、目前处于环评报批阶段，后期按照相关要求落实执行。</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7</w:t>
                  </w:r>
                </w:p>
              </w:tc>
              <w:tc>
                <w:tcPr>
                  <w:tcW w:w="2305" w:type="pct"/>
                  <w:vAlign w:val="center"/>
                </w:tcPr>
                <w:p>
                  <w:pPr>
                    <w:snapToGrid w:val="0"/>
                    <w:rPr>
                      <w:b/>
                      <w:color w:val="auto"/>
                    </w:rPr>
                  </w:pPr>
                  <w:r>
                    <w:rPr>
                      <w:b/>
                      <w:color w:val="auto"/>
                    </w:rPr>
                    <w:t>环境管理水平：</w:t>
                  </w:r>
                </w:p>
                <w:p>
                  <w:pPr>
                    <w:snapToGrid w:val="0"/>
                    <w:rPr>
                      <w:color w:val="auto"/>
                    </w:rPr>
                  </w:pPr>
                  <w:r>
                    <w:rPr>
                      <w:color w:val="auto"/>
                    </w:rPr>
                    <w:t>环保档案齐全：1、环评批复文件；2、排污许可证及季度、年度执行报告；3、竣工验收文件；4、废气治理设施运行管理规程；5、一年内废气监测报告。</w:t>
                  </w:r>
                </w:p>
                <w:p>
                  <w:pPr>
                    <w:snapToGrid w:val="0"/>
                    <w:rPr>
                      <w:color w:val="auto"/>
                    </w:rPr>
                  </w:pPr>
                  <w:r>
                    <w:rPr>
                      <w:color w:val="auto"/>
                    </w:rPr>
                    <w:t>台账记录：1、生产设施运行管理信息（生产时间、运行负荷、产品产量等，必须具备近一年及以上所用涂料的密度、扣水后VOCs含量、含水率（水性涂料）等信息的检测报告）</w:t>
                  </w:r>
                  <w:r>
                    <w:rPr>
                      <w:rFonts w:hint="eastAsia"/>
                      <w:color w:val="auto"/>
                    </w:rPr>
                    <w:t>；</w:t>
                  </w:r>
                  <w:r>
                    <w:rPr>
                      <w:color w:val="auto"/>
                    </w:rPr>
                    <w:t>2、废气污染治理设 施运行管理信息（燃烧室温度、冷凝温度、过滤材料更换频次、吸附剂更换频 次、催化剂更换频次）；3、监测记录信息（主要污染排放口废气排放记录（手 工监测或在线监测）等）；4、主要原辅 材料消耗记录；5、燃料（天然气）消耗记录。人员配置：设置环保部门，配备专职环保人员，并具备相应的环境管理能力。</w:t>
                  </w:r>
                </w:p>
              </w:tc>
              <w:tc>
                <w:tcPr>
                  <w:tcW w:w="1837" w:type="pct"/>
                  <w:vAlign w:val="center"/>
                </w:tcPr>
                <w:p>
                  <w:pPr>
                    <w:snapToGrid w:val="0"/>
                    <w:rPr>
                      <w:color w:val="auto"/>
                    </w:rPr>
                  </w:pPr>
                  <w:r>
                    <w:rPr>
                      <w:rFonts w:hint="eastAsia"/>
                      <w:color w:val="auto"/>
                    </w:rPr>
                    <w:t>1、企业已设置环保部门和专职的环保人员，本项目投产运营后，建设单位应将本项目纳入企业环境管理体系内；</w:t>
                  </w:r>
                </w:p>
                <w:p>
                  <w:pPr>
                    <w:snapToGrid w:val="0"/>
                    <w:rPr>
                      <w:color w:val="auto"/>
                    </w:rPr>
                  </w:pPr>
                  <w:r>
                    <w:rPr>
                      <w:color w:val="auto"/>
                    </w:rPr>
                    <w:t>2</w:t>
                  </w:r>
                  <w:r>
                    <w:rPr>
                      <w:rFonts w:hint="eastAsia"/>
                      <w:color w:val="auto"/>
                    </w:rPr>
                    <w:t>、环评要求企业按照B级企业管理要求进行相关台账记录，确保环保档案齐全、规范。</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8</w:t>
                  </w:r>
                </w:p>
              </w:tc>
              <w:tc>
                <w:tcPr>
                  <w:tcW w:w="2305" w:type="pct"/>
                  <w:vAlign w:val="center"/>
                </w:tcPr>
                <w:p>
                  <w:pPr>
                    <w:snapToGrid w:val="0"/>
                    <w:rPr>
                      <w:b/>
                      <w:color w:val="auto"/>
                    </w:rPr>
                  </w:pPr>
                  <w:r>
                    <w:rPr>
                      <w:b/>
                      <w:color w:val="auto"/>
                    </w:rPr>
                    <w:t>运输方式：</w:t>
                  </w:r>
                </w:p>
                <w:p>
                  <w:pPr>
                    <w:snapToGrid w:val="0"/>
                    <w:rPr>
                      <w:color w:val="auto"/>
                    </w:rPr>
                  </w:pPr>
                  <w:r>
                    <w:rPr>
                      <w:color w:val="auto"/>
                    </w:rPr>
                    <w:t>1、物料公路运输全部使用达到国五及以上排放标准重型载货车辆（含燃气）或新能源车辆；2、厂内运输车辆全部达到国五及以上排放标准（含燃气）或使用新能源车辆；3、厂内非道路移动机械全部达到国三及以上排放标准或使用新能源机械。</w:t>
                  </w:r>
                </w:p>
              </w:tc>
              <w:tc>
                <w:tcPr>
                  <w:tcW w:w="1837" w:type="pct"/>
                  <w:vAlign w:val="center"/>
                </w:tcPr>
                <w:p>
                  <w:pPr>
                    <w:snapToGrid w:val="0"/>
                    <w:rPr>
                      <w:color w:val="auto"/>
                    </w:rPr>
                  </w:pPr>
                  <w:r>
                    <w:rPr>
                      <w:rFonts w:hint="eastAsia"/>
                      <w:color w:val="auto"/>
                    </w:rPr>
                    <w:t>环评要求：1、物料公路运输全部使用达到国五及以上排放标准重型载货车辆（含燃气）或新能源车辆；2、厂内运输车辆全部达到国五及以上排放标准（含燃气）或使用新能源车辆；3、厂内非道路移动机械全部达到国三及以上排放标准或使用新能源机械。</w:t>
                  </w:r>
                </w:p>
              </w:tc>
              <w:tc>
                <w:tcPr>
                  <w:tcW w:w="525" w:type="pct"/>
                  <w:vAlign w:val="center"/>
                </w:tcPr>
                <w:p>
                  <w:pPr>
                    <w:snapToGrid w:val="0"/>
                    <w:jc w:val="center"/>
                    <w:rPr>
                      <w:color w:val="auto"/>
                    </w:rPr>
                  </w:pPr>
                  <w:r>
                    <w:rPr>
                      <w:rFonts w:hint="eastAsia"/>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vAlign w:val="center"/>
                </w:tcPr>
                <w:p>
                  <w:pPr>
                    <w:snapToGrid w:val="0"/>
                    <w:jc w:val="center"/>
                    <w:rPr>
                      <w:color w:val="auto"/>
                    </w:rPr>
                  </w:pPr>
                  <w:r>
                    <w:rPr>
                      <w:rFonts w:hint="eastAsia"/>
                      <w:color w:val="auto"/>
                    </w:rPr>
                    <w:t>9</w:t>
                  </w:r>
                </w:p>
              </w:tc>
              <w:tc>
                <w:tcPr>
                  <w:tcW w:w="2305" w:type="pct"/>
                  <w:vAlign w:val="center"/>
                </w:tcPr>
                <w:p>
                  <w:pPr>
                    <w:snapToGrid w:val="0"/>
                    <w:rPr>
                      <w:b/>
                      <w:color w:val="auto"/>
                    </w:rPr>
                  </w:pPr>
                  <w:r>
                    <w:rPr>
                      <w:b/>
                      <w:color w:val="auto"/>
                    </w:rPr>
                    <w:t>运输监管：</w:t>
                  </w:r>
                </w:p>
                <w:p>
                  <w:pPr>
                    <w:snapToGrid w:val="0"/>
                    <w:rPr>
                      <w:color w:val="auto"/>
                    </w:rPr>
                  </w:pPr>
                  <w:r>
                    <w:rPr>
                      <w:color w:val="auto"/>
                    </w:rPr>
                    <w:t>参照《重污染天气重点行业移动源应急管理技术指南》建立门禁系统和电子台账。</w:t>
                  </w:r>
                </w:p>
              </w:tc>
              <w:tc>
                <w:tcPr>
                  <w:tcW w:w="1837" w:type="pct"/>
                  <w:vAlign w:val="center"/>
                </w:tcPr>
                <w:p>
                  <w:pPr>
                    <w:snapToGrid w:val="0"/>
                    <w:rPr>
                      <w:color w:val="auto"/>
                    </w:rPr>
                  </w:pPr>
                  <w:r>
                    <w:rPr>
                      <w:rFonts w:hint="eastAsia"/>
                      <w:color w:val="auto"/>
                    </w:rPr>
                    <w:t>公司具有门禁系统，可自动识别车牌并进行摄像记录，且已按照移动源规范建设系统，环评要求：记录完整的电子台账，电子台账需保存至少一年。</w:t>
                  </w:r>
                </w:p>
              </w:tc>
              <w:tc>
                <w:tcPr>
                  <w:tcW w:w="525" w:type="pct"/>
                  <w:vAlign w:val="center"/>
                </w:tcPr>
                <w:p>
                  <w:pPr>
                    <w:snapToGrid w:val="0"/>
                    <w:jc w:val="center"/>
                    <w:rPr>
                      <w:color w:val="auto"/>
                    </w:rPr>
                  </w:pPr>
                  <w:r>
                    <w:rPr>
                      <w:rFonts w:hint="eastAsia"/>
                      <w:color w:val="auto"/>
                    </w:rPr>
                    <w:t>符合</w:t>
                  </w:r>
                </w:p>
              </w:tc>
            </w:tr>
          </w:tbl>
          <w:p>
            <w:pPr>
              <w:adjustRightInd w:val="0"/>
              <w:snapToGrid w:val="0"/>
              <w:spacing w:line="360" w:lineRule="auto"/>
              <w:ind w:firstLine="480" w:firstLineChars="200"/>
              <w:rPr>
                <w:bCs/>
                <w:color w:val="auto"/>
                <w:sz w:val="24"/>
              </w:rPr>
            </w:pPr>
            <w:r>
              <w:rPr>
                <w:rFonts w:hint="eastAsia"/>
                <w:bCs/>
                <w:color w:val="auto"/>
                <w:sz w:val="24"/>
              </w:rPr>
              <w:t>根据上表分析结果，本项目工艺符合《关于进一步加强关中地区涉气重点行业项目环评管理的通知》（陕环环评函〔2023〕76号）、《重污染天气重点行业应急减排措施制定技术指南（2020年修订版）》、《重污染天气重点行业绩效分级及减排措施补充说明》B级企业管理要求。</w:t>
            </w:r>
          </w:p>
          <w:p>
            <w:pPr>
              <w:rPr>
                <w:color w:val="auto"/>
              </w:rPr>
            </w:pPr>
          </w:p>
          <w:p>
            <w:pPr>
              <w:ind w:firstLine="480"/>
              <w:rPr>
                <w:color w:val="auto"/>
              </w:rPr>
            </w:pPr>
          </w:p>
          <w:p>
            <w:pPr>
              <w:rPr>
                <w:color w:val="auto"/>
              </w:rPr>
            </w:pPr>
          </w:p>
        </w:tc>
      </w:tr>
    </w:tbl>
    <w:p>
      <w:pPr>
        <w:adjustRightInd w:val="0"/>
        <w:snapToGrid w:val="0"/>
        <w:spacing w:line="360" w:lineRule="auto"/>
        <w:rPr>
          <w:rFonts w:ascii="宋体" w:cs="宋体"/>
          <w:b/>
          <w:kern w:val="0"/>
          <w:sz w:val="28"/>
          <w:szCs w:val="28"/>
        </w:rPr>
      </w:pPr>
    </w:p>
    <w:p>
      <w:pPr>
        <w:adjustRightInd w:val="0"/>
        <w:snapToGrid w:val="0"/>
        <w:spacing w:line="360" w:lineRule="auto"/>
        <w:ind w:firstLine="562"/>
        <w:rPr>
          <w:rFonts w:ascii="宋体" w:cs="宋体"/>
          <w:b/>
          <w:kern w:val="0"/>
          <w:sz w:val="28"/>
          <w:szCs w:val="28"/>
        </w:rPr>
        <w:sectPr>
          <w:footerReference r:id="rId13" w:type="default"/>
          <w:pgSz w:w="11907" w:h="16840"/>
          <w:pgMar w:top="1701" w:right="1531" w:bottom="2127" w:left="1531" w:header="851" w:footer="851" w:gutter="0"/>
          <w:pgNumType w:fmt="decimal" w:start="63"/>
          <w:cols w:space="720" w:num="1"/>
          <w:docGrid w:linePitch="312" w:charSpace="0"/>
        </w:sectPr>
      </w:pPr>
    </w:p>
    <w:p>
      <w:pPr>
        <w:pStyle w:val="13"/>
        <w:ind w:firstLine="600"/>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4" w:name="_Hlk54167917"/>
      <w:r>
        <w:rPr>
          <w:rFonts w:hint="eastAsia" w:ascii="黑体" w:hAnsi="黑体" w:eastAsia="黑体"/>
          <w:snapToGrid w:val="0"/>
          <w:sz w:val="30"/>
          <w:szCs w:val="30"/>
        </w:rPr>
        <w:t>环境保护措施监督检查清单</w:t>
      </w:r>
      <w:bookmarkEnd w:id="4"/>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755"/>
        <w:gridCol w:w="1755"/>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vAlign w:val="center"/>
          </w:tcPr>
          <w:p>
            <w:pPr>
              <w:adjustRightInd w:val="0"/>
              <w:snapToGrid w:val="0"/>
              <w:ind w:firstLine="688" w:firstLineChars="328"/>
              <w:jc w:val="center"/>
              <w:rPr>
                <w:szCs w:val="21"/>
              </w:rPr>
            </w:pPr>
          </w:p>
          <w:p>
            <w:pPr>
              <w:adjustRightInd w:val="0"/>
              <w:snapToGrid w:val="0"/>
              <w:ind w:firstLine="840" w:firstLineChars="400"/>
              <w:rPr>
                <w:szCs w:val="21"/>
              </w:rPr>
            </w:pPr>
            <w:r>
              <w:rPr>
                <w:szCs w:val="21"/>
              </w:rPr>
              <w:t>内容</w:t>
            </w:r>
          </w:p>
          <w:p>
            <w:pPr>
              <w:adjustRightInd w:val="0"/>
              <w:snapToGrid w:val="0"/>
              <w:ind w:firstLine="480"/>
              <w:jc w:val="center"/>
              <w:rPr>
                <w:szCs w:val="21"/>
              </w:rPr>
            </w:pPr>
          </w:p>
          <w:p>
            <w:pPr>
              <w:adjustRightInd w:val="0"/>
              <w:snapToGrid w:val="0"/>
              <w:ind w:firstLine="480"/>
              <w:jc w:val="center"/>
              <w:rPr>
                <w:szCs w:val="21"/>
              </w:rPr>
            </w:pPr>
          </w:p>
          <w:p>
            <w:pPr>
              <w:adjustRightInd w:val="0"/>
              <w:snapToGrid w:val="0"/>
              <w:rPr>
                <w:szCs w:val="21"/>
              </w:rPr>
            </w:pPr>
            <w:r>
              <w:rPr>
                <w:szCs w:val="21"/>
              </w:rPr>
              <w:t>要素</w:t>
            </w:r>
          </w:p>
        </w:tc>
        <w:tc>
          <w:tcPr>
            <w:tcW w:w="1755" w:type="dxa"/>
            <w:vAlign w:val="center"/>
          </w:tcPr>
          <w:p>
            <w:pPr>
              <w:adjustRightInd w:val="0"/>
              <w:snapToGrid w:val="0"/>
              <w:jc w:val="center"/>
              <w:rPr>
                <w:szCs w:val="21"/>
              </w:rPr>
            </w:pPr>
            <w:r>
              <w:rPr>
                <w:szCs w:val="21"/>
              </w:rPr>
              <w:t>排放口(编号、名称)/污染源</w:t>
            </w:r>
          </w:p>
        </w:tc>
        <w:tc>
          <w:tcPr>
            <w:tcW w:w="1755" w:type="dxa"/>
            <w:vAlign w:val="center"/>
          </w:tcPr>
          <w:p>
            <w:pPr>
              <w:adjustRightInd w:val="0"/>
              <w:snapToGrid w:val="0"/>
              <w:jc w:val="center"/>
              <w:rPr>
                <w:szCs w:val="21"/>
              </w:rPr>
            </w:pPr>
            <w:r>
              <w:rPr>
                <w:szCs w:val="21"/>
              </w:rPr>
              <w:t>污染物项目</w:t>
            </w:r>
          </w:p>
        </w:tc>
        <w:tc>
          <w:tcPr>
            <w:tcW w:w="1755" w:type="dxa"/>
            <w:vAlign w:val="center"/>
          </w:tcPr>
          <w:p>
            <w:pPr>
              <w:adjustRightInd w:val="0"/>
              <w:snapToGrid w:val="0"/>
              <w:jc w:val="center"/>
              <w:rPr>
                <w:szCs w:val="21"/>
              </w:rPr>
            </w:pPr>
            <w:r>
              <w:rPr>
                <w:szCs w:val="21"/>
              </w:rPr>
              <w:t>环境保护措施</w:t>
            </w:r>
          </w:p>
        </w:tc>
        <w:tc>
          <w:tcPr>
            <w:tcW w:w="1757" w:type="dxa"/>
            <w:vAlign w:val="center"/>
          </w:tcPr>
          <w:p>
            <w:pPr>
              <w:adjustRightInd w:val="0"/>
              <w:snapToGrid w:val="0"/>
              <w:jc w:val="center"/>
              <w:rPr>
                <w:szCs w:val="21"/>
              </w:rPr>
            </w:pPr>
            <w:r>
              <w:rPr>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szCs w:val="21"/>
              </w:rPr>
            </w:pPr>
            <w:r>
              <w:rPr>
                <w:szCs w:val="21"/>
              </w:rPr>
              <w:t>大气环境</w:t>
            </w:r>
          </w:p>
        </w:tc>
        <w:tc>
          <w:tcPr>
            <w:tcW w:w="1755" w:type="dxa"/>
            <w:vAlign w:val="center"/>
          </w:tcPr>
          <w:p>
            <w:pPr>
              <w:pStyle w:val="17"/>
              <w:ind w:firstLine="0" w:firstLineChars="0"/>
              <w:jc w:val="center"/>
              <w:rPr>
                <w:rFonts w:eastAsia="宋体"/>
              </w:rPr>
            </w:pPr>
            <w:r>
              <w:rPr>
                <w:rFonts w:eastAsia="宋体"/>
                <w:sz w:val="21"/>
                <w:szCs w:val="21"/>
              </w:rPr>
              <w:t>DA001</w:t>
            </w:r>
          </w:p>
        </w:tc>
        <w:tc>
          <w:tcPr>
            <w:tcW w:w="1755" w:type="dxa"/>
            <w:vAlign w:val="center"/>
          </w:tcPr>
          <w:p>
            <w:pPr>
              <w:adjustRightInd w:val="0"/>
              <w:snapToGrid w:val="0"/>
              <w:jc w:val="center"/>
              <w:rPr>
                <w:szCs w:val="21"/>
              </w:rPr>
            </w:pPr>
            <w:r>
              <w:rPr>
                <w:szCs w:val="21"/>
              </w:rPr>
              <w:t>非甲烷总烃、</w:t>
            </w:r>
            <w:r>
              <w:rPr>
                <w:rFonts w:hint="eastAsia"/>
                <w:szCs w:val="21"/>
              </w:rPr>
              <w:t>颗粒物</w:t>
            </w:r>
          </w:p>
        </w:tc>
        <w:tc>
          <w:tcPr>
            <w:tcW w:w="1755" w:type="dxa"/>
            <w:vAlign w:val="center"/>
          </w:tcPr>
          <w:p>
            <w:pPr>
              <w:adjustRightInd w:val="0"/>
              <w:snapToGrid w:val="0"/>
              <w:jc w:val="center"/>
              <w:rPr>
                <w:szCs w:val="21"/>
              </w:rPr>
            </w:pPr>
            <w:r>
              <w:rPr>
                <w:szCs w:val="21"/>
              </w:rPr>
              <w:t>经</w:t>
            </w:r>
            <w:r>
              <w:rPr>
                <w:rFonts w:hint="eastAsia"/>
                <w:szCs w:val="21"/>
              </w:rPr>
              <w:t>集气罩收集</w:t>
            </w:r>
            <w:r>
              <w:rPr>
                <w:szCs w:val="21"/>
              </w:rPr>
              <w:t>后由干式过滤器+二级活性炭过滤装置处理后，经15m排气筒排放</w:t>
            </w:r>
          </w:p>
        </w:tc>
        <w:tc>
          <w:tcPr>
            <w:tcW w:w="1757" w:type="dxa"/>
            <w:vAlign w:val="center"/>
          </w:tcPr>
          <w:p>
            <w:pPr>
              <w:adjustRightInd w:val="0"/>
              <w:snapToGrid w:val="0"/>
              <w:jc w:val="center"/>
              <w:rPr>
                <w:szCs w:val="21"/>
              </w:rPr>
            </w:pPr>
            <w:r>
              <w:rPr>
                <w:szCs w:val="21"/>
              </w:rPr>
              <w:t>《合成树脂工业污染物排放标准》（GB31572-2015）中相关标准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ind w:firstLine="480"/>
              <w:jc w:val="center"/>
              <w:rPr>
                <w:szCs w:val="21"/>
              </w:rPr>
            </w:pPr>
          </w:p>
        </w:tc>
        <w:tc>
          <w:tcPr>
            <w:tcW w:w="1755" w:type="dxa"/>
            <w:vAlign w:val="center"/>
          </w:tcPr>
          <w:p>
            <w:pPr>
              <w:pStyle w:val="17"/>
              <w:ind w:firstLine="0" w:firstLineChars="0"/>
              <w:jc w:val="center"/>
              <w:rPr>
                <w:rFonts w:eastAsia="宋体"/>
              </w:rPr>
            </w:pPr>
            <w:r>
              <w:rPr>
                <w:rFonts w:eastAsia="宋体"/>
                <w:sz w:val="21"/>
                <w:szCs w:val="21"/>
              </w:rPr>
              <w:t>DA002</w:t>
            </w:r>
          </w:p>
        </w:tc>
        <w:tc>
          <w:tcPr>
            <w:tcW w:w="1755" w:type="dxa"/>
            <w:vAlign w:val="center"/>
          </w:tcPr>
          <w:p>
            <w:pPr>
              <w:adjustRightInd w:val="0"/>
              <w:snapToGrid w:val="0"/>
              <w:jc w:val="center"/>
              <w:rPr>
                <w:szCs w:val="21"/>
              </w:rPr>
            </w:pPr>
            <w:r>
              <w:rPr>
                <w:szCs w:val="21"/>
              </w:rPr>
              <w:t>非甲烷总烃</w:t>
            </w:r>
            <w:r>
              <w:rPr>
                <w:rFonts w:hint="eastAsia"/>
                <w:szCs w:val="21"/>
              </w:rPr>
              <w:t>、颗粒物</w:t>
            </w:r>
          </w:p>
        </w:tc>
        <w:tc>
          <w:tcPr>
            <w:tcW w:w="1755" w:type="dxa"/>
            <w:vAlign w:val="center"/>
          </w:tcPr>
          <w:p>
            <w:pPr>
              <w:adjustRightInd w:val="0"/>
              <w:snapToGrid w:val="0"/>
              <w:jc w:val="center"/>
              <w:rPr>
                <w:szCs w:val="21"/>
              </w:rPr>
            </w:pPr>
            <w:r>
              <w:rPr>
                <w:szCs w:val="21"/>
              </w:rPr>
              <w:t>经</w:t>
            </w:r>
            <w:r>
              <w:rPr>
                <w:rFonts w:hint="eastAsia"/>
                <w:szCs w:val="21"/>
              </w:rPr>
              <w:t>集气罩收集</w:t>
            </w:r>
            <w:r>
              <w:rPr>
                <w:szCs w:val="21"/>
              </w:rPr>
              <w:t>后由干式过滤器+二级活性炭过滤装置处理后，经15m排气筒排放</w:t>
            </w:r>
          </w:p>
        </w:tc>
        <w:tc>
          <w:tcPr>
            <w:tcW w:w="1757" w:type="dxa"/>
            <w:vAlign w:val="center"/>
          </w:tcPr>
          <w:p>
            <w:pPr>
              <w:adjustRightInd w:val="0"/>
              <w:snapToGrid w:val="0"/>
              <w:jc w:val="center"/>
              <w:rPr>
                <w:szCs w:val="21"/>
              </w:rPr>
            </w:pPr>
            <w:r>
              <w:rPr>
                <w:szCs w:val="21"/>
              </w:rPr>
              <w:t>《合成树脂工业污染物排放标准》（GB31572-2015）中相关标准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ind w:firstLine="480"/>
              <w:jc w:val="center"/>
              <w:rPr>
                <w:szCs w:val="21"/>
              </w:rPr>
            </w:pPr>
          </w:p>
        </w:tc>
        <w:tc>
          <w:tcPr>
            <w:tcW w:w="1755" w:type="dxa"/>
            <w:vMerge w:val="restart"/>
            <w:vAlign w:val="center"/>
          </w:tcPr>
          <w:p>
            <w:pPr>
              <w:adjustRightInd w:val="0"/>
              <w:snapToGrid w:val="0"/>
              <w:jc w:val="center"/>
              <w:rPr>
                <w:szCs w:val="21"/>
              </w:rPr>
            </w:pPr>
            <w:r>
              <w:rPr>
                <w:szCs w:val="21"/>
              </w:rPr>
              <w:t>无组织废气</w:t>
            </w:r>
          </w:p>
        </w:tc>
        <w:tc>
          <w:tcPr>
            <w:tcW w:w="1755" w:type="dxa"/>
            <w:vAlign w:val="center"/>
          </w:tcPr>
          <w:p>
            <w:pPr>
              <w:adjustRightInd w:val="0"/>
              <w:snapToGrid w:val="0"/>
              <w:jc w:val="center"/>
              <w:rPr>
                <w:szCs w:val="21"/>
              </w:rPr>
            </w:pPr>
            <w:r>
              <w:rPr>
                <w:szCs w:val="21"/>
              </w:rPr>
              <w:t>颗粒物</w:t>
            </w:r>
          </w:p>
        </w:tc>
        <w:tc>
          <w:tcPr>
            <w:tcW w:w="1755" w:type="dxa"/>
            <w:vAlign w:val="center"/>
          </w:tcPr>
          <w:p>
            <w:pPr>
              <w:adjustRightInd w:val="0"/>
              <w:snapToGrid w:val="0"/>
              <w:jc w:val="center"/>
              <w:rPr>
                <w:szCs w:val="21"/>
              </w:rPr>
            </w:pPr>
            <w:r>
              <w:rPr>
                <w:szCs w:val="21"/>
              </w:rPr>
              <w:t>/</w:t>
            </w:r>
          </w:p>
        </w:tc>
        <w:tc>
          <w:tcPr>
            <w:tcW w:w="1757" w:type="dxa"/>
            <w:vAlign w:val="center"/>
          </w:tcPr>
          <w:p>
            <w:pPr>
              <w:adjustRightInd w:val="0"/>
              <w:snapToGrid w:val="0"/>
              <w:jc w:val="center"/>
              <w:rPr>
                <w:szCs w:val="21"/>
              </w:rPr>
            </w:pPr>
            <w:r>
              <w:rPr>
                <w:szCs w:val="21"/>
              </w:rPr>
              <w:t>《合成树脂工业污染物排放标准》（GB31572-2015）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ind w:firstLine="480"/>
              <w:jc w:val="center"/>
              <w:rPr>
                <w:szCs w:val="21"/>
              </w:rPr>
            </w:pPr>
          </w:p>
        </w:tc>
        <w:tc>
          <w:tcPr>
            <w:tcW w:w="1755" w:type="dxa"/>
            <w:vMerge w:val="continue"/>
            <w:vAlign w:val="center"/>
          </w:tcPr>
          <w:p>
            <w:pPr>
              <w:adjustRightInd w:val="0"/>
              <w:snapToGrid w:val="0"/>
              <w:ind w:firstLine="480"/>
              <w:jc w:val="center"/>
              <w:rPr>
                <w:szCs w:val="21"/>
              </w:rPr>
            </w:pPr>
          </w:p>
        </w:tc>
        <w:tc>
          <w:tcPr>
            <w:tcW w:w="1755" w:type="dxa"/>
            <w:vAlign w:val="center"/>
          </w:tcPr>
          <w:p>
            <w:pPr>
              <w:adjustRightInd w:val="0"/>
              <w:snapToGrid w:val="0"/>
              <w:jc w:val="center"/>
              <w:rPr>
                <w:szCs w:val="21"/>
              </w:rPr>
            </w:pPr>
            <w:r>
              <w:rPr>
                <w:szCs w:val="21"/>
              </w:rPr>
              <w:t>非甲烷总烃</w:t>
            </w:r>
          </w:p>
        </w:tc>
        <w:tc>
          <w:tcPr>
            <w:tcW w:w="1755" w:type="dxa"/>
            <w:vAlign w:val="center"/>
          </w:tcPr>
          <w:p>
            <w:pPr>
              <w:adjustRightInd w:val="0"/>
              <w:snapToGrid w:val="0"/>
              <w:jc w:val="center"/>
              <w:rPr>
                <w:szCs w:val="21"/>
              </w:rPr>
            </w:pPr>
            <w:r>
              <w:rPr>
                <w:szCs w:val="21"/>
              </w:rPr>
              <w:t>/</w:t>
            </w:r>
          </w:p>
        </w:tc>
        <w:tc>
          <w:tcPr>
            <w:tcW w:w="1757" w:type="dxa"/>
            <w:vAlign w:val="center"/>
          </w:tcPr>
          <w:p>
            <w:pPr>
              <w:adjustRightInd w:val="0"/>
              <w:snapToGrid w:val="0"/>
              <w:jc w:val="center"/>
              <w:rPr>
                <w:szCs w:val="21"/>
              </w:rPr>
            </w:pPr>
            <w:r>
              <w:rPr>
                <w:szCs w:val="21"/>
              </w:rPr>
              <w:t>《合成树脂工业污染物排放标准》（GB31572-2015）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778" w:type="dxa"/>
            <w:vMerge w:val="restart"/>
            <w:vAlign w:val="center"/>
          </w:tcPr>
          <w:p>
            <w:pPr>
              <w:adjustRightInd w:val="0"/>
              <w:snapToGrid w:val="0"/>
              <w:jc w:val="center"/>
              <w:rPr>
                <w:szCs w:val="21"/>
              </w:rPr>
            </w:pPr>
            <w:r>
              <w:rPr>
                <w:szCs w:val="21"/>
              </w:rPr>
              <w:t>地表水环境</w:t>
            </w:r>
          </w:p>
        </w:tc>
        <w:tc>
          <w:tcPr>
            <w:tcW w:w="1755" w:type="dxa"/>
            <w:vAlign w:val="center"/>
          </w:tcPr>
          <w:p>
            <w:pPr>
              <w:adjustRightInd w:val="0"/>
              <w:snapToGrid w:val="0"/>
              <w:jc w:val="center"/>
              <w:rPr>
                <w:szCs w:val="21"/>
              </w:rPr>
            </w:pPr>
            <w:r>
              <w:rPr>
                <w:szCs w:val="21"/>
              </w:rPr>
              <w:t>生活污水</w:t>
            </w:r>
          </w:p>
        </w:tc>
        <w:tc>
          <w:tcPr>
            <w:tcW w:w="1755" w:type="dxa"/>
            <w:vAlign w:val="center"/>
          </w:tcPr>
          <w:p>
            <w:pPr>
              <w:adjustRightInd w:val="0"/>
              <w:snapToGrid w:val="0"/>
              <w:jc w:val="center"/>
              <w:rPr>
                <w:szCs w:val="21"/>
              </w:rPr>
            </w:pPr>
            <w:r>
              <w:rPr>
                <w:szCs w:val="21"/>
              </w:rPr>
              <w:t>COD、BOD</w:t>
            </w:r>
            <w:r>
              <w:rPr>
                <w:szCs w:val="21"/>
                <w:vertAlign w:val="subscript"/>
              </w:rPr>
              <w:t>5</w:t>
            </w:r>
            <w:r>
              <w:rPr>
                <w:szCs w:val="21"/>
              </w:rPr>
              <w:t>、SS、</w:t>
            </w:r>
            <w:r>
              <w:rPr>
                <w:rFonts w:hint="eastAsia"/>
                <w:szCs w:val="21"/>
              </w:rPr>
              <w:t>氨氮</w:t>
            </w:r>
            <w:r>
              <w:rPr>
                <w:rFonts w:hint="eastAsia"/>
                <w:szCs w:val="21"/>
                <w:lang w:eastAsia="zh-CN"/>
              </w:rPr>
              <w:t>、</w:t>
            </w:r>
            <w:r>
              <w:rPr>
                <w:rFonts w:hint="eastAsia"/>
                <w:szCs w:val="21"/>
                <w:lang w:val="en-US" w:eastAsia="zh-CN"/>
              </w:rPr>
              <w:t>动植物油、TP、TN</w:t>
            </w:r>
            <w:r>
              <w:rPr>
                <w:szCs w:val="21"/>
              </w:rPr>
              <w:t>等</w:t>
            </w:r>
          </w:p>
        </w:tc>
        <w:tc>
          <w:tcPr>
            <w:tcW w:w="1755" w:type="dxa"/>
            <w:vAlign w:val="center"/>
          </w:tcPr>
          <w:p>
            <w:pPr>
              <w:adjustRightInd w:val="0"/>
              <w:snapToGrid w:val="0"/>
              <w:jc w:val="center"/>
              <w:rPr>
                <w:szCs w:val="21"/>
              </w:rPr>
            </w:pPr>
            <w:r>
              <w:rPr>
                <w:szCs w:val="21"/>
              </w:rPr>
              <w:t>企业产生的生活污水依托厂区现有厂区化粪池与处理后排入集贤产业园污水处理厂处理。</w:t>
            </w:r>
          </w:p>
        </w:tc>
        <w:tc>
          <w:tcPr>
            <w:tcW w:w="1757" w:type="dxa"/>
            <w:vAlign w:val="center"/>
          </w:tcPr>
          <w:p>
            <w:pPr>
              <w:adjustRightInd w:val="0"/>
              <w:snapToGrid w:val="0"/>
              <w:jc w:val="center"/>
              <w:rPr>
                <w:szCs w:val="21"/>
              </w:rPr>
            </w:pPr>
            <w:r>
              <w:rPr>
                <w:szCs w:val="21"/>
              </w:rPr>
              <w:t>《污水综合排放标准》（GB8978-1996表4）三级标准、</w:t>
            </w:r>
          </w:p>
          <w:p>
            <w:pPr>
              <w:adjustRightInd w:val="0"/>
              <w:snapToGrid w:val="0"/>
              <w:jc w:val="center"/>
            </w:pPr>
            <w:r>
              <w:rPr>
                <w:szCs w:val="21"/>
              </w:rPr>
              <w:t>《污水排入城镇下水道水质标准》（GB/T31962-2015）B级标准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778" w:type="dxa"/>
            <w:vMerge w:val="continue"/>
            <w:vAlign w:val="center"/>
          </w:tcPr>
          <w:p>
            <w:pPr>
              <w:adjustRightInd w:val="0"/>
              <w:snapToGrid w:val="0"/>
              <w:ind w:firstLine="480"/>
              <w:jc w:val="center"/>
              <w:rPr>
                <w:szCs w:val="21"/>
              </w:rPr>
            </w:pPr>
          </w:p>
        </w:tc>
        <w:tc>
          <w:tcPr>
            <w:tcW w:w="1755" w:type="dxa"/>
            <w:vAlign w:val="center"/>
          </w:tcPr>
          <w:p>
            <w:pPr>
              <w:adjustRightInd w:val="0"/>
              <w:snapToGrid w:val="0"/>
              <w:jc w:val="center"/>
              <w:rPr>
                <w:szCs w:val="21"/>
              </w:rPr>
            </w:pPr>
            <w:r>
              <w:rPr>
                <w:rFonts w:hint="eastAsia"/>
                <w:szCs w:val="21"/>
              </w:rPr>
              <w:t>生产废水</w:t>
            </w:r>
          </w:p>
        </w:tc>
        <w:tc>
          <w:tcPr>
            <w:tcW w:w="1755" w:type="dxa"/>
            <w:vAlign w:val="center"/>
          </w:tcPr>
          <w:p>
            <w:pPr>
              <w:adjustRightInd w:val="0"/>
              <w:snapToGrid w:val="0"/>
              <w:jc w:val="center"/>
              <w:rPr>
                <w:szCs w:val="21"/>
              </w:rPr>
            </w:pPr>
            <w:r>
              <w:rPr>
                <w:rFonts w:hint="eastAsia"/>
                <w:szCs w:val="21"/>
              </w:rPr>
              <w:t>SS</w:t>
            </w:r>
          </w:p>
        </w:tc>
        <w:tc>
          <w:tcPr>
            <w:tcW w:w="1755" w:type="dxa"/>
            <w:vAlign w:val="center"/>
          </w:tcPr>
          <w:p>
            <w:pPr>
              <w:adjustRightInd w:val="0"/>
              <w:snapToGrid w:val="0"/>
              <w:jc w:val="center"/>
              <w:rPr>
                <w:szCs w:val="21"/>
              </w:rPr>
            </w:pPr>
            <w:r>
              <w:rPr>
                <w:rFonts w:hint="eastAsia"/>
                <w:szCs w:val="21"/>
              </w:rPr>
              <w:t>企业产生的生产废水经过滤后依托厂区现有的污水处理站进一步处理后</w:t>
            </w:r>
            <w:r>
              <w:rPr>
                <w:szCs w:val="21"/>
              </w:rPr>
              <w:t>排入集贤产业园污水处理厂处理。</w:t>
            </w:r>
          </w:p>
        </w:tc>
        <w:tc>
          <w:tcPr>
            <w:tcW w:w="1757" w:type="dxa"/>
            <w:vAlign w:val="center"/>
          </w:tcPr>
          <w:p>
            <w:pPr>
              <w:adjustRightInd w:val="0"/>
              <w:snapToGrid w:val="0"/>
              <w:jc w:val="center"/>
              <w:rPr>
                <w:szCs w:val="21"/>
              </w:rPr>
            </w:pPr>
            <w:r>
              <w:rPr>
                <w:szCs w:val="21"/>
              </w:rPr>
              <w:t>《污水综合排放标准》（GB8978-1996表4）三级标准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1778" w:type="dxa"/>
            <w:vAlign w:val="center"/>
          </w:tcPr>
          <w:p>
            <w:pPr>
              <w:adjustRightInd w:val="0"/>
              <w:snapToGrid w:val="0"/>
              <w:jc w:val="center"/>
              <w:rPr>
                <w:szCs w:val="21"/>
              </w:rPr>
            </w:pPr>
            <w:r>
              <w:rPr>
                <w:szCs w:val="21"/>
              </w:rPr>
              <w:t>声环境</w:t>
            </w:r>
          </w:p>
        </w:tc>
        <w:tc>
          <w:tcPr>
            <w:tcW w:w="3510" w:type="dxa"/>
            <w:gridSpan w:val="2"/>
            <w:vAlign w:val="center"/>
          </w:tcPr>
          <w:p>
            <w:pPr>
              <w:adjustRightInd w:val="0"/>
              <w:snapToGrid w:val="0"/>
              <w:jc w:val="center"/>
              <w:rPr>
                <w:szCs w:val="21"/>
              </w:rPr>
            </w:pPr>
            <w:r>
              <w:rPr>
                <w:szCs w:val="21"/>
              </w:rPr>
              <w:t>模压机、发泡机</w:t>
            </w:r>
            <w:r>
              <w:rPr>
                <w:rFonts w:hint="eastAsia"/>
                <w:szCs w:val="21"/>
                <w:lang w:eastAsia="zh-CN"/>
              </w:rPr>
              <w:t>、</w:t>
            </w:r>
            <w:r>
              <w:rPr>
                <w:rFonts w:hint="eastAsia"/>
                <w:szCs w:val="21"/>
                <w:lang w:val="en-US" w:eastAsia="zh-CN"/>
              </w:rPr>
              <w:t>水刀切割设备</w:t>
            </w:r>
            <w:r>
              <w:rPr>
                <w:szCs w:val="21"/>
              </w:rPr>
              <w:t>等设备</w:t>
            </w:r>
          </w:p>
        </w:tc>
        <w:tc>
          <w:tcPr>
            <w:tcW w:w="1755" w:type="dxa"/>
            <w:vAlign w:val="center"/>
          </w:tcPr>
          <w:p>
            <w:pPr>
              <w:adjustRightInd w:val="0"/>
              <w:snapToGrid w:val="0"/>
              <w:jc w:val="center"/>
              <w:rPr>
                <w:szCs w:val="21"/>
              </w:rPr>
            </w:pPr>
            <w:r>
              <w:rPr>
                <w:szCs w:val="21"/>
              </w:rPr>
              <w:t>选用低噪设备、基础减振、厂房隔声及柔性连接</w:t>
            </w:r>
          </w:p>
        </w:tc>
        <w:tc>
          <w:tcPr>
            <w:tcW w:w="1757" w:type="dxa"/>
            <w:vAlign w:val="center"/>
          </w:tcPr>
          <w:p>
            <w:pPr>
              <w:adjustRightInd w:val="0"/>
              <w:snapToGrid w:val="0"/>
              <w:jc w:val="center"/>
              <w:rPr>
                <w:szCs w:val="21"/>
              </w:rPr>
            </w:pPr>
            <w:r>
              <w:rPr>
                <w:szCs w:val="21"/>
              </w:rPr>
              <w:t>厂界噪声执行</w:t>
            </w:r>
            <w:r>
              <w:rPr>
                <w:rFonts w:hint="eastAsia"/>
                <w:szCs w:val="21"/>
              </w:rPr>
              <w:t>《工业企业厂界环境噪声排放标准》（GB12348-2008）</w:t>
            </w:r>
            <w:r>
              <w:rPr>
                <w:szCs w:val="21"/>
              </w:rPr>
              <w:t>中3类标准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szCs w:val="21"/>
              </w:rPr>
            </w:pPr>
            <w:r>
              <w:rPr>
                <w:szCs w:val="21"/>
              </w:rPr>
              <w:t>固体废物</w:t>
            </w:r>
          </w:p>
        </w:tc>
        <w:tc>
          <w:tcPr>
            <w:tcW w:w="7022" w:type="dxa"/>
            <w:gridSpan w:val="4"/>
            <w:vAlign w:val="center"/>
          </w:tcPr>
          <w:p>
            <w:pPr>
              <w:adjustRightInd w:val="0"/>
              <w:snapToGrid w:val="0"/>
              <w:jc w:val="left"/>
              <w:rPr>
                <w:szCs w:val="21"/>
              </w:rPr>
            </w:pPr>
            <w:r>
              <w:rPr>
                <w:rFonts w:hint="eastAsia" w:ascii="宋体" w:hAnsi="宋体" w:cs="宋体"/>
                <w:szCs w:val="21"/>
              </w:rPr>
              <w:t>①</w:t>
            </w:r>
            <w:r>
              <w:rPr>
                <w:szCs w:val="21"/>
              </w:rPr>
              <w:t>生活垃圾根据《西安市生活垃圾分类管理办法》的要求，进行分类收集，不得混放、标识清楚。</w:t>
            </w:r>
          </w:p>
          <w:p>
            <w:pPr>
              <w:adjustRightInd w:val="0"/>
              <w:snapToGrid w:val="0"/>
              <w:jc w:val="left"/>
              <w:rPr>
                <w:szCs w:val="21"/>
              </w:rPr>
            </w:pPr>
            <w:r>
              <w:rPr>
                <w:rFonts w:hint="eastAsia" w:ascii="宋体" w:hAnsi="宋体" w:cs="宋体"/>
                <w:szCs w:val="21"/>
              </w:rPr>
              <w:t>②</w:t>
            </w:r>
            <w:r>
              <w:rPr>
                <w:szCs w:val="21"/>
              </w:rPr>
              <w:t>一般固体废物：本项目一般固体废物的处置应执行《一般工业固体废物贮存和填埋污染控制标准》（GB 18599-2020）的相关规定。</w:t>
            </w:r>
          </w:p>
          <w:p>
            <w:pPr>
              <w:adjustRightInd w:val="0"/>
              <w:snapToGrid w:val="0"/>
              <w:jc w:val="left"/>
              <w:rPr>
                <w:szCs w:val="21"/>
              </w:rPr>
            </w:pPr>
            <w:r>
              <w:rPr>
                <w:rFonts w:hint="eastAsia" w:ascii="宋体" w:hAnsi="宋体" w:cs="宋体"/>
                <w:szCs w:val="21"/>
              </w:rPr>
              <w:t>③</w:t>
            </w:r>
            <w:r>
              <w:rPr>
                <w:szCs w:val="21"/>
              </w:rPr>
              <w:t>危险废物：项目危险废物应执行《危险废物贮存污染控制标准》（GB 18597-2023）。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szCs w:val="21"/>
              </w:rPr>
            </w:pPr>
            <w:r>
              <w:rPr>
                <w:szCs w:val="21"/>
              </w:rPr>
              <w:t>土壤及地下水污染防治措施</w:t>
            </w:r>
          </w:p>
        </w:tc>
        <w:tc>
          <w:tcPr>
            <w:tcW w:w="7022" w:type="dxa"/>
            <w:gridSpan w:val="4"/>
            <w:vAlign w:val="center"/>
          </w:tcPr>
          <w:p>
            <w:pPr>
              <w:adjustRightInd w:val="0"/>
              <w:snapToGrid w:val="0"/>
              <w:rPr>
                <w:szCs w:val="21"/>
              </w:rPr>
            </w:pPr>
            <w:r>
              <w:rPr>
                <w:rFonts w:hint="eastAsia" w:ascii="宋体" w:hAnsi="宋体" w:cs="宋体"/>
                <w:szCs w:val="21"/>
              </w:rPr>
              <w:t>①</w:t>
            </w:r>
            <w:r>
              <w:rPr>
                <w:szCs w:val="21"/>
              </w:rPr>
              <w:t>做好危废贮存管理，危险废物贮存间的地面必须做好防腐、防渗处理，保持地面硬化完整性，防止危废渗漏到土壤和地下水，造成二次污染。</w:t>
            </w:r>
          </w:p>
          <w:p>
            <w:pPr>
              <w:adjustRightInd w:val="0"/>
              <w:snapToGrid w:val="0"/>
              <w:rPr>
                <w:szCs w:val="21"/>
              </w:rPr>
            </w:pPr>
            <w:r>
              <w:rPr>
                <w:rFonts w:hint="eastAsia" w:ascii="宋体" w:hAnsi="宋体" w:cs="宋体"/>
                <w:szCs w:val="21"/>
              </w:rPr>
              <w:t>②</w:t>
            </w:r>
            <w:r>
              <w:rPr>
                <w:szCs w:val="21"/>
              </w:rPr>
              <w:t>各类污染物严格按照环评提出的要求进行处置，禁止未经处理的污染物直接排放到环境中，造成土壤和地下水环境污染。</w:t>
            </w:r>
          </w:p>
          <w:p>
            <w:pPr>
              <w:adjustRightInd w:val="0"/>
              <w:snapToGrid w:val="0"/>
              <w:rPr>
                <w:szCs w:val="21"/>
              </w:rPr>
            </w:pPr>
            <w:r>
              <w:rPr>
                <w:rFonts w:hint="eastAsia" w:ascii="宋体" w:hAnsi="宋体" w:cs="宋体"/>
                <w:szCs w:val="21"/>
              </w:rPr>
              <w:t>③</w:t>
            </w:r>
            <w:r>
              <w:rPr>
                <w:szCs w:val="21"/>
              </w:rPr>
              <w:t>严格落实本报告提出的污染防治措施，项目运营时应确保环保设施稳定正常运行，废气达标排放，防止因直接排放从而沉降后对地表土壤环境造成污染。</w:t>
            </w:r>
          </w:p>
          <w:p>
            <w:pPr>
              <w:adjustRightInd w:val="0"/>
              <w:snapToGrid w:val="0"/>
              <w:rPr>
                <w:szCs w:val="21"/>
              </w:rPr>
            </w:pPr>
            <w:r>
              <w:rPr>
                <w:szCs w:val="21"/>
              </w:rPr>
              <w:t>综上，建设单位需加强日常管理，最好防腐、防渗措施，确保各污染物达标排放，减轻项目运营期对土壤和地下水环境产生的影响。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spacing w:val="-8"/>
                <w:szCs w:val="21"/>
              </w:rPr>
            </w:pPr>
            <w:r>
              <w:rPr>
                <w:spacing w:val="-8"/>
                <w:szCs w:val="21"/>
              </w:rPr>
              <w:t>环境风险防范措施</w:t>
            </w:r>
          </w:p>
        </w:tc>
        <w:tc>
          <w:tcPr>
            <w:tcW w:w="7022" w:type="dxa"/>
            <w:gridSpan w:val="4"/>
            <w:vAlign w:val="center"/>
          </w:tcPr>
          <w:p>
            <w:pPr>
              <w:adjustRightInd w:val="0"/>
              <w:snapToGrid w:val="0"/>
              <w:ind w:firstLine="480"/>
              <w:jc w:val="center"/>
              <w:rPr>
                <w:szCs w:val="21"/>
              </w:rPr>
            </w:pPr>
            <w:r>
              <w:rPr>
                <w:szCs w:val="21"/>
              </w:rPr>
              <w:t>通过防渗措施阻隔危险化学品泄漏的风险，同时通过设置消防器具、规范设计、加强管理制度等风险防范措施后，环境风险可控。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spacing w:val="-8"/>
                <w:szCs w:val="21"/>
              </w:rPr>
            </w:pPr>
            <w:r>
              <w:rPr>
                <w:spacing w:val="-8"/>
                <w:szCs w:val="21"/>
              </w:rPr>
              <w:t>其他环境管理要求</w:t>
            </w:r>
          </w:p>
        </w:tc>
        <w:tc>
          <w:tcPr>
            <w:tcW w:w="7022" w:type="dxa"/>
            <w:gridSpan w:val="4"/>
            <w:vAlign w:val="center"/>
          </w:tcPr>
          <w:p>
            <w:pPr>
              <w:adjustRightInd w:val="0"/>
              <w:snapToGrid w:val="0"/>
              <w:rPr>
                <w:szCs w:val="21"/>
              </w:rPr>
            </w:pPr>
            <w:r>
              <w:rPr>
                <w:rFonts w:hint="eastAsia" w:ascii="宋体" w:hAnsi="宋体" w:cs="宋体"/>
                <w:szCs w:val="21"/>
              </w:rPr>
              <w:t>①</w:t>
            </w:r>
            <w:r>
              <w:rPr>
                <w:szCs w:val="21"/>
              </w:rPr>
              <w:t>设专职环境管理人员，加强环保设施维护与管理，确保正常运行，三废达标排放。</w:t>
            </w:r>
          </w:p>
          <w:p>
            <w:pPr>
              <w:adjustRightInd w:val="0"/>
              <w:snapToGrid w:val="0"/>
              <w:rPr>
                <w:szCs w:val="21"/>
              </w:rPr>
            </w:pPr>
            <w:r>
              <w:rPr>
                <w:rFonts w:hint="eastAsia" w:ascii="宋体" w:hAnsi="宋体" w:cs="宋体"/>
                <w:szCs w:val="21"/>
              </w:rPr>
              <w:t>②</w:t>
            </w:r>
            <w:r>
              <w:rPr>
                <w:szCs w:val="21"/>
              </w:rPr>
              <w:t>建立企业环境风险应急机制，加强厂房巡查、监视力度，强化风险管理。</w:t>
            </w:r>
          </w:p>
          <w:p>
            <w:pPr>
              <w:adjustRightInd w:val="0"/>
              <w:snapToGrid w:val="0"/>
              <w:rPr>
                <w:szCs w:val="21"/>
              </w:rPr>
            </w:pPr>
            <w:r>
              <w:rPr>
                <w:rFonts w:hint="eastAsia" w:ascii="宋体" w:hAnsi="宋体" w:cs="宋体"/>
                <w:szCs w:val="21"/>
              </w:rPr>
              <w:t>③</w:t>
            </w:r>
            <w:r>
              <w:rPr>
                <w:szCs w:val="21"/>
              </w:rPr>
              <w:t>加强危化品原辅材料的安全管理，杜绝污染和危险事故的发生。</w:t>
            </w:r>
          </w:p>
          <w:p>
            <w:pPr>
              <w:adjustRightInd w:val="0"/>
              <w:snapToGrid w:val="0"/>
              <w:rPr>
                <w:szCs w:val="21"/>
              </w:rPr>
            </w:pPr>
            <w:r>
              <w:rPr>
                <w:rFonts w:hint="eastAsia" w:ascii="宋体" w:hAnsi="宋体" w:cs="宋体"/>
                <w:szCs w:val="21"/>
              </w:rPr>
              <w:t>④</w:t>
            </w:r>
            <w:r>
              <w:rPr>
                <w:szCs w:val="21"/>
              </w:rPr>
              <w:t>严格执行地方对挥发性有机物的排放管控要求，对产生挥发性有机物的工序设置废气收集处理装置，减少挥发性有机物的无组织排放，杜绝生产过程中“跑、冒、滴、漏”。</w:t>
            </w:r>
          </w:p>
          <w:p>
            <w:pPr>
              <w:adjustRightInd w:val="0"/>
              <w:snapToGrid w:val="0"/>
              <w:rPr>
                <w:szCs w:val="21"/>
              </w:rPr>
            </w:pPr>
            <w:r>
              <w:rPr>
                <w:rFonts w:hint="eastAsia" w:ascii="宋体" w:hAnsi="宋体" w:cs="宋体"/>
                <w:szCs w:val="21"/>
              </w:rPr>
              <w:t>⑤</w:t>
            </w:r>
            <w:r>
              <w:rPr>
                <w:szCs w:val="21"/>
              </w:rPr>
              <w:t>需按照要求根据扩建项目履行排污许可手续，扩建项目建成后履行竣工环保设施验收手续。</w:t>
            </w:r>
          </w:p>
        </w:tc>
      </w:tr>
    </w:tbl>
    <w:p>
      <w:pPr>
        <w:pStyle w:val="13"/>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991" w:hRule="atLeast"/>
          <w:jc w:val="center"/>
        </w:trPr>
        <w:tc>
          <w:tcPr>
            <w:tcW w:w="8865" w:type="dxa"/>
            <w:vAlign w:val="center"/>
          </w:tcPr>
          <w:p>
            <w:pPr>
              <w:adjustRightInd w:val="0"/>
              <w:snapToGrid w:val="0"/>
              <w:spacing w:before="120" w:beforeLines="50" w:line="360" w:lineRule="auto"/>
              <w:ind w:firstLine="480" w:firstLineChars="200"/>
              <w:rPr>
                <w:kern w:val="21"/>
                <w:sz w:val="24"/>
              </w:rPr>
            </w:pPr>
            <w:r>
              <w:rPr>
                <w:kern w:val="21"/>
                <w:sz w:val="24"/>
              </w:rPr>
              <w:t>综上所述，项目选址合理，符合国家产业政策。在落实本环评提出的各项污染防治措施和要求后，污染物能够实现达标排放，对周围环境影响较小。采取相关风险防范措施后，风险可控。因此，从环境保护角度，建设项目环境影响可行。</w:t>
            </w:r>
          </w:p>
          <w:p>
            <w:pPr>
              <w:spacing w:line="360" w:lineRule="auto"/>
              <w:rPr>
                <w:rFonts w:ascii="宋体" w:cs="宋体"/>
                <w:sz w:val="24"/>
              </w:rPr>
            </w:pPr>
          </w:p>
        </w:tc>
      </w:tr>
    </w:tbl>
    <w:p>
      <w:pPr>
        <w:ind w:firstLine="480"/>
        <w:rPr>
          <w:rFonts w:ascii="宋体"/>
        </w:rPr>
        <w:sectPr>
          <w:pgSz w:w="11906" w:h="16838"/>
          <w:pgMar w:top="1701" w:right="1531" w:bottom="1701" w:left="1531" w:header="851" w:footer="851" w:gutter="0"/>
          <w:pgNumType w:fmt="decimal"/>
          <w:cols w:space="720" w:num="1"/>
          <w:docGrid w:linePitch="312" w:charSpace="0"/>
        </w:sectPr>
      </w:pPr>
    </w:p>
    <w:p>
      <w:pPr>
        <w:pStyle w:val="13"/>
        <w:adjustRightInd w:val="0"/>
        <w:snapToGrid w:val="0"/>
        <w:spacing w:before="0" w:beforeAutospacing="0" w:after="0" w:afterAutospacing="0" w:line="648" w:lineRule="auto"/>
        <w:ind w:firstLine="640"/>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13"/>
        <w:adjustRightInd w:val="0"/>
        <w:snapToGrid w:val="0"/>
        <w:spacing w:before="0" w:beforeAutospacing="0" w:after="0" w:afterAutospacing="0" w:line="552" w:lineRule="auto"/>
        <w:ind w:firstLine="760"/>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1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317"/>
        <w:gridCol w:w="867"/>
        <w:gridCol w:w="1400"/>
        <w:gridCol w:w="1466"/>
        <w:gridCol w:w="1409"/>
        <w:gridCol w:w="1559"/>
        <w:gridCol w:w="1549"/>
        <w:gridCol w:w="1517"/>
        <w:gridCol w:w="14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24" w:type="dxa"/>
            <w:tcBorders>
              <w:tl2br w:val="single" w:color="auto" w:sz="4" w:space="0"/>
            </w:tcBorders>
            <w:tcMar>
              <w:left w:w="28" w:type="dxa"/>
              <w:right w:w="28" w:type="dxa"/>
            </w:tcMar>
            <w:vAlign w:val="center"/>
          </w:tcPr>
          <w:p>
            <w:pPr>
              <w:pStyle w:val="35"/>
              <w:spacing w:beforeLines="0" w:afterLines="0" w:line="240" w:lineRule="auto"/>
              <w:ind w:firstLine="456"/>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项目</w:t>
            </w:r>
          </w:p>
          <w:p>
            <w:pPr>
              <w:pStyle w:val="35"/>
              <w:spacing w:beforeLines="0" w:afterLines="0" w:line="240" w:lineRule="auto"/>
              <w:jc w:val="both"/>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分类</w:t>
            </w:r>
          </w:p>
        </w:tc>
        <w:tc>
          <w:tcPr>
            <w:tcW w:w="2184" w:type="dxa"/>
            <w:gridSpan w:val="2"/>
            <w:tcMar>
              <w:left w:w="28" w:type="dxa"/>
              <w:right w:w="28" w:type="dxa"/>
            </w:tcMar>
            <w:vAlign w:val="center"/>
          </w:tcPr>
          <w:p>
            <w:pPr>
              <w:pStyle w:val="35"/>
              <w:spacing w:beforeLines="0" w:afterLines="0" w:line="240" w:lineRule="auto"/>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污染物名称</w:t>
            </w:r>
          </w:p>
        </w:tc>
        <w:tc>
          <w:tcPr>
            <w:tcW w:w="1400" w:type="dxa"/>
            <w:tcMar>
              <w:left w:w="28" w:type="dxa"/>
              <w:right w:w="28" w:type="dxa"/>
            </w:tcMar>
            <w:vAlign w:val="center"/>
          </w:tcPr>
          <w:p>
            <w:pPr>
              <w:pStyle w:val="35"/>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1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spacing w:val="-6"/>
                <w:kern w:val="21"/>
                <w:szCs w:val="21"/>
              </w:rPr>
              <w:fldChar w:fldCharType="end"/>
            </w:r>
          </w:p>
        </w:tc>
        <w:tc>
          <w:tcPr>
            <w:tcW w:w="1466" w:type="dxa"/>
            <w:tcMar>
              <w:left w:w="28" w:type="dxa"/>
              <w:right w:w="28" w:type="dxa"/>
            </w:tcMar>
            <w:vAlign w:val="center"/>
          </w:tcPr>
          <w:p>
            <w:pPr>
              <w:pStyle w:val="35"/>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现有工程许可排放量</w:t>
            </w:r>
          </w:p>
          <w:p>
            <w:pPr>
              <w:pStyle w:val="35"/>
              <w:spacing w:beforeLines="0" w:afterLines="0"/>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2 \* GB3 \* MERGEFORMAT </w:instrText>
            </w:r>
            <w:r>
              <w:rPr>
                <w:rFonts w:ascii="黑体" w:hAnsi="黑体" w:eastAsia="黑体"/>
                <w:snapToGrid w:val="0"/>
                <w:spacing w:val="-6"/>
                <w:kern w:val="21"/>
                <w:szCs w:val="21"/>
              </w:rPr>
              <w:fldChar w:fldCharType="separate"/>
            </w:r>
            <w:r>
              <w:rPr>
                <w:rFonts w:hint="eastAsia" w:ascii="黑体" w:hAnsi="黑体" w:eastAsia="黑体" w:cs="宋体"/>
                <w:snapToGrid w:val="0"/>
                <w:spacing w:val="-6"/>
                <w:kern w:val="21"/>
                <w:szCs w:val="21"/>
              </w:rPr>
              <w:t>②</w:t>
            </w:r>
            <w:r>
              <w:rPr>
                <w:rFonts w:ascii="黑体" w:hAnsi="黑体" w:eastAsia="黑体"/>
                <w:snapToGrid w:val="0"/>
                <w:spacing w:val="-6"/>
                <w:kern w:val="21"/>
                <w:szCs w:val="21"/>
              </w:rPr>
              <w:fldChar w:fldCharType="end"/>
            </w:r>
          </w:p>
        </w:tc>
        <w:tc>
          <w:tcPr>
            <w:tcW w:w="1409" w:type="dxa"/>
            <w:tcMar>
              <w:left w:w="28" w:type="dxa"/>
              <w:right w:w="28" w:type="dxa"/>
            </w:tcMar>
            <w:vAlign w:val="center"/>
          </w:tcPr>
          <w:p>
            <w:pPr>
              <w:pStyle w:val="35"/>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在建工程排放量（固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3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spacing w:val="-6"/>
                <w:kern w:val="21"/>
                <w:szCs w:val="21"/>
              </w:rPr>
              <w:fldChar w:fldCharType="end"/>
            </w:r>
          </w:p>
        </w:tc>
        <w:tc>
          <w:tcPr>
            <w:tcW w:w="1559" w:type="dxa"/>
            <w:tcMar>
              <w:left w:w="28" w:type="dxa"/>
              <w:right w:w="28" w:type="dxa"/>
            </w:tcMar>
            <w:vAlign w:val="center"/>
          </w:tcPr>
          <w:p>
            <w:pPr>
              <w:pStyle w:val="35"/>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本项目排放量（固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4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spacing w:val="-6"/>
                <w:kern w:val="21"/>
                <w:szCs w:val="21"/>
              </w:rPr>
              <w:fldChar w:fldCharType="end"/>
            </w:r>
          </w:p>
        </w:tc>
        <w:tc>
          <w:tcPr>
            <w:tcW w:w="1549" w:type="dxa"/>
            <w:tcMar>
              <w:left w:w="28" w:type="dxa"/>
              <w:right w:w="28" w:type="dxa"/>
            </w:tcMar>
            <w:vAlign w:val="center"/>
          </w:tcPr>
          <w:p>
            <w:pPr>
              <w:pStyle w:val="35"/>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以新带老削减量（新建项目不填）</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5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spacing w:val="-16"/>
                <w:kern w:val="21"/>
                <w:szCs w:val="21"/>
              </w:rPr>
              <w:fldChar w:fldCharType="end"/>
            </w:r>
          </w:p>
        </w:tc>
        <w:tc>
          <w:tcPr>
            <w:tcW w:w="1517" w:type="dxa"/>
            <w:tcMar>
              <w:left w:w="28" w:type="dxa"/>
              <w:right w:w="28" w:type="dxa"/>
            </w:tcMar>
            <w:vAlign w:val="center"/>
          </w:tcPr>
          <w:p>
            <w:pPr>
              <w:pStyle w:val="35"/>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本项目建成后</w:t>
            </w:r>
            <w:r>
              <w:rPr>
                <w:rFonts w:hint="eastAsia" w:ascii="黑体" w:hAnsi="黑体" w:eastAsia="黑体"/>
                <w:snapToGrid w:val="0"/>
                <w:spacing w:val="-16"/>
                <w:kern w:val="21"/>
                <w:szCs w:val="21"/>
              </w:rPr>
              <w:t>全厂</w:t>
            </w:r>
            <w:r>
              <w:rPr>
                <w:rFonts w:ascii="黑体" w:hAnsi="黑体" w:eastAsia="黑体"/>
                <w:snapToGrid w:val="0"/>
                <w:spacing w:val="-16"/>
                <w:kern w:val="21"/>
                <w:szCs w:val="21"/>
              </w:rPr>
              <w:t>排放量（固</w:t>
            </w:r>
            <w:r>
              <w:rPr>
                <w:rFonts w:hint="eastAsia" w:ascii="黑体" w:hAnsi="黑体" w:eastAsia="黑体"/>
                <w:snapToGrid w:val="0"/>
                <w:spacing w:val="-16"/>
                <w:kern w:val="21"/>
                <w:szCs w:val="21"/>
              </w:rPr>
              <w:t>体</w:t>
            </w:r>
            <w:r>
              <w:rPr>
                <w:rFonts w:ascii="黑体" w:hAnsi="黑体" w:eastAsia="黑体"/>
                <w:snapToGrid w:val="0"/>
                <w:spacing w:val="-16"/>
                <w:kern w:val="21"/>
                <w:szCs w:val="21"/>
              </w:rPr>
              <w:t>废</w:t>
            </w:r>
            <w:r>
              <w:rPr>
                <w:rFonts w:hint="eastAsia" w:ascii="黑体" w:hAnsi="黑体" w:eastAsia="黑体"/>
                <w:snapToGrid w:val="0"/>
                <w:spacing w:val="-16"/>
                <w:kern w:val="21"/>
                <w:szCs w:val="21"/>
              </w:rPr>
              <w:t>物</w:t>
            </w:r>
            <w:r>
              <w:rPr>
                <w:rFonts w:ascii="黑体" w:hAnsi="黑体" w:eastAsia="黑体"/>
                <w:snapToGrid w:val="0"/>
                <w:spacing w:val="-16"/>
                <w:kern w:val="21"/>
                <w:szCs w:val="21"/>
              </w:rPr>
              <w:t>产生量）</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6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spacing w:val="-16"/>
                <w:kern w:val="21"/>
                <w:szCs w:val="21"/>
              </w:rPr>
              <w:fldChar w:fldCharType="end"/>
            </w:r>
          </w:p>
        </w:tc>
        <w:tc>
          <w:tcPr>
            <w:tcW w:w="1480" w:type="dxa"/>
            <w:tcMar>
              <w:left w:w="28" w:type="dxa"/>
              <w:right w:w="28" w:type="dxa"/>
            </w:tcMar>
            <w:vAlign w:val="center"/>
          </w:tcPr>
          <w:p>
            <w:pPr>
              <w:pStyle w:val="35"/>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变化量</w:t>
            </w:r>
          </w:p>
          <w:p>
            <w:pPr>
              <w:pStyle w:val="35"/>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7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restart"/>
            <w:vAlign w:val="center"/>
          </w:tcPr>
          <w:p>
            <w:pPr>
              <w:pStyle w:val="35"/>
              <w:spacing w:beforeLines="0" w:afterLines="0" w:line="240" w:lineRule="auto"/>
              <w:rPr>
                <w:rFonts w:ascii="Times New Roman"/>
                <w:snapToGrid w:val="0"/>
                <w:kern w:val="21"/>
                <w:szCs w:val="21"/>
              </w:rPr>
            </w:pPr>
            <w:r>
              <w:rPr>
                <w:rFonts w:ascii="Times New Roman"/>
                <w:snapToGrid w:val="0"/>
                <w:kern w:val="21"/>
                <w:szCs w:val="21"/>
              </w:rPr>
              <w:t>废气</w:t>
            </w: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非</w:t>
            </w:r>
            <w:r>
              <w:rPr>
                <w:rFonts w:ascii="Times New Roman" w:eastAsia="Calibri"/>
                <w:kern w:val="2"/>
                <w:szCs w:val="21"/>
              </w:rPr>
              <w:t>甲烷总烃</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宋体"/>
                <w:kern w:val="2"/>
                <w:szCs w:val="21"/>
                <w:lang w:val="en-US" w:eastAsia="zh-CN"/>
              </w:rPr>
              <w:t>4.25</w:t>
            </w:r>
            <w:r>
              <w:rPr>
                <w:rFonts w:hint="eastAsia" w:ascii="Times New Roman" w:eastAsia="Calibri"/>
                <w:kern w:val="2"/>
                <w:szCs w:val="21"/>
              </w:rPr>
              <w:t>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宋体"/>
                <w:kern w:val="2"/>
                <w:szCs w:val="21"/>
                <w:lang w:val="en-US" w:eastAsia="zh-CN"/>
              </w:rPr>
              <w:t>4.25</w:t>
            </w:r>
            <w:r>
              <w:rPr>
                <w:rFonts w:hint="eastAsia" w:ascii="Times New Roman" w:eastAsia="Calibri"/>
                <w:kern w:val="2"/>
                <w:szCs w:val="21"/>
              </w:rPr>
              <w:t>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颗</w:t>
            </w:r>
            <w:r>
              <w:rPr>
                <w:rFonts w:ascii="Times New Roman" w:eastAsia="Calibri"/>
                <w:kern w:val="2"/>
                <w:szCs w:val="21"/>
              </w:rPr>
              <w:t>粒物</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eastAsia="宋体"/>
                <w:kern w:val="2"/>
                <w:szCs w:val="21"/>
                <w:lang w:val="en-US" w:eastAsia="zh-CN"/>
              </w:rPr>
              <w:t>1.78</w:t>
            </w:r>
            <w:r>
              <w:rPr>
                <w:rFonts w:hint="eastAsia" w:ascii="Times New Roman" w:eastAsia="Calibri"/>
                <w:kern w:val="2"/>
                <w:szCs w:val="21"/>
              </w:rPr>
              <w:t>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eastAsia="宋体"/>
                <w:kern w:val="2"/>
                <w:szCs w:val="21"/>
                <w:lang w:val="en-US" w:eastAsia="zh-CN"/>
              </w:rPr>
              <w:t>1.78</w:t>
            </w:r>
            <w:r>
              <w:rPr>
                <w:rFonts w:hint="eastAsia" w:ascii="Times New Roman" w:eastAsia="Calibri"/>
                <w:kern w:val="2"/>
                <w:szCs w:val="21"/>
              </w:rPr>
              <w:t>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restart"/>
            <w:vAlign w:val="center"/>
          </w:tcPr>
          <w:p>
            <w:pPr>
              <w:pStyle w:val="35"/>
              <w:spacing w:beforeLines="0" w:afterLines="0" w:line="240" w:lineRule="auto"/>
              <w:rPr>
                <w:rFonts w:ascii="Times New Roman"/>
                <w:snapToGrid w:val="0"/>
                <w:kern w:val="21"/>
                <w:szCs w:val="21"/>
              </w:rPr>
            </w:pPr>
            <w:r>
              <w:rPr>
                <w:rFonts w:ascii="Times New Roman"/>
                <w:snapToGrid w:val="0"/>
                <w:kern w:val="21"/>
                <w:szCs w:val="21"/>
              </w:rPr>
              <w:t>废水</w:t>
            </w:r>
          </w:p>
        </w:tc>
        <w:tc>
          <w:tcPr>
            <w:tcW w:w="1317" w:type="dxa"/>
            <w:vMerge w:val="restart"/>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生</w:t>
            </w:r>
            <w:r>
              <w:rPr>
                <w:rFonts w:hint="eastAsia" w:ascii="Times New Roman" w:eastAsia="Calibri"/>
                <w:kern w:val="2"/>
                <w:szCs w:val="21"/>
              </w:rPr>
              <w:t>活污水</w:t>
            </w:r>
          </w:p>
        </w:tc>
        <w:tc>
          <w:tcPr>
            <w:tcW w:w="867" w:type="dxa"/>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水</w:t>
            </w:r>
            <w:r>
              <w:rPr>
                <w:rFonts w:hint="eastAsia" w:ascii="Times New Roman" w:eastAsia="Calibri"/>
                <w:kern w:val="2"/>
                <w:szCs w:val="21"/>
              </w:rPr>
              <w:t>量</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17.28m</w:t>
            </w:r>
            <w:r>
              <w:rPr>
                <w:rFonts w:hint="eastAsia" w:ascii="Times New Roman" w:eastAsia="宋体"/>
                <w:kern w:val="2"/>
                <w:szCs w:val="21"/>
                <w:vertAlign w:val="superscript"/>
                <w:lang w:eastAsia="zh-CN"/>
              </w:rPr>
              <w:t>3</w:t>
            </w:r>
            <w:r>
              <w:rPr>
                <w:rFonts w:hint="eastAsia" w:ascii="Times New Roman" w:eastAsia="Calibri"/>
                <w:kern w:val="2"/>
                <w:szCs w:val="21"/>
              </w:rPr>
              <w:t>/d</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17.28m</w:t>
            </w:r>
            <w:r>
              <w:rPr>
                <w:rFonts w:hint="eastAsia" w:ascii="Times New Roman" w:eastAsia="宋体"/>
                <w:kern w:val="2"/>
                <w:szCs w:val="21"/>
                <w:vertAlign w:val="superscript"/>
                <w:lang w:eastAsia="zh-CN"/>
              </w:rPr>
              <w:t>3</w:t>
            </w:r>
            <w:r>
              <w:rPr>
                <w:rFonts w:hint="eastAsia" w:ascii="Times New Roman" w:eastAsia="Calibri"/>
                <w:kern w:val="2"/>
                <w:szCs w:val="21"/>
              </w:rPr>
              <w:t>/d</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COD</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0.44t/a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0.44t/a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BOD</w:t>
            </w:r>
            <w:r>
              <w:rPr>
                <w:rFonts w:hint="eastAsia" w:ascii="Times New Roman" w:eastAsia="Calibri"/>
                <w:kern w:val="2"/>
                <w:szCs w:val="21"/>
                <w:vertAlign w:val="subscript"/>
              </w:rPr>
              <w:t>5</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0.13t/a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0.13t/a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SS</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0.16t/a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0.16t/a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NH</w:t>
            </w:r>
            <w:r>
              <w:rPr>
                <w:rFonts w:hint="eastAsia" w:ascii="Times New Roman" w:eastAsia="Calibri"/>
                <w:kern w:val="2"/>
                <w:szCs w:val="21"/>
                <w:vertAlign w:val="subscript"/>
              </w:rPr>
              <w:t>3</w:t>
            </w:r>
            <w:r>
              <w:rPr>
                <w:rFonts w:hint="eastAsia" w:ascii="Times New Roman" w:eastAsia="Calibri"/>
                <w:kern w:val="2"/>
                <w:szCs w:val="21"/>
              </w:rPr>
              <w:t>-N</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0.23t/a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0.23t/a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hint="eastAsia" w:ascii="Times New Roman" w:eastAsia="宋体"/>
                <w:kern w:val="2"/>
                <w:szCs w:val="21"/>
                <w:lang w:val="en-US" w:eastAsia="zh-CN"/>
              </w:rPr>
            </w:pPr>
            <w:r>
              <w:rPr>
                <w:rFonts w:hint="eastAsia" w:ascii="Times New Roman"/>
                <w:kern w:val="2"/>
                <w:szCs w:val="21"/>
                <w:lang w:val="en-US" w:eastAsia="zh-CN"/>
              </w:rPr>
              <w:t>动植物油</w:t>
            </w:r>
          </w:p>
        </w:tc>
        <w:tc>
          <w:tcPr>
            <w:tcW w:w="1400"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466"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409"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559"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0.56</w:t>
            </w:r>
            <w:r>
              <w:rPr>
                <w:rFonts w:hint="eastAsia" w:ascii="Times New Roman" w:eastAsia="Calibri"/>
                <w:kern w:val="2"/>
                <w:szCs w:val="21"/>
              </w:rPr>
              <w:t>t/a</w:t>
            </w:r>
          </w:p>
        </w:tc>
        <w:tc>
          <w:tcPr>
            <w:tcW w:w="1549"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0</w:t>
            </w:r>
          </w:p>
        </w:tc>
        <w:tc>
          <w:tcPr>
            <w:tcW w:w="1517" w:type="dxa"/>
            <w:vAlign w:val="center"/>
          </w:tcPr>
          <w:p>
            <w:pPr>
              <w:pStyle w:val="35"/>
              <w:spacing w:beforeLines="0" w:afterLines="0" w:line="240" w:lineRule="auto"/>
              <w:rPr>
                <w:rFonts w:hint="eastAsia" w:ascii="Times New Roman" w:hAnsi="Times New Roman" w:eastAsia="宋体" w:cs="Times New Roman"/>
                <w:kern w:val="2"/>
                <w:sz w:val="21"/>
                <w:szCs w:val="21"/>
                <w:lang w:val="en-US" w:eastAsia="zh-CN" w:bidi="ar-SA"/>
              </w:rPr>
            </w:pPr>
            <w:r>
              <w:rPr>
                <w:rFonts w:hint="eastAsia" w:ascii="Times New Roman"/>
                <w:kern w:val="2"/>
                <w:szCs w:val="21"/>
                <w:lang w:val="en-US" w:eastAsia="zh-CN"/>
              </w:rPr>
              <w:t>0.56</w:t>
            </w:r>
            <w:r>
              <w:rPr>
                <w:rFonts w:hint="eastAsia" w:ascii="Times New Roman" w:eastAsia="Calibri"/>
                <w:kern w:val="2"/>
                <w:szCs w:val="21"/>
              </w:rPr>
              <w:t>t/a</w:t>
            </w:r>
          </w:p>
        </w:tc>
        <w:tc>
          <w:tcPr>
            <w:tcW w:w="1480" w:type="dxa"/>
            <w:vAlign w:val="center"/>
          </w:tcPr>
          <w:p>
            <w:pPr>
              <w:pStyle w:val="35"/>
              <w:spacing w:beforeLines="0" w:afterLines="0" w:line="240" w:lineRule="auto"/>
              <w:rPr>
                <w:rFonts w:hint="eastAsia" w:ascii="Times New Roman" w:hAnsi="Times New Roman" w:eastAsia="宋体" w:cs="Times New Roman"/>
                <w:kern w:val="2"/>
                <w:sz w:val="21"/>
                <w:szCs w:val="21"/>
                <w:lang w:val="en-US" w:eastAsia="zh-CN" w:bidi="ar-SA"/>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TP</w:t>
            </w:r>
          </w:p>
        </w:tc>
        <w:tc>
          <w:tcPr>
            <w:tcW w:w="1400"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466"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409"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559"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0.25</w:t>
            </w:r>
            <w:r>
              <w:rPr>
                <w:rFonts w:hint="eastAsia" w:ascii="Times New Roman" w:eastAsia="Calibri"/>
                <w:kern w:val="2"/>
                <w:szCs w:val="21"/>
              </w:rPr>
              <w:t>/a</w:t>
            </w:r>
          </w:p>
        </w:tc>
        <w:tc>
          <w:tcPr>
            <w:tcW w:w="1549"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0</w:t>
            </w:r>
          </w:p>
        </w:tc>
        <w:tc>
          <w:tcPr>
            <w:tcW w:w="1517" w:type="dxa"/>
            <w:vAlign w:val="center"/>
          </w:tcPr>
          <w:p>
            <w:pPr>
              <w:pStyle w:val="35"/>
              <w:spacing w:beforeLines="0" w:afterLines="0" w:line="240" w:lineRule="auto"/>
              <w:rPr>
                <w:rFonts w:hint="eastAsia" w:ascii="Times New Roman" w:hAnsi="Times New Roman" w:eastAsia="宋体" w:cs="Times New Roman"/>
                <w:kern w:val="2"/>
                <w:sz w:val="21"/>
                <w:szCs w:val="21"/>
                <w:lang w:val="en-US" w:eastAsia="zh-CN" w:bidi="ar-SA"/>
              </w:rPr>
            </w:pPr>
            <w:r>
              <w:rPr>
                <w:rFonts w:hint="eastAsia" w:ascii="Times New Roman"/>
                <w:kern w:val="2"/>
                <w:szCs w:val="21"/>
                <w:lang w:val="en-US" w:eastAsia="zh-CN"/>
              </w:rPr>
              <w:t>0.25</w:t>
            </w:r>
            <w:r>
              <w:rPr>
                <w:rFonts w:hint="eastAsia" w:ascii="Times New Roman" w:eastAsia="Calibri"/>
                <w:kern w:val="2"/>
                <w:szCs w:val="21"/>
              </w:rPr>
              <w:t>/a</w:t>
            </w:r>
          </w:p>
        </w:tc>
        <w:tc>
          <w:tcPr>
            <w:tcW w:w="1480" w:type="dxa"/>
            <w:vAlign w:val="center"/>
          </w:tcPr>
          <w:p>
            <w:pPr>
              <w:pStyle w:val="35"/>
              <w:spacing w:beforeLines="0" w:afterLines="0" w:line="240" w:lineRule="auto"/>
              <w:rPr>
                <w:rFonts w:hint="eastAsia" w:ascii="Times New Roman" w:hAnsi="Times New Roman" w:eastAsia="宋体" w:cs="Times New Roman"/>
                <w:kern w:val="2"/>
                <w:sz w:val="21"/>
                <w:szCs w:val="21"/>
                <w:lang w:val="en-US" w:eastAsia="zh-CN" w:bidi="ar-SA"/>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TN</w:t>
            </w:r>
          </w:p>
        </w:tc>
        <w:tc>
          <w:tcPr>
            <w:tcW w:w="1400"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466"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409"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w:t>
            </w:r>
          </w:p>
        </w:tc>
        <w:tc>
          <w:tcPr>
            <w:tcW w:w="1559" w:type="dxa"/>
            <w:vAlign w:val="center"/>
          </w:tcPr>
          <w:p>
            <w:pPr>
              <w:pStyle w:val="35"/>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0.29</w:t>
            </w:r>
            <w:r>
              <w:rPr>
                <w:rFonts w:hint="eastAsia" w:ascii="Times New Roman" w:eastAsia="Calibri"/>
                <w:kern w:val="2"/>
                <w:szCs w:val="21"/>
              </w:rPr>
              <w:t>/a</w:t>
            </w:r>
          </w:p>
        </w:tc>
        <w:tc>
          <w:tcPr>
            <w:tcW w:w="1549" w:type="dxa"/>
            <w:vAlign w:val="center"/>
          </w:tcPr>
          <w:p>
            <w:pPr>
              <w:pStyle w:val="35"/>
              <w:spacing w:beforeLines="0" w:afterLines="0" w:line="240" w:lineRule="auto"/>
              <w:rPr>
                <w:rFonts w:hint="eastAsia" w:ascii="Times New Roman" w:hAnsi="Times New Roman" w:eastAsia="Calibri" w:cs="Times New Roman"/>
                <w:kern w:val="2"/>
                <w:sz w:val="21"/>
                <w:szCs w:val="21"/>
                <w:lang w:val="en-US" w:eastAsia="zh-CN" w:bidi="ar-SA"/>
              </w:rPr>
            </w:pPr>
            <w:r>
              <w:rPr>
                <w:rFonts w:hint="eastAsia" w:ascii="Times New Roman" w:eastAsia="Calibri"/>
                <w:kern w:val="2"/>
                <w:szCs w:val="21"/>
              </w:rPr>
              <w:t>0</w:t>
            </w:r>
          </w:p>
        </w:tc>
        <w:tc>
          <w:tcPr>
            <w:tcW w:w="1517" w:type="dxa"/>
            <w:vAlign w:val="center"/>
          </w:tcPr>
          <w:p>
            <w:pPr>
              <w:pStyle w:val="35"/>
              <w:spacing w:beforeLines="0" w:afterLines="0" w:line="240" w:lineRule="auto"/>
              <w:rPr>
                <w:rFonts w:hint="eastAsia" w:ascii="Times New Roman" w:hAnsi="Times New Roman" w:eastAsia="宋体" w:cs="Times New Roman"/>
                <w:kern w:val="2"/>
                <w:sz w:val="21"/>
                <w:szCs w:val="21"/>
                <w:lang w:val="en-US" w:eastAsia="zh-CN" w:bidi="ar-SA"/>
              </w:rPr>
            </w:pPr>
            <w:r>
              <w:rPr>
                <w:rFonts w:hint="eastAsia" w:ascii="Times New Roman"/>
                <w:kern w:val="2"/>
                <w:szCs w:val="21"/>
                <w:lang w:val="en-US" w:eastAsia="zh-CN"/>
              </w:rPr>
              <w:t>0.29</w:t>
            </w:r>
            <w:r>
              <w:rPr>
                <w:rFonts w:hint="eastAsia" w:ascii="Times New Roman" w:eastAsia="Calibri"/>
                <w:kern w:val="2"/>
                <w:szCs w:val="21"/>
              </w:rPr>
              <w:t>/a</w:t>
            </w:r>
          </w:p>
        </w:tc>
        <w:tc>
          <w:tcPr>
            <w:tcW w:w="1480" w:type="dxa"/>
            <w:vAlign w:val="center"/>
          </w:tcPr>
          <w:p>
            <w:pPr>
              <w:pStyle w:val="35"/>
              <w:spacing w:beforeLines="0" w:afterLines="0" w:line="240" w:lineRule="auto"/>
              <w:rPr>
                <w:rFonts w:hint="eastAsia" w:ascii="Times New Roman" w:hAnsi="Times New Roman" w:eastAsia="宋体" w:cs="Times New Roman"/>
                <w:kern w:val="2"/>
                <w:sz w:val="21"/>
                <w:szCs w:val="21"/>
                <w:lang w:val="en-US" w:eastAsia="zh-CN" w:bidi="ar-SA"/>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restart"/>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生</w:t>
            </w:r>
            <w:r>
              <w:rPr>
                <w:rFonts w:hint="eastAsia" w:ascii="Times New Roman" w:eastAsia="Calibri"/>
                <w:kern w:val="2"/>
                <w:szCs w:val="21"/>
              </w:rPr>
              <w:t>产废水</w:t>
            </w:r>
          </w:p>
        </w:tc>
        <w:tc>
          <w:tcPr>
            <w:tcW w:w="867" w:type="dxa"/>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水</w:t>
            </w:r>
            <w:r>
              <w:rPr>
                <w:rFonts w:hint="eastAsia" w:ascii="Times New Roman" w:eastAsia="Calibri"/>
                <w:kern w:val="2"/>
                <w:szCs w:val="21"/>
              </w:rPr>
              <w:t>量</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kern w:val="2"/>
                <w:szCs w:val="21"/>
              </w:rPr>
              <w:t>1.032</w:t>
            </w:r>
            <w:r>
              <w:rPr>
                <w:rFonts w:hint="eastAsia" w:ascii="Times New Roman" w:eastAsia="Calibri"/>
                <w:kern w:val="2"/>
                <w:szCs w:val="21"/>
              </w:rPr>
              <w:t>m</w:t>
            </w:r>
            <w:r>
              <w:rPr>
                <w:rFonts w:hint="eastAsia" w:ascii="Times New Roman" w:eastAsia="Calibri"/>
                <w:kern w:val="2"/>
                <w:szCs w:val="21"/>
                <w:vertAlign w:val="superscript"/>
              </w:rPr>
              <w:t>3</w:t>
            </w:r>
            <w:r>
              <w:rPr>
                <w:rFonts w:hint="eastAsia" w:ascii="Times New Roman" w:eastAsia="Calibri"/>
                <w:kern w:val="2"/>
                <w:szCs w:val="21"/>
              </w:rPr>
              <w:t>/d</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kern w:val="2"/>
                <w:szCs w:val="21"/>
              </w:rPr>
              <w:t>1.032</w:t>
            </w:r>
            <w:r>
              <w:rPr>
                <w:rFonts w:hint="eastAsia" w:ascii="Times New Roman" w:eastAsia="Calibri"/>
                <w:kern w:val="2"/>
                <w:szCs w:val="21"/>
              </w:rPr>
              <w:t>m</w:t>
            </w:r>
            <w:r>
              <w:rPr>
                <w:rFonts w:hint="eastAsia" w:ascii="Times New Roman" w:eastAsia="Calibri"/>
                <w:kern w:val="2"/>
                <w:szCs w:val="21"/>
                <w:vertAlign w:val="superscript"/>
              </w:rPr>
              <w:t>3</w:t>
            </w:r>
            <w:r>
              <w:rPr>
                <w:rFonts w:hint="eastAsia" w:ascii="Times New Roman" w:eastAsia="Calibri"/>
                <w:kern w:val="2"/>
                <w:szCs w:val="21"/>
              </w:rPr>
              <w:t>/d</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1317" w:type="dxa"/>
            <w:vMerge w:val="continue"/>
            <w:vAlign w:val="center"/>
          </w:tcPr>
          <w:p>
            <w:pPr>
              <w:pStyle w:val="35"/>
              <w:spacing w:beforeLines="0" w:afterLines="0" w:line="240" w:lineRule="auto"/>
              <w:rPr>
                <w:rFonts w:ascii="Times New Roman" w:eastAsia="Calibri"/>
                <w:kern w:val="2"/>
                <w:szCs w:val="21"/>
              </w:rPr>
            </w:pPr>
          </w:p>
        </w:tc>
        <w:tc>
          <w:tcPr>
            <w:tcW w:w="86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SS</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kern w:val="2"/>
                <w:szCs w:val="21"/>
              </w:rPr>
              <w:t>0.056</w:t>
            </w:r>
            <w:r>
              <w:rPr>
                <w:rFonts w:hint="eastAsia" w:ascii="Times New Roman" w:eastAsia="Calibri"/>
                <w:kern w:val="2"/>
                <w:szCs w:val="21"/>
              </w:rPr>
              <w:t>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kern w:val="2"/>
                <w:szCs w:val="21"/>
              </w:rPr>
              <w:t>0.056</w:t>
            </w:r>
            <w:r>
              <w:rPr>
                <w:rFonts w:hint="eastAsia" w:ascii="Times New Roman" w:eastAsia="Calibri"/>
                <w:kern w:val="2"/>
                <w:szCs w:val="21"/>
              </w:rPr>
              <w:t>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ind w:firstLine="480"/>
              <w:jc w:val="center"/>
              <w:rPr>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废</w:t>
            </w:r>
            <w:r>
              <w:rPr>
                <w:rFonts w:ascii="Times New Roman" w:eastAsia="Calibri"/>
                <w:kern w:val="2"/>
                <w:szCs w:val="21"/>
              </w:rPr>
              <w:t>包装</w:t>
            </w:r>
            <w:r>
              <w:rPr>
                <w:rFonts w:hint="eastAsia" w:ascii="Times New Roman" w:eastAsia="Calibri"/>
                <w:kern w:val="2"/>
                <w:szCs w:val="21"/>
              </w:rPr>
              <w:t>材料</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10t/a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10t/a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ind w:firstLine="480"/>
              <w:jc w:val="center"/>
              <w:rPr>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废</w:t>
            </w:r>
            <w:r>
              <w:rPr>
                <w:rFonts w:hint="eastAsia" w:ascii="Times New Roman" w:eastAsia="Calibri"/>
                <w:kern w:val="2"/>
                <w:szCs w:val="21"/>
              </w:rPr>
              <w:t>PET残料</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300t/a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300t/a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ind w:firstLine="480"/>
              <w:jc w:val="center"/>
              <w:rPr>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发泡成型废</w:t>
            </w:r>
            <w:r>
              <w:rPr>
                <w:rFonts w:hint="eastAsia" w:ascii="Times New Roman" w:eastAsia="Calibri"/>
                <w:kern w:val="2"/>
                <w:szCs w:val="21"/>
              </w:rPr>
              <w:t>料</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20t/a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20t/a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224" w:type="dxa"/>
            <w:vMerge w:val="continue"/>
            <w:vAlign w:val="center"/>
          </w:tcPr>
          <w:p>
            <w:pPr>
              <w:ind w:firstLine="480"/>
              <w:jc w:val="center"/>
              <w:rPr>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水</w:t>
            </w:r>
            <w:r>
              <w:rPr>
                <w:rFonts w:hint="eastAsia" w:ascii="Times New Roman" w:eastAsia="Calibri"/>
                <w:kern w:val="2"/>
                <w:szCs w:val="21"/>
              </w:rPr>
              <w:t>刀切割过滤残渣</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0.3t/a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0.3t/a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224" w:type="dxa"/>
            <w:vMerge w:val="continue"/>
            <w:vAlign w:val="center"/>
          </w:tcPr>
          <w:p>
            <w:pPr>
              <w:ind w:firstLine="480"/>
              <w:jc w:val="center"/>
              <w:rPr>
                <w:kern w:val="21"/>
                <w:szCs w:val="21"/>
              </w:rPr>
            </w:pPr>
          </w:p>
        </w:tc>
        <w:tc>
          <w:tcPr>
            <w:tcW w:w="2184" w:type="dxa"/>
            <w:gridSpan w:val="2"/>
            <w:vAlign w:val="center"/>
          </w:tcPr>
          <w:p>
            <w:pPr>
              <w:pStyle w:val="35"/>
              <w:spacing w:beforeLines="0" w:afterLines="0" w:line="240" w:lineRule="auto"/>
              <w:rPr>
                <w:rFonts w:hAnsi="宋体" w:cs="宋体"/>
                <w:kern w:val="2"/>
                <w:szCs w:val="21"/>
              </w:rPr>
            </w:pPr>
            <w:r>
              <w:rPr>
                <w:rFonts w:hint="eastAsia" w:hAnsi="宋体" w:cs="宋体"/>
                <w:kern w:val="2"/>
                <w:szCs w:val="21"/>
              </w:rPr>
              <w:t>废无纺布</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c>
          <w:tcPr>
            <w:tcW w:w="1409"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c>
          <w:tcPr>
            <w:tcW w:w="1559" w:type="dxa"/>
            <w:vAlign w:val="center"/>
          </w:tcPr>
          <w:p>
            <w:pPr>
              <w:pStyle w:val="35"/>
              <w:spacing w:beforeLines="0" w:afterLines="0" w:line="240" w:lineRule="auto"/>
              <w:rPr>
                <w:rFonts w:ascii="Times New Roman"/>
                <w:kern w:val="2"/>
                <w:szCs w:val="21"/>
              </w:rPr>
            </w:pPr>
            <w:r>
              <w:rPr>
                <w:rFonts w:hint="eastAsia" w:ascii="Times New Roman"/>
                <w:kern w:val="2"/>
                <w:szCs w:val="21"/>
              </w:rPr>
              <w:t>10</w:t>
            </w:r>
            <w:r>
              <w:rPr>
                <w:rFonts w:hint="eastAsia" w:ascii="Times New Roman" w:eastAsia="Calibri"/>
                <w:kern w:val="2"/>
                <w:szCs w:val="21"/>
              </w:rPr>
              <w:t>t/a</w:t>
            </w:r>
          </w:p>
        </w:tc>
        <w:tc>
          <w:tcPr>
            <w:tcW w:w="1549" w:type="dxa"/>
            <w:vAlign w:val="center"/>
          </w:tcPr>
          <w:p>
            <w:pPr>
              <w:pStyle w:val="35"/>
              <w:spacing w:beforeLines="0" w:afterLines="0" w:line="240" w:lineRule="auto"/>
              <w:rPr>
                <w:rFonts w:ascii="Times New Roman"/>
                <w:kern w:val="2"/>
                <w:szCs w:val="21"/>
              </w:rPr>
            </w:pPr>
            <w:r>
              <w:rPr>
                <w:rFonts w:hint="eastAsia" w:ascii="Times New Roman"/>
                <w:kern w:val="2"/>
                <w:szCs w:val="21"/>
              </w:rPr>
              <w:t>0</w:t>
            </w:r>
          </w:p>
        </w:tc>
        <w:tc>
          <w:tcPr>
            <w:tcW w:w="1517" w:type="dxa"/>
            <w:vAlign w:val="center"/>
          </w:tcPr>
          <w:p>
            <w:pPr>
              <w:pStyle w:val="35"/>
              <w:spacing w:beforeLines="0" w:afterLines="0" w:line="240" w:lineRule="auto"/>
              <w:rPr>
                <w:rFonts w:ascii="Times New Roman"/>
                <w:kern w:val="2"/>
                <w:szCs w:val="21"/>
              </w:rPr>
            </w:pPr>
            <w:r>
              <w:rPr>
                <w:rFonts w:hint="eastAsia" w:ascii="Times New Roman"/>
                <w:kern w:val="2"/>
                <w:szCs w:val="21"/>
              </w:rPr>
              <w:t>10</w:t>
            </w:r>
            <w:r>
              <w:rPr>
                <w:rFonts w:hint="eastAsia" w:ascii="Times New Roman" w:eastAsia="Calibri"/>
                <w:kern w:val="2"/>
                <w:szCs w:val="21"/>
              </w:rPr>
              <w:t>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restart"/>
            <w:vAlign w:val="center"/>
          </w:tcPr>
          <w:p>
            <w:pPr>
              <w:pStyle w:val="35"/>
              <w:spacing w:beforeLines="0" w:afterLines="0" w:line="240" w:lineRule="auto"/>
              <w:rPr>
                <w:rFonts w:ascii="Times New Roman"/>
                <w:snapToGrid w:val="0"/>
                <w:kern w:val="21"/>
                <w:szCs w:val="21"/>
              </w:rPr>
            </w:pPr>
            <w:r>
              <w:rPr>
                <w:rFonts w:ascii="Times New Roman"/>
                <w:snapToGrid w:val="0"/>
                <w:kern w:val="21"/>
                <w:szCs w:val="21"/>
              </w:rPr>
              <w:t>危险废物</w:t>
            </w:r>
          </w:p>
        </w:tc>
        <w:tc>
          <w:tcPr>
            <w:tcW w:w="2184" w:type="dxa"/>
            <w:gridSpan w:val="2"/>
            <w:vAlign w:val="center"/>
          </w:tcPr>
          <w:p>
            <w:pPr>
              <w:pStyle w:val="35"/>
              <w:spacing w:beforeLines="0" w:afterLines="0" w:line="240" w:lineRule="auto"/>
              <w:rPr>
                <w:rFonts w:ascii="Times New Roman"/>
                <w:kern w:val="2"/>
                <w:szCs w:val="21"/>
              </w:rPr>
            </w:pPr>
            <w:r>
              <w:rPr>
                <w:rFonts w:hint="eastAsia" w:hAnsi="宋体" w:cs="宋体"/>
                <w:kern w:val="2"/>
                <w:szCs w:val="21"/>
              </w:rPr>
              <w:t>废液压油</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4t/a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4t/a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2184" w:type="dxa"/>
            <w:gridSpan w:val="2"/>
            <w:vAlign w:val="center"/>
          </w:tcPr>
          <w:p>
            <w:pPr>
              <w:pStyle w:val="35"/>
              <w:spacing w:beforeLines="0" w:afterLines="0" w:line="240" w:lineRule="auto"/>
              <w:rPr>
                <w:rFonts w:ascii="Times New Roman"/>
                <w:kern w:val="2"/>
                <w:szCs w:val="21"/>
              </w:rPr>
            </w:pPr>
            <w:r>
              <w:rPr>
                <w:rFonts w:hint="eastAsia" w:ascii="Times New Roman"/>
                <w:kern w:val="2"/>
                <w:szCs w:val="21"/>
              </w:rPr>
              <w:t>废沾染物空桶、废含油手套、抹布</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40t/a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40t/a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废</w:t>
            </w:r>
            <w:r>
              <w:rPr>
                <w:rFonts w:ascii="Times New Roman" w:eastAsia="Calibri"/>
                <w:kern w:val="2"/>
                <w:szCs w:val="21"/>
              </w:rPr>
              <w:t>活性炭</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1.5t/a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1.5t/a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废</w:t>
            </w:r>
            <w:r>
              <w:rPr>
                <w:rFonts w:hint="eastAsia" w:ascii="Times New Roman" w:eastAsia="Calibri"/>
                <w:kern w:val="2"/>
                <w:szCs w:val="21"/>
              </w:rPr>
              <w:t>AB料</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30t/a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30t/a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4" w:type="dxa"/>
            <w:vMerge w:val="continue"/>
            <w:vAlign w:val="center"/>
          </w:tcPr>
          <w:p>
            <w:pPr>
              <w:pStyle w:val="35"/>
              <w:spacing w:beforeLines="0" w:afterLines="0" w:line="240" w:lineRule="auto"/>
              <w:rPr>
                <w:rFonts w:ascii="Times New Roman"/>
                <w:snapToGrid w:val="0"/>
                <w:kern w:val="21"/>
                <w:szCs w:val="21"/>
              </w:rPr>
            </w:pPr>
          </w:p>
        </w:tc>
        <w:tc>
          <w:tcPr>
            <w:tcW w:w="2184" w:type="dxa"/>
            <w:gridSpan w:val="2"/>
            <w:vAlign w:val="center"/>
          </w:tcPr>
          <w:p>
            <w:pPr>
              <w:pStyle w:val="35"/>
              <w:spacing w:beforeLines="0" w:afterLines="0" w:line="240" w:lineRule="auto"/>
              <w:rPr>
                <w:rFonts w:ascii="Times New Roman" w:eastAsia="Calibri"/>
                <w:kern w:val="2"/>
                <w:szCs w:val="21"/>
              </w:rPr>
            </w:pPr>
            <w:r>
              <w:rPr>
                <w:rFonts w:hint="eastAsia" w:hAnsi="宋体" w:cs="宋体"/>
                <w:kern w:val="2"/>
                <w:szCs w:val="21"/>
              </w:rPr>
              <w:t>废</w:t>
            </w:r>
            <w:r>
              <w:rPr>
                <w:rFonts w:hint="eastAsia" w:ascii="Times New Roman" w:eastAsia="Calibri"/>
                <w:kern w:val="2"/>
                <w:szCs w:val="21"/>
              </w:rPr>
              <w:t>脱模剂</w:t>
            </w:r>
          </w:p>
        </w:tc>
        <w:tc>
          <w:tcPr>
            <w:tcW w:w="1400"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66"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40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w:t>
            </w:r>
          </w:p>
        </w:tc>
        <w:tc>
          <w:tcPr>
            <w:tcW w:w="155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18t/a</w:t>
            </w:r>
          </w:p>
        </w:tc>
        <w:tc>
          <w:tcPr>
            <w:tcW w:w="1549"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0</w:t>
            </w:r>
          </w:p>
        </w:tc>
        <w:tc>
          <w:tcPr>
            <w:tcW w:w="1517" w:type="dxa"/>
            <w:vAlign w:val="center"/>
          </w:tcPr>
          <w:p>
            <w:pPr>
              <w:pStyle w:val="35"/>
              <w:spacing w:beforeLines="0" w:afterLines="0" w:line="240" w:lineRule="auto"/>
              <w:rPr>
                <w:rFonts w:ascii="Times New Roman" w:eastAsia="Calibri"/>
                <w:kern w:val="2"/>
                <w:szCs w:val="21"/>
              </w:rPr>
            </w:pPr>
            <w:r>
              <w:rPr>
                <w:rFonts w:hint="eastAsia" w:ascii="Times New Roman" w:eastAsia="Calibri"/>
                <w:kern w:val="2"/>
                <w:szCs w:val="21"/>
              </w:rPr>
              <w:t>18t/a</w:t>
            </w:r>
          </w:p>
        </w:tc>
        <w:tc>
          <w:tcPr>
            <w:tcW w:w="1480" w:type="dxa"/>
            <w:vAlign w:val="center"/>
          </w:tcPr>
          <w:p>
            <w:pPr>
              <w:pStyle w:val="35"/>
              <w:spacing w:beforeLines="0" w:afterLines="0" w:line="240" w:lineRule="auto"/>
              <w:rPr>
                <w:rFonts w:ascii="Times New Roman"/>
                <w:kern w:val="2"/>
                <w:szCs w:val="21"/>
              </w:rPr>
            </w:pPr>
            <w:r>
              <w:rPr>
                <w:rFonts w:hint="eastAsia" w:ascii="Times New Roman"/>
                <w:kern w:val="2"/>
                <w:szCs w:val="21"/>
              </w:rPr>
              <w:t>/</w:t>
            </w:r>
          </w:p>
        </w:tc>
      </w:tr>
    </w:tbl>
    <w:p>
      <w:pPr>
        <w:pStyle w:val="35"/>
        <w:spacing w:before="192" w:beforeLines="80" w:after="24"/>
        <w:jc w:val="left"/>
        <w:rPr>
          <w:rFonts w:hAnsi="宋体"/>
          <w:snapToGrid w:val="0"/>
          <w:spacing w:val="-6"/>
          <w:kern w:val="21"/>
          <w:szCs w:val="21"/>
        </w:r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p>
      <w:pPr>
        <w:ind w:firstLine="480"/>
      </w:pPr>
    </w:p>
    <w:p>
      <w:pPr>
        <w:ind w:firstLine="480"/>
        <w:sectPr>
          <w:footerReference r:id="rId14" w:type="default"/>
          <w:pgSz w:w="16838" w:h="11906" w:orient="landscape"/>
          <w:pgMar w:top="1701" w:right="1531" w:bottom="1701" w:left="1531" w:header="851" w:footer="851" w:gutter="0"/>
          <w:pgNumType w:fmt="decimal" w:start="84"/>
          <w:cols w:space="720" w:num="1"/>
          <w:docGrid w:linePitch="312" w:charSpace="0"/>
        </w:sectPr>
      </w:pPr>
    </w:p>
    <w:p>
      <w:pPr>
        <w:rPr>
          <w:rFonts w:ascii="宋体" w:hAnsi="宋体" w:eastAsia="黑体"/>
        </w:rPr>
      </w:pPr>
    </w:p>
    <w:sectPr>
      <w:footerReference r:id="rId15" w:type="default"/>
      <w:pgSz w:w="11906" w:h="16838"/>
      <w:pgMar w:top="1701" w:right="1531" w:bottom="1701" w:left="1531" w:header="851" w:footer="851" w:gutter="0"/>
      <w:pgNumType w:fmt="decimal" w:start="86"/>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_x001A_炩.">
    <w:altName w:val="宋体"/>
    <w:panose1 w:val="00000000000000000000"/>
    <w:charset w:val="86"/>
    <w:family w:val="roma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04C000" w:usb3="00000000" w:csb0="00000001" w:csb1="40000000"/>
  </w:font>
  <w:font w:name="Wingdings 2">
    <w:panose1 w:val="05020102010507070707"/>
    <w:charset w:val="02"/>
    <w:family w:val="roman"/>
    <w:pitch w:val="default"/>
    <w:sig w:usb0="00000000" w:usb1="00000000" w:usb2="00000000" w:usb3="00000000" w:csb0="80000000" w:csb1="00000000"/>
  </w:font>
  <w:font w:name="TimesNewRomanPS-BoldMT">
    <w:altName w:val="宋体"/>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rPr>
        <w:rFonts w:hint="default"/>
        <w:lang w:val="en-US"/>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rPr>
        <w:rFonts w:hint="default"/>
        <w:lang w:val="en-US"/>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76</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76</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56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77</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0"/>
                      <w:ind w:firstLine="56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77</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p>
    <w:pPr>
      <w:pStyle w:val="10"/>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rPr>
        <w:rFonts w:hint="default"/>
        <w:lang w:val="en-US"/>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rPr>
        <w:rFonts w:hint="default"/>
        <w:lang w:val="en-US"/>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rPr>
        <w:rFonts w:hint="default"/>
        <w:lang w:val="en-US"/>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0"/>
                      <w:rPr>
                        <w:rStyle w:val="21"/>
                        <w:rFonts w:ascii="宋体" w:hAnsi="宋体"/>
                        <w:sz w:val="28"/>
                        <w:szCs w:val="28"/>
                      </w:rPr>
                    </w:pPr>
                    <w:r>
                      <w:rPr>
                        <w:rStyle w:val="21"/>
                        <w:rFonts w:hint="eastAsia" w:ascii="宋体" w:hAnsi="宋体"/>
                        <w:sz w:val="28"/>
                        <w:szCs w:val="28"/>
                      </w:rPr>
                      <w:t>—</w:t>
                    </w:r>
                    <w:r>
                      <w:rPr>
                        <w:rStyle w:val="21"/>
                        <w:rFonts w:hint="eastAsia" w:ascii="宋体" w:hAnsi="宋体"/>
                        <w:sz w:val="20"/>
                      </w:rPr>
                      <w:t xml:space="preserve">  </w:t>
                    </w:r>
                    <w:r>
                      <w:rPr>
                        <w:rStyle w:val="21"/>
                        <w:rFonts w:ascii="宋体" w:hAnsi="宋体"/>
                        <w:sz w:val="26"/>
                        <w:szCs w:val="26"/>
                      </w:rPr>
                      <w:fldChar w:fldCharType="begin"/>
                    </w:r>
                    <w:r>
                      <w:rPr>
                        <w:rStyle w:val="21"/>
                        <w:rFonts w:ascii="宋体" w:hAnsi="宋体"/>
                        <w:sz w:val="26"/>
                        <w:szCs w:val="26"/>
                      </w:rPr>
                      <w:instrText xml:space="preserve">PAGE  </w:instrText>
                    </w:r>
                    <w:r>
                      <w:rPr>
                        <w:rStyle w:val="21"/>
                        <w:rFonts w:ascii="宋体" w:hAnsi="宋体"/>
                        <w:sz w:val="26"/>
                        <w:szCs w:val="26"/>
                      </w:rPr>
                      <w:fldChar w:fldCharType="separate"/>
                    </w:r>
                    <w:r>
                      <w:rPr>
                        <w:rStyle w:val="21"/>
                        <w:rFonts w:ascii="宋体" w:hAnsi="宋体"/>
                        <w:sz w:val="26"/>
                        <w:szCs w:val="26"/>
                      </w:rPr>
                      <w:t>22</w:t>
                    </w:r>
                    <w:r>
                      <w:rPr>
                        <w:rStyle w:val="21"/>
                        <w:rFonts w:ascii="宋体" w:hAnsi="宋体"/>
                        <w:sz w:val="26"/>
                        <w:szCs w:val="26"/>
                      </w:rPr>
                      <w:fldChar w:fldCharType="end"/>
                    </w:r>
                    <w:r>
                      <w:rPr>
                        <w:rStyle w:val="21"/>
                        <w:rFonts w:hint="eastAsia" w:ascii="宋体" w:hAnsi="宋体"/>
                        <w:sz w:val="20"/>
                      </w:rPr>
                      <w:t xml:space="preserve">  </w:t>
                    </w:r>
                    <w:r>
                      <w:rPr>
                        <w:rStyle w:val="21"/>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OTQ4YTk5ZGIyOTM0MWQ4YmQzODY1NzVkYTdlNjYifQ=="/>
  </w:docVars>
  <w:rsids>
    <w:rsidRoot w:val="00000000"/>
    <w:rsid w:val="00163BEF"/>
    <w:rsid w:val="00F50CDF"/>
    <w:rsid w:val="025C1F93"/>
    <w:rsid w:val="03673C08"/>
    <w:rsid w:val="0430068B"/>
    <w:rsid w:val="04783336"/>
    <w:rsid w:val="09B66708"/>
    <w:rsid w:val="0B550CF8"/>
    <w:rsid w:val="0BB05F2E"/>
    <w:rsid w:val="11625F1D"/>
    <w:rsid w:val="124C5A20"/>
    <w:rsid w:val="14962841"/>
    <w:rsid w:val="14E135FC"/>
    <w:rsid w:val="19C4476F"/>
    <w:rsid w:val="1E4744D0"/>
    <w:rsid w:val="1E8C1030"/>
    <w:rsid w:val="1EA33499"/>
    <w:rsid w:val="223B434C"/>
    <w:rsid w:val="23FC0D5F"/>
    <w:rsid w:val="246525C2"/>
    <w:rsid w:val="2C012F82"/>
    <w:rsid w:val="2ED41282"/>
    <w:rsid w:val="2F0464D5"/>
    <w:rsid w:val="2F92736A"/>
    <w:rsid w:val="31293F09"/>
    <w:rsid w:val="33A06705"/>
    <w:rsid w:val="33BF2903"/>
    <w:rsid w:val="38116F7A"/>
    <w:rsid w:val="3A876192"/>
    <w:rsid w:val="3F892743"/>
    <w:rsid w:val="403D352D"/>
    <w:rsid w:val="415935B0"/>
    <w:rsid w:val="43BE4985"/>
    <w:rsid w:val="45E11BE8"/>
    <w:rsid w:val="4655328C"/>
    <w:rsid w:val="4B863FDA"/>
    <w:rsid w:val="4FD35889"/>
    <w:rsid w:val="510833D1"/>
    <w:rsid w:val="53DD71B3"/>
    <w:rsid w:val="550D12C8"/>
    <w:rsid w:val="568B048A"/>
    <w:rsid w:val="572648C3"/>
    <w:rsid w:val="57FB1E1A"/>
    <w:rsid w:val="5B910284"/>
    <w:rsid w:val="5BCD4B18"/>
    <w:rsid w:val="5BFB00B4"/>
    <w:rsid w:val="65424FBE"/>
    <w:rsid w:val="685D5648"/>
    <w:rsid w:val="69DA6E9A"/>
    <w:rsid w:val="6B723930"/>
    <w:rsid w:val="6C4007A6"/>
    <w:rsid w:val="6F911144"/>
    <w:rsid w:val="712565D7"/>
    <w:rsid w:val="72B31C71"/>
    <w:rsid w:val="74D47444"/>
    <w:rsid w:val="74FD16EC"/>
    <w:rsid w:val="76D31F26"/>
    <w:rsid w:val="7A513882"/>
    <w:rsid w:val="7D7A2852"/>
    <w:rsid w:val="7DFB5AE0"/>
    <w:rsid w:val="7F4C286A"/>
    <w:rsid w:val="7FAA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autoRedefine/>
    <w:unhideWhenUsed/>
    <w:qFormat/>
    <w:locked/>
    <w:uiPriority w:val="0"/>
    <w:pPr>
      <w:keepNext/>
      <w:keepLines/>
      <w:spacing w:before="50" w:beforeLines="50"/>
      <w:jc w:val="center"/>
      <w:outlineLvl w:val="1"/>
    </w:pPr>
    <w:rPr>
      <w:rFonts w:eastAsia="黑体"/>
      <w:b/>
      <w:sz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locked/>
    <w:uiPriority w:val="0"/>
    <w:pPr>
      <w:widowControl/>
      <w:jc w:val="center"/>
    </w:pPr>
    <w:rPr>
      <w:spacing w:val="8"/>
      <w:kern w:val="0"/>
      <w:szCs w:val="20"/>
    </w:rPr>
  </w:style>
  <w:style w:type="paragraph" w:styleId="5">
    <w:name w:val="annotation text"/>
    <w:basedOn w:val="1"/>
    <w:link w:val="23"/>
    <w:autoRedefine/>
    <w:semiHidden/>
    <w:qFormat/>
    <w:uiPriority w:val="0"/>
    <w:pPr>
      <w:jc w:val="left"/>
    </w:pPr>
    <w:rPr>
      <w:kern w:val="0"/>
      <w:sz w:val="24"/>
      <w:szCs w:val="20"/>
    </w:rPr>
  </w:style>
  <w:style w:type="paragraph" w:styleId="6">
    <w:name w:val="Body Text"/>
    <w:basedOn w:val="1"/>
    <w:link w:val="24"/>
    <w:autoRedefine/>
    <w:qFormat/>
    <w:uiPriority w:val="0"/>
    <w:pPr>
      <w:widowControl/>
      <w:snapToGrid w:val="0"/>
      <w:spacing w:before="60" w:after="160" w:line="259" w:lineRule="auto"/>
      <w:ind w:right="113"/>
    </w:pPr>
    <w:rPr>
      <w:kern w:val="0"/>
      <w:sz w:val="18"/>
      <w:szCs w:val="20"/>
    </w:rPr>
  </w:style>
  <w:style w:type="paragraph" w:styleId="7">
    <w:name w:val="Body Text Indent"/>
    <w:basedOn w:val="1"/>
    <w:link w:val="25"/>
    <w:autoRedefine/>
    <w:qFormat/>
    <w:uiPriority w:val="0"/>
    <w:pPr>
      <w:spacing w:after="120"/>
      <w:ind w:left="420" w:leftChars="200"/>
    </w:pPr>
    <w:rPr>
      <w:kern w:val="0"/>
      <w:sz w:val="24"/>
      <w:szCs w:val="20"/>
    </w:rPr>
  </w:style>
  <w:style w:type="paragraph" w:styleId="8">
    <w:name w:val="Date"/>
    <w:basedOn w:val="1"/>
    <w:next w:val="1"/>
    <w:link w:val="26"/>
    <w:autoRedefine/>
    <w:qFormat/>
    <w:uiPriority w:val="0"/>
    <w:pPr>
      <w:ind w:left="100" w:leftChars="2500"/>
    </w:pPr>
    <w:rPr>
      <w:kern w:val="0"/>
      <w:sz w:val="24"/>
      <w:szCs w:val="20"/>
    </w:rPr>
  </w:style>
  <w:style w:type="paragraph" w:styleId="9">
    <w:name w:val="Balloon Text"/>
    <w:basedOn w:val="1"/>
    <w:link w:val="27"/>
    <w:autoRedefine/>
    <w:semiHidden/>
    <w:qFormat/>
    <w:uiPriority w:val="0"/>
    <w:rPr>
      <w:kern w:val="0"/>
      <w:sz w:val="18"/>
      <w:szCs w:val="20"/>
    </w:rPr>
  </w:style>
  <w:style w:type="paragraph" w:styleId="10">
    <w:name w:val="footer"/>
    <w:basedOn w:val="1"/>
    <w:link w:val="28"/>
    <w:qFormat/>
    <w:uiPriority w:val="99"/>
    <w:pPr>
      <w:tabs>
        <w:tab w:val="center" w:pos="4153"/>
        <w:tab w:val="right" w:pos="8306"/>
      </w:tabs>
      <w:snapToGrid w:val="0"/>
      <w:jc w:val="left"/>
    </w:pPr>
    <w:rPr>
      <w:kern w:val="0"/>
      <w:sz w:val="18"/>
      <w:szCs w:val="20"/>
    </w:rPr>
  </w:style>
  <w:style w:type="paragraph" w:styleId="11">
    <w:name w:val="header"/>
    <w:basedOn w:val="1"/>
    <w:link w:val="29"/>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2">
    <w:name w:val="table of figures"/>
    <w:basedOn w:val="1"/>
    <w:next w:val="1"/>
    <w:qFormat/>
    <w:locked/>
    <w:uiPriority w:val="0"/>
    <w:pPr>
      <w:ind w:left="200" w:leftChars="200" w:hanging="200" w:hangingChars="200"/>
    </w:pPr>
  </w:style>
  <w:style w:type="paragraph" w:styleId="13">
    <w:name w:val="Normal (Web)"/>
    <w:basedOn w:val="1"/>
    <w:link w:val="30"/>
    <w:autoRedefine/>
    <w:qFormat/>
    <w:uiPriority w:val="0"/>
    <w:pPr>
      <w:widowControl/>
      <w:spacing w:before="100" w:beforeAutospacing="1" w:after="100" w:afterAutospacing="1"/>
      <w:jc w:val="left"/>
    </w:pPr>
    <w:rPr>
      <w:rFonts w:ascii="宋体" w:hAnsi="宋体"/>
      <w:kern w:val="0"/>
      <w:sz w:val="24"/>
      <w:szCs w:val="20"/>
    </w:rPr>
  </w:style>
  <w:style w:type="paragraph" w:styleId="14">
    <w:name w:val="Title"/>
    <w:basedOn w:val="1"/>
    <w:next w:val="1"/>
    <w:autoRedefine/>
    <w:qFormat/>
    <w:locked/>
    <w:uiPriority w:val="0"/>
    <w:pPr>
      <w:adjustRightInd w:val="0"/>
      <w:snapToGrid w:val="0"/>
      <w:jc w:val="center"/>
    </w:pPr>
    <w:rPr>
      <w:b/>
      <w:bCs/>
      <w:sz w:val="24"/>
      <w:szCs w:val="32"/>
    </w:rPr>
  </w:style>
  <w:style w:type="paragraph" w:styleId="15">
    <w:name w:val="annotation subject"/>
    <w:basedOn w:val="5"/>
    <w:next w:val="5"/>
    <w:link w:val="31"/>
    <w:autoRedefine/>
    <w:semiHidden/>
    <w:qFormat/>
    <w:uiPriority w:val="0"/>
    <w:rPr>
      <w:b/>
    </w:rPr>
  </w:style>
  <w:style w:type="paragraph" w:styleId="16">
    <w:name w:val="Body Text First Indent"/>
    <w:basedOn w:val="6"/>
    <w:next w:val="12"/>
    <w:autoRedefine/>
    <w:qFormat/>
    <w:locked/>
    <w:uiPriority w:val="0"/>
    <w:pPr>
      <w:spacing w:after="120"/>
      <w:ind w:firstLine="420" w:firstLineChars="100"/>
    </w:pPr>
    <w:rPr>
      <w:sz w:val="21"/>
      <w:szCs w:val="24"/>
    </w:rPr>
  </w:style>
  <w:style w:type="paragraph" w:styleId="17">
    <w:name w:val="Body Text First Indent 2"/>
    <w:basedOn w:val="1"/>
    <w:next w:val="1"/>
    <w:autoRedefine/>
    <w:qFormat/>
    <w:locked/>
    <w:uiPriority w:val="0"/>
    <w:pPr>
      <w:spacing w:line="360" w:lineRule="auto"/>
      <w:ind w:firstLine="420" w:firstLineChars="200"/>
    </w:pPr>
    <w:rPr>
      <w:rFonts w:eastAsia="仿宋_GB2312"/>
      <w:sz w:val="28"/>
    </w:rPr>
  </w:style>
  <w:style w:type="table" w:styleId="19">
    <w:name w:val="Table Grid"/>
    <w:basedOn w:val="1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locked/>
    <w:uiPriority w:val="0"/>
  </w:style>
  <w:style w:type="character" w:styleId="22">
    <w:name w:val="annotation reference"/>
    <w:autoRedefine/>
    <w:semiHidden/>
    <w:qFormat/>
    <w:uiPriority w:val="0"/>
    <w:rPr>
      <w:sz w:val="21"/>
    </w:rPr>
  </w:style>
  <w:style w:type="character" w:customStyle="1" w:styleId="23">
    <w:name w:val="批注文字 字符"/>
    <w:link w:val="5"/>
    <w:autoRedefine/>
    <w:qFormat/>
    <w:locked/>
    <w:uiPriority w:val="0"/>
    <w:rPr>
      <w:rFonts w:ascii="Times New Roman" w:hAnsi="Times New Roman" w:eastAsia="宋体"/>
      <w:sz w:val="24"/>
    </w:rPr>
  </w:style>
  <w:style w:type="character" w:customStyle="1" w:styleId="24">
    <w:name w:val="正文文本 字符"/>
    <w:link w:val="6"/>
    <w:autoRedefine/>
    <w:qFormat/>
    <w:locked/>
    <w:uiPriority w:val="0"/>
    <w:rPr>
      <w:sz w:val="18"/>
    </w:rPr>
  </w:style>
  <w:style w:type="character" w:customStyle="1" w:styleId="25">
    <w:name w:val="正文文本缩进 字符"/>
    <w:link w:val="7"/>
    <w:semiHidden/>
    <w:qFormat/>
    <w:locked/>
    <w:uiPriority w:val="0"/>
    <w:rPr>
      <w:rFonts w:ascii="Times New Roman" w:hAnsi="Times New Roman" w:eastAsia="宋体"/>
      <w:sz w:val="24"/>
    </w:rPr>
  </w:style>
  <w:style w:type="character" w:customStyle="1" w:styleId="26">
    <w:name w:val="日期 字符1"/>
    <w:link w:val="8"/>
    <w:autoRedefine/>
    <w:qFormat/>
    <w:locked/>
    <w:uiPriority w:val="0"/>
    <w:rPr>
      <w:rFonts w:ascii="Times New Roman" w:hAnsi="Times New Roman" w:eastAsia="宋体"/>
      <w:sz w:val="24"/>
    </w:rPr>
  </w:style>
  <w:style w:type="character" w:customStyle="1" w:styleId="27">
    <w:name w:val="批注框文本 字符"/>
    <w:link w:val="9"/>
    <w:semiHidden/>
    <w:qFormat/>
    <w:locked/>
    <w:uiPriority w:val="0"/>
    <w:rPr>
      <w:rFonts w:ascii="Times New Roman" w:hAnsi="Times New Roman" w:eastAsia="宋体"/>
      <w:sz w:val="18"/>
    </w:rPr>
  </w:style>
  <w:style w:type="character" w:customStyle="1" w:styleId="28">
    <w:name w:val="页脚 字符1"/>
    <w:link w:val="10"/>
    <w:autoRedefine/>
    <w:qFormat/>
    <w:locked/>
    <w:uiPriority w:val="99"/>
    <w:rPr>
      <w:sz w:val="18"/>
    </w:rPr>
  </w:style>
  <w:style w:type="character" w:customStyle="1" w:styleId="29">
    <w:name w:val="页眉 字符"/>
    <w:link w:val="11"/>
    <w:autoRedefine/>
    <w:qFormat/>
    <w:locked/>
    <w:uiPriority w:val="0"/>
    <w:rPr>
      <w:sz w:val="18"/>
    </w:rPr>
  </w:style>
  <w:style w:type="character" w:customStyle="1" w:styleId="30">
    <w:name w:val="普通(网站) 字符"/>
    <w:link w:val="13"/>
    <w:autoRedefine/>
    <w:qFormat/>
    <w:locked/>
    <w:uiPriority w:val="0"/>
    <w:rPr>
      <w:rFonts w:ascii="宋体" w:hAnsi="宋体" w:eastAsia="宋体"/>
      <w:sz w:val="24"/>
    </w:rPr>
  </w:style>
  <w:style w:type="character" w:customStyle="1" w:styleId="31">
    <w:name w:val="批注主题 字符"/>
    <w:link w:val="15"/>
    <w:autoRedefine/>
    <w:semiHidden/>
    <w:qFormat/>
    <w:locked/>
    <w:uiPriority w:val="0"/>
    <w:rPr>
      <w:rFonts w:ascii="Times New Roman" w:hAnsi="Times New Roman" w:eastAsia="宋体"/>
      <w:b/>
      <w:kern w:val="2"/>
      <w:sz w:val="24"/>
    </w:rPr>
  </w:style>
  <w:style w:type="character" w:customStyle="1" w:styleId="32">
    <w:name w:val="页脚 字符"/>
    <w:basedOn w:val="20"/>
    <w:qFormat/>
    <w:uiPriority w:val="99"/>
  </w:style>
  <w:style w:type="character" w:customStyle="1" w:styleId="33">
    <w:name w:val="正文文本 字符1"/>
    <w:autoRedefine/>
    <w:semiHidden/>
    <w:qFormat/>
    <w:uiPriority w:val="0"/>
    <w:rPr>
      <w:rFonts w:ascii="Times New Roman" w:hAnsi="Times New Roman" w:eastAsia="宋体"/>
      <w:sz w:val="24"/>
    </w:rPr>
  </w:style>
  <w:style w:type="character" w:customStyle="1" w:styleId="34">
    <w:name w:val="表格 Char"/>
    <w:link w:val="35"/>
    <w:qFormat/>
    <w:locked/>
    <w:uiPriority w:val="0"/>
    <w:rPr>
      <w:rFonts w:ascii="宋体"/>
      <w:sz w:val="21"/>
    </w:rPr>
  </w:style>
  <w:style w:type="paragraph" w:customStyle="1" w:styleId="35">
    <w:name w:val="表格"/>
    <w:basedOn w:val="1"/>
    <w:next w:val="1"/>
    <w:link w:val="34"/>
    <w:autoRedefine/>
    <w:qFormat/>
    <w:uiPriority w:val="0"/>
    <w:pPr>
      <w:adjustRightInd w:val="0"/>
      <w:snapToGrid w:val="0"/>
      <w:spacing w:beforeLines="10" w:afterLines="10" w:line="259" w:lineRule="auto"/>
      <w:jc w:val="center"/>
    </w:pPr>
    <w:rPr>
      <w:rFonts w:ascii="宋体"/>
      <w:kern w:val="0"/>
      <w:szCs w:val="20"/>
    </w:rPr>
  </w:style>
  <w:style w:type="character" w:customStyle="1" w:styleId="36">
    <w:name w:val="日期 字符"/>
    <w:semiHidden/>
    <w:qFormat/>
    <w:uiPriority w:val="0"/>
    <w:rPr>
      <w:rFonts w:ascii="Times New Roman" w:hAnsi="Times New Roman" w:eastAsia="宋体"/>
      <w:sz w:val="24"/>
    </w:rPr>
  </w:style>
  <w:style w:type="character" w:customStyle="1" w:styleId="37">
    <w:name w:val="批注文字 字符1"/>
    <w:autoRedefine/>
    <w:semiHidden/>
    <w:qFormat/>
    <w:uiPriority w:val="0"/>
    <w:rPr>
      <w:rFonts w:ascii="Times New Roman" w:hAnsi="Times New Roman" w:eastAsia="宋体"/>
      <w:sz w:val="24"/>
    </w:rPr>
  </w:style>
  <w:style w:type="paragraph" w:customStyle="1" w:styleId="38">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普通(网站)2"/>
    <w:basedOn w:val="1"/>
    <w:qFormat/>
    <w:uiPriority w:val="0"/>
    <w:pPr>
      <w:widowControl/>
      <w:spacing w:before="100" w:beforeAutospacing="1" w:after="100" w:afterAutospacing="1"/>
      <w:jc w:val="left"/>
    </w:pPr>
    <w:rPr>
      <w:rFonts w:ascii="宋体" w:hAnsi="宋体"/>
      <w:sz w:val="24"/>
      <w:szCs w:val="20"/>
    </w:rPr>
  </w:style>
  <w:style w:type="paragraph" w:styleId="40">
    <w:name w:val="No Spacing"/>
    <w:autoRedefine/>
    <w:qFormat/>
    <w:uiPriority w:val="0"/>
    <w:pPr>
      <w:jc w:val="center"/>
    </w:pPr>
    <w:rPr>
      <w:rFonts w:ascii="Times New Roman" w:hAnsi="Times New Roman" w:eastAsia="宋体" w:cs="Times New Roman"/>
      <w:kern w:val="2"/>
      <w:sz w:val="21"/>
      <w:szCs w:val="22"/>
      <w:lang w:val="en-US" w:eastAsia="zh-CN" w:bidi="ar-SA"/>
    </w:rPr>
  </w:style>
  <w:style w:type="paragraph" w:customStyle="1" w:styleId="41">
    <w:name w:val="Default"/>
    <w:basedOn w:val="42"/>
    <w:next w:val="17"/>
    <w:autoRedefine/>
    <w:unhideWhenUsed/>
    <w:qFormat/>
    <w:uiPriority w:val="0"/>
    <w:pPr>
      <w:widowControl w:val="0"/>
      <w:autoSpaceDE w:val="0"/>
      <w:autoSpaceDN w:val="0"/>
      <w:adjustRightInd w:val="0"/>
    </w:pPr>
    <w:rPr>
      <w:rFonts w:hint="eastAsia" w:ascii="新宋体_x001A_炩." w:hAnsi="新宋体_x001A_炩." w:eastAsia="新宋体_x001A_炩." w:cs="Times New Roman"/>
      <w:color w:val="000000"/>
      <w:sz w:val="24"/>
      <w:lang w:val="en-US" w:eastAsia="zh-CN" w:bidi="ar-SA"/>
    </w:rPr>
  </w:style>
  <w:style w:type="paragraph" w:customStyle="1" w:styleId="4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43">
    <w:name w:val="fontstyle01"/>
    <w:autoRedefine/>
    <w:qFormat/>
    <w:uiPriority w:val="0"/>
    <w:rPr>
      <w:rFonts w:ascii="宋体" w:hAnsi="宋体" w:eastAsia="宋体" w:cs="宋体"/>
      <w:color w:val="000000"/>
      <w:sz w:val="24"/>
      <w:szCs w:val="24"/>
    </w:rPr>
  </w:style>
  <w:style w:type="paragraph" w:customStyle="1" w:styleId="44">
    <w:name w:val="Table Paragraph"/>
    <w:basedOn w:val="1"/>
    <w:autoRedefine/>
    <w:qFormat/>
    <w:uiPriority w:val="1"/>
    <w:pPr>
      <w:autoSpaceDE w:val="0"/>
      <w:autoSpaceDN w:val="0"/>
      <w:adjustRightInd w:val="0"/>
      <w:jc w:val="left"/>
    </w:pPr>
    <w:rPr>
      <w:rFonts w:eastAsia="等线"/>
      <w:kern w:val="0"/>
      <w:sz w:val="24"/>
    </w:rPr>
  </w:style>
  <w:style w:type="paragraph" w:customStyle="1" w:styleId="45">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1正文"/>
    <w:basedOn w:val="1"/>
    <w:autoRedefine/>
    <w:qFormat/>
    <w:uiPriority w:val="0"/>
    <w:pPr>
      <w:widowControl/>
      <w:spacing w:line="360" w:lineRule="auto"/>
      <w:ind w:firstLine="200" w:firstLineChars="200"/>
    </w:pPr>
    <w:rPr>
      <w:kern w:val="0"/>
      <w:sz w:val="24"/>
      <w:szCs w:val="20"/>
      <w:lang w:val="en-GB"/>
    </w:rPr>
  </w:style>
  <w:style w:type="paragraph" w:customStyle="1" w:styleId="47">
    <w:name w:val="正文文本5"/>
    <w:basedOn w:val="1"/>
    <w:autoRedefine/>
    <w:qFormat/>
    <w:uiPriority w:val="0"/>
    <w:pPr>
      <w:widowControl/>
      <w:shd w:val="clear" w:color="auto" w:fill="FFFFFF"/>
      <w:spacing w:after="1920" w:line="0" w:lineRule="atLeast"/>
      <w:ind w:hanging="820"/>
      <w:jc w:val="right"/>
    </w:pPr>
    <w:rPr>
      <w:rFonts w:ascii="黑体" w:hAnsi="黑体" w:eastAsia="黑体" w:cs="黑体"/>
      <w:spacing w:val="10"/>
      <w:kern w:val="0"/>
      <w:sz w:val="20"/>
      <w:szCs w:val="21"/>
    </w:rPr>
  </w:style>
  <w:style w:type="character" w:customStyle="1" w:styleId="48">
    <w:name w:val="正文文本1"/>
    <w:autoRedefine/>
    <w:qFormat/>
    <w:uiPriority w:val="0"/>
    <w:rPr>
      <w:rFonts w:ascii="黑体" w:hAnsi="黑体" w:eastAsia="黑体" w:cs="黑体"/>
      <w:color w:val="000000"/>
      <w:spacing w:val="10"/>
      <w:w w:val="100"/>
      <w:position w:val="0"/>
      <w:sz w:val="21"/>
      <w:szCs w:val="21"/>
      <w:u w:val="none"/>
      <w:lang w:val="zh-TW"/>
    </w:rPr>
  </w:style>
  <w:style w:type="paragraph" w:customStyle="1" w:styleId="49">
    <w:name w:val="表格内容自定"/>
    <w:basedOn w:val="1"/>
    <w:autoRedefine/>
    <w:qFormat/>
    <w:uiPriority w:val="0"/>
    <w:pPr>
      <w:spacing w:line="280" w:lineRule="exact"/>
      <w:jc w:val="center"/>
    </w:pPr>
    <w:rPr>
      <w:kern w:val="0"/>
      <w:sz w:val="18"/>
      <w:szCs w:val="21"/>
    </w:rPr>
  </w:style>
  <w:style w:type="paragraph" w:customStyle="1" w:styleId="50">
    <w:name w:val="表头"/>
    <w:basedOn w:val="6"/>
    <w:autoRedefine/>
    <w:qFormat/>
    <w:uiPriority w:val="0"/>
    <w:pPr>
      <w:spacing w:line="240" w:lineRule="auto"/>
      <w:jc w:val="center"/>
    </w:pPr>
    <w:rPr>
      <w:b/>
    </w:rPr>
  </w:style>
  <w:style w:type="paragraph" w:customStyle="1" w:styleId="51">
    <w:name w:val="报告表格"/>
    <w:basedOn w:val="1"/>
    <w:autoRedefine/>
    <w:qFormat/>
    <w:uiPriority w:val="0"/>
    <w:pPr>
      <w:autoSpaceDE w:val="0"/>
      <w:autoSpaceDN w:val="0"/>
      <w:adjustRightInd w:val="0"/>
      <w:jc w:val="left"/>
      <w:textAlignment w:val="bottom"/>
    </w:pPr>
    <w:rPr>
      <w:kern w:val="0"/>
      <w:szCs w:val="20"/>
    </w:rPr>
  </w:style>
  <w:style w:type="paragraph" w:customStyle="1" w:styleId="52">
    <w:name w:val="表格内容"/>
    <w:basedOn w:val="6"/>
    <w:next w:val="6"/>
    <w:qFormat/>
    <w:uiPriority w:val="0"/>
    <w:pPr>
      <w:spacing w:line="240" w:lineRule="auto"/>
      <w:jc w:val="center"/>
    </w:pPr>
    <w:rPr>
      <w:sz w:val="21"/>
    </w:rPr>
  </w:style>
  <w:style w:type="paragraph" w:customStyle="1" w:styleId="53">
    <w:name w:val="表格内文本"/>
    <w:basedOn w:val="6"/>
    <w:qFormat/>
    <w:uiPriority w:val="0"/>
    <w:pPr>
      <w:widowControl w:val="0"/>
      <w:spacing w:before="0" w:after="0" w:line="240" w:lineRule="auto"/>
      <w:ind w:right="0"/>
      <w:jc w:val="center"/>
    </w:pPr>
    <w:rPr>
      <w:kern w:val="2"/>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8343E-A374-4CF7-9283-4D81CA87A71B}">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88</Pages>
  <Words>44677</Words>
  <Characters>52036</Characters>
  <Lines>370</Lines>
  <Paragraphs>104</Paragraphs>
  <TotalTime>147</TotalTime>
  <ScaleCrop>false</ScaleCrop>
  <LinksUpToDate>false</LinksUpToDate>
  <CharactersWithSpaces>52475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zhouzhi</cp:lastModifiedBy>
  <cp:lastPrinted>2024-06-21T00:30:00Z</cp:lastPrinted>
  <dcterms:modified xsi:type="dcterms:W3CDTF">2024-06-25T08:49:34Z</dcterms:modified>
  <dc:title>附件2</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91D8CD18850D48BDA623358D3BB1F284_13</vt:lpwstr>
  </property>
</Properties>
</file>