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s="Times New Roman"/>
          <w:color w:val="auto"/>
          <w:sz w:val="36"/>
          <w:szCs w:val="36"/>
        </w:rPr>
      </w:pPr>
    </w:p>
    <w:p>
      <w:pPr>
        <w:rPr>
          <w:rFonts w:eastAsia="仿宋_GB2312" w:cs="Times New Roman"/>
          <w:color w:val="auto"/>
          <w:sz w:val="36"/>
          <w:szCs w:val="36"/>
        </w:rPr>
      </w:pPr>
    </w:p>
    <w:p>
      <w:pPr>
        <w:rPr>
          <w:rFonts w:eastAsia="仿宋_GB2312" w:cs="Times New Roman"/>
          <w:color w:val="auto"/>
          <w:sz w:val="36"/>
          <w:szCs w:val="36"/>
        </w:rPr>
      </w:pPr>
    </w:p>
    <w:p>
      <w:pPr>
        <w:adjustRightInd w:val="0"/>
        <w:snapToGrid w:val="0"/>
        <w:jc w:val="center"/>
        <w:outlineLvl w:val="0"/>
        <w:rPr>
          <w:rFonts w:eastAsia="方正小标宋_GBK" w:cs="Times New Roman"/>
          <w:bCs/>
          <w:color w:val="auto"/>
          <w:sz w:val="72"/>
          <w:szCs w:val="72"/>
        </w:rPr>
      </w:pPr>
      <w:r>
        <w:rPr>
          <w:rFonts w:eastAsia="方正小标宋_GBK" w:cs="Times New Roman"/>
          <w:bCs/>
          <w:color w:val="auto"/>
          <w:sz w:val="72"/>
          <w:szCs w:val="72"/>
        </w:rPr>
        <w:t>建设项目环境影响报告表</w:t>
      </w:r>
    </w:p>
    <w:p>
      <w:pPr>
        <w:adjustRightInd w:val="0"/>
        <w:snapToGrid w:val="0"/>
        <w:spacing w:before="249" w:beforeLines="80"/>
        <w:jc w:val="center"/>
        <w:rPr>
          <w:rFonts w:eastAsia="楷体_GB2312" w:cs="Times New Roman"/>
          <w:bCs/>
          <w:color w:val="auto"/>
          <w:sz w:val="48"/>
          <w:szCs w:val="48"/>
        </w:rPr>
      </w:pPr>
      <w:r>
        <w:rPr>
          <w:rFonts w:eastAsia="楷体_GB2312" w:cs="Times New Roman"/>
          <w:bCs/>
          <w:color w:val="auto"/>
          <w:sz w:val="48"/>
          <w:szCs w:val="48"/>
        </w:rPr>
        <w:t>（</w:t>
      </w:r>
      <w:r>
        <w:rPr>
          <w:rFonts w:hint="eastAsia" w:ascii="楷体" w:hAnsi="楷体" w:eastAsia="楷体" w:cs="楷体"/>
          <w:bCs/>
          <w:color w:val="auto"/>
          <w:sz w:val="48"/>
          <w:szCs w:val="48"/>
        </w:rPr>
        <w:t>污染影响类</w:t>
      </w:r>
      <w:r>
        <w:rPr>
          <w:rFonts w:eastAsia="楷体_GB2312" w:cs="Times New Roman"/>
          <w:bCs/>
          <w:color w:val="auto"/>
          <w:sz w:val="48"/>
          <w:szCs w:val="48"/>
        </w:rPr>
        <w:t>）</w:t>
      </w:r>
    </w:p>
    <w:p>
      <w:pPr>
        <w:adjustRightInd w:val="0"/>
        <w:snapToGrid w:val="0"/>
        <w:spacing w:line="288" w:lineRule="auto"/>
        <w:ind w:firstLine="880"/>
        <w:jc w:val="center"/>
        <w:outlineLvl w:val="0"/>
        <w:rPr>
          <w:rFonts w:ascii="华文仿宋" w:hAnsi="华文仿宋" w:eastAsia="华文仿宋" w:cs="华文仿宋"/>
          <w:color w:val="auto"/>
          <w:kern w:val="44"/>
          <w:sz w:val="44"/>
          <w:szCs w:val="44"/>
        </w:rPr>
      </w:pPr>
    </w:p>
    <w:p>
      <w:pPr>
        <w:ind w:firstLine="1040"/>
        <w:jc w:val="center"/>
        <w:rPr>
          <w:rFonts w:eastAsia="仿宋"/>
          <w:color w:val="auto"/>
          <w:sz w:val="52"/>
          <w:szCs w:val="52"/>
        </w:rPr>
      </w:pPr>
    </w:p>
    <w:p>
      <w:pPr>
        <w:ind w:firstLine="880"/>
        <w:rPr>
          <w:rFonts w:eastAsia="仿宋"/>
          <w:color w:val="auto"/>
          <w:sz w:val="44"/>
          <w:szCs w:val="44"/>
        </w:rPr>
      </w:pPr>
    </w:p>
    <w:p>
      <w:pPr>
        <w:ind w:firstLine="880"/>
        <w:rPr>
          <w:rFonts w:eastAsia="仿宋"/>
          <w:color w:val="auto"/>
          <w:sz w:val="44"/>
          <w:szCs w:val="44"/>
        </w:rPr>
      </w:pPr>
    </w:p>
    <w:p>
      <w:pPr>
        <w:adjustRightInd w:val="0"/>
        <w:snapToGrid w:val="0"/>
        <w:spacing w:line="288" w:lineRule="auto"/>
        <w:ind w:firstLine="640" w:firstLineChars="20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项目名称：</w:t>
      </w:r>
      <w:bookmarkStart w:id="0" w:name="_Hlk155604694"/>
      <w:r>
        <w:rPr>
          <w:rFonts w:hint="eastAsia" w:ascii="仿宋_GB2312" w:hAnsi="仿宋_GB2312" w:eastAsia="仿宋_GB2312" w:cs="仿宋_GB2312"/>
          <w:color w:val="auto"/>
          <w:sz w:val="32"/>
          <w:szCs w:val="32"/>
          <w:highlight w:val="none"/>
          <w:u w:val="single"/>
          <w:lang w:eastAsia="zh-CN"/>
        </w:rPr>
        <w:t>水稳材料和</w:t>
      </w:r>
      <w:r>
        <w:rPr>
          <w:rFonts w:hint="eastAsia" w:ascii="仿宋_GB2312" w:hAnsi="仿宋_GB2312" w:eastAsia="仿宋_GB2312" w:cs="仿宋_GB2312"/>
          <w:color w:val="auto"/>
          <w:sz w:val="32"/>
          <w:szCs w:val="32"/>
          <w:highlight w:val="none"/>
          <w:u w:val="single"/>
          <w:lang w:val="en-US" w:eastAsia="zh-CN"/>
        </w:rPr>
        <w:t>环保</w:t>
      </w:r>
      <w:r>
        <w:rPr>
          <w:rFonts w:hint="eastAsia" w:ascii="仿宋_GB2312" w:hAnsi="仿宋_GB2312" w:eastAsia="仿宋_GB2312" w:cs="仿宋_GB2312"/>
          <w:color w:val="auto"/>
          <w:sz w:val="32"/>
          <w:szCs w:val="32"/>
          <w:highlight w:val="none"/>
          <w:u w:val="single"/>
          <w:lang w:eastAsia="zh-CN"/>
        </w:rPr>
        <w:t>水泥砖生产</w:t>
      </w:r>
      <w:r>
        <w:rPr>
          <w:rFonts w:hint="eastAsia" w:ascii="仿宋_GB2312" w:hAnsi="仿宋_GB2312" w:eastAsia="仿宋_GB2312" w:cs="仿宋_GB2312"/>
          <w:color w:val="auto"/>
          <w:sz w:val="32"/>
          <w:szCs w:val="32"/>
          <w:highlight w:val="none"/>
          <w:u w:val="single"/>
          <w:lang w:val="en-US" w:eastAsia="zh-CN"/>
        </w:rPr>
        <w:t>线建设</w:t>
      </w:r>
      <w:r>
        <w:rPr>
          <w:rFonts w:hint="eastAsia" w:ascii="仿宋_GB2312" w:hAnsi="仿宋_GB2312" w:eastAsia="仿宋_GB2312" w:cs="仿宋_GB2312"/>
          <w:color w:val="auto"/>
          <w:sz w:val="32"/>
          <w:szCs w:val="32"/>
          <w:highlight w:val="none"/>
          <w:u w:val="single"/>
          <w:lang w:eastAsia="zh-CN"/>
        </w:rPr>
        <w:t>项目</w:t>
      </w:r>
      <w:bookmarkEnd w:id="0"/>
    </w:p>
    <w:p>
      <w:pPr>
        <w:adjustRightInd w:val="0"/>
        <w:snapToGrid w:val="0"/>
        <w:spacing w:line="288" w:lineRule="auto"/>
        <w:ind w:firstLine="640" w:firstLineChars="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建设单位（盖章）：</w:t>
      </w:r>
      <w:bookmarkStart w:id="1" w:name="_Hlk155604687"/>
      <w:r>
        <w:rPr>
          <w:rFonts w:hint="eastAsia" w:ascii="仿宋_GB2312" w:hAnsi="仿宋_GB2312" w:eastAsia="仿宋_GB2312" w:cs="仿宋_GB2312"/>
          <w:color w:val="auto"/>
          <w:sz w:val="32"/>
          <w:szCs w:val="32"/>
          <w:u w:val="single"/>
          <w:lang w:eastAsia="zh-CN"/>
        </w:rPr>
        <w:t>西安恒正宇道路养护有限公司</w:t>
      </w:r>
      <w:bookmarkEnd w:id="1"/>
    </w:p>
    <w:p>
      <w:pPr>
        <w:adjustRightInd w:val="0"/>
        <w:snapToGrid w:val="0"/>
        <w:spacing w:line="288" w:lineRule="auto"/>
        <w:ind w:firstLine="640" w:firstLineChars="200"/>
        <w:rPr>
          <w:rFonts w:hint="eastAsia" w:ascii="仿宋_GB2312" w:hAnsi="仿宋_GB2312" w:eastAsia="仿宋_GB2312" w:cs="仿宋_GB2312"/>
          <w:color w:val="FFFFFF" w:themeColor="background1"/>
          <w:sz w:val="32"/>
          <w:szCs w:val="32"/>
          <w:u w:val="single"/>
          <w14:textFill>
            <w14:solidFill>
              <w14:schemeClr w14:val="bg1"/>
            </w14:solidFill>
          </w14:textFill>
        </w:rPr>
      </w:pPr>
      <w:r>
        <w:rPr>
          <w:rFonts w:hint="eastAsia" w:ascii="仿宋_GB2312" w:hAnsi="仿宋_GB2312" w:eastAsia="仿宋_GB2312" w:cs="仿宋_GB2312"/>
          <w:color w:val="auto"/>
          <w:sz w:val="32"/>
          <w:szCs w:val="32"/>
        </w:rPr>
        <w:t>编制日期：</w:t>
      </w:r>
      <w:r>
        <w:rPr>
          <w:rFonts w:hint="eastAsia" w:ascii="仿宋_GB2312" w:hAnsi="仿宋_GB2312" w:eastAsia="仿宋_GB2312" w:cs="仿宋_GB2312"/>
          <w:color w:val="auto"/>
          <w:sz w:val="32"/>
          <w:szCs w:val="32"/>
          <w:u w:val="single"/>
        </w:rPr>
        <w:t xml:space="preserve">           二</w:t>
      </w:r>
      <w:r>
        <w:rPr>
          <w:rFonts w:hint="eastAsia" w:ascii="仿宋_GB2312" w:hAnsi="仿宋_GB2312" w:eastAsia="仿宋_GB2312" w:cs="仿宋_GB2312"/>
          <w:color w:val="auto"/>
          <w:sz w:val="32"/>
          <w:szCs w:val="32"/>
          <w:u w:val="single"/>
          <w:lang w:val="en-US" w:eastAsia="zh-CN"/>
        </w:rPr>
        <w:t>〇</w:t>
      </w:r>
      <w:r>
        <w:rPr>
          <w:rFonts w:hint="eastAsia" w:ascii="仿宋_GB2312" w:hAnsi="仿宋_GB2312" w:eastAsia="仿宋_GB2312" w:cs="仿宋_GB2312"/>
          <w:color w:val="auto"/>
          <w:sz w:val="32"/>
          <w:szCs w:val="32"/>
          <w:u w:val="single"/>
        </w:rPr>
        <w:t>二四年</w:t>
      </w:r>
      <w:r>
        <w:rPr>
          <w:rFonts w:hint="eastAsia" w:ascii="仿宋_GB2312" w:hAnsi="仿宋_GB2312" w:eastAsia="仿宋_GB2312" w:cs="仿宋_GB2312"/>
          <w:color w:val="auto"/>
          <w:sz w:val="32"/>
          <w:szCs w:val="32"/>
          <w:u w:val="single"/>
          <w:lang w:val="en-US" w:eastAsia="zh-CN"/>
        </w:rPr>
        <w:t>六</w:t>
      </w:r>
      <w:r>
        <w:rPr>
          <w:rFonts w:hint="eastAsia" w:ascii="仿宋_GB2312" w:hAnsi="仿宋_GB2312" w:eastAsia="仿宋_GB2312" w:cs="仿宋_GB2312"/>
          <w:color w:val="auto"/>
          <w:sz w:val="32"/>
          <w:szCs w:val="32"/>
          <w:u w:val="single"/>
        </w:rPr>
        <w:t xml:space="preserve">月         </w:t>
      </w:r>
    </w:p>
    <w:p>
      <w:pPr>
        <w:adjustRightInd w:val="0"/>
        <w:snapToGrid w:val="0"/>
        <w:spacing w:line="288" w:lineRule="auto"/>
        <w:ind w:firstLine="1040"/>
        <w:rPr>
          <w:rFonts w:hint="eastAsia" w:ascii="仿宋_GB2312" w:hAnsi="仿宋_GB2312" w:eastAsia="仿宋_GB2312" w:cs="仿宋_GB2312"/>
          <w:color w:val="auto"/>
          <w:sz w:val="36"/>
          <w:szCs w:val="36"/>
          <w:u w:val="single"/>
        </w:rPr>
      </w:pPr>
      <w:bookmarkStart w:id="2" w:name="_Hlk57884087"/>
    </w:p>
    <w:p>
      <w:pPr>
        <w:adjustRightInd w:val="0"/>
        <w:snapToGrid w:val="0"/>
        <w:spacing w:line="288" w:lineRule="auto"/>
        <w:ind w:firstLine="1040"/>
        <w:rPr>
          <w:rFonts w:eastAsia="仿宋_GB2312" w:cs="Times New Roman"/>
          <w:color w:val="auto"/>
          <w:sz w:val="36"/>
          <w:szCs w:val="36"/>
        </w:rPr>
      </w:pPr>
    </w:p>
    <w:p>
      <w:pPr>
        <w:adjustRightInd w:val="0"/>
        <w:snapToGrid w:val="0"/>
        <w:spacing w:line="288" w:lineRule="auto"/>
        <w:ind w:firstLine="1040"/>
        <w:rPr>
          <w:rFonts w:eastAsia="仿宋_GB2312" w:cs="Times New Roman"/>
          <w:color w:val="auto"/>
          <w:sz w:val="36"/>
          <w:szCs w:val="36"/>
        </w:rPr>
      </w:pPr>
    </w:p>
    <w:p>
      <w:pPr>
        <w:adjustRightInd w:val="0"/>
        <w:snapToGrid w:val="0"/>
        <w:spacing w:line="288" w:lineRule="auto"/>
        <w:ind w:firstLine="1040"/>
        <w:rPr>
          <w:rFonts w:eastAsia="仿宋_GB2312" w:cs="Times New Roman"/>
          <w:color w:val="auto"/>
          <w:sz w:val="36"/>
          <w:szCs w:val="36"/>
        </w:rPr>
      </w:pPr>
    </w:p>
    <w:p>
      <w:pPr>
        <w:adjustRightInd w:val="0"/>
        <w:snapToGrid w:val="0"/>
        <w:spacing w:line="288" w:lineRule="auto"/>
        <w:ind w:firstLine="1040"/>
        <w:rPr>
          <w:rFonts w:eastAsia="仿宋_GB2312" w:cs="Times New Roman"/>
          <w:color w:val="auto"/>
          <w:sz w:val="36"/>
          <w:szCs w:val="36"/>
        </w:rPr>
      </w:pPr>
    </w:p>
    <w:p>
      <w:pPr>
        <w:adjustRightInd w:val="0"/>
        <w:snapToGrid w:val="0"/>
        <w:spacing w:line="288" w:lineRule="auto"/>
        <w:ind w:firstLine="1040"/>
        <w:rPr>
          <w:rFonts w:hint="eastAsia" w:ascii="楷体" w:hAnsi="楷体" w:eastAsia="楷体" w:cs="楷体"/>
          <w:color w:val="auto"/>
          <w:sz w:val="36"/>
          <w:szCs w:val="36"/>
        </w:rPr>
      </w:pPr>
    </w:p>
    <w:bookmarkEnd w:id="2"/>
    <w:p>
      <w:pPr>
        <w:adjustRightInd w:val="0"/>
        <w:snapToGrid w:val="0"/>
        <w:spacing w:line="288" w:lineRule="auto"/>
        <w:jc w:val="center"/>
        <w:rPr>
          <w:rFonts w:cs="Times New Roman"/>
          <w:color w:val="auto"/>
        </w:rPr>
      </w:pPr>
      <w:r>
        <w:rPr>
          <w:rFonts w:hint="eastAsia" w:ascii="楷体" w:hAnsi="楷体" w:eastAsia="楷体" w:cs="楷体"/>
          <w:color w:val="auto"/>
          <w:sz w:val="36"/>
          <w:szCs w:val="36"/>
        </w:rPr>
        <w:t>中华人民共和国生态环境部制</w:t>
      </w:r>
    </w:p>
    <w:p>
      <w:pPr>
        <w:rPr>
          <w:rFonts w:cs="Times New Roman"/>
          <w:color w:val="auto"/>
        </w:rPr>
      </w:pPr>
    </w:p>
    <w:p>
      <w:pPr>
        <w:rPr>
          <w:rFonts w:cs="Times New Roman"/>
          <w:color w:val="auto"/>
        </w:rPr>
      </w:pPr>
    </w:p>
    <w:p>
      <w:pPr>
        <w:rPr>
          <w:rFonts w:cs="Times New Roman"/>
          <w:color w:val="auto"/>
        </w:rPr>
        <w:sectPr>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center"/>
        <w:rPr>
          <w:rFonts w:cs="Times New Roman"/>
          <w:b/>
          <w:bCs/>
          <w:color w:val="auto"/>
          <w:sz w:val="28"/>
          <w:szCs w:val="24"/>
        </w:rPr>
      </w:pPr>
      <w:r>
        <w:rPr>
          <w:rFonts w:cs="Times New Roman"/>
          <w:b/>
          <w:bCs/>
          <w:color w:val="auto"/>
          <w:sz w:val="28"/>
          <w:szCs w:val="24"/>
        </w:rPr>
        <w:t>一、建设项目基本情况</w:t>
      </w:r>
    </w:p>
    <w:tbl>
      <w:tblPr>
        <w:tblStyle w:val="22"/>
        <w:tblW w:w="490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22"/>
        <w:gridCol w:w="2275"/>
        <w:gridCol w:w="2168"/>
        <w:gridCol w:w="3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0" w:type="pct"/>
            <w:tcBorders>
              <w:top w:val="single" w:color="auto" w:sz="8"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建设项目名称</w:t>
            </w:r>
          </w:p>
        </w:tc>
        <w:tc>
          <w:tcPr>
            <w:tcW w:w="4050" w:type="pct"/>
            <w:gridSpan w:val="3"/>
            <w:tcBorders>
              <w:top w:val="single" w:color="auto" w:sz="8" w:space="0"/>
              <w:left w:val="single" w:color="auto" w:sz="4" w:space="0"/>
              <w:bottom w:val="single" w:color="auto" w:sz="4" w:space="0"/>
              <w:right w:val="single" w:color="auto" w:sz="8" w:space="0"/>
            </w:tcBorders>
            <w:vAlign w:val="center"/>
          </w:tcPr>
          <w:p>
            <w:pPr>
              <w:pStyle w:val="27"/>
              <w:rPr>
                <w:color w:val="auto"/>
                <w:sz w:val="24"/>
                <w:szCs w:val="24"/>
              </w:rPr>
            </w:pPr>
            <w:r>
              <w:rPr>
                <w:rFonts w:hint="eastAsia" w:cs="Times New Roman"/>
                <w:color w:val="auto"/>
                <w:kern w:val="2"/>
                <w:sz w:val="24"/>
                <w:szCs w:val="24"/>
                <w:lang w:val="en-US" w:eastAsia="zh-CN" w:bidi="ar-SA"/>
              </w:rPr>
              <w:t>水稳材料和环保水泥砖生产线建设项目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项目代码</w:t>
            </w:r>
          </w:p>
        </w:tc>
        <w:tc>
          <w:tcPr>
            <w:tcW w:w="4050" w:type="pct"/>
            <w:gridSpan w:val="3"/>
            <w:tcBorders>
              <w:top w:val="single" w:color="auto" w:sz="4" w:space="0"/>
              <w:left w:val="single" w:color="auto" w:sz="4" w:space="0"/>
              <w:bottom w:val="single" w:color="auto" w:sz="4" w:space="0"/>
              <w:right w:val="single" w:color="auto" w:sz="8" w:space="0"/>
            </w:tcBorders>
            <w:vAlign w:val="center"/>
          </w:tcPr>
          <w:p>
            <w:pPr>
              <w:pStyle w:val="27"/>
              <w:rPr>
                <w:rFonts w:hint="eastAsia" w:eastAsia="宋体"/>
                <w:color w:val="auto"/>
                <w:sz w:val="24"/>
                <w:szCs w:val="24"/>
                <w:lang w:eastAsia="zh-CN"/>
              </w:rPr>
            </w:pPr>
            <w:r>
              <w:rPr>
                <w:rFonts w:hint="eastAsia"/>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建设单位联系人</w:t>
            </w:r>
          </w:p>
        </w:tc>
        <w:tc>
          <w:tcPr>
            <w:tcW w:w="11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color w:val="auto"/>
                <w:sz w:val="24"/>
                <w:szCs w:val="24"/>
              </w:rPr>
            </w:pPr>
            <w:r>
              <w:rPr>
                <w:rFonts w:hint="eastAsia" w:ascii="Times New Roman" w:hAnsi="Times New Roman" w:eastAsia="宋体" w:cs="Times New Roman"/>
                <w:color w:val="auto"/>
                <w:sz w:val="24"/>
                <w:szCs w:val="24"/>
                <w:lang w:val="en-US" w:eastAsia="zh-CN"/>
              </w:rPr>
              <w:t>张会联</w:t>
            </w:r>
          </w:p>
        </w:tc>
        <w:tc>
          <w:tcPr>
            <w:tcW w:w="113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color w:val="auto"/>
                <w:sz w:val="24"/>
                <w:szCs w:val="24"/>
              </w:rPr>
            </w:pPr>
            <w:r>
              <w:rPr>
                <w:rFonts w:hint="default" w:ascii="Times New Roman" w:hAnsi="Times New Roman" w:eastAsia="宋体" w:cs="Times New Roman"/>
                <w:color w:val="auto"/>
                <w:sz w:val="24"/>
                <w:szCs w:val="24"/>
              </w:rPr>
              <w:t>联系方式</w:t>
            </w:r>
          </w:p>
        </w:tc>
        <w:tc>
          <w:tcPr>
            <w:tcW w:w="1732" w:type="pct"/>
            <w:tcBorders>
              <w:top w:val="single" w:color="auto" w:sz="4" w:space="0"/>
              <w:left w:val="single" w:color="auto" w:sz="4" w:space="0"/>
              <w:bottom w:val="single" w:color="auto" w:sz="4" w:space="0"/>
              <w:right w:val="single" w:color="auto" w:sz="8" w:space="0"/>
            </w:tcBorders>
            <w:vAlign w:val="center"/>
          </w:tcPr>
          <w:p>
            <w:pPr>
              <w:adjustRightInd w:val="0"/>
              <w:snapToGrid w:val="0"/>
              <w:spacing w:line="240" w:lineRule="auto"/>
              <w:jc w:val="center"/>
              <w:rPr>
                <w:color w:val="auto"/>
                <w:sz w:val="24"/>
                <w:szCs w:val="24"/>
              </w:rPr>
            </w:pPr>
            <w:r>
              <w:rPr>
                <w:rFonts w:hint="default" w:ascii="Times New Roman" w:hAnsi="Times New Roman" w:eastAsia="宋体" w:cs="Times New Roman"/>
                <w:color w:val="auto"/>
                <w:sz w:val="24"/>
                <w:szCs w:val="24"/>
                <w:lang w:val="en-US" w:eastAsia="zh-CN"/>
              </w:rPr>
              <w:t>153</w:t>
            </w:r>
            <w:r>
              <w:rPr>
                <w:rFonts w:hint="eastAsia" w:eastAsia="宋体" w:cs="Times New Roman"/>
                <w:color w:val="auto"/>
                <w:sz w:val="24"/>
                <w:szCs w:val="24"/>
                <w:lang w:val="en-US" w:eastAsia="zh-CN"/>
              </w:rPr>
              <w:t>****</w:t>
            </w:r>
            <w:bookmarkStart w:id="11" w:name="_GoBack"/>
            <w:bookmarkEnd w:id="11"/>
            <w:r>
              <w:rPr>
                <w:rFonts w:hint="default" w:ascii="Times New Roman" w:hAnsi="Times New Roman" w:eastAsia="宋体" w:cs="Times New Roman"/>
                <w:color w:val="auto"/>
                <w:sz w:val="24"/>
                <w:szCs w:val="24"/>
                <w:lang w:val="en-US" w:eastAsia="zh-CN"/>
              </w:rPr>
              <w:t>8888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建设地点</w:t>
            </w:r>
          </w:p>
        </w:tc>
        <w:tc>
          <w:tcPr>
            <w:tcW w:w="4050" w:type="pct"/>
            <w:gridSpan w:val="3"/>
            <w:tcBorders>
              <w:top w:val="single" w:color="auto" w:sz="4" w:space="0"/>
              <w:left w:val="single" w:color="auto" w:sz="4" w:space="0"/>
              <w:bottom w:val="single" w:color="auto" w:sz="4" w:space="0"/>
              <w:right w:val="single" w:color="auto" w:sz="8" w:space="0"/>
            </w:tcBorders>
            <w:vAlign w:val="center"/>
          </w:tcPr>
          <w:p>
            <w:pPr>
              <w:pStyle w:val="27"/>
              <w:rPr>
                <w:rFonts w:hint="default" w:eastAsia="宋体"/>
                <w:color w:val="auto"/>
                <w:sz w:val="24"/>
                <w:szCs w:val="24"/>
                <w:lang w:val="en-US" w:eastAsia="zh-CN"/>
              </w:rPr>
            </w:pPr>
            <w:r>
              <w:rPr>
                <w:rFonts w:hint="eastAsia"/>
                <w:color w:val="auto"/>
                <w:sz w:val="24"/>
                <w:szCs w:val="24"/>
                <w:highlight w:val="none"/>
                <w:lang w:eastAsia="zh-CN"/>
              </w:rPr>
              <w:t>西安市</w:t>
            </w:r>
            <w:r>
              <w:rPr>
                <w:color w:val="auto"/>
                <w:sz w:val="24"/>
                <w:szCs w:val="24"/>
                <w:highlight w:val="none"/>
              </w:rPr>
              <w:t>周至县</w:t>
            </w:r>
            <w:r>
              <w:rPr>
                <w:rFonts w:hint="eastAsia"/>
                <w:color w:val="auto"/>
                <w:sz w:val="24"/>
                <w:szCs w:val="24"/>
                <w:highlight w:val="none"/>
                <w:lang w:eastAsia="zh-CN"/>
              </w:rPr>
              <w:t>富仁镇上三高村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地理坐标</w:t>
            </w:r>
          </w:p>
        </w:tc>
        <w:tc>
          <w:tcPr>
            <w:tcW w:w="4050" w:type="pct"/>
            <w:gridSpan w:val="3"/>
            <w:tcBorders>
              <w:top w:val="single" w:color="auto" w:sz="4" w:space="0"/>
              <w:left w:val="single" w:color="auto" w:sz="4" w:space="0"/>
              <w:bottom w:val="single" w:color="auto" w:sz="4" w:space="0"/>
              <w:right w:val="single" w:color="auto" w:sz="8" w:space="0"/>
            </w:tcBorders>
            <w:vAlign w:val="center"/>
          </w:tcPr>
          <w:p>
            <w:pPr>
              <w:pStyle w:val="27"/>
              <w:rPr>
                <w:color w:val="auto"/>
                <w:sz w:val="24"/>
                <w:szCs w:val="24"/>
                <w:highlight w:val="magenta"/>
              </w:rPr>
            </w:pPr>
            <w:r>
              <w:rPr>
                <w:color w:val="auto"/>
                <w:sz w:val="24"/>
                <w:szCs w:val="24"/>
                <w:highlight w:val="none"/>
              </w:rPr>
              <w:t>（东经108度1</w:t>
            </w:r>
            <w:r>
              <w:rPr>
                <w:rFonts w:hint="eastAsia"/>
                <w:color w:val="auto"/>
                <w:sz w:val="24"/>
                <w:szCs w:val="24"/>
                <w:highlight w:val="none"/>
                <w:lang w:val="en-US" w:eastAsia="zh-CN"/>
              </w:rPr>
              <w:t>4</w:t>
            </w:r>
            <w:r>
              <w:rPr>
                <w:color w:val="auto"/>
                <w:sz w:val="24"/>
                <w:szCs w:val="24"/>
                <w:highlight w:val="none"/>
              </w:rPr>
              <w:t>分</w:t>
            </w:r>
            <w:r>
              <w:rPr>
                <w:rFonts w:hint="eastAsia"/>
                <w:color w:val="auto"/>
                <w:sz w:val="24"/>
                <w:szCs w:val="24"/>
                <w:highlight w:val="none"/>
                <w:lang w:val="en-US" w:eastAsia="zh-CN"/>
              </w:rPr>
              <w:t>49.638</w:t>
            </w:r>
            <w:r>
              <w:rPr>
                <w:color w:val="auto"/>
                <w:sz w:val="24"/>
                <w:szCs w:val="24"/>
                <w:highlight w:val="none"/>
              </w:rPr>
              <w:t>秒，北纬34度</w:t>
            </w:r>
            <w:r>
              <w:rPr>
                <w:rFonts w:hint="eastAsia"/>
                <w:color w:val="auto"/>
                <w:sz w:val="24"/>
                <w:szCs w:val="24"/>
                <w:highlight w:val="none"/>
                <w:lang w:val="en-US" w:eastAsia="zh-CN"/>
              </w:rPr>
              <w:t>7</w:t>
            </w:r>
            <w:r>
              <w:rPr>
                <w:color w:val="auto"/>
                <w:sz w:val="24"/>
                <w:szCs w:val="24"/>
                <w:highlight w:val="none"/>
              </w:rPr>
              <w:t>分</w:t>
            </w:r>
            <w:r>
              <w:rPr>
                <w:rFonts w:hint="eastAsia"/>
                <w:color w:val="auto"/>
                <w:sz w:val="24"/>
                <w:szCs w:val="24"/>
                <w:highlight w:val="none"/>
                <w:lang w:val="en-US" w:eastAsia="zh-CN"/>
              </w:rPr>
              <w:t>18.470</w:t>
            </w:r>
            <w:r>
              <w:rPr>
                <w:color w:val="auto"/>
                <w:sz w:val="24"/>
                <w:szCs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国民经济</w:t>
            </w:r>
          </w:p>
          <w:p>
            <w:pPr>
              <w:pStyle w:val="27"/>
              <w:rPr>
                <w:color w:val="auto"/>
                <w:sz w:val="24"/>
                <w:szCs w:val="24"/>
                <w:highlight w:val="none"/>
              </w:rPr>
            </w:pPr>
            <w:r>
              <w:rPr>
                <w:color w:val="auto"/>
                <w:sz w:val="24"/>
                <w:szCs w:val="24"/>
                <w:highlight w:val="none"/>
              </w:rPr>
              <w:t>行业类别</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rPr>
                <w:rFonts w:hint="default"/>
                <w:color w:val="auto"/>
                <w:sz w:val="24"/>
                <w:szCs w:val="24"/>
                <w:highlight w:val="none"/>
                <w:lang w:val="en-US" w:eastAsia="zh-CN"/>
              </w:rPr>
            </w:pPr>
            <w:r>
              <w:rPr>
                <w:color w:val="auto"/>
                <w:sz w:val="24"/>
                <w:szCs w:val="24"/>
                <w:highlight w:val="none"/>
              </w:rPr>
              <w:t>C3</w:t>
            </w:r>
            <w:r>
              <w:rPr>
                <w:rFonts w:hint="eastAsia"/>
                <w:color w:val="auto"/>
                <w:sz w:val="24"/>
                <w:szCs w:val="24"/>
                <w:highlight w:val="none"/>
                <w:lang w:val="en-US" w:eastAsia="zh-CN"/>
              </w:rPr>
              <w:t>02</w:t>
            </w:r>
            <w:r>
              <w:rPr>
                <w:color w:val="auto"/>
                <w:sz w:val="24"/>
                <w:szCs w:val="24"/>
                <w:highlight w:val="none"/>
                <w:lang w:val="en-US" w:eastAsia="zh-CN"/>
              </w:rPr>
              <w:t xml:space="preserve">石膏、水泥制品及类似制品制造 </w:t>
            </w:r>
          </w:p>
        </w:tc>
        <w:tc>
          <w:tcPr>
            <w:tcW w:w="1130" w:type="pct"/>
            <w:tcBorders>
              <w:top w:val="single" w:color="auto" w:sz="4" w:space="0"/>
              <w:left w:val="single" w:color="auto" w:sz="4" w:space="0"/>
              <w:bottom w:val="single" w:color="auto" w:sz="4" w:space="0"/>
              <w:right w:val="single" w:color="auto" w:sz="4" w:space="0"/>
            </w:tcBorders>
            <w:vAlign w:val="center"/>
          </w:tcPr>
          <w:p>
            <w:pPr>
              <w:pStyle w:val="27"/>
              <w:rPr>
                <w:color w:val="auto"/>
                <w:sz w:val="24"/>
                <w:szCs w:val="24"/>
                <w:highlight w:val="none"/>
              </w:rPr>
            </w:pPr>
            <w:bookmarkStart w:id="3" w:name="_Hlk49843745"/>
            <w:r>
              <w:rPr>
                <w:color w:val="auto"/>
                <w:sz w:val="24"/>
                <w:szCs w:val="24"/>
                <w:highlight w:val="none"/>
              </w:rPr>
              <w:t>建设项目</w:t>
            </w:r>
          </w:p>
          <w:p>
            <w:pPr>
              <w:pStyle w:val="27"/>
              <w:rPr>
                <w:color w:val="auto"/>
                <w:sz w:val="24"/>
                <w:szCs w:val="24"/>
                <w:highlight w:val="none"/>
              </w:rPr>
            </w:pPr>
            <w:r>
              <w:rPr>
                <w:color w:val="auto"/>
                <w:sz w:val="24"/>
                <w:szCs w:val="24"/>
                <w:highlight w:val="none"/>
              </w:rPr>
              <w:t>行业类别</w:t>
            </w:r>
            <w:bookmarkEnd w:id="3"/>
          </w:p>
        </w:tc>
        <w:tc>
          <w:tcPr>
            <w:tcW w:w="1732" w:type="pct"/>
            <w:tcBorders>
              <w:top w:val="single" w:color="auto" w:sz="4" w:space="0"/>
              <w:left w:val="single" w:color="auto" w:sz="4" w:space="0"/>
              <w:bottom w:val="single" w:color="auto" w:sz="4" w:space="0"/>
              <w:right w:val="single" w:color="auto" w:sz="8" w:space="0"/>
            </w:tcBorders>
            <w:vAlign w:val="center"/>
          </w:tcPr>
          <w:p>
            <w:pPr>
              <w:pStyle w:val="27"/>
              <w:rPr>
                <w:color w:val="auto"/>
                <w:sz w:val="24"/>
                <w:szCs w:val="24"/>
              </w:rPr>
            </w:pPr>
            <w:r>
              <w:rPr>
                <w:color w:val="auto"/>
                <w:sz w:val="24"/>
                <w:szCs w:val="24"/>
              </w:rPr>
              <w:t>二十七：非金属矿物制品业</w:t>
            </w:r>
          </w:p>
          <w:p>
            <w:pPr>
              <w:pStyle w:val="27"/>
              <w:rPr>
                <w:rFonts w:hint="eastAsia" w:eastAsia="宋体"/>
                <w:color w:val="auto"/>
                <w:sz w:val="24"/>
                <w:szCs w:val="24"/>
                <w:lang w:eastAsia="zh-CN"/>
              </w:rPr>
            </w:pPr>
            <w:r>
              <w:rPr>
                <w:color w:val="auto"/>
                <w:sz w:val="24"/>
                <w:szCs w:val="24"/>
              </w:rPr>
              <w:t>30–石膏、水泥制品及类似制品制造302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93"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建设性质</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jc w:val="both"/>
              <w:rPr>
                <w:color w:val="auto"/>
                <w:sz w:val="24"/>
                <w:szCs w:val="24"/>
              </w:rPr>
            </w:pPr>
            <w:r>
              <w:rPr>
                <w:color w:val="auto"/>
                <w:sz w:val="24"/>
                <w:szCs w:val="24"/>
              </w:rPr>
              <w:sym w:font="Wingdings 2" w:char="F052"/>
            </w:r>
            <w:r>
              <w:rPr>
                <w:color w:val="auto"/>
                <w:sz w:val="24"/>
                <w:szCs w:val="24"/>
              </w:rPr>
              <w:t>新建（迁建）</w:t>
            </w:r>
          </w:p>
          <w:p>
            <w:pPr>
              <w:pStyle w:val="27"/>
              <w:ind w:firstLine="0" w:firstLineChars="0"/>
              <w:jc w:val="both"/>
              <w:rPr>
                <w:color w:val="auto"/>
                <w:sz w:val="24"/>
                <w:szCs w:val="24"/>
              </w:rPr>
            </w:pPr>
            <w:r>
              <w:rPr>
                <w:color w:val="auto"/>
                <w:sz w:val="24"/>
                <w:szCs w:val="24"/>
              </w:rPr>
              <w:sym w:font="Wingdings 2" w:char="F0A3"/>
            </w:r>
            <w:r>
              <w:rPr>
                <w:color w:val="auto"/>
                <w:sz w:val="24"/>
                <w:szCs w:val="24"/>
              </w:rPr>
              <w:t>改建</w:t>
            </w:r>
          </w:p>
          <w:p>
            <w:pPr>
              <w:pStyle w:val="27"/>
              <w:ind w:firstLine="0" w:firstLineChars="0"/>
              <w:jc w:val="both"/>
              <w:rPr>
                <w:color w:val="auto"/>
                <w:sz w:val="24"/>
                <w:szCs w:val="24"/>
              </w:rPr>
            </w:pPr>
            <w:r>
              <w:rPr>
                <w:color w:val="auto"/>
                <w:sz w:val="24"/>
                <w:szCs w:val="24"/>
              </w:rPr>
              <w:sym w:font="Wingdings 2" w:char="F0A3"/>
            </w:r>
            <w:r>
              <w:rPr>
                <w:color w:val="auto"/>
                <w:sz w:val="24"/>
                <w:szCs w:val="24"/>
              </w:rPr>
              <w:t>扩建</w:t>
            </w:r>
          </w:p>
          <w:p>
            <w:pPr>
              <w:pStyle w:val="27"/>
              <w:ind w:firstLine="0" w:firstLineChars="0"/>
              <w:jc w:val="both"/>
              <w:rPr>
                <w:color w:val="auto"/>
                <w:sz w:val="24"/>
                <w:szCs w:val="24"/>
              </w:rPr>
            </w:pPr>
            <w:r>
              <w:rPr>
                <w:color w:val="auto"/>
                <w:sz w:val="24"/>
                <w:szCs w:val="24"/>
              </w:rPr>
              <w:sym w:font="Wingdings 2" w:char="F0A3"/>
            </w:r>
            <w:r>
              <w:rPr>
                <w:color w:val="auto"/>
                <w:sz w:val="24"/>
                <w:szCs w:val="24"/>
              </w:rPr>
              <w:t>技术改造</w:t>
            </w:r>
          </w:p>
        </w:tc>
        <w:tc>
          <w:tcPr>
            <w:tcW w:w="1130" w:type="pct"/>
            <w:tcBorders>
              <w:top w:val="single" w:color="auto" w:sz="4" w:space="0"/>
              <w:left w:val="single" w:color="auto" w:sz="4" w:space="0"/>
              <w:bottom w:val="single" w:color="auto" w:sz="4" w:space="0"/>
              <w:right w:val="single" w:color="auto" w:sz="4" w:space="0"/>
            </w:tcBorders>
            <w:vAlign w:val="center"/>
          </w:tcPr>
          <w:p>
            <w:pPr>
              <w:pStyle w:val="27"/>
              <w:rPr>
                <w:color w:val="auto"/>
                <w:sz w:val="24"/>
                <w:szCs w:val="24"/>
              </w:rPr>
            </w:pPr>
            <w:r>
              <w:rPr>
                <w:color w:val="auto"/>
                <w:sz w:val="24"/>
                <w:szCs w:val="24"/>
              </w:rPr>
              <w:t>建设项目</w:t>
            </w:r>
          </w:p>
          <w:p>
            <w:pPr>
              <w:pStyle w:val="27"/>
              <w:rPr>
                <w:color w:val="auto"/>
                <w:sz w:val="24"/>
                <w:szCs w:val="24"/>
              </w:rPr>
            </w:pPr>
            <w:r>
              <w:rPr>
                <w:color w:val="auto"/>
                <w:sz w:val="24"/>
                <w:szCs w:val="24"/>
              </w:rPr>
              <w:t>申报情形</w:t>
            </w:r>
          </w:p>
        </w:tc>
        <w:tc>
          <w:tcPr>
            <w:tcW w:w="1732" w:type="pct"/>
            <w:tcBorders>
              <w:top w:val="single" w:color="auto" w:sz="4" w:space="0"/>
              <w:left w:val="single" w:color="auto" w:sz="4" w:space="0"/>
              <w:bottom w:val="single" w:color="auto" w:sz="4" w:space="0"/>
              <w:right w:val="single" w:color="auto" w:sz="8" w:space="0"/>
            </w:tcBorders>
            <w:vAlign w:val="center"/>
          </w:tcPr>
          <w:p>
            <w:pPr>
              <w:pStyle w:val="27"/>
              <w:ind w:firstLine="0" w:firstLineChars="0"/>
              <w:jc w:val="both"/>
              <w:rPr>
                <w:color w:val="auto"/>
                <w:sz w:val="24"/>
                <w:szCs w:val="24"/>
              </w:rPr>
            </w:pPr>
            <w:r>
              <w:rPr>
                <w:color w:val="auto"/>
                <w:sz w:val="24"/>
                <w:szCs w:val="24"/>
              </w:rPr>
              <w:sym w:font="Wingdings 2" w:char="F052"/>
            </w:r>
            <w:r>
              <w:rPr>
                <w:color w:val="auto"/>
                <w:sz w:val="24"/>
                <w:szCs w:val="24"/>
              </w:rPr>
              <w:t>首次申报项目</w:t>
            </w:r>
          </w:p>
          <w:p>
            <w:pPr>
              <w:pStyle w:val="27"/>
              <w:jc w:val="both"/>
              <w:rPr>
                <w:color w:val="auto"/>
                <w:sz w:val="24"/>
                <w:szCs w:val="24"/>
              </w:rPr>
            </w:pPr>
            <w:r>
              <w:rPr>
                <w:color w:val="auto"/>
                <w:sz w:val="24"/>
                <w:szCs w:val="24"/>
              </w:rPr>
              <w:sym w:font="Wingdings 2" w:char="F0A3"/>
            </w:r>
            <w:r>
              <w:rPr>
                <w:color w:val="auto"/>
                <w:sz w:val="24"/>
                <w:szCs w:val="24"/>
              </w:rPr>
              <w:t>不予批准后再次申报项目</w:t>
            </w:r>
          </w:p>
          <w:p>
            <w:pPr>
              <w:pStyle w:val="27"/>
              <w:ind w:firstLine="0" w:firstLineChars="0"/>
              <w:jc w:val="both"/>
              <w:rPr>
                <w:color w:val="auto"/>
                <w:sz w:val="24"/>
                <w:szCs w:val="24"/>
              </w:rPr>
            </w:pPr>
            <w:r>
              <w:rPr>
                <w:color w:val="auto"/>
                <w:sz w:val="24"/>
                <w:szCs w:val="24"/>
              </w:rPr>
              <w:sym w:font="Wingdings 2" w:char="F0A3"/>
            </w:r>
            <w:r>
              <w:rPr>
                <w:color w:val="auto"/>
                <w:sz w:val="24"/>
                <w:szCs w:val="24"/>
              </w:rPr>
              <w:t>超五年重新审核项目</w:t>
            </w:r>
          </w:p>
          <w:p>
            <w:pPr>
              <w:pStyle w:val="27"/>
              <w:ind w:firstLine="0" w:firstLineChars="0"/>
              <w:jc w:val="both"/>
              <w:rPr>
                <w:color w:val="auto"/>
                <w:sz w:val="24"/>
                <w:szCs w:val="24"/>
              </w:rPr>
            </w:pPr>
            <w:r>
              <w:rPr>
                <w:color w:val="auto"/>
                <w:sz w:val="24"/>
                <w:szCs w:val="24"/>
              </w:rPr>
              <w:sym w:font="Wingdings 2" w:char="F0A3"/>
            </w:r>
            <w:r>
              <w:rPr>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项目审批（核准/</w:t>
            </w:r>
          </w:p>
          <w:p>
            <w:pPr>
              <w:pStyle w:val="27"/>
              <w:rPr>
                <w:color w:val="auto"/>
                <w:sz w:val="24"/>
                <w:szCs w:val="24"/>
                <w:highlight w:val="none"/>
              </w:rPr>
            </w:pPr>
            <w:r>
              <w:rPr>
                <w:color w:val="auto"/>
                <w:sz w:val="24"/>
                <w:szCs w:val="24"/>
                <w:highlight w:val="none"/>
              </w:rPr>
              <w:t>备案）部门（选填）</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rPr>
                <w:rFonts w:hint="eastAsia" w:eastAsia="宋体"/>
                <w:color w:val="auto"/>
                <w:sz w:val="24"/>
                <w:szCs w:val="24"/>
                <w:highlight w:val="none"/>
                <w:lang w:val="en-US" w:eastAsia="zh-CN"/>
              </w:rPr>
            </w:pPr>
            <w:r>
              <w:rPr>
                <w:rFonts w:hint="eastAsia"/>
                <w:color w:val="auto"/>
                <w:sz w:val="24"/>
                <w:szCs w:val="24"/>
                <w:highlight w:val="none"/>
                <w:lang w:val="en-US" w:eastAsia="zh-CN"/>
              </w:rPr>
              <w:t>/</w:t>
            </w:r>
          </w:p>
        </w:tc>
        <w:tc>
          <w:tcPr>
            <w:tcW w:w="1130" w:type="pct"/>
            <w:tcBorders>
              <w:top w:val="single" w:color="auto" w:sz="4" w:space="0"/>
              <w:left w:val="single" w:color="auto" w:sz="4" w:space="0"/>
              <w:bottom w:val="single" w:color="auto" w:sz="4" w:space="0"/>
              <w:right w:val="single" w:color="auto" w:sz="4" w:space="0"/>
            </w:tcBorders>
            <w:vAlign w:val="center"/>
          </w:tcPr>
          <w:p>
            <w:pPr>
              <w:pStyle w:val="27"/>
              <w:rPr>
                <w:color w:val="auto"/>
                <w:sz w:val="24"/>
                <w:szCs w:val="24"/>
                <w:highlight w:val="none"/>
              </w:rPr>
            </w:pPr>
            <w:r>
              <w:rPr>
                <w:color w:val="auto"/>
                <w:sz w:val="24"/>
                <w:szCs w:val="24"/>
                <w:highlight w:val="none"/>
              </w:rPr>
              <w:t>项目审批（核准/</w:t>
            </w:r>
          </w:p>
          <w:p>
            <w:pPr>
              <w:pStyle w:val="27"/>
              <w:rPr>
                <w:color w:val="auto"/>
                <w:sz w:val="24"/>
                <w:szCs w:val="24"/>
                <w:highlight w:val="none"/>
              </w:rPr>
            </w:pPr>
            <w:r>
              <w:rPr>
                <w:color w:val="auto"/>
                <w:sz w:val="24"/>
                <w:szCs w:val="24"/>
                <w:highlight w:val="none"/>
              </w:rPr>
              <w:t>备案）文号（选填）</w:t>
            </w:r>
          </w:p>
        </w:tc>
        <w:tc>
          <w:tcPr>
            <w:tcW w:w="1732" w:type="pct"/>
            <w:tcBorders>
              <w:top w:val="single" w:color="auto" w:sz="4" w:space="0"/>
              <w:left w:val="single" w:color="auto" w:sz="4" w:space="0"/>
              <w:bottom w:val="single" w:color="auto" w:sz="4" w:space="0"/>
              <w:right w:val="single" w:color="auto" w:sz="8" w:space="0"/>
            </w:tcBorders>
            <w:vAlign w:val="center"/>
          </w:tcPr>
          <w:p>
            <w:pPr>
              <w:pStyle w:val="27"/>
              <w:rPr>
                <w:rFonts w:hint="eastAsia" w:eastAsia="宋体"/>
                <w:color w:val="auto"/>
                <w:sz w:val="24"/>
                <w:szCs w:val="24"/>
                <w:highlight w:val="none"/>
                <w:lang w:val="en-US" w:eastAsia="zh-CN"/>
              </w:rPr>
            </w:pPr>
            <w:r>
              <w:rPr>
                <w:rFonts w:hint="eastAsia"/>
                <w:color w:val="auto"/>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总投资（万元）</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rPr>
                <w:rFonts w:hint="default"/>
                <w:color w:val="auto"/>
                <w:sz w:val="24"/>
                <w:szCs w:val="24"/>
                <w:highlight w:val="none"/>
                <w:lang w:val="en-US"/>
              </w:rPr>
            </w:pPr>
            <w:r>
              <w:rPr>
                <w:rFonts w:hint="eastAsia"/>
                <w:color w:val="auto"/>
                <w:sz w:val="24"/>
                <w:szCs w:val="24"/>
                <w:highlight w:val="none"/>
                <w:lang w:val="en-US" w:eastAsia="zh-CN"/>
              </w:rPr>
              <w:t>500</w:t>
            </w:r>
          </w:p>
        </w:tc>
        <w:tc>
          <w:tcPr>
            <w:tcW w:w="1130"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环保投资（万元）</w:t>
            </w:r>
          </w:p>
        </w:tc>
        <w:tc>
          <w:tcPr>
            <w:tcW w:w="1732" w:type="pct"/>
            <w:tcBorders>
              <w:top w:val="single" w:color="auto" w:sz="4" w:space="0"/>
              <w:left w:val="single" w:color="auto" w:sz="4" w:space="0"/>
              <w:bottom w:val="single" w:color="auto" w:sz="4" w:space="0"/>
              <w:right w:val="single" w:color="auto" w:sz="8" w:space="0"/>
            </w:tcBorders>
            <w:vAlign w:val="center"/>
          </w:tcPr>
          <w:p>
            <w:pPr>
              <w:pStyle w:val="27"/>
              <w:rPr>
                <w:color w:val="auto"/>
                <w:sz w:val="24"/>
                <w:szCs w:val="24"/>
                <w:highlight w:val="none"/>
              </w:rPr>
            </w:pPr>
            <w:r>
              <w:rPr>
                <w:color w:val="auto"/>
                <w:sz w:val="24"/>
                <w:szCs w:val="24"/>
                <w:highlight w:val="none"/>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环保投资占比（%）</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rPr>
                <w:color w:val="auto"/>
                <w:sz w:val="24"/>
                <w:szCs w:val="24"/>
                <w:highlight w:val="none"/>
              </w:rPr>
            </w:pPr>
            <w:r>
              <w:rPr>
                <w:color w:val="auto"/>
                <w:sz w:val="24"/>
                <w:szCs w:val="24"/>
                <w:highlight w:val="none"/>
              </w:rPr>
              <w:t>6%</w:t>
            </w:r>
          </w:p>
        </w:tc>
        <w:tc>
          <w:tcPr>
            <w:tcW w:w="1130" w:type="pct"/>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highlight w:val="none"/>
              </w:rPr>
            </w:pPr>
            <w:r>
              <w:rPr>
                <w:color w:val="auto"/>
                <w:sz w:val="24"/>
                <w:szCs w:val="24"/>
                <w:highlight w:val="none"/>
              </w:rPr>
              <w:t>施工工期</w:t>
            </w:r>
          </w:p>
        </w:tc>
        <w:tc>
          <w:tcPr>
            <w:tcW w:w="1732" w:type="pct"/>
            <w:tcBorders>
              <w:top w:val="single" w:color="auto" w:sz="4" w:space="0"/>
              <w:left w:val="single" w:color="auto" w:sz="4" w:space="0"/>
              <w:bottom w:val="single" w:color="auto" w:sz="4" w:space="0"/>
              <w:right w:val="single" w:color="auto" w:sz="8" w:space="0"/>
            </w:tcBorders>
            <w:vAlign w:val="center"/>
          </w:tcPr>
          <w:p>
            <w:pPr>
              <w:pStyle w:val="27"/>
              <w:rPr>
                <w:color w:val="auto"/>
                <w:sz w:val="24"/>
                <w:szCs w:val="24"/>
                <w:highlight w:val="none"/>
              </w:rPr>
            </w:pPr>
            <w:r>
              <w:rPr>
                <w:rFonts w:hint="eastAsia"/>
                <w:color w:val="auto"/>
                <w:sz w:val="24"/>
                <w:szCs w:val="24"/>
                <w:highlight w:val="none"/>
                <w:lang w:val="en-US" w:eastAsia="zh-CN"/>
              </w:rPr>
              <w:t>6</w:t>
            </w:r>
            <w:r>
              <w:rPr>
                <w:color w:val="auto"/>
                <w:sz w:val="24"/>
                <w:szCs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是否开工建设</w:t>
            </w:r>
          </w:p>
        </w:tc>
        <w:tc>
          <w:tcPr>
            <w:tcW w:w="1186" w:type="pct"/>
            <w:tcBorders>
              <w:top w:val="single" w:color="auto" w:sz="4" w:space="0"/>
              <w:left w:val="single" w:color="auto" w:sz="4" w:space="0"/>
              <w:bottom w:val="single" w:color="auto" w:sz="4" w:space="0"/>
              <w:right w:val="single" w:color="auto" w:sz="4" w:space="0"/>
            </w:tcBorders>
            <w:vAlign w:val="center"/>
          </w:tcPr>
          <w:p>
            <w:pPr>
              <w:pStyle w:val="27"/>
              <w:jc w:val="both"/>
              <w:rPr>
                <w:color w:val="auto"/>
                <w:sz w:val="24"/>
                <w:szCs w:val="24"/>
              </w:rPr>
            </w:pPr>
            <w:r>
              <w:rPr>
                <w:color w:val="auto"/>
                <w:sz w:val="24"/>
                <w:szCs w:val="24"/>
              </w:rPr>
              <w:sym w:font="Wingdings 2" w:char="0052"/>
            </w:r>
            <w:r>
              <w:rPr>
                <w:color w:val="auto"/>
                <w:sz w:val="24"/>
                <w:szCs w:val="24"/>
              </w:rPr>
              <w:t>否</w:t>
            </w:r>
          </w:p>
          <w:p>
            <w:pPr>
              <w:pStyle w:val="27"/>
              <w:jc w:val="both"/>
              <w:rPr>
                <w:rFonts w:hint="default" w:eastAsia="宋体"/>
                <w:color w:val="auto"/>
                <w:sz w:val="24"/>
                <w:szCs w:val="24"/>
                <w:lang w:val="en-US" w:eastAsia="zh-CN"/>
              </w:rPr>
            </w:pPr>
            <w:r>
              <w:rPr>
                <w:color w:val="auto"/>
                <w:sz w:val="24"/>
                <w:szCs w:val="24"/>
              </w:rPr>
              <w:sym w:font="Wingdings 2" w:char="00A3"/>
            </w:r>
            <w:r>
              <w:rPr>
                <w:color w:val="auto"/>
                <w:sz w:val="24"/>
                <w:szCs w:val="24"/>
              </w:rPr>
              <w:t>是：</w:t>
            </w:r>
            <w:r>
              <w:rPr>
                <w:rFonts w:hint="eastAsia"/>
                <w:color w:val="auto"/>
                <w:sz w:val="24"/>
                <w:szCs w:val="24"/>
                <w:u w:val="single"/>
                <w:lang w:val="en-US" w:eastAsia="zh-CN"/>
              </w:rPr>
              <w:t xml:space="preserve">           </w:t>
            </w:r>
          </w:p>
        </w:tc>
        <w:tc>
          <w:tcPr>
            <w:tcW w:w="1130" w:type="pct"/>
            <w:tcBorders>
              <w:top w:val="single" w:color="auto" w:sz="4" w:space="0"/>
              <w:left w:val="single" w:color="auto" w:sz="4" w:space="0"/>
              <w:bottom w:val="single" w:color="auto" w:sz="4" w:space="0"/>
              <w:right w:val="single" w:color="auto" w:sz="4" w:space="0"/>
            </w:tcBorders>
            <w:vAlign w:val="center"/>
          </w:tcPr>
          <w:p>
            <w:pPr>
              <w:pStyle w:val="27"/>
              <w:rPr>
                <w:color w:val="auto"/>
                <w:sz w:val="24"/>
                <w:szCs w:val="24"/>
              </w:rPr>
            </w:pPr>
            <w:r>
              <w:rPr>
                <w:color w:val="auto"/>
                <w:sz w:val="24"/>
                <w:szCs w:val="24"/>
              </w:rPr>
              <w:t>用地面积（m</w:t>
            </w:r>
            <w:r>
              <w:rPr>
                <w:color w:val="auto"/>
                <w:sz w:val="24"/>
                <w:szCs w:val="24"/>
                <w:vertAlign w:val="superscript"/>
              </w:rPr>
              <w:t>2</w:t>
            </w:r>
            <w:r>
              <w:rPr>
                <w:color w:val="auto"/>
                <w:sz w:val="24"/>
                <w:szCs w:val="24"/>
              </w:rPr>
              <w:t>）</w:t>
            </w:r>
          </w:p>
          <w:p>
            <w:pPr>
              <w:pStyle w:val="27"/>
              <w:rPr>
                <w:color w:val="auto"/>
                <w:sz w:val="24"/>
                <w:szCs w:val="24"/>
              </w:rPr>
            </w:pPr>
            <w:r>
              <w:rPr>
                <w:color w:val="auto"/>
                <w:sz w:val="24"/>
                <w:szCs w:val="24"/>
              </w:rPr>
              <w:t>/长度（km）</w:t>
            </w:r>
          </w:p>
        </w:tc>
        <w:tc>
          <w:tcPr>
            <w:tcW w:w="1732" w:type="pct"/>
            <w:tcBorders>
              <w:top w:val="single" w:color="auto" w:sz="4" w:space="0"/>
              <w:left w:val="single" w:color="auto" w:sz="4" w:space="0"/>
              <w:bottom w:val="single" w:color="auto" w:sz="4" w:space="0"/>
              <w:right w:val="single" w:color="auto" w:sz="8" w:space="0"/>
            </w:tcBorders>
            <w:vAlign w:val="center"/>
          </w:tcPr>
          <w:p>
            <w:pPr>
              <w:pStyle w:val="27"/>
              <w:rPr>
                <w:color w:val="auto"/>
                <w:sz w:val="24"/>
                <w:szCs w:val="24"/>
              </w:rPr>
            </w:pPr>
            <w:r>
              <w:rPr>
                <w:rFonts w:hint="eastAsia"/>
                <w:color w:val="auto"/>
                <w:sz w:val="24"/>
                <w:szCs w:val="24"/>
                <w:lang w:val="en-US" w:eastAsia="zh-CN"/>
              </w:rPr>
              <w:t>23333.33</w:t>
            </w:r>
            <w:r>
              <w:rPr>
                <w:color w:val="auto"/>
                <w:sz w:val="24"/>
                <w:szCs w:val="24"/>
              </w:rPr>
              <w:t>m</w:t>
            </w:r>
            <w:r>
              <w:rPr>
                <w:color w:val="auto"/>
                <w:sz w:val="24"/>
                <w:szCs w:val="24"/>
                <w:vertAlign w:val="superscript"/>
              </w:rPr>
              <w:t>2</w:t>
            </w:r>
            <w:r>
              <w:rPr>
                <w:color w:val="auto"/>
                <w:sz w:val="24"/>
                <w:szCs w:val="24"/>
              </w:rPr>
              <w:t>（</w:t>
            </w:r>
            <w:r>
              <w:rPr>
                <w:rFonts w:hint="eastAsia"/>
                <w:color w:val="auto"/>
                <w:sz w:val="24"/>
                <w:szCs w:val="24"/>
                <w:lang w:val="en-US" w:eastAsia="zh-CN"/>
              </w:rPr>
              <w:t>35</w:t>
            </w:r>
            <w:r>
              <w:rPr>
                <w:color w:val="auto"/>
                <w:sz w:val="24"/>
                <w:szCs w:val="24"/>
              </w:rPr>
              <w:t>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62"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rPr>
            </w:pPr>
            <w:r>
              <w:rPr>
                <w:color w:val="auto"/>
                <w:sz w:val="24"/>
                <w:szCs w:val="24"/>
              </w:rPr>
              <w:t>专项评价设置情况</w:t>
            </w:r>
          </w:p>
        </w:tc>
        <w:tc>
          <w:tcPr>
            <w:tcW w:w="4050"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ind w:firstLine="480" w:firstLineChars="200"/>
              <w:rPr>
                <w:rFonts w:cs="Times New Roman"/>
                <w:color w:val="auto"/>
              </w:rPr>
            </w:pPr>
            <w:r>
              <w:rPr>
                <w:rFonts w:cs="Times New Roman"/>
                <w:color w:val="auto"/>
              </w:rPr>
              <w:t>根据《建设项目环境影响报告表编制技术指南》（污染影响类）（试行），专项评价设置原则与本项目情况对照见表1-1。</w:t>
            </w:r>
          </w:p>
          <w:p>
            <w:pPr>
              <w:pStyle w:val="28"/>
              <w:rPr>
                <w:rFonts w:cs="Times New Roman"/>
                <w:color w:val="auto"/>
              </w:rPr>
            </w:pPr>
            <w:r>
              <w:rPr>
                <w:rFonts w:cs="Times New Roman"/>
                <w:color w:val="auto"/>
              </w:rPr>
              <w:t>表1-1 专项评价设置原则及本项目情况对照一览表</w:t>
            </w:r>
          </w:p>
          <w:tbl>
            <w:tblPr>
              <w:tblStyle w:val="22"/>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2604"/>
              <w:gridCol w:w="2952"/>
              <w:gridCol w:w="108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8" w:space="0"/>
                    <w:left w:val="nil"/>
                    <w:bottom w:val="single" w:color="auto" w:sz="4" w:space="0"/>
                    <w:right w:val="single" w:color="auto" w:sz="4" w:space="0"/>
                  </w:tcBorders>
                  <w:vAlign w:val="center"/>
                </w:tcPr>
                <w:p>
                  <w:pPr>
                    <w:pStyle w:val="27"/>
                    <w:rPr>
                      <w:b/>
                      <w:bCs/>
                      <w:color w:val="auto"/>
                    </w:rPr>
                  </w:pPr>
                  <w:r>
                    <w:rPr>
                      <w:b/>
                      <w:bCs/>
                      <w:color w:val="auto"/>
                    </w:rPr>
                    <w:t>专项评价的类别</w:t>
                  </w:r>
                </w:p>
              </w:tc>
              <w:tc>
                <w:tcPr>
                  <w:tcW w:w="1683" w:type="pct"/>
                  <w:tcBorders>
                    <w:top w:val="single" w:color="auto" w:sz="8" w:space="0"/>
                    <w:left w:val="single" w:color="auto" w:sz="4" w:space="0"/>
                    <w:bottom w:val="single" w:color="auto" w:sz="4" w:space="0"/>
                    <w:right w:val="single" w:color="auto" w:sz="4" w:space="0"/>
                  </w:tcBorders>
                  <w:vAlign w:val="center"/>
                </w:tcPr>
                <w:p>
                  <w:pPr>
                    <w:pStyle w:val="27"/>
                    <w:rPr>
                      <w:b/>
                      <w:bCs/>
                      <w:color w:val="auto"/>
                    </w:rPr>
                  </w:pPr>
                  <w:r>
                    <w:rPr>
                      <w:b/>
                      <w:bCs/>
                      <w:color w:val="auto"/>
                    </w:rPr>
                    <w:t>设置原则</w:t>
                  </w:r>
                </w:p>
              </w:tc>
              <w:tc>
                <w:tcPr>
                  <w:tcW w:w="1908" w:type="pct"/>
                  <w:tcBorders>
                    <w:top w:val="single" w:color="auto" w:sz="8" w:space="0"/>
                    <w:left w:val="single" w:color="auto" w:sz="4" w:space="0"/>
                    <w:bottom w:val="single" w:color="auto" w:sz="4" w:space="0"/>
                    <w:right w:val="single" w:color="auto" w:sz="4" w:space="0"/>
                  </w:tcBorders>
                  <w:vAlign w:val="center"/>
                </w:tcPr>
                <w:p>
                  <w:pPr>
                    <w:pStyle w:val="27"/>
                    <w:rPr>
                      <w:b/>
                      <w:bCs/>
                      <w:color w:val="auto"/>
                    </w:rPr>
                  </w:pPr>
                  <w:r>
                    <w:rPr>
                      <w:b/>
                      <w:bCs/>
                      <w:color w:val="auto"/>
                    </w:rPr>
                    <w:t>本项目情况</w:t>
                  </w:r>
                </w:p>
              </w:tc>
              <w:tc>
                <w:tcPr>
                  <w:tcW w:w="700" w:type="pct"/>
                  <w:tcBorders>
                    <w:top w:val="single" w:color="auto" w:sz="8" w:space="0"/>
                    <w:left w:val="single" w:color="auto" w:sz="4" w:space="0"/>
                    <w:bottom w:val="single" w:color="auto" w:sz="4" w:space="0"/>
                    <w:right w:val="nil"/>
                  </w:tcBorders>
                  <w:vAlign w:val="center"/>
                </w:tcPr>
                <w:p>
                  <w:pPr>
                    <w:pStyle w:val="27"/>
                    <w:rPr>
                      <w:b/>
                      <w:bCs/>
                      <w:color w:val="auto"/>
                    </w:rPr>
                  </w:pPr>
                  <w:r>
                    <w:rPr>
                      <w:b/>
                      <w:bCs/>
                      <w:color w:val="auto"/>
                    </w:rPr>
                    <w:t>是否开展专项评价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7"/>
                    <w:rPr>
                      <w:color w:val="auto"/>
                    </w:rPr>
                  </w:pPr>
                  <w:r>
                    <w:rPr>
                      <w:color w:val="auto"/>
                    </w:rPr>
                    <w:t>大气</w:t>
                  </w:r>
                </w:p>
              </w:tc>
              <w:tc>
                <w:tcPr>
                  <w:tcW w:w="1683" w:type="pct"/>
                  <w:tcBorders>
                    <w:top w:val="single" w:color="auto" w:sz="4" w:space="0"/>
                    <w:left w:val="single" w:color="auto" w:sz="4" w:space="0"/>
                    <w:bottom w:val="single" w:color="auto" w:sz="4" w:space="0"/>
                    <w:right w:val="single" w:color="auto" w:sz="4" w:space="0"/>
                  </w:tcBorders>
                  <w:vAlign w:val="center"/>
                </w:tcPr>
                <w:p>
                  <w:pPr>
                    <w:pStyle w:val="27"/>
                    <w:rPr>
                      <w:color w:val="auto"/>
                      <w:highlight w:val="none"/>
                    </w:rPr>
                  </w:pPr>
                  <w:r>
                    <w:rPr>
                      <w:color w:val="auto"/>
                      <w:highlight w:val="none"/>
                    </w:rPr>
                    <w:t>排放废气含有毒有害污染物</w:t>
                  </w:r>
                  <w:r>
                    <w:rPr>
                      <w:color w:val="auto"/>
                      <w:highlight w:val="none"/>
                      <w:vertAlign w:val="superscript"/>
                    </w:rPr>
                    <w:t>1</w:t>
                  </w:r>
                  <w:r>
                    <w:rPr>
                      <w:color w:val="auto"/>
                      <w:highlight w:val="none"/>
                    </w:rPr>
                    <w:t>、二噁英、苯并芘、氰化物、氯气且厂界外500米范围内有环境空气保护目标</w:t>
                  </w:r>
                  <w:r>
                    <w:rPr>
                      <w:color w:val="auto"/>
                      <w:highlight w:val="none"/>
                      <w:vertAlign w:val="superscript"/>
                    </w:rPr>
                    <w:t>2</w:t>
                  </w:r>
                  <w:r>
                    <w:rPr>
                      <w:color w:val="auto"/>
                      <w:highlight w:val="none"/>
                    </w:rPr>
                    <w:t>的建设项目。</w:t>
                  </w:r>
                </w:p>
              </w:tc>
              <w:tc>
                <w:tcPr>
                  <w:tcW w:w="1908" w:type="pct"/>
                  <w:tcBorders>
                    <w:top w:val="single" w:color="auto" w:sz="4" w:space="0"/>
                    <w:left w:val="single" w:color="auto" w:sz="4" w:space="0"/>
                    <w:bottom w:val="single" w:color="auto" w:sz="4" w:space="0"/>
                    <w:right w:val="single" w:color="auto" w:sz="4" w:space="0"/>
                  </w:tcBorders>
                  <w:vAlign w:val="center"/>
                </w:tcPr>
                <w:p>
                  <w:pPr>
                    <w:pStyle w:val="27"/>
                    <w:rPr>
                      <w:color w:val="auto"/>
                      <w:highlight w:val="none"/>
                    </w:rPr>
                  </w:pPr>
                  <w:r>
                    <w:rPr>
                      <w:rFonts w:hint="eastAsia"/>
                      <w:color w:val="auto"/>
                      <w:highlight w:val="none"/>
                      <w:lang w:eastAsia="zh-CN"/>
                    </w:rPr>
                    <w:t>本项目运营期排放废气为颗粒物，不属于排放废气中含有毒有害污染物、</w:t>
                  </w:r>
                  <w:r>
                    <w:rPr>
                      <w:rFonts w:hint="default"/>
                      <w:color w:val="auto"/>
                      <w:highlight w:val="none"/>
                      <w:lang w:val="en-US" w:eastAsia="zh-CN"/>
                    </w:rPr>
                    <w:t>二噁英、苯并芘、氰化物、氯气且厂界外500米范围内有环境空气保护目标的建设项目</w:t>
                  </w:r>
                  <w:r>
                    <w:rPr>
                      <w:rFonts w:hint="eastAsia"/>
                      <w:color w:val="auto"/>
                      <w:highlight w:val="none"/>
                      <w:lang w:val="en-US" w:eastAsia="zh-CN"/>
                    </w:rPr>
                    <w:t>，因此本项目不需要进行大气专项评价。</w:t>
                  </w:r>
                </w:p>
              </w:tc>
              <w:tc>
                <w:tcPr>
                  <w:tcW w:w="700" w:type="pct"/>
                  <w:tcBorders>
                    <w:top w:val="single" w:color="auto" w:sz="4" w:space="0"/>
                    <w:left w:val="single" w:color="auto" w:sz="4" w:space="0"/>
                    <w:bottom w:val="single" w:color="auto" w:sz="4" w:space="0"/>
                    <w:right w:val="nil"/>
                  </w:tcBorders>
                  <w:vAlign w:val="center"/>
                </w:tcPr>
                <w:p>
                  <w:pPr>
                    <w:pStyle w:val="27"/>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710" w:type="pct"/>
                  <w:tcBorders>
                    <w:top w:val="single" w:color="auto" w:sz="4" w:space="0"/>
                    <w:left w:val="nil"/>
                    <w:bottom w:val="single" w:color="auto" w:sz="4" w:space="0"/>
                    <w:right w:val="single" w:color="auto" w:sz="4" w:space="0"/>
                  </w:tcBorders>
                  <w:vAlign w:val="center"/>
                </w:tcPr>
                <w:p>
                  <w:pPr>
                    <w:pStyle w:val="27"/>
                    <w:rPr>
                      <w:color w:val="auto"/>
                    </w:rPr>
                  </w:pPr>
                  <w:r>
                    <w:rPr>
                      <w:color w:val="auto"/>
                    </w:rPr>
                    <w:t>地表水</w:t>
                  </w:r>
                </w:p>
              </w:tc>
              <w:tc>
                <w:tcPr>
                  <w:tcW w:w="1683"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新增工业废水直排建设项目（槽罐车外送污水处理厂的除外）；新增废水直排的污水集中处理厂。</w:t>
                  </w:r>
                </w:p>
              </w:tc>
              <w:tc>
                <w:tcPr>
                  <w:tcW w:w="1908" w:type="pct"/>
                  <w:tcBorders>
                    <w:top w:val="single" w:color="auto" w:sz="4" w:space="0"/>
                    <w:left w:val="single" w:color="auto" w:sz="4" w:space="0"/>
                    <w:bottom w:val="single" w:color="auto" w:sz="4" w:space="0"/>
                    <w:right w:val="single" w:color="auto" w:sz="4" w:space="0"/>
                  </w:tcBorders>
                  <w:vAlign w:val="center"/>
                </w:tcPr>
                <w:p>
                  <w:pPr>
                    <w:pStyle w:val="27"/>
                    <w:rPr>
                      <w:color w:val="auto"/>
                      <w:highlight w:val="cyan"/>
                    </w:rPr>
                  </w:pPr>
                  <w:r>
                    <w:rPr>
                      <w:color w:val="auto"/>
                      <w:highlight w:val="none"/>
                    </w:rPr>
                    <w:t>本项目</w:t>
                  </w:r>
                  <w:r>
                    <w:rPr>
                      <w:rFonts w:hint="eastAsia"/>
                      <w:color w:val="auto"/>
                      <w:highlight w:val="none"/>
                      <w:lang w:eastAsia="zh-CN"/>
                    </w:rPr>
                    <w:t>运营期</w:t>
                  </w:r>
                  <w:r>
                    <w:rPr>
                      <w:rFonts w:hint="eastAsia"/>
                      <w:color w:val="auto"/>
                      <w:highlight w:val="none"/>
                      <w:lang w:val="en-GB" w:eastAsia="zh-CN"/>
                    </w:rPr>
                    <w:t>车辆冲洗废水经沉淀池沉淀后回用不外排。</w:t>
                  </w:r>
                  <w:r>
                    <w:rPr>
                      <w:color w:val="auto"/>
                      <w:highlight w:val="none"/>
                    </w:rPr>
                    <w:t>因此本项目不需要进行地表水专项评价。</w:t>
                  </w:r>
                </w:p>
              </w:tc>
              <w:tc>
                <w:tcPr>
                  <w:tcW w:w="700" w:type="pct"/>
                  <w:tcBorders>
                    <w:top w:val="single" w:color="auto" w:sz="4" w:space="0"/>
                    <w:left w:val="single" w:color="auto" w:sz="4" w:space="0"/>
                    <w:bottom w:val="single" w:color="auto" w:sz="4" w:space="0"/>
                    <w:right w:val="nil"/>
                  </w:tcBorders>
                  <w:vAlign w:val="center"/>
                </w:tcPr>
                <w:p>
                  <w:pPr>
                    <w:pStyle w:val="27"/>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7"/>
                    <w:rPr>
                      <w:color w:val="auto"/>
                    </w:rPr>
                  </w:pPr>
                  <w:r>
                    <w:rPr>
                      <w:color w:val="auto"/>
                    </w:rPr>
                    <w:t>环境风险</w:t>
                  </w:r>
                </w:p>
              </w:tc>
              <w:tc>
                <w:tcPr>
                  <w:tcW w:w="1683"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有毒有害和易燃易爆危险物质存储量超过临界量</w:t>
                  </w:r>
                  <w:r>
                    <w:rPr>
                      <w:color w:val="auto"/>
                      <w:vertAlign w:val="superscript"/>
                    </w:rPr>
                    <w:t>3</w:t>
                  </w:r>
                  <w:r>
                    <w:rPr>
                      <w:color w:val="auto"/>
                    </w:rPr>
                    <w:t>的建设项目。</w:t>
                  </w:r>
                </w:p>
              </w:tc>
              <w:tc>
                <w:tcPr>
                  <w:tcW w:w="1908"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本项目涉及的环境风险物质最大存储量均未超过临界量，因此本项目不需要进行环境风险专项评价。</w:t>
                  </w:r>
                </w:p>
              </w:tc>
              <w:tc>
                <w:tcPr>
                  <w:tcW w:w="700" w:type="pct"/>
                  <w:tcBorders>
                    <w:top w:val="single" w:color="auto" w:sz="4" w:space="0"/>
                    <w:left w:val="single" w:color="auto" w:sz="4" w:space="0"/>
                    <w:bottom w:val="single" w:color="auto" w:sz="4" w:space="0"/>
                    <w:right w:val="nil"/>
                  </w:tcBorders>
                  <w:vAlign w:val="center"/>
                </w:tcPr>
                <w:p>
                  <w:pPr>
                    <w:pStyle w:val="27"/>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7"/>
                    <w:rPr>
                      <w:color w:val="auto"/>
                    </w:rPr>
                  </w:pPr>
                  <w:r>
                    <w:rPr>
                      <w:color w:val="auto"/>
                    </w:rPr>
                    <w:t>生态</w:t>
                  </w:r>
                </w:p>
              </w:tc>
              <w:tc>
                <w:tcPr>
                  <w:tcW w:w="1683"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取水口下游500米范围内有重要水生生物的自然产卵场、索饵场、越冬场和洄游通道的新增河道取水的污染类建设项目。</w:t>
                  </w:r>
                </w:p>
              </w:tc>
              <w:tc>
                <w:tcPr>
                  <w:tcW w:w="1908"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本项目不属于河道取水的污染类建设项目，因此本项目不需要进行生态专项评价。</w:t>
                  </w:r>
                </w:p>
              </w:tc>
              <w:tc>
                <w:tcPr>
                  <w:tcW w:w="700" w:type="pct"/>
                  <w:tcBorders>
                    <w:top w:val="single" w:color="auto" w:sz="4" w:space="0"/>
                    <w:left w:val="single" w:color="auto" w:sz="4" w:space="0"/>
                    <w:bottom w:val="single" w:color="auto" w:sz="4" w:space="0"/>
                    <w:right w:val="nil"/>
                  </w:tcBorders>
                  <w:vAlign w:val="center"/>
                </w:tcPr>
                <w:p>
                  <w:pPr>
                    <w:pStyle w:val="27"/>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pct"/>
                  <w:tcBorders>
                    <w:top w:val="single" w:color="auto" w:sz="4" w:space="0"/>
                    <w:left w:val="nil"/>
                    <w:bottom w:val="single" w:color="auto" w:sz="4" w:space="0"/>
                    <w:right w:val="single" w:color="auto" w:sz="4" w:space="0"/>
                  </w:tcBorders>
                  <w:vAlign w:val="center"/>
                </w:tcPr>
                <w:p>
                  <w:pPr>
                    <w:pStyle w:val="27"/>
                    <w:rPr>
                      <w:color w:val="auto"/>
                    </w:rPr>
                  </w:pPr>
                  <w:r>
                    <w:rPr>
                      <w:color w:val="auto"/>
                    </w:rPr>
                    <w:t>海洋</w:t>
                  </w:r>
                </w:p>
              </w:tc>
              <w:tc>
                <w:tcPr>
                  <w:tcW w:w="1683"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rPr>
                    <w:t>直接向海排放污染物的海洋工程建设项目。</w:t>
                  </w:r>
                </w:p>
              </w:tc>
              <w:tc>
                <w:tcPr>
                  <w:tcW w:w="1908" w:type="pct"/>
                  <w:tcBorders>
                    <w:top w:val="single" w:color="auto" w:sz="4" w:space="0"/>
                    <w:left w:val="single" w:color="auto" w:sz="4" w:space="0"/>
                    <w:bottom w:val="single" w:color="auto" w:sz="4" w:space="0"/>
                    <w:right w:val="single" w:color="auto" w:sz="4" w:space="0"/>
                  </w:tcBorders>
                  <w:vAlign w:val="center"/>
                </w:tcPr>
                <w:p>
                  <w:pPr>
                    <w:pStyle w:val="27"/>
                    <w:rPr>
                      <w:color w:val="auto"/>
                    </w:rPr>
                  </w:pPr>
                  <w:r>
                    <w:rPr>
                      <w:color w:val="auto"/>
                      <w:lang w:bidi="ar"/>
                    </w:rPr>
                    <w:t>本项目位于西安市周至县，属于内陆区域，不涉及海洋。</w:t>
                  </w:r>
                  <w:r>
                    <w:rPr>
                      <w:color w:val="auto"/>
                    </w:rPr>
                    <w:t>不需要进行海洋专项评价。</w:t>
                  </w:r>
                </w:p>
              </w:tc>
              <w:tc>
                <w:tcPr>
                  <w:tcW w:w="700" w:type="pct"/>
                  <w:tcBorders>
                    <w:top w:val="single" w:color="auto" w:sz="4" w:space="0"/>
                    <w:left w:val="single" w:color="auto" w:sz="4" w:space="0"/>
                    <w:bottom w:val="single" w:color="auto" w:sz="4" w:space="0"/>
                    <w:right w:val="nil"/>
                  </w:tcBorders>
                  <w:vAlign w:val="center"/>
                </w:tcPr>
                <w:p>
                  <w:pPr>
                    <w:pStyle w:val="27"/>
                    <w:rPr>
                      <w:color w:val="auto"/>
                    </w:rPr>
                  </w:pPr>
                  <w:r>
                    <w:rPr>
                      <w:color w:val="auto"/>
                    </w:rPr>
                    <w:t>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tcBorders>
                    <w:top w:val="single" w:color="auto" w:sz="4" w:space="0"/>
                    <w:left w:val="nil"/>
                    <w:bottom w:val="single" w:color="auto" w:sz="8" w:space="0"/>
                    <w:right w:val="nil"/>
                  </w:tcBorders>
                  <w:vAlign w:val="center"/>
                </w:tcPr>
                <w:p>
                  <w:pPr>
                    <w:widowControl/>
                    <w:adjustRightInd w:val="0"/>
                    <w:snapToGrid w:val="0"/>
                    <w:spacing w:line="240" w:lineRule="auto"/>
                    <w:jc w:val="both"/>
                    <w:rPr>
                      <w:rFonts w:eastAsia="宋体" w:cs="Times New Roman"/>
                      <w:color w:val="auto"/>
                      <w:kern w:val="0"/>
                      <w:sz w:val="21"/>
                      <w:szCs w:val="21"/>
                      <w:lang w:bidi="ar"/>
                    </w:rPr>
                  </w:pPr>
                  <w:r>
                    <w:rPr>
                      <w:rFonts w:eastAsia="宋体" w:cs="Times New Roman"/>
                      <w:color w:val="auto"/>
                      <w:kern w:val="0"/>
                      <w:sz w:val="21"/>
                      <w:szCs w:val="21"/>
                      <w:lang w:bidi="ar"/>
                    </w:rPr>
                    <w:t>注：1.废气中有毒有害污染物指纳入《有毒有害大气污染物名录》的污染物（不包括无排放标准的污染物）。</w:t>
                  </w:r>
                </w:p>
                <w:p>
                  <w:pPr>
                    <w:widowControl/>
                    <w:adjustRightInd w:val="0"/>
                    <w:snapToGrid w:val="0"/>
                    <w:spacing w:line="240" w:lineRule="auto"/>
                    <w:ind w:firstLine="420" w:firstLineChars="200"/>
                    <w:jc w:val="both"/>
                    <w:rPr>
                      <w:rFonts w:eastAsia="宋体" w:cs="Times New Roman"/>
                      <w:color w:val="auto"/>
                      <w:kern w:val="0"/>
                      <w:sz w:val="21"/>
                      <w:szCs w:val="21"/>
                      <w:lang w:bidi="ar"/>
                    </w:rPr>
                  </w:pPr>
                  <w:r>
                    <w:rPr>
                      <w:rFonts w:eastAsia="宋体" w:cs="Times New Roman"/>
                      <w:color w:val="auto"/>
                      <w:kern w:val="0"/>
                      <w:sz w:val="21"/>
                      <w:szCs w:val="21"/>
                      <w:lang w:bidi="ar"/>
                    </w:rPr>
                    <w:t>2.环境空气保护目标指自然保护区、风景名胜区、居住区、文化区和农村地区中人群较集中的区域。</w:t>
                  </w:r>
                </w:p>
                <w:p>
                  <w:pPr>
                    <w:widowControl/>
                    <w:adjustRightInd w:val="0"/>
                    <w:snapToGrid w:val="0"/>
                    <w:spacing w:line="240" w:lineRule="auto"/>
                    <w:ind w:firstLine="420" w:firstLineChars="200"/>
                    <w:jc w:val="both"/>
                    <w:rPr>
                      <w:rFonts w:cs="Times New Roman"/>
                      <w:color w:val="auto"/>
                    </w:rPr>
                  </w:pPr>
                  <w:r>
                    <w:rPr>
                      <w:rFonts w:eastAsia="宋体" w:cs="Times New Roman"/>
                      <w:color w:val="auto"/>
                      <w:kern w:val="0"/>
                      <w:sz w:val="21"/>
                      <w:szCs w:val="21"/>
                      <w:lang w:bidi="ar"/>
                    </w:rPr>
                    <w:t>3.临界量及其计算方法可参考《建设项目环境风险评价技术导则》（HJ169）附录B、附录C。</w:t>
                  </w:r>
                </w:p>
              </w:tc>
            </w:tr>
          </w:tbl>
          <w:p>
            <w:pPr>
              <w:pStyle w:val="27"/>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22"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规划情况</w:t>
            </w:r>
          </w:p>
        </w:tc>
        <w:tc>
          <w:tcPr>
            <w:tcW w:w="4050"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7"/>
              <w:rPr>
                <w:color w:val="auto"/>
                <w:sz w:val="24"/>
                <w:szCs w:val="24"/>
              </w:rPr>
            </w:pPr>
            <w:r>
              <w:rPr>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22"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规划环境影响</w:t>
            </w:r>
          </w:p>
          <w:p>
            <w:pPr>
              <w:pStyle w:val="27"/>
              <w:rPr>
                <w:color w:val="auto"/>
                <w:sz w:val="24"/>
                <w:szCs w:val="24"/>
              </w:rPr>
            </w:pPr>
            <w:r>
              <w:rPr>
                <w:color w:val="auto"/>
                <w:sz w:val="24"/>
                <w:szCs w:val="24"/>
              </w:rPr>
              <w:t>评价情况</w:t>
            </w:r>
          </w:p>
        </w:tc>
        <w:tc>
          <w:tcPr>
            <w:tcW w:w="4050"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7"/>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22"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27"/>
              <w:rPr>
                <w:color w:val="auto"/>
                <w:sz w:val="24"/>
                <w:szCs w:val="24"/>
              </w:rPr>
            </w:pPr>
            <w:r>
              <w:rPr>
                <w:color w:val="auto"/>
                <w:sz w:val="24"/>
                <w:szCs w:val="24"/>
              </w:rPr>
              <w:t>规划及规划环境影响评价符合性分析</w:t>
            </w:r>
          </w:p>
        </w:tc>
        <w:tc>
          <w:tcPr>
            <w:tcW w:w="4050"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pStyle w:val="28"/>
              <w:rPr>
                <w:rFonts w:ascii="Times New Roman" w:hAnsi="Times New Roman" w:eastAsia="宋体" w:cs="Times New Roman"/>
                <w:b w:val="0"/>
                <w:color w:val="auto"/>
                <w:kern w:val="2"/>
                <w:sz w:val="24"/>
                <w:szCs w:val="24"/>
                <w:lang w:val="en-US" w:eastAsia="zh-CN" w:bidi="ar-SA"/>
              </w:rPr>
            </w:pPr>
            <w:r>
              <w:rPr>
                <w:rFonts w:ascii="Times New Roman" w:hAnsi="Times New Roman" w:eastAsia="宋体" w:cs="Times New Roman"/>
                <w:b w:val="0"/>
                <w:color w:val="auto"/>
                <w:kern w:val="2"/>
                <w:sz w:val="24"/>
                <w:szCs w:val="24"/>
                <w:lang w:val="en-US" w:eastAsia="zh-CN" w:bidi="ar-S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41" w:hRule="atLeast"/>
        </w:trPr>
        <w:tc>
          <w:tcPr>
            <w:tcW w:w="950"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rFonts w:cs="Times New Roman"/>
                <w:color w:val="auto"/>
              </w:rPr>
            </w:pPr>
            <w:r>
              <w:rPr>
                <w:rFonts w:cs="Times New Roman"/>
                <w:color w:val="auto"/>
              </w:rPr>
              <w:t>其他符合性分析</w:t>
            </w:r>
          </w:p>
        </w:tc>
        <w:tc>
          <w:tcPr>
            <w:tcW w:w="4050" w:type="pct"/>
            <w:gridSpan w:val="3"/>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ind w:firstLine="482" w:firstLineChars="200"/>
              <w:rPr>
                <w:rFonts w:cs="Times New Roman"/>
                <w:b/>
                <w:bCs/>
                <w:color w:val="auto"/>
              </w:rPr>
            </w:pPr>
            <w:r>
              <w:rPr>
                <w:rFonts w:cs="Times New Roman"/>
                <w:b/>
                <w:bCs/>
                <w:color w:val="auto"/>
              </w:rPr>
              <w:t>1、产业政策符合性分析</w:t>
            </w:r>
          </w:p>
          <w:p>
            <w:pPr>
              <w:ind w:firstLine="480" w:firstLineChars="200"/>
              <w:rPr>
                <w:rFonts w:cs="Times New Roman"/>
                <w:color w:val="auto"/>
              </w:rPr>
            </w:pPr>
            <w:r>
              <w:rPr>
                <w:rFonts w:cs="Times New Roman"/>
                <w:color w:val="auto"/>
              </w:rPr>
              <w:t>根据《产业结构调整指导目录》（2024年本），本项目使用的生产工艺、产品与设备均不属于鼓励类，也不属于限制类和淘汰类，属于允许类项目，符合国家产业政策。</w:t>
            </w:r>
          </w:p>
          <w:p>
            <w:pPr>
              <w:ind w:firstLine="480" w:firstLineChars="200"/>
              <w:rPr>
                <w:rFonts w:cs="Times New Roman"/>
                <w:color w:val="auto"/>
              </w:rPr>
            </w:pPr>
            <w:r>
              <w:rPr>
                <w:rFonts w:cs="Times New Roman"/>
                <w:color w:val="auto"/>
              </w:rPr>
              <w:t>根据《市场准入负面清单》（2022年版），本项目不属于清单内禁止准入类项目，且不在市场准入相关的禁止性规定范围内，可依法平等准入，符合政策要求。</w:t>
            </w:r>
          </w:p>
          <w:p>
            <w:pPr>
              <w:ind w:firstLine="482" w:firstLineChars="200"/>
              <w:rPr>
                <w:rFonts w:cs="Times New Roman"/>
                <w:color w:val="auto"/>
              </w:rPr>
            </w:pPr>
            <w:r>
              <w:rPr>
                <w:rFonts w:cs="Times New Roman"/>
                <w:b/>
                <w:bCs/>
                <w:color w:val="auto"/>
              </w:rPr>
              <w:t>2、选址合理性</w:t>
            </w:r>
          </w:p>
          <w:p>
            <w:pPr>
              <w:ind w:firstLine="480" w:firstLineChars="200"/>
              <w:rPr>
                <w:rFonts w:hint="eastAsia" w:cs="Times New Roman"/>
                <w:color w:val="auto"/>
                <w:highlight w:val="none"/>
                <w:lang w:val="en-US" w:eastAsia="zh-CN"/>
              </w:rPr>
            </w:pPr>
            <w:r>
              <w:rPr>
                <w:rFonts w:cs="Times New Roman"/>
                <w:color w:val="auto"/>
              </w:rPr>
              <w:t>本项目位于周至县</w:t>
            </w:r>
            <w:r>
              <w:rPr>
                <w:rFonts w:hint="eastAsia" w:cs="Times New Roman"/>
                <w:color w:val="auto"/>
                <w:lang w:eastAsia="zh-CN"/>
              </w:rPr>
              <w:t>富仁镇上三高</w:t>
            </w:r>
            <w:r>
              <w:rPr>
                <w:rFonts w:hint="eastAsia" w:cs="Times New Roman"/>
                <w:color w:val="auto"/>
                <w:highlight w:val="none"/>
                <w:lang w:eastAsia="zh-CN"/>
              </w:rPr>
              <w:t>村</w:t>
            </w:r>
            <w:r>
              <w:rPr>
                <w:rFonts w:cs="Times New Roman"/>
                <w:color w:val="auto"/>
                <w:highlight w:val="none"/>
              </w:rPr>
              <w:t>，</w:t>
            </w:r>
            <w:r>
              <w:rPr>
                <w:rFonts w:hint="eastAsia" w:cs="Times New Roman"/>
                <w:color w:val="auto"/>
                <w:highlight w:val="none"/>
                <w:lang w:eastAsia="zh-CN"/>
              </w:rPr>
              <w:t>项目</w:t>
            </w:r>
            <w:r>
              <w:rPr>
                <w:rFonts w:cs="Times New Roman"/>
                <w:color w:val="auto"/>
                <w:highlight w:val="none"/>
              </w:rPr>
              <w:t>用</w:t>
            </w:r>
            <w:r>
              <w:rPr>
                <w:rFonts w:cs="Times New Roman"/>
                <w:color w:val="auto"/>
              </w:rPr>
              <w:t>地</w:t>
            </w:r>
            <w:r>
              <w:rPr>
                <w:rFonts w:hint="eastAsia" w:cs="Times New Roman"/>
                <w:color w:val="auto"/>
                <w:lang w:eastAsia="zh-CN"/>
              </w:rPr>
              <w:t>面积为</w:t>
            </w:r>
            <w:r>
              <w:rPr>
                <w:rFonts w:hint="eastAsia" w:cs="Times New Roman"/>
                <w:color w:val="auto"/>
                <w:lang w:val="en-US" w:eastAsia="zh-CN"/>
              </w:rPr>
              <w:t>35</w:t>
            </w:r>
            <w:r>
              <w:rPr>
                <w:rFonts w:cs="Times New Roman"/>
                <w:color w:val="auto"/>
              </w:rPr>
              <w:t>亩</w:t>
            </w:r>
            <w:r>
              <w:rPr>
                <w:rFonts w:hint="eastAsia" w:cs="Times New Roman"/>
                <w:color w:val="auto"/>
                <w:lang w:eastAsia="zh-CN"/>
              </w:rPr>
              <w:t>，</w:t>
            </w:r>
            <w:r>
              <w:rPr>
                <w:rFonts w:hint="eastAsia" w:cs="Times New Roman"/>
                <w:color w:val="auto"/>
                <w:lang w:val="en-US" w:eastAsia="zh-CN"/>
              </w:rPr>
              <w:t>根据建设单位提供的富仁镇自然资源和规划所出具的《关于西安恒正宇道路养护有限公司项目的土地规划查询情况说明》，本项目用地土地类型为采矿用地。</w:t>
            </w:r>
            <w:r>
              <w:rPr>
                <w:rFonts w:cs="Times New Roman"/>
                <w:color w:val="auto"/>
              </w:rPr>
              <w:t>根据现场勘查，</w:t>
            </w:r>
            <w:r>
              <w:rPr>
                <w:rFonts w:hint="eastAsia" w:cs="Times New Roman"/>
                <w:color w:val="auto"/>
                <w:lang w:val="en-US" w:eastAsia="zh-CN"/>
              </w:rPr>
              <w:t>项目所在地四邻均为空地</w:t>
            </w:r>
            <w:r>
              <w:rPr>
                <w:rFonts w:hint="eastAsia" w:cs="Times New Roman"/>
                <w:color w:val="auto"/>
                <w:highlight w:val="none"/>
                <w:lang w:eastAsia="zh-CN"/>
              </w:rPr>
              <w:t>。</w:t>
            </w:r>
            <w:r>
              <w:rPr>
                <w:rFonts w:hint="eastAsia" w:cs="Times New Roman"/>
                <w:color w:val="auto"/>
                <w:lang w:val="en-US" w:eastAsia="zh-CN"/>
              </w:rPr>
              <w:t>周边距离本项目较近的均为企业，</w:t>
            </w:r>
            <w:r>
              <w:rPr>
                <w:rFonts w:cs="Times New Roman"/>
                <w:color w:val="auto"/>
                <w:highlight w:val="none"/>
              </w:rPr>
              <w:t>东侧</w:t>
            </w:r>
            <w:r>
              <w:rPr>
                <w:rFonts w:hint="eastAsia" w:cs="Times New Roman"/>
                <w:color w:val="auto"/>
                <w:highlight w:val="none"/>
                <w:lang w:val="en-US" w:eastAsia="zh-CN"/>
              </w:rPr>
              <w:t>隔空地</w:t>
            </w:r>
            <w:r>
              <w:rPr>
                <w:rFonts w:cs="Times New Roman"/>
                <w:color w:val="auto"/>
                <w:highlight w:val="none"/>
              </w:rPr>
              <w:t>为</w:t>
            </w:r>
            <w:r>
              <w:rPr>
                <w:rFonts w:hint="eastAsia" w:cs="Times New Roman"/>
                <w:color w:val="auto"/>
                <w:highlight w:val="none"/>
                <w:lang w:eastAsia="zh-CN"/>
              </w:rPr>
              <w:t>陕建</w:t>
            </w:r>
            <w:r>
              <w:rPr>
                <w:rFonts w:hint="eastAsia" w:cs="Times New Roman"/>
                <w:color w:val="auto"/>
                <w:highlight w:val="none"/>
                <w:lang w:val="en-US" w:eastAsia="zh-CN"/>
              </w:rPr>
              <w:t>鄠</w:t>
            </w:r>
            <w:r>
              <w:rPr>
                <w:rFonts w:hint="eastAsia" w:cs="Times New Roman"/>
                <w:color w:val="auto"/>
                <w:highlight w:val="none"/>
                <w:lang w:eastAsia="zh-CN"/>
              </w:rPr>
              <w:t>周眉高速公路工程四标段项目经理部，</w:t>
            </w:r>
            <w:r>
              <w:rPr>
                <w:rFonts w:cs="Times New Roman"/>
                <w:color w:val="auto"/>
                <w:highlight w:val="none"/>
              </w:rPr>
              <w:t>西侧</w:t>
            </w:r>
            <w:r>
              <w:rPr>
                <w:rFonts w:hint="eastAsia" w:cs="Times New Roman"/>
                <w:color w:val="auto"/>
                <w:highlight w:val="none"/>
                <w:lang w:val="en-US" w:eastAsia="zh-CN"/>
              </w:rPr>
              <w:t>隔空地</w:t>
            </w:r>
            <w:r>
              <w:rPr>
                <w:rFonts w:cs="Times New Roman"/>
                <w:color w:val="auto"/>
                <w:highlight w:val="none"/>
              </w:rPr>
              <w:t>为</w:t>
            </w:r>
            <w:r>
              <w:rPr>
                <w:rFonts w:hint="eastAsia" w:cs="Times New Roman"/>
                <w:color w:val="auto"/>
                <w:highlight w:val="none"/>
              </w:rPr>
              <w:t>周至县高老庄养殖专业合作社</w:t>
            </w:r>
            <w:r>
              <w:rPr>
                <w:rFonts w:cs="Times New Roman"/>
                <w:color w:val="auto"/>
                <w:highlight w:val="none"/>
              </w:rPr>
              <w:t>，</w:t>
            </w:r>
            <w:r>
              <w:rPr>
                <w:rFonts w:hint="eastAsia" w:cs="Times New Roman"/>
                <w:color w:val="auto"/>
                <w:highlight w:val="none"/>
                <w:lang w:eastAsia="zh-CN"/>
              </w:rPr>
              <w:t>东</w:t>
            </w:r>
            <w:r>
              <w:rPr>
                <w:rFonts w:cs="Times New Roman"/>
                <w:color w:val="auto"/>
                <w:highlight w:val="none"/>
              </w:rPr>
              <w:t>南侧</w:t>
            </w:r>
            <w:r>
              <w:rPr>
                <w:rFonts w:hint="eastAsia" w:cs="Times New Roman"/>
                <w:color w:val="auto"/>
                <w:highlight w:val="none"/>
                <w:lang w:val="en-US" w:eastAsia="zh-CN"/>
              </w:rPr>
              <w:t>隔空地</w:t>
            </w:r>
            <w:r>
              <w:rPr>
                <w:rFonts w:cs="Times New Roman"/>
                <w:color w:val="auto"/>
                <w:highlight w:val="none"/>
              </w:rPr>
              <w:t>为</w:t>
            </w:r>
            <w:r>
              <w:rPr>
                <w:rFonts w:hint="eastAsia" w:cs="Times New Roman"/>
                <w:color w:val="auto"/>
                <w:highlight w:val="none"/>
                <w:lang w:eastAsia="zh-CN"/>
              </w:rPr>
              <w:t>陕西坤合纸品包装有限公司，</w:t>
            </w:r>
            <w:r>
              <w:rPr>
                <w:rFonts w:hint="eastAsia" w:cs="Times New Roman"/>
                <w:color w:val="auto"/>
                <w:highlight w:val="none"/>
                <w:lang w:val="en-US" w:eastAsia="zh-CN"/>
              </w:rPr>
              <w:t>项目</w:t>
            </w:r>
            <w:r>
              <w:rPr>
                <w:rFonts w:hint="eastAsia" w:cs="Times New Roman"/>
                <w:color w:val="auto"/>
                <w:highlight w:val="none"/>
                <w:lang w:eastAsia="zh-CN"/>
              </w:rPr>
              <w:t>四邻关系图</w:t>
            </w:r>
            <w:r>
              <w:rPr>
                <w:rFonts w:hint="eastAsia" w:cs="Times New Roman"/>
                <w:color w:val="auto"/>
                <w:highlight w:val="none"/>
                <w:lang w:val="en-US" w:eastAsia="zh-CN"/>
              </w:rPr>
              <w:t>及周边企业分布图</w:t>
            </w:r>
            <w:r>
              <w:rPr>
                <w:rFonts w:hint="eastAsia" w:cs="Times New Roman"/>
                <w:color w:val="auto"/>
                <w:highlight w:val="none"/>
                <w:lang w:eastAsia="zh-CN"/>
              </w:rPr>
              <w:t>见附图</w:t>
            </w:r>
            <w:r>
              <w:rPr>
                <w:rFonts w:hint="eastAsia" w:cs="Times New Roman"/>
                <w:color w:val="auto"/>
                <w:highlight w:val="none"/>
                <w:lang w:val="en-US" w:eastAsia="zh-CN"/>
              </w:rPr>
              <w:t>2，环境保护目标分布图见附图3。</w:t>
            </w:r>
          </w:p>
          <w:p>
            <w:pPr>
              <w:ind w:firstLine="480" w:firstLineChars="200"/>
              <w:rPr>
                <w:rFonts w:hint="eastAsia" w:ascii="Times New Roman" w:hAnsi="Times New Roman" w:eastAsia="宋体" w:cs="Times New Roman"/>
                <w:b w:val="0"/>
                <w:bCs w:val="0"/>
                <w:color w:val="auto"/>
                <w:sz w:val="24"/>
                <w:szCs w:val="24"/>
                <w:lang w:val="en-US" w:eastAsia="zh-CN"/>
              </w:rPr>
            </w:pPr>
            <w:r>
              <w:rPr>
                <w:rFonts w:hint="eastAsia" w:cs="Times New Roman"/>
                <w:color w:val="auto"/>
                <w:highlight w:val="none"/>
                <w:lang w:val="en-US" w:eastAsia="zh-CN"/>
              </w:rPr>
              <w:t>距离项目用地最近的邓家庄距离项目北厂界约320m。</w:t>
            </w:r>
            <w:r>
              <w:rPr>
                <w:rFonts w:cs="Times New Roman"/>
                <w:color w:val="auto"/>
              </w:rPr>
              <w:t>周至县常年主导风向为西风，敏感点不在场站下风向。本项目相距</w:t>
            </w:r>
            <w:r>
              <w:rPr>
                <w:rFonts w:hint="eastAsia" w:cs="Times New Roman"/>
                <w:color w:val="auto"/>
                <w:lang w:val="en-US" w:eastAsia="zh-CN"/>
              </w:rPr>
              <w:t>南</w:t>
            </w:r>
            <w:r>
              <w:rPr>
                <w:rFonts w:cs="Times New Roman"/>
                <w:color w:val="auto"/>
              </w:rPr>
              <w:t>横线约</w:t>
            </w:r>
            <w:r>
              <w:rPr>
                <w:rFonts w:hint="eastAsia" w:cs="Times New Roman"/>
                <w:color w:val="auto"/>
                <w:lang w:val="en-US" w:eastAsia="zh-CN"/>
              </w:rPr>
              <w:t>460</w:t>
            </w:r>
            <w:r>
              <w:rPr>
                <w:rFonts w:cs="Times New Roman"/>
                <w:color w:val="auto"/>
              </w:rPr>
              <w:t>m，地理位置优越，交通便利。</w:t>
            </w:r>
            <w:r>
              <w:rPr>
                <w:rFonts w:hint="eastAsia" w:cs="Times New Roman"/>
                <w:color w:val="auto"/>
                <w:lang w:val="en-US" w:eastAsia="zh-CN"/>
              </w:rPr>
              <w:t>离本项目最近的地表水体为项目</w:t>
            </w:r>
            <w:r>
              <w:rPr>
                <w:rFonts w:hint="eastAsia" w:cs="Times New Roman"/>
                <w:color w:val="auto"/>
                <w:highlight w:val="none"/>
                <w:lang w:val="en-US" w:eastAsia="zh-CN"/>
              </w:rPr>
              <w:t>所在地东侧约430米的黑河。根</w:t>
            </w:r>
            <w:r>
              <w:rPr>
                <w:rFonts w:hint="eastAsia" w:cs="Times New Roman"/>
                <w:color w:val="auto"/>
                <w:lang w:val="en-US" w:eastAsia="zh-CN"/>
              </w:rPr>
              <w:t>据西安市周至县人民政府于2020年1月17日下发的《周至县人民政府关于黑河管理保护范围的通告》中“黑河：保护范围（含堤防安全保护区）为管理范围外边线向外50米。”本项目不在黑河管理保护范围内，且无废水排入水体，对其影响较小。</w:t>
            </w:r>
            <w:r>
              <w:rPr>
                <w:rFonts w:hint="eastAsia" w:ascii="Times New Roman" w:hAnsi="Times New Roman" w:eastAsia="宋体" w:cs="Times New Roman"/>
                <w:b w:val="0"/>
                <w:bCs w:val="0"/>
                <w:color w:val="auto"/>
                <w:sz w:val="24"/>
                <w:szCs w:val="24"/>
                <w:lang w:val="en-US" w:eastAsia="zh-CN"/>
              </w:rPr>
              <w:t>项目位于S107省道北侧约</w:t>
            </w:r>
            <w:r>
              <w:rPr>
                <w:rFonts w:hint="eastAsia" w:eastAsia="宋体" w:cs="Times New Roman"/>
                <w:b w:val="0"/>
                <w:bCs w:val="0"/>
                <w:color w:val="auto"/>
                <w:sz w:val="24"/>
                <w:szCs w:val="24"/>
                <w:lang w:val="en-US" w:eastAsia="zh-CN"/>
              </w:rPr>
              <w:t>6.1</w:t>
            </w:r>
            <w:r>
              <w:rPr>
                <w:rFonts w:hint="eastAsia" w:ascii="Times New Roman" w:hAnsi="Times New Roman" w:eastAsia="宋体" w:cs="Times New Roman"/>
                <w:b w:val="0"/>
                <w:bCs w:val="0"/>
                <w:color w:val="auto"/>
                <w:sz w:val="24"/>
                <w:szCs w:val="24"/>
                <w:lang w:val="en-US" w:eastAsia="zh-CN"/>
              </w:rPr>
              <w:t>km，不在秦岭生态环境保护范围内。</w:t>
            </w:r>
          </w:p>
          <w:p>
            <w:pPr>
              <w:numPr>
                <w:ilvl w:val="0"/>
                <w:numId w:val="0"/>
              </w:numPr>
              <w:ind w:firstLine="480" w:firstLineChars="200"/>
              <w:rPr>
                <w:rFonts w:cs="Times New Roman"/>
                <w:color w:val="auto"/>
              </w:rPr>
            </w:pPr>
            <w:r>
              <w:rPr>
                <w:rFonts w:hint="eastAsia" w:ascii="Times New Roman" w:hAnsi="Times New Roman" w:eastAsia="宋体" w:cs="Times New Roman"/>
                <w:b w:val="0"/>
                <w:bCs w:val="0"/>
                <w:color w:val="auto"/>
                <w:sz w:val="24"/>
                <w:szCs w:val="24"/>
                <w:lang w:val="en-US" w:eastAsia="zh-CN"/>
              </w:rPr>
              <w:t>综上，项目厂界周边50m范围内无声环境保护目标，周围无风景名胜区和保护文物等环境敏感点。项目所处地势平坦，交通便利。项目通过采取相应的废水、废气、噪声、固废等防治措施后，各项污染物均能达标排放，对周围环境影响较小，从环保角度分析，项目选址可行。</w:t>
            </w:r>
          </w:p>
          <w:p>
            <w:pPr>
              <w:ind w:firstLine="482" w:firstLineChars="200"/>
              <w:rPr>
                <w:rFonts w:cs="Times New Roman"/>
                <w:b/>
                <w:bCs/>
                <w:color w:val="auto"/>
              </w:rPr>
            </w:pPr>
            <w:r>
              <w:rPr>
                <w:rFonts w:cs="Times New Roman"/>
                <w:b/>
                <w:bCs/>
                <w:color w:val="auto"/>
              </w:rPr>
              <w:t>3、“三线一单”符合性分析</w:t>
            </w:r>
          </w:p>
          <w:p>
            <w:pPr>
              <w:ind w:firstLine="480" w:firstLineChars="200"/>
              <w:rPr>
                <w:rFonts w:cs="Times New Roman"/>
                <w:color w:val="auto"/>
              </w:rPr>
            </w:pPr>
            <w:r>
              <w:rPr>
                <w:rFonts w:cs="Times New Roman"/>
                <w:color w:val="auto"/>
                <w:szCs w:val="32"/>
                <w:lang w:val="zh-CN"/>
              </w:rPr>
              <w:t>根据陕西省生态环境厅办公室关于印发《陕西省“三线一单”生态环境分区管控应用技术指南：环境影响评价（试行）》（陕环办发〔202</w:t>
            </w:r>
            <w:r>
              <w:rPr>
                <w:rFonts w:cs="Times New Roman"/>
                <w:color w:val="auto"/>
                <w:szCs w:val="32"/>
              </w:rPr>
              <w:t>2</w:t>
            </w:r>
            <w:r>
              <w:rPr>
                <w:rFonts w:cs="Times New Roman"/>
                <w:color w:val="auto"/>
                <w:szCs w:val="32"/>
                <w:lang w:val="zh-CN"/>
              </w:rPr>
              <w:t>〕</w:t>
            </w:r>
            <w:r>
              <w:rPr>
                <w:rFonts w:cs="Times New Roman"/>
                <w:color w:val="auto"/>
                <w:szCs w:val="32"/>
              </w:rPr>
              <w:t>76号</w:t>
            </w:r>
            <w:r>
              <w:rPr>
                <w:rFonts w:cs="Times New Roman"/>
                <w:color w:val="auto"/>
                <w:szCs w:val="32"/>
                <w:lang w:val="zh-CN"/>
              </w:rPr>
              <w:t>）通知中，环评文件规范化要求中的规定：环评文件涉及“三线一单”生态环境分区管控符合性分析采取“一图一表一说明”的表达方式，在对照分析结果右侧加列，并论证规划或建设项目的符合性。</w:t>
            </w:r>
          </w:p>
          <w:p>
            <w:pPr>
              <w:adjustRightInd w:val="0"/>
              <w:snapToGrid w:val="0"/>
              <w:ind w:firstLine="482" w:firstLineChars="200"/>
              <w:rPr>
                <w:rFonts w:cs="Times New Roman"/>
                <w:color w:val="auto"/>
                <w:szCs w:val="32"/>
                <w:lang w:val="zh-CN"/>
              </w:rPr>
            </w:pPr>
            <w:r>
              <w:rPr>
                <w:rFonts w:cs="Times New Roman"/>
                <w:b/>
                <w:bCs/>
                <w:color w:val="auto"/>
                <w:szCs w:val="32"/>
              </w:rPr>
              <w:t>（1）</w:t>
            </w:r>
            <w:r>
              <w:rPr>
                <w:rFonts w:cs="Times New Roman"/>
                <w:b/>
                <w:bCs/>
                <w:color w:val="auto"/>
                <w:szCs w:val="32"/>
                <w:lang w:val="zh-CN"/>
              </w:rPr>
              <w:t>“一图”</w:t>
            </w:r>
          </w:p>
          <w:p>
            <w:pPr>
              <w:adjustRightInd w:val="0"/>
              <w:snapToGrid w:val="0"/>
              <w:ind w:firstLine="480" w:firstLineChars="200"/>
              <w:rPr>
                <w:rFonts w:cs="Times New Roman"/>
                <w:color w:val="auto"/>
                <w:szCs w:val="32"/>
                <w:lang w:val="zh-CN"/>
              </w:rPr>
            </w:pPr>
            <w:r>
              <w:rPr>
                <w:rFonts w:cs="Times New Roman"/>
                <w:color w:val="auto"/>
                <w:szCs w:val="32"/>
                <w:lang w:val="zh-CN"/>
              </w:rPr>
              <w:t>根据《西安市人民政府关于印发“三线一单”生态环境分区管控方案的通知》（市政发〔2021〕</w:t>
            </w:r>
            <w:r>
              <w:rPr>
                <w:rFonts w:cs="Times New Roman"/>
                <w:color w:val="auto"/>
                <w:szCs w:val="32"/>
              </w:rPr>
              <w:t>22</w:t>
            </w:r>
            <w:r>
              <w:rPr>
                <w:rFonts w:cs="Times New Roman"/>
                <w:color w:val="auto"/>
                <w:szCs w:val="32"/>
                <w:lang w:val="zh-CN"/>
              </w:rPr>
              <w:t>号），按照保护优先、衔接整合、有效管理的原则，将全市统筹划定为优先保护和重点管控两类环境管控单元共158个，实施生态环境分区管控。</w:t>
            </w:r>
          </w:p>
          <w:p>
            <w:pPr>
              <w:adjustRightInd w:val="0"/>
              <w:snapToGrid w:val="0"/>
              <w:ind w:firstLine="480" w:firstLineChars="200"/>
              <w:rPr>
                <w:rFonts w:hint="eastAsia" w:cs="Times New Roman"/>
                <w:color w:val="auto"/>
                <w:szCs w:val="32"/>
                <w:lang w:val="zh-CN" w:eastAsia="zh-CN"/>
              </w:rPr>
            </w:pPr>
            <w:r>
              <w:rPr>
                <w:rFonts w:hint="eastAsia" w:cs="Times New Roman"/>
                <w:color w:val="auto"/>
                <w:szCs w:val="32"/>
                <w:lang w:val="zh-CN" w:eastAsia="zh-CN"/>
              </w:rPr>
              <w:t>根据项目与西安市生态环境管控单元分布示意图的比对结果，企业位于西安市重点管控单元，项目实施过程中应落实《西安市“三线一单”生态环境分区管控方案》重点管控单元的相关要求，</w:t>
            </w:r>
            <w:r>
              <w:rPr>
                <w:rFonts w:cs="Times New Roman"/>
                <w:color w:val="auto"/>
                <w:szCs w:val="32"/>
                <w:lang w:val="zh-CN"/>
              </w:rPr>
              <w:t>项目与西安市生态环境管控单元比对示意图见附图</w:t>
            </w:r>
            <w:r>
              <w:rPr>
                <w:rFonts w:cs="Times New Roman"/>
                <w:color w:val="auto"/>
                <w:szCs w:val="32"/>
              </w:rPr>
              <w:t>7</w:t>
            </w:r>
            <w:r>
              <w:rPr>
                <w:rFonts w:cs="Times New Roman"/>
                <w:color w:val="auto"/>
                <w:szCs w:val="32"/>
                <w:lang w:val="zh-CN"/>
              </w:rPr>
              <w:t>。</w:t>
            </w:r>
          </w:p>
          <w:p>
            <w:pPr>
              <w:adjustRightInd w:val="0"/>
              <w:snapToGrid w:val="0"/>
              <w:ind w:firstLine="480" w:firstLineChars="200"/>
              <w:rPr>
                <w:color w:val="auto"/>
              </w:rPr>
            </w:pPr>
          </w:p>
        </w:tc>
      </w:tr>
    </w:tbl>
    <w:p>
      <w:pPr>
        <w:jc w:val="center"/>
        <w:rPr>
          <w:rFonts w:cs="Times New Roman"/>
          <w:color w:val="auto"/>
        </w:rPr>
        <w:sectPr>
          <w:footerReference r:id="rId7"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0" w:num="1"/>
          <w:docGrid w:type="lines" w:linePitch="326" w:charSpace="0"/>
        </w:sectPr>
      </w:pPr>
    </w:p>
    <w:tbl>
      <w:tblPr>
        <w:tblStyle w:val="22"/>
        <w:tblW w:w="491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13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41" w:hRule="atLeast"/>
        </w:trPr>
        <w:tc>
          <w:tcPr>
            <w:tcW w:w="184"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3"/>
              <w:spacing w:line="240" w:lineRule="auto"/>
              <w:jc w:val="center"/>
              <w:rPr>
                <w:color w:val="auto"/>
              </w:rPr>
            </w:pPr>
            <w:r>
              <w:rPr>
                <w:rFonts w:cs="Times New Roman"/>
                <w:b w:val="0"/>
                <w:bCs w:val="0"/>
                <w:color w:val="auto"/>
              </w:rPr>
              <w:t>其他符合性分析</w:t>
            </w:r>
          </w:p>
        </w:tc>
        <w:tc>
          <w:tcPr>
            <w:tcW w:w="4815" w:type="pct"/>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adjustRightInd w:val="0"/>
              <w:snapToGrid w:val="0"/>
              <w:ind w:firstLine="482" w:firstLineChars="200"/>
              <w:rPr>
                <w:rFonts w:hint="default"/>
                <w:color w:val="auto"/>
                <w:lang w:val="zh-CN" w:eastAsia="zh-CN"/>
              </w:rPr>
            </w:pPr>
            <w:r>
              <w:rPr>
                <w:rFonts w:hint="default"/>
                <w:b/>
                <w:bCs/>
                <w:color w:val="auto"/>
                <w:lang w:val="zh-CN" w:eastAsia="zh-CN"/>
              </w:rPr>
              <w:t>（</w:t>
            </w:r>
            <w:r>
              <w:rPr>
                <w:rFonts w:hint="default"/>
                <w:b/>
                <w:bCs/>
                <w:color w:val="auto"/>
                <w:lang w:val="en-US" w:eastAsia="zh-CN"/>
              </w:rPr>
              <w:t>2</w:t>
            </w:r>
            <w:r>
              <w:rPr>
                <w:rFonts w:hint="default"/>
                <w:b/>
                <w:bCs/>
                <w:color w:val="auto"/>
                <w:lang w:val="zh-CN" w:eastAsia="zh-CN"/>
              </w:rPr>
              <w:t>）“一表”</w:t>
            </w:r>
          </w:p>
          <w:p>
            <w:pPr>
              <w:adjustRightInd w:val="0"/>
              <w:snapToGrid w:val="0"/>
              <w:ind w:firstLine="480" w:firstLineChars="200"/>
              <w:rPr>
                <w:rFonts w:hint="default"/>
                <w:color w:val="auto"/>
                <w:lang w:val="en-US" w:eastAsia="zh-CN"/>
              </w:rPr>
            </w:pPr>
            <w:r>
              <w:rPr>
                <w:rFonts w:hint="eastAsia"/>
                <w:color w:val="auto"/>
                <w:lang w:val="en-US" w:eastAsia="zh-CN"/>
              </w:rPr>
              <w:t>本项目</w:t>
            </w:r>
            <w:r>
              <w:rPr>
                <w:rFonts w:hint="default"/>
                <w:color w:val="auto"/>
                <w:lang w:val="en-US" w:eastAsia="zh-CN"/>
              </w:rPr>
              <w:t>位于重点管控单元，</w:t>
            </w:r>
            <w:r>
              <w:rPr>
                <w:rFonts w:hint="eastAsia"/>
                <w:color w:val="auto"/>
                <w:lang w:val="en-US" w:eastAsia="zh-CN"/>
              </w:rPr>
              <w:t>项目</w:t>
            </w:r>
            <w:r>
              <w:rPr>
                <w:rFonts w:hint="default"/>
                <w:color w:val="auto"/>
                <w:lang w:val="en-US" w:eastAsia="zh-CN"/>
              </w:rPr>
              <w:t>与西安市“三线一单”分区管控方案对比结果见表1-</w:t>
            </w:r>
            <w:r>
              <w:rPr>
                <w:rFonts w:hint="eastAsia"/>
                <w:color w:val="auto"/>
                <w:lang w:val="en-US" w:eastAsia="zh-CN"/>
              </w:rPr>
              <w:t>2</w:t>
            </w:r>
            <w:r>
              <w:rPr>
                <w:rFonts w:hint="default"/>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zh-CN" w:eastAsia="zh-CN"/>
              </w:rPr>
              <w:t>表</w:t>
            </w:r>
            <w:r>
              <w:rPr>
                <w:rFonts w:hint="default" w:ascii="Times New Roman" w:hAnsi="Times New Roman" w:cs="Times New Roman"/>
                <w:b/>
                <w:bCs/>
                <w:color w:val="auto"/>
                <w:sz w:val="21"/>
                <w:szCs w:val="21"/>
                <w:lang w:val="en-US" w:eastAsia="zh-CN"/>
              </w:rPr>
              <w:t>1-</w:t>
            </w:r>
            <w:r>
              <w:rPr>
                <w:rFonts w:hint="eastAsia" w:cs="Times New Roman"/>
                <w:b/>
                <w:bCs/>
                <w:color w:val="auto"/>
                <w:sz w:val="21"/>
                <w:szCs w:val="21"/>
                <w:lang w:val="en-US" w:eastAsia="zh-CN"/>
              </w:rPr>
              <w:t>2</w:t>
            </w:r>
            <w:r>
              <w:rPr>
                <w:rFonts w:hint="default" w:ascii="Times New Roman" w:hAnsi="Times New Roman" w:cs="Times New Roman"/>
                <w:b/>
                <w:bCs/>
                <w:color w:val="auto"/>
                <w:sz w:val="21"/>
                <w:szCs w:val="21"/>
                <w:lang w:val="en-US" w:eastAsia="zh-CN"/>
              </w:rPr>
              <w:t xml:space="preserve"> 企业与西安市“三线一单”生态环境分区管控方案对比分析表</w:t>
            </w:r>
          </w:p>
          <w:tbl>
            <w:tblPr>
              <w:tblStyle w:val="22"/>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5"/>
              <w:gridCol w:w="456"/>
              <w:gridCol w:w="676"/>
              <w:gridCol w:w="653"/>
              <w:gridCol w:w="1083"/>
              <w:gridCol w:w="5271"/>
              <w:gridCol w:w="761"/>
              <w:gridCol w:w="3482"/>
              <w:gridCol w:w="4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eastAsia="宋体"/>
                      <w:b/>
                      <w:bCs/>
                      <w:color w:val="auto"/>
                      <w:sz w:val="21"/>
                      <w:szCs w:val="21"/>
                      <w:lang w:eastAsia="zh-CN"/>
                    </w:rPr>
                  </w:pPr>
                  <w:r>
                    <w:rPr>
                      <w:rFonts w:hint="eastAsia"/>
                      <w:b/>
                      <w:bCs/>
                      <w:color w:val="auto"/>
                      <w:sz w:val="21"/>
                      <w:szCs w:val="21"/>
                      <w:lang w:eastAsia="zh-CN"/>
                    </w:rPr>
                    <w:t>市</w:t>
                  </w:r>
                </w:p>
              </w:tc>
              <w:tc>
                <w:tcPr>
                  <w:tcW w:w="172"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eastAsia="宋体"/>
                      <w:b/>
                      <w:bCs/>
                      <w:color w:val="auto"/>
                      <w:sz w:val="21"/>
                      <w:szCs w:val="21"/>
                      <w:lang w:eastAsia="zh-CN"/>
                    </w:rPr>
                  </w:pPr>
                  <w:r>
                    <w:rPr>
                      <w:rFonts w:hint="eastAsia"/>
                      <w:b/>
                      <w:bCs/>
                      <w:color w:val="auto"/>
                      <w:sz w:val="21"/>
                      <w:szCs w:val="21"/>
                      <w:lang w:eastAsia="zh-CN"/>
                    </w:rPr>
                    <w:t>区县</w:t>
                  </w:r>
                </w:p>
              </w:tc>
              <w:tc>
                <w:tcPr>
                  <w:tcW w:w="256"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b/>
                      <w:bCs/>
                      <w:color w:val="auto"/>
                      <w:sz w:val="21"/>
                      <w:szCs w:val="21"/>
                      <w:lang w:eastAsia="zh-CN"/>
                    </w:rPr>
                    <w:t>环境管控单元名称</w:t>
                  </w:r>
                </w:p>
              </w:tc>
              <w:tc>
                <w:tcPr>
                  <w:tcW w:w="24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b/>
                      <w:bCs/>
                      <w:color w:val="auto"/>
                      <w:sz w:val="21"/>
                      <w:szCs w:val="21"/>
                      <w:lang w:eastAsia="zh-CN"/>
                    </w:rPr>
                  </w:pPr>
                  <w:r>
                    <w:rPr>
                      <w:rFonts w:hint="eastAsia"/>
                      <w:b/>
                      <w:bCs/>
                      <w:color w:val="auto"/>
                      <w:sz w:val="21"/>
                      <w:szCs w:val="21"/>
                      <w:lang w:eastAsia="zh-CN"/>
                    </w:rPr>
                    <w:t>单元要素属性</w:t>
                  </w:r>
                </w:p>
              </w:tc>
              <w:tc>
                <w:tcPr>
                  <w:tcW w:w="410"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b/>
                      <w:bCs/>
                      <w:color w:val="auto"/>
                      <w:sz w:val="21"/>
                      <w:szCs w:val="21"/>
                      <w:lang w:eastAsia="zh-CN"/>
                    </w:rPr>
                    <w:t>管控要求分类</w:t>
                  </w:r>
                </w:p>
              </w:tc>
              <w:tc>
                <w:tcPr>
                  <w:tcW w:w="1996"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b/>
                      <w:bCs/>
                      <w:color w:val="auto"/>
                      <w:sz w:val="21"/>
                      <w:szCs w:val="21"/>
                      <w:lang w:eastAsia="zh-CN"/>
                    </w:rPr>
                    <w:t>管控要求</w:t>
                  </w:r>
                </w:p>
              </w:tc>
              <w:tc>
                <w:tcPr>
                  <w:tcW w:w="288"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b/>
                      <w:bCs/>
                      <w:color w:val="auto"/>
                      <w:sz w:val="21"/>
                      <w:szCs w:val="21"/>
                      <w:lang w:eastAsia="zh-CN"/>
                    </w:rPr>
                  </w:pPr>
                  <w:r>
                    <w:rPr>
                      <w:rFonts w:hint="eastAsia"/>
                      <w:b/>
                      <w:bCs/>
                      <w:color w:val="auto"/>
                      <w:sz w:val="21"/>
                      <w:szCs w:val="21"/>
                      <w:lang w:eastAsia="zh-CN"/>
                    </w:rPr>
                    <w:t>面积</w:t>
                  </w:r>
                </w:p>
              </w:tc>
              <w:tc>
                <w:tcPr>
                  <w:tcW w:w="1319"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b/>
                      <w:bCs/>
                      <w:color w:val="auto"/>
                      <w:sz w:val="21"/>
                      <w:szCs w:val="21"/>
                      <w:lang w:eastAsia="zh-CN"/>
                    </w:rPr>
                  </w:pPr>
                  <w:r>
                    <w:rPr>
                      <w:rFonts w:hint="eastAsia"/>
                      <w:b/>
                      <w:bCs/>
                      <w:color w:val="auto"/>
                      <w:sz w:val="21"/>
                      <w:szCs w:val="21"/>
                      <w:lang w:eastAsia="zh-CN"/>
                    </w:rPr>
                    <w:t>项目情况</w:t>
                  </w:r>
                </w:p>
              </w:tc>
              <w:tc>
                <w:tcPr>
                  <w:tcW w:w="16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before="0" w:after="0" w:line="240" w:lineRule="auto"/>
                    <w:ind w:left="0" w:leftChars="0" w:right="0" w:rightChars="0"/>
                    <w:jc w:val="center"/>
                    <w:textAlignment w:val="auto"/>
                    <w:rPr>
                      <w:rFonts w:hint="eastAsia"/>
                      <w:b/>
                      <w:bCs/>
                      <w:color w:val="auto"/>
                      <w:sz w:val="21"/>
                      <w:szCs w:val="21"/>
                      <w:lang w:eastAsia="zh-CN"/>
                    </w:rPr>
                  </w:pPr>
                  <w:r>
                    <w:rPr>
                      <w:rFonts w:hint="eastAsia"/>
                      <w:b/>
                      <w:bCs/>
                      <w:color w:val="auto"/>
                      <w:sz w:val="21"/>
                      <w:szCs w:val="21"/>
                      <w:lang w:eastAsia="zh-C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42" w:type="pct"/>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color w:val="auto"/>
                      <w:sz w:val="21"/>
                      <w:szCs w:val="21"/>
                      <w:lang w:val="en-US" w:eastAsia="zh-CN"/>
                    </w:rPr>
                  </w:pPr>
                  <w:r>
                    <w:rPr>
                      <w:rFonts w:hint="eastAsia"/>
                      <w:color w:val="auto"/>
                      <w:sz w:val="21"/>
                      <w:szCs w:val="21"/>
                      <w:lang w:val="en-US" w:eastAsia="zh-CN"/>
                    </w:rPr>
                    <w:t>西安市</w:t>
                  </w:r>
                </w:p>
              </w:tc>
              <w:tc>
                <w:tcPr>
                  <w:tcW w:w="172" w:type="pct"/>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eastAsia="宋体"/>
                      <w:color w:val="auto"/>
                      <w:sz w:val="21"/>
                      <w:szCs w:val="21"/>
                      <w:lang w:val="en-US" w:eastAsia="zh-CN"/>
                    </w:rPr>
                  </w:pPr>
                  <w:r>
                    <w:rPr>
                      <w:rFonts w:hint="eastAsia"/>
                      <w:color w:val="auto"/>
                      <w:sz w:val="21"/>
                      <w:szCs w:val="21"/>
                      <w:lang w:val="en-US" w:eastAsia="zh-CN"/>
                    </w:rPr>
                    <w:t>周至县</w:t>
                  </w:r>
                </w:p>
              </w:tc>
              <w:tc>
                <w:tcPr>
                  <w:tcW w:w="256" w:type="pct"/>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
                    </w:rPr>
                    <w:t>重点管控</w:t>
                  </w:r>
                  <w:r>
                    <w:rPr>
                      <w:rFonts w:hint="eastAsia" w:ascii="Times New Roman" w:hAnsi="Times New Roman" w:eastAsia="宋体" w:cs="Times New Roman"/>
                      <w:b w:val="0"/>
                      <w:bCs w:val="0"/>
                      <w:color w:val="auto"/>
                      <w:kern w:val="0"/>
                      <w:sz w:val="21"/>
                      <w:szCs w:val="21"/>
                      <w:lang w:val="en-US" w:eastAsia="zh-CN" w:bidi="ar"/>
                    </w:rPr>
                    <w:t>单元</w:t>
                  </w:r>
                </w:p>
              </w:tc>
              <w:tc>
                <w:tcPr>
                  <w:tcW w:w="247" w:type="pct"/>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大气环境布局敏感重点管控区</w:t>
                  </w:r>
                </w:p>
              </w:tc>
              <w:tc>
                <w:tcPr>
                  <w:tcW w:w="410"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空间布局约束</w:t>
                  </w:r>
                </w:p>
              </w:tc>
              <w:tc>
                <w:tcPr>
                  <w:tcW w:w="1996" w:type="pct"/>
                  <w:tcBorders>
                    <w:tl2br w:val="nil"/>
                    <w:tr2bl w:val="nil"/>
                  </w:tcBorders>
                  <w:noWrap w:val="0"/>
                  <w:vAlign w:val="center"/>
                </w:tcPr>
                <w:p>
                  <w:pPr>
                    <w:pStyle w:val="27"/>
                    <w:keepNext w:val="0"/>
                    <w:keepLines w:val="0"/>
                    <w:pageBreakBefore w:val="0"/>
                    <w:widowControl w:val="0"/>
                    <w:numPr>
                      <w:ilvl w:val="-1"/>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default" w:ascii="Times New Roman" w:hAnsi="Times New Roman" w:cs="Times New Roman"/>
                      <w:b w:val="0"/>
                      <w:bCs w:val="0"/>
                      <w:color w:val="auto"/>
                      <w:kern w:val="0"/>
                      <w:sz w:val="21"/>
                      <w:szCs w:val="21"/>
                    </w:rPr>
                  </w:pPr>
                  <w:r>
                    <w:rPr>
                      <w:rFonts w:hint="eastAsia" w:cs="Times New Roman"/>
                      <w:b w:val="0"/>
                      <w:bCs w:val="0"/>
                      <w:color w:val="auto"/>
                      <w:kern w:val="0"/>
                      <w:sz w:val="21"/>
                      <w:szCs w:val="21"/>
                      <w:lang w:val="en-US" w:eastAsia="zh-CN"/>
                    </w:rPr>
                    <w:t>1.</w:t>
                  </w:r>
                  <w:r>
                    <w:rPr>
                      <w:rFonts w:hint="default" w:ascii="Times New Roman" w:hAnsi="Times New Roman" w:cs="Times New Roman"/>
                      <w:b w:val="0"/>
                      <w:bCs w:val="0"/>
                      <w:color w:val="auto"/>
                      <w:kern w:val="0"/>
                      <w:sz w:val="21"/>
                      <w:szCs w:val="21"/>
                    </w:rPr>
                    <w:t>严格控制新增《陕西省“两高”项目管理暂行目录》行业项目（民生等项目除外，后续对“两高”范围国家如有新规定的，从其规定）。</w:t>
                  </w:r>
                </w:p>
                <w:p>
                  <w:pPr>
                    <w:pStyle w:val="27"/>
                    <w:keepNext w:val="0"/>
                    <w:keepLines w:val="0"/>
                    <w:pageBreakBefore w:val="0"/>
                    <w:widowControl w:val="0"/>
                    <w:numPr>
                      <w:ilvl w:val="-1"/>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default" w:ascii="Times New Roman" w:hAnsi="Times New Roman" w:cs="Times New Roman"/>
                      <w:b w:val="0"/>
                      <w:bCs w:val="0"/>
                      <w:color w:val="auto"/>
                      <w:kern w:val="0"/>
                      <w:sz w:val="21"/>
                      <w:szCs w:val="21"/>
                    </w:rPr>
                  </w:pPr>
                  <w:r>
                    <w:rPr>
                      <w:rFonts w:hint="eastAsia" w:cs="Times New Roman"/>
                      <w:b w:val="0"/>
                      <w:bCs w:val="0"/>
                      <w:color w:val="auto"/>
                      <w:kern w:val="0"/>
                      <w:sz w:val="21"/>
                      <w:szCs w:val="21"/>
                      <w:lang w:val="en-US" w:eastAsia="zh-CN"/>
                    </w:rPr>
                    <w:t>2.</w:t>
                  </w:r>
                  <w:r>
                    <w:rPr>
                      <w:rFonts w:hint="default" w:ascii="Times New Roman" w:hAnsi="Times New Roman" w:cs="Times New Roman"/>
                      <w:b w:val="0"/>
                      <w:bCs w:val="0"/>
                      <w:color w:val="auto"/>
                      <w:kern w:val="0"/>
                      <w:sz w:val="21"/>
                      <w:szCs w:val="21"/>
                    </w:rPr>
                    <w:t>严禁新增钢铁、焦化、水泥熟料、平板玻璃、电解铝、氧化铝、煤化工产能。</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default" w:ascii="Times New Roman" w:hAnsi="Times New Roman" w:cs="Times New Roman"/>
                      <w:b w:val="0"/>
                      <w:bCs w:val="0"/>
                      <w:color w:val="auto"/>
                      <w:kern w:val="0"/>
                      <w:sz w:val="21"/>
                      <w:szCs w:val="21"/>
                    </w:rPr>
                  </w:pPr>
                  <w:r>
                    <w:rPr>
                      <w:rFonts w:hint="default" w:ascii="Times New Roman" w:hAnsi="Times New Roman" w:cs="Times New Roman"/>
                      <w:b w:val="0"/>
                      <w:bCs w:val="0"/>
                      <w:color w:val="auto"/>
                      <w:kern w:val="0"/>
                      <w:sz w:val="21"/>
                      <w:szCs w:val="21"/>
                    </w:rPr>
                    <w:t>3.推动重污染企业搬迁入园或依法关闭。</w:t>
                  </w:r>
                </w:p>
              </w:tc>
              <w:tc>
                <w:tcPr>
                  <w:tcW w:w="288" w:type="pct"/>
                  <w:vMerge w:val="restar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bidi="ar"/>
                    </w:rPr>
                  </w:pPr>
                  <w:r>
                    <w:rPr>
                      <w:rFonts w:hint="eastAsia"/>
                      <w:color w:val="auto"/>
                      <w:sz w:val="21"/>
                      <w:szCs w:val="21"/>
                      <w:lang w:val="en-US" w:eastAsia="zh-CN"/>
                    </w:rPr>
                    <w:t>23333.33</w:t>
                  </w:r>
                  <w:r>
                    <w:rPr>
                      <w:color w:val="auto"/>
                      <w:sz w:val="21"/>
                      <w:szCs w:val="21"/>
                    </w:rPr>
                    <w:t>m</w:t>
                  </w:r>
                  <w:r>
                    <w:rPr>
                      <w:color w:val="auto"/>
                      <w:sz w:val="21"/>
                      <w:szCs w:val="21"/>
                      <w:vertAlign w:val="superscript"/>
                    </w:rPr>
                    <w:t>2</w:t>
                  </w:r>
                </w:p>
              </w:tc>
              <w:tc>
                <w:tcPr>
                  <w:tcW w:w="1319"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b w:val="0"/>
                      <w:bCs w:val="0"/>
                      <w:color w:val="auto"/>
                      <w:kern w:val="0"/>
                      <w:sz w:val="21"/>
                      <w:szCs w:val="21"/>
                      <w:highlight w:val="none"/>
                      <w:lang w:val="en-US" w:eastAsia="zh-CN"/>
                    </w:rPr>
                  </w:pPr>
                  <w:r>
                    <w:rPr>
                      <w:rFonts w:hint="eastAsia"/>
                      <w:b w:val="0"/>
                      <w:bCs w:val="0"/>
                      <w:color w:val="auto"/>
                      <w:kern w:val="0"/>
                      <w:sz w:val="21"/>
                      <w:szCs w:val="21"/>
                      <w:highlight w:val="none"/>
                      <w:lang w:val="en-US" w:eastAsia="zh-CN"/>
                    </w:rPr>
                    <w:t>本项目不属于“两高”项目。</w:t>
                  </w:r>
                </w:p>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default"/>
                      <w:b w:val="0"/>
                      <w:bCs w:val="0"/>
                      <w:color w:val="auto"/>
                      <w:kern w:val="0"/>
                      <w:sz w:val="21"/>
                      <w:szCs w:val="21"/>
                      <w:lang w:val="en-US" w:eastAsia="zh-CN"/>
                    </w:rPr>
                  </w:pPr>
                  <w:r>
                    <w:rPr>
                      <w:rFonts w:hint="eastAsia"/>
                      <w:b w:val="0"/>
                      <w:bCs w:val="0"/>
                      <w:color w:val="auto"/>
                      <w:kern w:val="0"/>
                      <w:sz w:val="21"/>
                      <w:szCs w:val="21"/>
                      <w:highlight w:val="none"/>
                      <w:lang w:val="en-US" w:eastAsia="zh-CN"/>
                    </w:rPr>
                    <w:t>项目为水泥制品制造行业，不属于上述严禁新增的项目。</w:t>
                  </w:r>
                </w:p>
              </w:tc>
              <w:tc>
                <w:tcPr>
                  <w:tcW w:w="16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eastAsia="宋体" w:cs="Times New Roman"/>
                      <w:b w:val="0"/>
                      <w:bCs w:val="0"/>
                      <w:color w:val="auto"/>
                      <w:kern w:val="0"/>
                      <w:sz w:val="21"/>
                      <w:szCs w:val="21"/>
                      <w:lang w:val="en-US" w:eastAsia="zh-CN" w:bidi="ar"/>
                    </w:rPr>
                  </w:pPr>
                  <w:r>
                    <w:rPr>
                      <w:rFonts w:hint="eastAsia" w:eastAsia="宋体" w:cs="Times New Roman"/>
                      <w:b w:val="0"/>
                      <w:bCs w:val="0"/>
                      <w:color w:val="auto"/>
                      <w:kern w:val="0"/>
                      <w:sz w:val="21"/>
                      <w:szCs w:val="21"/>
                      <w:lang w:val="en-US" w:eastAsia="zh-CN" w:bidi="ar"/>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color w:val="auto"/>
                      <w:sz w:val="21"/>
                      <w:szCs w:val="21"/>
                      <w:lang w:val="en-US" w:eastAsia="zh-CN"/>
                    </w:rPr>
                  </w:pPr>
                </w:p>
              </w:tc>
              <w:tc>
                <w:tcPr>
                  <w:tcW w:w="17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color w:val="auto"/>
                      <w:sz w:val="21"/>
                      <w:szCs w:val="21"/>
                      <w:lang w:val="en-US" w:eastAsia="zh-CN"/>
                    </w:rPr>
                  </w:pPr>
                </w:p>
              </w:tc>
              <w:tc>
                <w:tcPr>
                  <w:tcW w:w="256"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b w:val="0"/>
                      <w:bCs w:val="0"/>
                      <w:color w:val="auto"/>
                      <w:kern w:val="0"/>
                      <w:sz w:val="21"/>
                      <w:szCs w:val="21"/>
                      <w:lang w:val="en-US" w:eastAsia="zh-CN" w:bidi="ar"/>
                    </w:rPr>
                  </w:pPr>
                </w:p>
              </w:tc>
              <w:tc>
                <w:tcPr>
                  <w:tcW w:w="247"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val="0"/>
                      <w:bCs w:val="0"/>
                      <w:color w:val="auto"/>
                      <w:kern w:val="0"/>
                      <w:sz w:val="21"/>
                      <w:szCs w:val="21"/>
                      <w:lang w:val="en-US" w:eastAsia="zh-CN" w:bidi="ar"/>
                    </w:rPr>
                  </w:pPr>
                </w:p>
              </w:tc>
              <w:tc>
                <w:tcPr>
                  <w:tcW w:w="410"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color w:val="auto"/>
                    </w:rPr>
                    <w:t>污染物排放管控</w:t>
                  </w:r>
                </w:p>
              </w:tc>
              <w:tc>
                <w:tcPr>
                  <w:tcW w:w="1996" w:type="pct"/>
                  <w:tcBorders>
                    <w:tl2br w:val="nil"/>
                    <w:tr2bl w:val="nil"/>
                  </w:tcBorders>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default" w:ascii="Times New Roman" w:hAnsi="Times New Roman" w:cs="Times New Roman"/>
                      <w:b w:val="0"/>
                      <w:bCs w:val="0"/>
                      <w:color w:val="auto"/>
                      <w:kern w:val="0"/>
                      <w:sz w:val="21"/>
                      <w:szCs w:val="21"/>
                    </w:rPr>
                  </w:pPr>
                  <w:r>
                    <w:rPr>
                      <w:rFonts w:hint="default"/>
                      <w:color w:val="auto"/>
                      <w:kern w:val="0"/>
                    </w:rPr>
                    <w:t>1.鼓励将老旧车辆和非道路移动机械替换为清洁能源车辆。推进新能源或清洁能源汽车使用。</w:t>
                  </w:r>
                </w:p>
              </w:tc>
              <w:tc>
                <w:tcPr>
                  <w:tcW w:w="288"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val="0"/>
                      <w:bCs w:val="0"/>
                      <w:color w:val="auto"/>
                      <w:kern w:val="0"/>
                      <w:sz w:val="21"/>
                      <w:szCs w:val="21"/>
                      <w:lang w:val="en-US" w:eastAsia="zh-CN" w:bidi="ar"/>
                    </w:rPr>
                  </w:pPr>
                </w:p>
              </w:tc>
              <w:tc>
                <w:tcPr>
                  <w:tcW w:w="1319"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default"/>
                      <w:b w:val="0"/>
                      <w:bCs w:val="0"/>
                      <w:color w:val="auto"/>
                      <w:kern w:val="0"/>
                      <w:sz w:val="21"/>
                      <w:szCs w:val="21"/>
                      <w:highlight w:val="none"/>
                      <w:lang w:val="en-US" w:eastAsia="zh-CN"/>
                    </w:rPr>
                  </w:pPr>
                  <w:r>
                    <w:rPr>
                      <w:rFonts w:hint="eastAsia"/>
                      <w:b w:val="0"/>
                      <w:bCs w:val="0"/>
                      <w:color w:val="auto"/>
                      <w:kern w:val="0"/>
                      <w:sz w:val="21"/>
                      <w:szCs w:val="21"/>
                      <w:highlight w:val="none"/>
                      <w:lang w:val="en-US" w:eastAsia="zh-CN"/>
                    </w:rPr>
                    <w:t>环评建议，本项目厂内非道路移动机械采用清洁能源车辆。</w:t>
                  </w:r>
                </w:p>
              </w:tc>
              <w:tc>
                <w:tcPr>
                  <w:tcW w:w="16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eastAsia="宋体" w:cs="Times New Roman"/>
                      <w:b w:val="0"/>
                      <w:bCs w:val="0"/>
                      <w:color w:val="auto"/>
                      <w:kern w:val="0"/>
                      <w:sz w:val="21"/>
                      <w:szCs w:val="21"/>
                      <w:lang w:val="en-US" w:eastAsia="zh-CN" w:bidi="ar"/>
                    </w:rPr>
                  </w:pPr>
                  <w:r>
                    <w:rPr>
                      <w:rFonts w:hint="eastAsia" w:cs="Times New Roman"/>
                      <w:b w:val="0"/>
                      <w:bCs w:val="0"/>
                      <w:color w:val="auto"/>
                      <w:kern w:val="0"/>
                      <w:sz w:val="21"/>
                      <w:szCs w:val="21"/>
                      <w:lang w:val="en-US" w:eastAsia="zh-CN" w:bidi="ar"/>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17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256"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24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r>
                    <w:rPr>
                      <w:rFonts w:hint="eastAsia" w:ascii="Times New Roman" w:hAnsi="Times New Roman" w:eastAsia="宋体" w:cs="Times New Roman"/>
                      <w:b w:val="0"/>
                      <w:bCs w:val="0"/>
                      <w:color w:val="auto"/>
                      <w:kern w:val="0"/>
                      <w:sz w:val="21"/>
                      <w:szCs w:val="21"/>
                      <w:lang w:val="en-US" w:eastAsia="zh-CN" w:bidi="ar"/>
                    </w:rPr>
                    <w:t>水环境农业污染重点管控区</w:t>
                  </w:r>
                </w:p>
              </w:tc>
              <w:tc>
                <w:tcPr>
                  <w:tcW w:w="410"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污染物排放管控</w:t>
                  </w:r>
                </w:p>
              </w:tc>
              <w:tc>
                <w:tcPr>
                  <w:tcW w:w="1996" w:type="pct"/>
                  <w:tcBorders>
                    <w:tl2br w:val="nil"/>
                    <w:tr2bl w:val="nil"/>
                  </w:tcBorders>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1.深入实施化肥农药减量行动，推动精准施肥、科学用药，加强农业投入品规范化管理，到2025年，化肥农药使用量实现零增长。</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2.畜禽养殖场配套建设粪污处理设施，加强规模以下养殖户畜禽污染防治。在养殖大县散养密集区推广“截污建池、收运还田”等畜禽粪污治理模式，加快建设粪污集中处理中心，统筹建立农村有机废弃物收集转化利用网络体系和市场化运营机制。</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3.严格水产养殖投入品管理，严禁非法使用农药。推广大水面生态养殖等健康养殖方式，修复水域生态环境，加快水产养殖尾水治理。2025年，规模以上水产养殖尾水实现达标排放。</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4.提升农村生活污染治理水平。对于可形成径流，并进入自然水体的农村生活污水直排区域，按照分散与集中相结合的原则，优先开展农村生活污水资源化利用，因地制宜完善农村生活污水设施及管网建设。</w:t>
                  </w:r>
                </w:p>
              </w:tc>
              <w:tc>
                <w:tcPr>
                  <w:tcW w:w="288"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p>
              </w:tc>
              <w:tc>
                <w:tcPr>
                  <w:tcW w:w="1319"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default" w:cs="Times New Roman"/>
                      <w:b w:val="0"/>
                      <w:bCs w:val="0"/>
                      <w:color w:val="auto"/>
                      <w:kern w:val="2"/>
                      <w:sz w:val="21"/>
                      <w:szCs w:val="21"/>
                      <w:highlight w:val="yellow"/>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本项目为水泥制品制造行业，运营期间主要废水为车辆冲洗废水，</w:t>
                  </w:r>
                  <w:r>
                    <w:rPr>
                      <w:rFonts w:hint="eastAsia" w:cs="Times New Roman"/>
                      <w:b w:val="0"/>
                      <w:bCs w:val="0"/>
                      <w:color w:val="auto"/>
                      <w:kern w:val="2"/>
                      <w:sz w:val="21"/>
                      <w:szCs w:val="21"/>
                      <w:highlight w:val="none"/>
                      <w:lang w:val="en-US" w:eastAsia="zh-CN" w:bidi="ar-SA"/>
                    </w:rPr>
                    <w:t>经过</w:t>
                  </w:r>
                  <w:r>
                    <w:rPr>
                      <w:rFonts w:hint="eastAsia" w:ascii="Times New Roman" w:hAnsi="Times New Roman" w:cs="Times New Roman"/>
                      <w:b w:val="0"/>
                      <w:bCs w:val="0"/>
                      <w:color w:val="auto"/>
                      <w:kern w:val="2"/>
                      <w:sz w:val="21"/>
                      <w:szCs w:val="21"/>
                      <w:highlight w:val="none"/>
                      <w:lang w:val="en-US" w:eastAsia="zh-CN" w:bidi="ar-SA"/>
                    </w:rPr>
                    <w:t>沉淀池沉淀后回用，不外排</w:t>
                  </w:r>
                  <w:r>
                    <w:rPr>
                      <w:rFonts w:hint="eastAsia" w:cs="Times New Roman"/>
                      <w:b w:val="0"/>
                      <w:bCs w:val="0"/>
                      <w:color w:val="auto"/>
                      <w:kern w:val="2"/>
                      <w:sz w:val="21"/>
                      <w:szCs w:val="21"/>
                      <w:highlight w:val="none"/>
                      <w:lang w:val="en-US" w:eastAsia="zh-CN" w:bidi="ar-SA"/>
                    </w:rPr>
                    <w:t>；</w:t>
                  </w:r>
                  <w:r>
                    <w:rPr>
                      <w:rFonts w:hint="eastAsia" w:ascii="Times New Roman" w:hAnsi="Times New Roman" w:cs="Times New Roman"/>
                      <w:b w:val="0"/>
                      <w:bCs w:val="0"/>
                      <w:color w:val="auto"/>
                      <w:kern w:val="2"/>
                      <w:sz w:val="21"/>
                      <w:szCs w:val="21"/>
                      <w:highlight w:val="none"/>
                      <w:lang w:val="en-US" w:eastAsia="zh-CN" w:bidi="ar-SA"/>
                    </w:rPr>
                    <w:t>生活污水进入化粪池，定期清掏用作农肥，不外排</w:t>
                  </w:r>
                  <w:r>
                    <w:rPr>
                      <w:rFonts w:hint="eastAsia" w:cs="Times New Roman"/>
                      <w:b w:val="0"/>
                      <w:bCs w:val="0"/>
                      <w:color w:val="auto"/>
                      <w:kern w:val="2"/>
                      <w:sz w:val="21"/>
                      <w:szCs w:val="21"/>
                      <w:highlight w:val="none"/>
                      <w:lang w:val="en-US" w:eastAsia="zh-CN" w:bidi="ar-SA"/>
                    </w:rPr>
                    <w:t>。</w:t>
                  </w:r>
                </w:p>
              </w:tc>
              <w:tc>
                <w:tcPr>
                  <w:tcW w:w="16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4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172"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256"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p>
              </w:tc>
              <w:tc>
                <w:tcPr>
                  <w:tcW w:w="24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color w:val="auto"/>
                    </w:rPr>
                  </w:pPr>
                  <w:r>
                    <w:rPr>
                      <w:color w:val="auto"/>
                    </w:rPr>
                    <w:t>生态用</w:t>
                  </w:r>
                  <w:r>
                    <w:rPr>
                      <w:rFonts w:hint="eastAsia"/>
                      <w:color w:val="auto"/>
                      <w:lang w:eastAsia="zh-CN"/>
                    </w:rPr>
                    <w:t>水</w:t>
                  </w:r>
                  <w:r>
                    <w:rPr>
                      <w:color w:val="auto"/>
                    </w:rPr>
                    <w:t>补给区管控分区</w:t>
                  </w:r>
                </w:p>
              </w:tc>
              <w:tc>
                <w:tcPr>
                  <w:tcW w:w="410"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资源开发效率要求</w:t>
                  </w:r>
                </w:p>
              </w:tc>
              <w:tc>
                <w:tcPr>
                  <w:tcW w:w="1996" w:type="pct"/>
                  <w:tcBorders>
                    <w:tl2br w:val="nil"/>
                    <w:tr2bl w:val="nil"/>
                  </w:tcBorders>
                  <w:noWrap w:val="0"/>
                  <w:vAlign w:val="center"/>
                </w:tcPr>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right="0" w:rightChars="0"/>
                    <w:jc w:val="both"/>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1.加强生态流量日常监管，提高枯水期和关键期生态流量，探索生态流量联合监管机制，维持河道生态系统稳定。</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2.水资源配置应首先考虑生态用水，保护修复水生态环境。已成工程通过水源置换、退减被挤占的河道内生态环境用水，规划工程应在保障河道生态环境用水的前提下，进行合理开发。</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3.在保护生态环境和水资源可持续利用的前提下，确保河道内生态用水的要求并兼顾河道内生产用水需求，合理确定河道外用水消耗量不超过河流水系的水资源可利用量。严格执行用水总量指标，在用水总量控制的前提下，逐步退还被挤占的河道内生态环境用水。</w:t>
                  </w:r>
                </w:p>
                <w:p>
                  <w:pPr>
                    <w:pStyle w:val="2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ind w:leftChars="0" w:right="0" w:rightChars="0"/>
                    <w:jc w:val="both"/>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ascii="Times New Roman" w:hAnsi="Times New Roman" w:cs="Times New Roman"/>
                      <w:b w:val="0"/>
                      <w:bCs w:val="0"/>
                      <w:color w:val="auto"/>
                      <w:kern w:val="2"/>
                      <w:sz w:val="21"/>
                      <w:szCs w:val="21"/>
                      <w:highlight w:val="none"/>
                      <w:lang w:val="en-US" w:eastAsia="zh-CN" w:bidi="ar-SA"/>
                    </w:rPr>
                    <w:t>4.将河湖生态流量保障目标落实纳入水资源调度方案和年度调度计划，以重要水利水电工程和水资源配置工程为重点，实施水资源统一调度，落实水利水电工程生态流量下泄措施。</w:t>
                  </w:r>
                </w:p>
              </w:tc>
              <w:tc>
                <w:tcPr>
                  <w:tcW w:w="288" w:type="pct"/>
                  <w:vMerge w:val="continue"/>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highlight w:val="none"/>
                      <w:lang w:val="en-US" w:eastAsia="zh-CN" w:bidi="ar-SA"/>
                    </w:rPr>
                  </w:pPr>
                </w:p>
              </w:tc>
              <w:tc>
                <w:tcPr>
                  <w:tcW w:w="1319"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cs="Times New Roman"/>
                      <w:b w:val="0"/>
                      <w:bCs w:val="0"/>
                      <w:color w:val="auto"/>
                      <w:kern w:val="2"/>
                      <w:sz w:val="21"/>
                      <w:szCs w:val="21"/>
                      <w:highlight w:val="none"/>
                      <w:lang w:val="en-US" w:eastAsia="zh-CN" w:bidi="ar-SA"/>
                    </w:rPr>
                  </w:pPr>
                  <w:r>
                    <w:rPr>
                      <w:rFonts w:hint="eastAsia"/>
                      <w:b w:val="0"/>
                      <w:bCs w:val="0"/>
                      <w:color w:val="auto"/>
                      <w:kern w:val="0"/>
                      <w:sz w:val="21"/>
                      <w:szCs w:val="21"/>
                      <w:highlight w:val="none"/>
                      <w:lang w:val="en-US" w:eastAsia="zh-CN"/>
                    </w:rPr>
                    <w:t>本项目位于西安市周至县富仁镇上三高村，</w:t>
                  </w:r>
                  <w:r>
                    <w:rPr>
                      <w:rFonts w:hint="eastAsia"/>
                      <w:color w:val="auto"/>
                      <w:kern w:val="0"/>
                      <w:highlight w:val="none"/>
                      <w:lang w:val="en-US" w:eastAsia="zh-CN"/>
                    </w:rPr>
                    <w:t>本项目用水采用市政供水管网供给，</w:t>
                  </w:r>
                  <w:r>
                    <w:rPr>
                      <w:rFonts w:hint="eastAsia" w:ascii="Times New Roman" w:hAnsi="Times New Roman" w:cs="Times New Roman"/>
                      <w:b w:val="0"/>
                      <w:bCs w:val="0"/>
                      <w:color w:val="auto"/>
                      <w:kern w:val="2"/>
                      <w:sz w:val="21"/>
                      <w:szCs w:val="21"/>
                      <w:highlight w:val="none"/>
                      <w:lang w:val="en-US" w:eastAsia="zh-CN" w:bidi="ar-SA"/>
                    </w:rPr>
                    <w:t>运营期间主要废水为车辆冲洗废水，</w:t>
                  </w:r>
                  <w:r>
                    <w:rPr>
                      <w:rFonts w:hint="eastAsia" w:cs="Times New Roman"/>
                      <w:b w:val="0"/>
                      <w:bCs w:val="0"/>
                      <w:color w:val="auto"/>
                      <w:kern w:val="2"/>
                      <w:sz w:val="21"/>
                      <w:szCs w:val="21"/>
                      <w:highlight w:val="none"/>
                      <w:lang w:val="en-US" w:eastAsia="zh-CN" w:bidi="ar-SA"/>
                    </w:rPr>
                    <w:t>经过</w:t>
                  </w:r>
                  <w:r>
                    <w:rPr>
                      <w:rFonts w:hint="eastAsia" w:ascii="Times New Roman" w:hAnsi="Times New Roman" w:cs="Times New Roman"/>
                      <w:b w:val="0"/>
                      <w:bCs w:val="0"/>
                      <w:color w:val="auto"/>
                      <w:kern w:val="2"/>
                      <w:sz w:val="21"/>
                      <w:szCs w:val="21"/>
                      <w:highlight w:val="none"/>
                      <w:lang w:val="en-US" w:eastAsia="zh-CN" w:bidi="ar-SA"/>
                    </w:rPr>
                    <w:t>沉淀池沉淀后回用</w:t>
                  </w:r>
                  <w:r>
                    <w:rPr>
                      <w:rFonts w:hint="eastAsia" w:cs="Times New Roman"/>
                      <w:b w:val="0"/>
                      <w:bCs w:val="0"/>
                      <w:color w:val="auto"/>
                      <w:kern w:val="2"/>
                      <w:sz w:val="21"/>
                      <w:szCs w:val="21"/>
                      <w:highlight w:val="none"/>
                      <w:lang w:val="en-US" w:eastAsia="zh-CN" w:bidi="ar-SA"/>
                    </w:rPr>
                    <w:t>。</w:t>
                  </w:r>
                </w:p>
              </w:tc>
              <w:tc>
                <w:tcPr>
                  <w:tcW w:w="167" w:type="pct"/>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cs="Times New Roman"/>
                      <w:b w:val="0"/>
                      <w:bCs w:val="0"/>
                      <w:color w:val="auto"/>
                      <w:kern w:val="2"/>
                      <w:sz w:val="21"/>
                      <w:szCs w:val="21"/>
                      <w:lang w:val="en-US" w:eastAsia="zh-CN" w:bidi="ar-SA"/>
                    </w:rPr>
                  </w:pPr>
                  <w:r>
                    <w:rPr>
                      <w:rFonts w:hint="eastAsia" w:ascii="Times New Roman" w:hAnsi="Times New Roman" w:cs="Times New Roman"/>
                      <w:b w:val="0"/>
                      <w:bCs w:val="0"/>
                      <w:color w:val="auto"/>
                      <w:kern w:val="2"/>
                      <w:sz w:val="21"/>
                      <w:szCs w:val="21"/>
                      <w:lang w:val="en-US" w:eastAsia="zh-CN" w:bidi="ar-SA"/>
                    </w:rPr>
                    <w:t>符合</w:t>
                  </w:r>
                </w:p>
              </w:tc>
            </w:tr>
          </w:tbl>
          <w:p>
            <w:pPr>
              <w:adjustRightInd w:val="0"/>
              <w:snapToGrid w:val="0"/>
              <w:ind w:firstLine="482" w:firstLineChars="200"/>
              <w:rPr>
                <w:rFonts w:hint="eastAsia"/>
                <w:b/>
                <w:bCs/>
                <w:color w:val="auto"/>
                <w:lang w:val="zh-CN" w:eastAsia="zh-CN"/>
              </w:rPr>
            </w:pPr>
            <w:r>
              <w:rPr>
                <w:rFonts w:hint="eastAsia"/>
                <w:b/>
                <w:bCs/>
                <w:color w:val="auto"/>
                <w:lang w:val="zh-CN" w:eastAsia="zh-CN"/>
              </w:rPr>
              <w:t>（</w:t>
            </w:r>
            <w:r>
              <w:rPr>
                <w:rFonts w:hint="eastAsia"/>
                <w:b/>
                <w:bCs/>
                <w:color w:val="auto"/>
                <w:lang w:val="en-US" w:eastAsia="zh-CN"/>
              </w:rPr>
              <w:t>3</w:t>
            </w:r>
            <w:r>
              <w:rPr>
                <w:rFonts w:hint="eastAsia"/>
                <w:b/>
                <w:bCs/>
                <w:color w:val="auto"/>
                <w:lang w:val="zh-CN" w:eastAsia="zh-CN"/>
              </w:rPr>
              <w:t>）“一说明”</w:t>
            </w:r>
          </w:p>
          <w:p>
            <w:pPr>
              <w:adjustRightInd w:val="0"/>
              <w:snapToGrid w:val="0"/>
              <w:ind w:firstLine="480" w:firstLineChars="200"/>
              <w:rPr>
                <w:rFonts w:hint="eastAsia"/>
                <w:color w:val="auto"/>
                <w:lang w:val="en-US" w:eastAsia="zh-CN"/>
              </w:rPr>
            </w:pPr>
            <w:r>
              <w:rPr>
                <w:rFonts w:hint="eastAsia"/>
                <w:color w:val="auto"/>
                <w:lang w:val="en-US" w:eastAsia="zh-CN"/>
              </w:rPr>
              <w:t>根据一图一表分析可知，</w:t>
            </w:r>
            <w:r>
              <w:rPr>
                <w:rFonts w:hint="eastAsia"/>
                <w:color w:val="auto"/>
              </w:rPr>
              <w:t>本项目位于西安市周至县富仁镇上三高村，</w:t>
            </w:r>
            <w:r>
              <w:rPr>
                <w:rFonts w:hint="eastAsia"/>
                <w:color w:val="auto"/>
                <w:lang w:val="en-US" w:eastAsia="zh-CN"/>
              </w:rPr>
              <w:t>属于重点管控单元，本项目的建设满足管控单元在空间布局约束、污染物排放管控等管控维度的要求。</w:t>
            </w:r>
          </w:p>
          <w:p>
            <w:pPr>
              <w:adjustRightInd w:val="0"/>
              <w:snapToGrid w:val="0"/>
              <w:ind w:firstLine="480" w:firstLineChars="200"/>
              <w:rPr>
                <w:rFonts w:hint="default"/>
                <w:color w:val="auto"/>
              </w:rPr>
            </w:pPr>
            <w:r>
              <w:rPr>
                <w:rFonts w:hint="eastAsia"/>
                <w:color w:val="auto"/>
                <w:lang w:val="en-US" w:eastAsia="zh-CN"/>
              </w:rPr>
              <w:t>综上所述，项目建设符合“三线一单”相关要求。</w:t>
            </w:r>
          </w:p>
          <w:p>
            <w:pPr>
              <w:adjustRightInd w:val="0"/>
              <w:snapToGrid w:val="0"/>
              <w:ind w:firstLine="480" w:firstLineChars="200"/>
              <w:rPr>
                <w:color w:val="auto"/>
              </w:rPr>
            </w:pPr>
          </w:p>
        </w:tc>
      </w:tr>
    </w:tbl>
    <w:p>
      <w:pPr>
        <w:jc w:val="center"/>
        <w:rPr>
          <w:rFonts w:cs="Times New Roman"/>
          <w:color w:val="auto"/>
        </w:rPr>
        <w:sectPr>
          <w:pgSz w:w="16838" w:h="11906" w:orient="landscape"/>
          <w:pgMar w:top="1083" w:right="1440" w:bottom="1083" w:left="1440" w:header="851" w:footer="992" w:gutter="0"/>
          <w:pgBorders>
            <w:top w:val="none" w:sz="0" w:space="0"/>
            <w:left w:val="none" w:sz="0" w:space="0"/>
            <w:bottom w:val="none" w:sz="0" w:space="0"/>
            <w:right w:val="none" w:sz="0" w:space="0"/>
          </w:pgBorders>
          <w:pgNumType w:fmt="numberInDash" w:start="1"/>
          <w:cols w:space="0" w:num="1"/>
          <w:rtlGutter w:val="0"/>
          <w:docGrid w:type="lines" w:linePitch="335" w:charSpace="0"/>
        </w:sectPr>
      </w:pPr>
    </w:p>
    <w:tbl>
      <w:tblPr>
        <w:tblStyle w:val="22"/>
        <w:tblW w:w="491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26"/>
        <w:gridCol w:w="88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441" w:hRule="atLeast"/>
        </w:trPr>
        <w:tc>
          <w:tcPr>
            <w:tcW w:w="377" w:type="pct"/>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pStyle w:val="3"/>
              <w:spacing w:line="240" w:lineRule="auto"/>
              <w:jc w:val="center"/>
              <w:rPr>
                <w:color w:val="auto"/>
              </w:rPr>
            </w:pPr>
            <w:r>
              <w:rPr>
                <w:rFonts w:cs="Times New Roman"/>
                <w:b w:val="0"/>
                <w:bCs w:val="0"/>
                <w:color w:val="auto"/>
              </w:rPr>
              <w:t>其他符合性分析</w:t>
            </w:r>
          </w:p>
        </w:tc>
        <w:tc>
          <w:tcPr>
            <w:tcW w:w="4622" w:type="pct"/>
            <w:tcBorders>
              <w:top w:val="single" w:color="auto" w:sz="4" w:space="0"/>
              <w:left w:val="single" w:color="auto" w:sz="4" w:space="0"/>
              <w:bottom w:val="single" w:color="auto" w:sz="4" w:space="0"/>
              <w:right w:val="single" w:color="auto" w:sz="8" w:space="0"/>
            </w:tcBorders>
            <w:tcMar>
              <w:top w:w="16" w:type="dxa"/>
              <w:left w:w="16" w:type="dxa"/>
              <w:bottom w:w="0" w:type="dxa"/>
              <w:right w:w="16" w:type="dxa"/>
            </w:tcMar>
            <w:vAlign w:val="center"/>
          </w:tcPr>
          <w:p>
            <w:pPr>
              <w:adjustRightInd/>
              <w:snapToGrid/>
              <w:ind w:firstLine="482" w:firstLineChars="200"/>
              <w:rPr>
                <w:rFonts w:hint="default" w:cs="Times New Roman"/>
                <w:b/>
                <w:bCs/>
                <w:color w:val="auto"/>
              </w:rPr>
            </w:pPr>
            <w:r>
              <w:rPr>
                <w:rFonts w:hint="default" w:cs="Times New Roman"/>
                <w:b/>
                <w:bCs/>
                <w:color w:val="auto"/>
              </w:rPr>
              <w:t>4、环境管理政策相符性分析</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表1-</w:t>
            </w:r>
            <w:r>
              <w:rPr>
                <w:rFonts w:hint="eastAsia" w:eastAsia="宋体" w:cs="Times New Roman"/>
                <w:b/>
                <w:bCs/>
                <w:color w:val="auto"/>
                <w:kern w:val="2"/>
                <w:sz w:val="21"/>
                <w:szCs w:val="21"/>
                <w:lang w:val="en-US" w:eastAsia="zh-CN" w:bidi="ar-SA"/>
              </w:rPr>
              <w:t>3</w:t>
            </w:r>
            <w:r>
              <w:rPr>
                <w:rFonts w:hint="eastAsia" w:ascii="Times New Roman" w:hAnsi="Times New Roman" w:eastAsia="宋体" w:cs="Times New Roman"/>
                <w:b/>
                <w:bCs/>
                <w:color w:val="auto"/>
                <w:kern w:val="2"/>
                <w:sz w:val="21"/>
                <w:szCs w:val="21"/>
                <w:lang w:val="en-US" w:eastAsia="zh-CN" w:bidi="ar-SA"/>
              </w:rPr>
              <w:t xml:space="preserve"> </w:t>
            </w:r>
            <w:r>
              <w:rPr>
                <w:rFonts w:hint="default" w:ascii="Times New Roman" w:hAnsi="Times New Roman" w:eastAsia="宋体" w:cs="Times New Roman"/>
                <w:b/>
                <w:bCs/>
                <w:color w:val="auto"/>
                <w:kern w:val="2"/>
                <w:sz w:val="21"/>
                <w:szCs w:val="21"/>
                <w:lang w:val="en-US" w:eastAsia="zh-CN" w:bidi="ar-SA"/>
              </w:rPr>
              <w:t>本项目与有关政策相符性分析</w:t>
            </w:r>
          </w:p>
          <w:tbl>
            <w:tblPr>
              <w:tblStyle w:val="22"/>
              <w:tblW w:w="4935"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3457"/>
              <w:gridCol w:w="3193"/>
              <w:gridCol w:w="6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5" w:type="pct"/>
                  <w:tcBorders>
                    <w:top w:val="single" w:color="auto" w:sz="4" w:space="0"/>
                    <w:left w:val="nil"/>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文件名称</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文件内容</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项目情况</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符合性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5" w:type="pct"/>
                  <w:vMerge w:val="restart"/>
                  <w:tcBorders>
                    <w:left w:val="nil"/>
                    <w:right w:val="single" w:color="auto" w:sz="4" w:space="0"/>
                  </w:tcBorders>
                  <w:vAlign w:val="center"/>
                </w:tcPr>
                <w:p>
                  <w:pPr>
                    <w:pStyle w:val="27"/>
                    <w:rPr>
                      <w:rFonts w:hint="eastAsia" w:ascii="Times New Roman" w:hAnsi="Times New Roman" w:eastAsia="宋体" w:cs="Times New Roman"/>
                      <w:color w:val="auto"/>
                      <w:sz w:val="21"/>
                      <w:szCs w:val="21"/>
                      <w:highlight w:val="none"/>
                      <w:lang w:val="en-US" w:eastAsia="zh-CN"/>
                    </w:rPr>
                  </w:pPr>
                  <w:r>
                    <w:rPr>
                      <w:color w:val="auto"/>
                    </w:rPr>
                    <w:t>《陕西省“十四五”生态环境保护规划》（陕政办发〔2021〕25号）</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jc w:val="both"/>
                    <w:rPr>
                      <w:rFonts w:hint="eastAsia" w:ascii="Times New Roman" w:hAnsi="Times New Roman" w:eastAsia="宋体" w:cs="Times New Roman"/>
                      <w:color w:val="auto"/>
                      <w:sz w:val="21"/>
                      <w:szCs w:val="21"/>
                      <w:highlight w:val="none"/>
                      <w:lang w:val="en-US" w:eastAsia="zh-CN"/>
                    </w:rPr>
                  </w:pPr>
                  <w:r>
                    <w:rPr>
                      <w:color w:val="auto"/>
                    </w:rPr>
                    <w:t>实施重点行业氮氧化物等污染物深度治理，持续推进钢铁企业超低排放改造，探索研究开展焦化、水泥行业超低排放改造，推进玻璃、陶瓷、铸造、铁合金、有色等行业污染深度治理。</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jc w:val="both"/>
                    <w:rPr>
                      <w:rFonts w:hint="eastAsia" w:ascii="Times New Roman" w:hAnsi="Times New Roman" w:eastAsia="宋体" w:cs="Times New Roman"/>
                      <w:color w:val="auto"/>
                      <w:sz w:val="21"/>
                      <w:szCs w:val="21"/>
                      <w:highlight w:val="none"/>
                      <w:lang w:val="en-US" w:eastAsia="zh-CN"/>
                    </w:rPr>
                  </w:pPr>
                  <w:r>
                    <w:rPr>
                      <w:color w:val="auto"/>
                    </w:rPr>
                    <w:t>本项目为水泥制品制造行业，运营期生产过程动力来源为电能，不排放氮氧化物。产生的粉尘经环保设施处理后可达标排放。</w:t>
                  </w:r>
                </w:p>
              </w:tc>
              <w:tc>
                <w:tcPr>
                  <w:tcW w:w="386" w:type="pct"/>
                  <w:tcBorders>
                    <w:top w:val="single" w:color="auto" w:sz="4" w:space="0"/>
                    <w:left w:val="single" w:color="auto" w:sz="4" w:space="0"/>
                    <w:bottom w:val="single" w:color="auto" w:sz="4" w:space="0"/>
                    <w:right w:val="nil"/>
                  </w:tcBorders>
                  <w:vAlign w:val="center"/>
                </w:tcPr>
                <w:p>
                  <w:pPr>
                    <w:pStyle w:val="27"/>
                    <w:rPr>
                      <w:rFonts w:hint="eastAsia" w:cs="Times New Roman"/>
                      <w:color w:val="auto"/>
                      <w:sz w:val="21"/>
                      <w:szCs w:val="21"/>
                      <w:highlight w:val="none"/>
                      <w:lang w:val="en-US" w:eastAsia="zh-CN"/>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05" w:type="pct"/>
                  <w:vMerge w:val="continue"/>
                  <w:tcBorders>
                    <w:left w:val="nil"/>
                    <w:right w:val="single" w:color="auto" w:sz="4" w:space="0"/>
                  </w:tcBorders>
                  <w:vAlign w:val="center"/>
                </w:tcPr>
                <w:p>
                  <w:pPr>
                    <w:pStyle w:val="27"/>
                    <w:rPr>
                      <w:rFonts w:hint="eastAsia" w:ascii="Times New Roman" w:hAnsi="Times New Roman" w:eastAsia="宋体" w:cs="Times New Roman"/>
                      <w:color w:val="auto"/>
                      <w:sz w:val="21"/>
                      <w:szCs w:val="21"/>
                      <w:highlight w:val="none"/>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jc w:val="both"/>
                    <w:rPr>
                      <w:rFonts w:hint="eastAsia" w:ascii="Times New Roman" w:hAnsi="Times New Roman" w:eastAsia="宋体" w:cs="Times New Roman"/>
                      <w:color w:val="auto"/>
                      <w:sz w:val="21"/>
                      <w:szCs w:val="21"/>
                      <w:highlight w:val="none"/>
                      <w:lang w:val="en-US" w:eastAsia="zh-CN"/>
                    </w:rPr>
                  </w:pPr>
                  <w:r>
                    <w:rPr>
                      <w:color w:val="auto"/>
                    </w:rPr>
                    <w:t>加强扬尘精细化管控。大力推进低尘机械化湿式清扫作业，加大重要路段冲洗保洁力度，渣土车实施硬覆盖与全密闭运输，强化道路绿化用地扬尘治理。</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jc w:val="both"/>
                    <w:rPr>
                      <w:rFonts w:hint="eastAsia" w:ascii="Times New Roman" w:hAnsi="Times New Roman" w:eastAsia="宋体" w:cs="Times New Roman"/>
                      <w:color w:val="auto"/>
                      <w:sz w:val="21"/>
                      <w:szCs w:val="21"/>
                      <w:highlight w:val="none"/>
                      <w:lang w:val="en-US" w:eastAsia="zh-CN"/>
                    </w:rPr>
                  </w:pPr>
                  <w:r>
                    <w:rPr>
                      <w:color w:val="auto"/>
                    </w:rPr>
                    <w:t>项目施工期进行洒水降尘，渣土车加盖篷布。</w:t>
                  </w:r>
                </w:p>
              </w:tc>
              <w:tc>
                <w:tcPr>
                  <w:tcW w:w="386" w:type="pct"/>
                  <w:tcBorders>
                    <w:top w:val="single" w:color="auto" w:sz="4" w:space="0"/>
                    <w:left w:val="single" w:color="auto" w:sz="4" w:space="0"/>
                    <w:bottom w:val="single" w:color="auto" w:sz="4" w:space="0"/>
                    <w:right w:val="nil"/>
                  </w:tcBorders>
                  <w:vAlign w:val="center"/>
                </w:tcPr>
                <w:p>
                  <w:pPr>
                    <w:pStyle w:val="27"/>
                    <w:rPr>
                      <w:rFonts w:hint="eastAsia" w:cs="Times New Roman"/>
                      <w:color w:val="auto"/>
                      <w:sz w:val="21"/>
                      <w:szCs w:val="21"/>
                      <w:highlight w:val="none"/>
                      <w:lang w:val="en-US" w:eastAsia="zh-CN"/>
                    </w:rPr>
                  </w:pPr>
                  <w:r>
                    <w:rPr>
                      <w:color w:val="auto"/>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05" w:type="pct"/>
                  <w:tcBorders>
                    <w:top w:val="single" w:color="auto" w:sz="4" w:space="0"/>
                    <w:left w:val="nil"/>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《西安市“十四五”生态环境保护规划》</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坚持将生态环境保护融入发展全过程，落实“三线一单”制度，强化环评源头预防作用，健全排污许可制度。</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本项目位于西安市周至县富仁镇上三高村，符合《西安市人民政府关于印发“三线一单”生态环境分区管控方案的通知》（市政发〔2021〕22号</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；项目在采取有效的环保措施后，污染物排放量小，对环境影响较小，符合重点管控单元要求，</w:t>
                  </w:r>
                  <w:r>
                    <w:rPr>
                      <w:color w:val="auto"/>
                    </w:rPr>
                    <w:t>环评要求项目</w:t>
                  </w:r>
                  <w:r>
                    <w:rPr>
                      <w:rFonts w:hint="eastAsia"/>
                      <w:color w:val="auto"/>
                      <w:lang w:val="en-US" w:eastAsia="zh-CN"/>
                    </w:rPr>
                    <w:t>建成后正式排污</w:t>
                  </w:r>
                  <w:r>
                    <w:rPr>
                      <w:rFonts w:hint="eastAsia"/>
                      <w:color w:val="auto"/>
                    </w:rPr>
                    <w:t>前</w:t>
                  </w:r>
                  <w:r>
                    <w:rPr>
                      <w:color w:val="auto"/>
                    </w:rPr>
                    <w:t>按照要求办理排污许可手续。</w:t>
                  </w:r>
                </w:p>
              </w:tc>
              <w:tc>
                <w:tcPr>
                  <w:tcW w:w="386"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restart"/>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《陕西省大气污染治理专项行动方案（2023</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2027年）》</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关中地区市辖区及开发区范围内新、改、扩建涉气重点行业企业应达到环保绩效A级、绩效引领性水平，西安市、咸阳市、渭南市的其他区域应达到环保绩效B级及以上水平。</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项目属于水泥制品制造行业，</w:t>
                  </w:r>
                  <w:r>
                    <w:rPr>
                      <w:rFonts w:hint="eastAsia" w:cs="Times New Roman"/>
                      <w:color w:val="auto"/>
                      <w:sz w:val="21"/>
                      <w:szCs w:val="21"/>
                      <w:lang w:val="en-US" w:eastAsia="zh-CN"/>
                    </w:rPr>
                    <w:t>为</w:t>
                  </w:r>
                  <w:r>
                    <w:rPr>
                      <w:rFonts w:hint="eastAsia" w:ascii="Times New Roman" w:hAnsi="Times New Roman" w:eastAsia="宋体" w:cs="Times New Roman"/>
                      <w:color w:val="auto"/>
                      <w:sz w:val="21"/>
                      <w:szCs w:val="21"/>
                      <w:lang w:val="en-US" w:eastAsia="zh-CN"/>
                    </w:rPr>
                    <w:t>涉气重点行业。根据《重污染天气重点行业应急减排措施制定技术指南（2020年修订版）》，水泥制品行业规定了“水泥制品绩效引领</w:t>
                  </w:r>
                  <w:r>
                    <w:rPr>
                      <w:rFonts w:hint="eastAsia" w:ascii="Times New Roman" w:hAnsi="Times New Roman" w:eastAsia="宋体" w:cs="Times New Roman"/>
                      <w:color w:val="auto"/>
                      <w:sz w:val="21"/>
                      <w:szCs w:val="21"/>
                      <w:highlight w:val="none"/>
                      <w:lang w:val="en-US" w:eastAsia="zh-CN"/>
                    </w:rPr>
                    <w:t>性指标”，</w:t>
                  </w:r>
                  <w:r>
                    <w:rPr>
                      <w:rFonts w:hint="eastAsia" w:cs="Times New Roman"/>
                      <w:color w:val="auto"/>
                      <w:sz w:val="21"/>
                      <w:szCs w:val="21"/>
                      <w:highlight w:val="none"/>
                      <w:lang w:val="en-US" w:eastAsia="zh-CN"/>
                    </w:rPr>
                    <w:t>环评</w:t>
                  </w:r>
                  <w:r>
                    <w:rPr>
                      <w:rFonts w:hint="eastAsia" w:ascii="Times New Roman" w:hAnsi="Times New Roman" w:eastAsia="宋体" w:cs="Times New Roman"/>
                      <w:color w:val="auto"/>
                      <w:sz w:val="21"/>
                      <w:szCs w:val="21"/>
                      <w:highlight w:val="none"/>
                      <w:lang w:val="en-US" w:eastAsia="zh-CN"/>
                    </w:rPr>
                    <w:t>要求建设单位按绩效引领性指标考核。</w:t>
                  </w:r>
                </w:p>
              </w:tc>
              <w:tc>
                <w:tcPr>
                  <w:tcW w:w="386"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关中地区以降低PM10指标为导向建立动态管控机制，施工场地严格执行“六个百分百”，施工工地扬尘排放超过《施工场界扬尘排放限值（DB61/1078—2017）》的立即停工整改，西安市、咸阳市、渭南市除沙尘天气影响外，PM10小时浓度连续3小时超过150微克/立方米时，暂停超过环境质量监测值2.5倍以上的施工工地作业。</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本项目施工期应强化洒水抑尘，增加作业车辆冲洗次数，最大限度控制扬尘排放。</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车辆优化工程</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强化非道路移动机械排放控制区管控，到2025年不符合第三阶段和在用非移动机械排放标准三类限值的机械禁止使用，具备条件的可更换国四及以上排放标准的发动机。</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本项目拟</w:t>
                  </w:r>
                  <w:r>
                    <w:rPr>
                      <w:rFonts w:hint="eastAsia" w:ascii="Times New Roman" w:hAnsi="Times New Roman" w:eastAsia="宋体" w:cs="Times New Roman"/>
                      <w:color w:val="auto"/>
                      <w:sz w:val="21"/>
                      <w:szCs w:val="21"/>
                      <w:highlight w:val="none"/>
                      <w:lang w:val="en-US" w:eastAsia="zh-CN"/>
                    </w:rPr>
                    <w:t>新增国四</w:t>
                  </w:r>
                  <w:r>
                    <w:rPr>
                      <w:rFonts w:hint="eastAsia" w:cs="Times New Roman"/>
                      <w:color w:val="auto"/>
                      <w:sz w:val="21"/>
                      <w:szCs w:val="21"/>
                      <w:highlight w:val="none"/>
                      <w:lang w:val="en-US" w:eastAsia="zh-CN"/>
                    </w:rPr>
                    <w:t>及以上</w:t>
                  </w:r>
                  <w:r>
                    <w:rPr>
                      <w:rFonts w:hint="eastAsia" w:ascii="Times New Roman" w:hAnsi="Times New Roman" w:eastAsia="宋体" w:cs="Times New Roman"/>
                      <w:color w:val="auto"/>
                      <w:sz w:val="21"/>
                      <w:szCs w:val="21"/>
                      <w:highlight w:val="none"/>
                      <w:lang w:val="en-US" w:eastAsia="zh-CN"/>
                    </w:rPr>
                    <w:t>非道</w:t>
                  </w:r>
                  <w:r>
                    <w:rPr>
                      <w:rFonts w:hint="eastAsia" w:ascii="Times New Roman" w:hAnsi="Times New Roman" w:eastAsia="宋体" w:cs="Times New Roman"/>
                      <w:color w:val="auto"/>
                      <w:sz w:val="21"/>
                      <w:szCs w:val="21"/>
                      <w:lang w:val="en-US" w:eastAsia="zh-CN"/>
                    </w:rPr>
                    <w:t>路移动机械</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且</w:t>
                  </w:r>
                  <w:r>
                    <w:rPr>
                      <w:rFonts w:hint="eastAsia" w:ascii="Times New Roman" w:hAnsi="Times New Roman" w:eastAsia="宋体" w:cs="Times New Roman"/>
                      <w:color w:val="auto"/>
                      <w:sz w:val="21"/>
                      <w:szCs w:val="21"/>
                      <w:highlight w:val="none"/>
                      <w:lang w:val="en-US" w:eastAsia="zh-CN"/>
                    </w:rPr>
                    <w:t>严格按照《重污染天气重点行业应急减排措施制定技术指南》中的要求，建立门禁监</w:t>
                  </w:r>
                  <w:r>
                    <w:rPr>
                      <w:rFonts w:hint="eastAsia" w:ascii="Times New Roman" w:hAnsi="Times New Roman" w:eastAsia="宋体" w:cs="Times New Roman"/>
                      <w:color w:val="auto"/>
                      <w:sz w:val="21"/>
                      <w:szCs w:val="21"/>
                      <w:lang w:val="en-US" w:eastAsia="zh-CN"/>
                    </w:rPr>
                    <w:t>控系统。</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05" w:type="pct"/>
                  <w:vMerge w:val="restart"/>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《西安市大气污染治理专项行动方案》（2023</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2027年）</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严格新改扩建涉气重点行业绩效评级限制条件。各区、开发区范围内新改扩建涉气重点行业企业应达到环保绩效A级、绩效引领性水平，周至县、蓝田县应达到环保绩效B级及以上水平。</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属于水泥制品制造行业，属于涉气重点行业。根据《重污染天气重点行业应急减排措施制定技术指南（2020年修订版）》中的39类行业之一，水泥制品行业仅规定了“水泥制品绩效引领性指标”，本次评价要求建设单位按绩效引领性指标考核。具体分析见“绩效环保管理篇章”。</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加强建筑垃圾清运作业项目和在建工地施工扬尘精细化管控。建立动态管理清单，全面落实“六个百分百”“七个到位”要求，强化洒水抑尘，增加作业车辆和机械冲洗次数，防止带泥行驶。加强扬尘管控日常督导检查，对发现的问题组织相关辖区进行整改。将扬尘管理工作不到位的不良信息纳入建筑市场信用管理体系，情节严重的实行信用惩戒。</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本项目施工期应全面落实“六个百分百”“七个到位”要求，强化洒水抑尘，增加作业车辆冲洗次数，防止带泥行驶。</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车辆优化工程强化非道路动机械排放控制区管控。到2025年不符合“双三标准”的机械禁止使用，具备条件的可更换国四及以上排放标准的发动机。</w:t>
                  </w:r>
                </w:p>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持续推进重点企业门禁系统建设。督促指导企业落实重污染天气重点行业绩效分级技术指南要求，日运输车辆</w:t>
                  </w:r>
                  <w:r>
                    <w:rPr>
                      <w:rFonts w:hint="eastAsia"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辆次及以上的企业全部安装门禁系统。2023年底前完成60家企业门禁系统安装，2025年底前全部完成相关企业门禁系统安装。</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本项目拟</w:t>
                  </w:r>
                  <w:r>
                    <w:rPr>
                      <w:rFonts w:hint="eastAsia" w:ascii="Times New Roman" w:hAnsi="Times New Roman" w:eastAsia="宋体" w:cs="Times New Roman"/>
                      <w:color w:val="auto"/>
                      <w:sz w:val="21"/>
                      <w:szCs w:val="21"/>
                      <w:highlight w:val="none"/>
                      <w:lang w:val="en-US" w:eastAsia="zh-CN"/>
                    </w:rPr>
                    <w:t>新增国四</w:t>
                  </w:r>
                  <w:r>
                    <w:rPr>
                      <w:rFonts w:hint="eastAsia" w:cs="Times New Roman"/>
                      <w:color w:val="auto"/>
                      <w:sz w:val="21"/>
                      <w:szCs w:val="21"/>
                      <w:highlight w:val="none"/>
                      <w:lang w:val="en-US" w:eastAsia="zh-CN"/>
                    </w:rPr>
                    <w:t>及以上</w:t>
                  </w:r>
                  <w:r>
                    <w:rPr>
                      <w:rFonts w:hint="eastAsia" w:ascii="Times New Roman" w:hAnsi="Times New Roman" w:eastAsia="宋体" w:cs="Times New Roman"/>
                      <w:color w:val="auto"/>
                      <w:sz w:val="21"/>
                      <w:szCs w:val="21"/>
                      <w:highlight w:val="none"/>
                      <w:lang w:val="en-US" w:eastAsia="zh-CN"/>
                    </w:rPr>
                    <w:t>非道</w:t>
                  </w:r>
                  <w:r>
                    <w:rPr>
                      <w:rFonts w:hint="eastAsia" w:ascii="Times New Roman" w:hAnsi="Times New Roman" w:eastAsia="宋体" w:cs="Times New Roman"/>
                      <w:color w:val="auto"/>
                      <w:sz w:val="21"/>
                      <w:szCs w:val="21"/>
                      <w:lang w:val="en-US" w:eastAsia="zh-CN"/>
                    </w:rPr>
                    <w:t>路移动机械</w:t>
                  </w:r>
                  <w:r>
                    <w:rPr>
                      <w:rFonts w:hint="eastAsia" w:ascii="Times New Roman" w:hAnsi="Times New Roman" w:eastAsia="宋体" w:cs="Times New Roman"/>
                      <w:color w:val="auto"/>
                      <w:sz w:val="21"/>
                      <w:szCs w:val="21"/>
                      <w:highlight w:val="none"/>
                      <w:lang w:val="en-US" w:eastAsia="zh-CN"/>
                    </w:rPr>
                    <w:t>。</w:t>
                  </w:r>
                  <w:r>
                    <w:rPr>
                      <w:rFonts w:hint="eastAsia" w:cs="Times New Roman"/>
                      <w:color w:val="auto"/>
                      <w:sz w:val="21"/>
                      <w:szCs w:val="21"/>
                      <w:highlight w:val="none"/>
                      <w:lang w:val="en-US" w:eastAsia="zh-CN"/>
                    </w:rPr>
                    <w:t>且</w:t>
                  </w:r>
                  <w:r>
                    <w:rPr>
                      <w:rFonts w:hint="eastAsia" w:ascii="Times New Roman" w:hAnsi="Times New Roman" w:eastAsia="宋体" w:cs="Times New Roman"/>
                      <w:color w:val="auto"/>
                      <w:sz w:val="21"/>
                      <w:szCs w:val="21"/>
                      <w:highlight w:val="none"/>
                      <w:lang w:val="en-US" w:eastAsia="zh-CN"/>
                    </w:rPr>
                    <w:t>严格按照《重污染天气重点行业应急减排措施制定技术指南》中的要求，建立门禁监</w:t>
                  </w:r>
                  <w:r>
                    <w:rPr>
                      <w:rFonts w:hint="eastAsia" w:ascii="Times New Roman" w:hAnsi="Times New Roman" w:eastAsia="宋体" w:cs="Times New Roman"/>
                      <w:color w:val="auto"/>
                      <w:sz w:val="21"/>
                      <w:szCs w:val="21"/>
                      <w:lang w:val="en-US" w:eastAsia="zh-CN"/>
                    </w:rPr>
                    <w:t>控系统。</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05" w:type="pct"/>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《周至县大气污染治理专项行动方案》（2023</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2027年）</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加强物料堆场扬尘管控。针对铸造、铁合金、焦化、水泥、砖瓦、石灰、耐火材料、有色金属冶炼等行业，严格控制物料储存、输送及生产工艺过程无组织排放，粉粒类物料堆放场以及大型煤炭和矿石物料堆场，基本完成抑尘设施建设和物料输送系统封闭改造，严禁露天装卸作业和物料干法作业。</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color w:val="auto"/>
                    </w:rPr>
                    <w:t>本项目骨料堆场、传送带均设置在封闭的工业厂房内，水泥等粉状物料均存放在筒仓内。</w:t>
                  </w:r>
                  <w:r>
                    <w:rPr>
                      <w:rFonts w:hint="eastAsia" w:ascii="Times New Roman" w:hAnsi="Times New Roman" w:eastAsia="宋体" w:cs="Times New Roman"/>
                      <w:color w:val="auto"/>
                      <w:sz w:val="21"/>
                      <w:szCs w:val="21"/>
                      <w:lang w:val="en-US" w:eastAsia="zh-CN"/>
                    </w:rPr>
                    <w:t>严禁露天装卸作业和物料干法作业</w:t>
                  </w:r>
                  <w:r>
                    <w:rPr>
                      <w:rFonts w:hint="eastAsia" w:cs="Times New Roman"/>
                      <w:color w:val="auto"/>
                      <w:sz w:val="21"/>
                      <w:szCs w:val="21"/>
                      <w:lang w:val="en-US" w:eastAsia="zh-CN"/>
                    </w:rPr>
                    <w:t>，采取以上</w:t>
                  </w:r>
                  <w:r>
                    <w:rPr>
                      <w:rFonts w:hint="eastAsia" w:ascii="Times New Roman" w:hAnsi="Times New Roman" w:eastAsia="宋体" w:cs="Times New Roman"/>
                      <w:color w:val="auto"/>
                      <w:sz w:val="21"/>
                      <w:szCs w:val="21"/>
                      <w:lang w:val="en-US" w:eastAsia="zh-CN"/>
                    </w:rPr>
                    <w:t>措施可有效控制物料堆场扬尘的排放。</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805" w:type="pct"/>
                  <w:vMerge w:val="restart"/>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《西安市人民政府办公厅关于印发大气污染治理专项行动</w:t>
                  </w:r>
                  <w:r>
                    <w:rPr>
                      <w:rFonts w:hint="eastAsia" w:cs="Times New Roman"/>
                      <w:color w:val="auto"/>
                      <w:sz w:val="21"/>
                      <w:szCs w:val="21"/>
                      <w:highlight w:val="none"/>
                      <w:lang w:val="en-US" w:eastAsia="zh-CN"/>
                    </w:rPr>
                    <w:t>2024</w:t>
                  </w:r>
                  <w:r>
                    <w:rPr>
                      <w:rFonts w:hint="eastAsia" w:ascii="Times New Roman" w:hAnsi="Times New Roman" w:eastAsia="宋体" w:cs="Times New Roman"/>
                      <w:color w:val="auto"/>
                      <w:sz w:val="21"/>
                      <w:szCs w:val="21"/>
                      <w:highlight w:val="none"/>
                      <w:lang w:val="en-US" w:eastAsia="zh-CN"/>
                    </w:rPr>
                    <w:t>年工作方案的通知》</w:t>
                  </w:r>
                </w:p>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市政办函〔2024〕25 号</w:t>
                  </w:r>
                </w:p>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强化源头管控。严格落实国家和我省产业规划、产业政策、“三线一单”、规划环评、重点污染物总量控制、污染物排放区域削减等要求，积极推行区域、规划环境影响评价，新改扩建化工、石化、建材、有色等项目的环境影响评价应满足区域和规划环评要求。</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本项目符合产业政策、“三线一单”等相关要求；</w:t>
                  </w:r>
                </w:p>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项目所在地暂无区域、规划环评，在采取有效的环保措施后，污染物排放量小，对环境影响较小，符合重点管控单元要求</w:t>
                  </w:r>
                  <w:r>
                    <w:rPr>
                      <w:rFonts w:hint="eastAsia" w:cs="Times New Roman"/>
                      <w:color w:val="auto"/>
                      <w:sz w:val="21"/>
                      <w:szCs w:val="21"/>
                      <w:highlight w:val="none"/>
                      <w:lang w:val="en-US" w:eastAsia="zh-CN"/>
                    </w:rPr>
                    <w:t>。</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pct"/>
                  <w:vMerge w:val="continue"/>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严格新、改、扩建涉气重点行业绩效评级限制条件。各区、开发区范围内新改扩建涉气重点行业企业应达到环保绩效 A 级、绩效引领性水平，周至县、蓝田县应达到环保绩效B级及以上水平。</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highlight w:val="none"/>
                      <w:lang w:val="en-US" w:eastAsia="zh-CN"/>
                    </w:rPr>
                    <w:t>项目属于水泥制品制造行业，属于涉气重点行业。本次评价要求建设单位按绩效引领性指标考核。具体分析见“绩效环保管理篇章”。</w:t>
                  </w:r>
                </w:p>
              </w:tc>
              <w:tc>
                <w:tcPr>
                  <w:tcW w:w="386"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highlight w:val="none"/>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pct"/>
                  <w:vMerge w:val="restart"/>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西安市人民政府关于印发西安市空气质量达标规划（2023—2030年）的通知（市政发〔2023〕10号）</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加快推进产业结构调整。加快建设先进制造业强市，优化各园区产业定位，促进产业集聚和绿色发展转型，统筹推进产业布局与大气环境质量改善需求相适应，严格落实国家和我省产业规划、产业政策、“三线一单”、规划环评等要求，新改扩建化工、石化、建材、有色等项目的环境影响评价应满足区域和规划环评要求。</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位于西安市周至县富仁镇上三高村，在采取有效的环保措施后，污染物排放量小，对环境影响较小，符合重点管控单元要求，并且所在区域未开展规划及规划环评，环评要求项目建成后按照要求办理排污许可手续。</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加强堆场料场管理。加强灰场、煤场和渣场等易扬尘堆场料场管理，开展全封闭改造，无法完成封闭改造的，必须覆盖高密目防风抑尘网；在堆场进出口设置车辆冲洗设施，对运输车辆实施密闭或全覆盖，建立工业堆场视频监控全覆盖，实现堆场扬尘动态管理。</w:t>
                  </w:r>
                </w:p>
              </w:tc>
              <w:tc>
                <w:tcPr>
                  <w:tcW w:w="1828"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color w:val="auto"/>
                    </w:rPr>
                    <w:t>本项目骨料堆场、传送带均设置在封闭的工业厂房内，水泥等粉状物料均存放在筒仓内。采取以上措施可有效控制物料堆场扬尘的排放。</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restart"/>
                  <w:tcBorders>
                    <w:top w:val="single" w:color="auto" w:sz="4" w:space="0"/>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陕西省生态环境厅关于进一步加强关中地区涉气重点行业项目环评管理的通知（陕环环评函〔2023〕76号）</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关中地区涉气重点行业项目范围为生态环境部确定的39个重点行业的新改扩建项目，涉及关中各市（区）辖区及开发区范围内的应达到环保绩效A级、绩效引领性水平要求，西安市、咸阳市、渭南市的其他区域应达到环保绩效B级及以上要求。</w:t>
                  </w:r>
                </w:p>
              </w:tc>
              <w:tc>
                <w:tcPr>
                  <w:tcW w:w="1828" w:type="pct"/>
                  <w:vMerge w:val="restart"/>
                  <w:tcBorders>
                    <w:top w:val="single" w:color="auto" w:sz="4" w:space="0"/>
                    <w:left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属于水泥制品制造行业，属于涉气重点行业。根据《重污染天气重点行业应急减排措施制定技术指南（2020年修订版）》中的39类行业之一，水泥制品行业仅规定了“水泥制品绩效引领性指标”，本次评价要求建设单位按绩效引领性指标考核。具体分析见“绩效环保管理篇章”。</w:t>
                  </w:r>
                  <w:r>
                    <w:rPr>
                      <w:rFonts w:eastAsia="宋体" w:cs="Times New Roman"/>
                      <w:color w:val="auto"/>
                      <w:sz w:val="21"/>
                      <w:szCs w:val="21"/>
                    </w:rPr>
                    <w:t>建设单位已出具环保绩效达级承诺书。</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关中地区涉气重点行业新、改、扩建项目环境影响报告书（表）应编制环保绩效管理篇章，按照环办大气函</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2020</w:t>
                  </w:r>
                  <w:r>
                    <w:rPr>
                      <w:rFonts w:hint="eastAsia"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340号文件从建设项目的装备水平（生产工艺）、污染治理技术、排放限值、无组织管控要求、监测监控水平、环境管理水平、运输方式和管控要求等方面，专项分析拟建和已建项目建设内容、生态环境保护措施与对应环保绩效分级、绩效引领性水平的相符性。</w:t>
                  </w:r>
                </w:p>
              </w:tc>
              <w:tc>
                <w:tcPr>
                  <w:tcW w:w="1828" w:type="pct"/>
                  <w:vMerge w:val="continue"/>
                  <w:tcBorders>
                    <w:left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continue"/>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涉及改、扩建项目的企业应出具环保绩效达级承诺书，原则上应在拟建项目建成时且在专项行动方案或市级生态环境部门规定时限内完成环保绩效达级。承诺书与项目环评文件一并报送环评审批部门，并纳入竣工验收管理。</w:t>
                  </w:r>
                </w:p>
              </w:tc>
              <w:tc>
                <w:tcPr>
                  <w:tcW w:w="1828" w:type="pct"/>
                  <w:vMerge w:val="continue"/>
                  <w:tcBorders>
                    <w:left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restart"/>
                  <w:tcBorders>
                    <w:left w:val="nil"/>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陕西省关于印发《陕西省排污许可制支撑空气质量持续改善实施方案》的通知（陕环发</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2023</w:t>
                  </w:r>
                  <w:r>
                    <w:rPr>
                      <w:rFonts w:hint="eastAsia" w:ascii="宋体" w:hAnsi="宋体" w:eastAsia="宋体" w:cs="宋体"/>
                      <w:color w:val="auto"/>
                      <w:sz w:val="21"/>
                      <w:szCs w:val="21"/>
                      <w:lang w:val="en-US" w:eastAsia="zh-CN"/>
                    </w:rPr>
                    <w:t>〕</w:t>
                  </w:r>
                  <w:r>
                    <w:rPr>
                      <w:rFonts w:hint="eastAsia" w:cs="Times New Roman"/>
                      <w:color w:val="auto"/>
                      <w:sz w:val="21"/>
                      <w:szCs w:val="21"/>
                      <w:lang w:val="en-US" w:eastAsia="zh-CN"/>
                    </w:rPr>
                    <w:t>59号）</w:t>
                  </w: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color w:val="auto"/>
                    </w:rPr>
                    <w:t>（一）开展从严许可排放量试点工作。以大气环境质量改善需求从严确定许可排放量，在2027年底前完成西安市、咸阳市和渭南市以实际排放量为基数的计算值（计算方法见附件1）作为许可排放量的试点工作，并对试点区域内所有行业排污单位废气主要排放口、一般排放口及无组织排放全口径许可污染物排放量，逐步实现固定污染源污染物排放的全面管控。对于重新申领、延续和变更排污许可证的排污单位，以达标排放的实际排放量为基数重新核定许可排放量。排污单位应按照排污许可证规定填报实际排放量。鼓励排污单位通过排污权有偿使用或交易取得的富余排污量在排污权交易二级市场进行交易。</w:t>
                  </w:r>
                </w:p>
              </w:tc>
              <w:tc>
                <w:tcPr>
                  <w:tcW w:w="1828" w:type="pct"/>
                  <w:tcBorders>
                    <w:left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cs="Times New Roman"/>
                      <w:color w:val="auto"/>
                      <w:lang w:val="en-US" w:eastAsia="zh-CN"/>
                    </w:rPr>
                    <w:t>根据</w:t>
                  </w:r>
                  <w:r>
                    <w:rPr>
                      <w:rFonts w:hint="eastAsia" w:cs="Times New Roman"/>
                      <w:color w:val="auto"/>
                    </w:rPr>
                    <w:t>《固定污染源排污许可分类管理名录》，本项目属于排污登记管理类，</w:t>
                  </w:r>
                  <w:r>
                    <w:rPr>
                      <w:rFonts w:hint="eastAsia"/>
                      <w:color w:val="auto"/>
                    </w:rPr>
                    <w:t>本次环评中各污染物排放量核算均采用系数法及物料衡算法，符合排污许可规范等相关要求。</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805" w:type="pct"/>
                  <w:vMerge w:val="continue"/>
                  <w:tcBorders>
                    <w:left w:val="nil"/>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cs="Times New Roman"/>
                      <w:color w:val="auto"/>
                      <w:sz w:val="21"/>
                      <w:szCs w:val="21"/>
                      <w:lang w:val="en-US" w:eastAsia="zh-CN"/>
                    </w:rPr>
                  </w:pPr>
                </w:p>
              </w:tc>
              <w:tc>
                <w:tcPr>
                  <w:tcW w:w="1979" w:type="pct"/>
                  <w:tcBorders>
                    <w:top w:val="single" w:color="auto" w:sz="4" w:space="0"/>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color w:val="auto"/>
                    </w:rPr>
                  </w:pPr>
                  <w:r>
                    <w:rPr>
                      <w:rFonts w:hint="eastAsia"/>
                      <w:color w:val="auto"/>
                    </w:rPr>
                    <w:t>（五）严格落实自行监测。排污单位应严格编制自行监测方案、规范开展自行监测、确保自行监测报告质量并完整公开自行监测信息。自行监测方案应符合完整性、规范性，包括：自行监测方案中监测点位、指标、频次是否符合自行监测技术指南及排污许可证相关要求；执行排放标准及限值、样品采集和保存方法的完整性、规范性；监测分析方法、监测仪器设备规范性；质控措施规范性、合理性等。</w:t>
                  </w:r>
                </w:p>
              </w:tc>
              <w:tc>
                <w:tcPr>
                  <w:tcW w:w="1828" w:type="pct"/>
                  <w:tcBorders>
                    <w:left w:val="single" w:color="auto" w:sz="4" w:space="0"/>
                    <w:bottom w:val="single" w:color="auto" w:sz="4" w:space="0"/>
                    <w:right w:val="single" w:color="auto" w:sz="4" w:space="0"/>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本次环评根据</w:t>
                  </w:r>
                  <w:r>
                    <w:rPr>
                      <w:rFonts w:hint="eastAsia"/>
                      <w:color w:val="auto"/>
                    </w:rPr>
                    <w:t>《排污单位自行监测技术指南 总则》（HJ819-2017）</w:t>
                  </w:r>
                  <w:r>
                    <w:rPr>
                      <w:rFonts w:hint="eastAsia"/>
                      <w:color w:val="auto"/>
                      <w:lang w:val="en-US" w:eastAsia="zh-CN"/>
                    </w:rPr>
                    <w:t>提出了相对应的自行监测计划，环评要求企业应</w:t>
                  </w:r>
                  <w:r>
                    <w:rPr>
                      <w:rFonts w:hint="eastAsia"/>
                      <w:color w:val="auto"/>
                    </w:rPr>
                    <w:t>严格落实自行监测</w:t>
                  </w:r>
                  <w:r>
                    <w:rPr>
                      <w:rFonts w:hint="eastAsia"/>
                      <w:color w:val="auto"/>
                      <w:lang w:val="en-US" w:eastAsia="zh-CN"/>
                    </w:rPr>
                    <w:t>计划</w:t>
                  </w:r>
                  <w:r>
                    <w:rPr>
                      <w:rFonts w:hint="eastAsia"/>
                      <w:color w:val="auto"/>
                      <w:lang w:eastAsia="zh-CN"/>
                    </w:rPr>
                    <w:t>。</w:t>
                  </w:r>
                </w:p>
              </w:tc>
              <w:tc>
                <w:tcPr>
                  <w:tcW w:w="386" w:type="pct"/>
                  <w:tcBorders>
                    <w:top w:val="single" w:color="auto" w:sz="4" w:space="0"/>
                    <w:left w:val="single" w:color="auto" w:sz="4" w:space="0"/>
                    <w:bottom w:val="single" w:color="auto" w:sz="4" w:space="0"/>
                    <w:right w:val="nil"/>
                  </w:tcBorders>
                  <w:vAlign w:val="center"/>
                </w:tcPr>
                <w:p>
                  <w:pPr>
                    <w:pStyle w:val="27"/>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符合</w:t>
                  </w:r>
                </w:p>
              </w:tc>
            </w:tr>
          </w:tbl>
          <w:p>
            <w:pPr>
              <w:adjustRightInd w:val="0"/>
              <w:snapToGrid w:val="0"/>
              <w:ind w:firstLine="480" w:firstLineChars="200"/>
              <w:rPr>
                <w:color w:val="auto"/>
              </w:rPr>
            </w:pPr>
          </w:p>
        </w:tc>
      </w:tr>
    </w:tbl>
    <w:p>
      <w:pPr>
        <w:rPr>
          <w:rFonts w:cs="Times New Roman"/>
          <w:color w:val="auto"/>
        </w:rPr>
        <w:sectPr>
          <w:pgSz w:w="11906" w:h="16838"/>
          <w:pgMar w:top="1440" w:right="1083" w:bottom="1440" w:left="1083" w:header="851" w:footer="992" w:gutter="0"/>
          <w:pgBorders>
            <w:top w:val="none" w:sz="0" w:space="0"/>
            <w:left w:val="none" w:sz="0" w:space="0"/>
            <w:bottom w:val="none" w:sz="0" w:space="0"/>
            <w:right w:val="none" w:sz="0" w:space="0"/>
          </w:pgBorders>
          <w:pgNumType w:fmt="numberInDash" w:start="1"/>
          <w:cols w:space="0" w:num="1"/>
          <w:rtlGutter w:val="0"/>
          <w:docGrid w:type="lines" w:linePitch="335" w:charSpace="0"/>
        </w:sectPr>
      </w:pPr>
    </w:p>
    <w:p>
      <w:pPr>
        <w:jc w:val="center"/>
        <w:rPr>
          <w:rFonts w:cs="Times New Roman"/>
          <w:b/>
          <w:bCs/>
          <w:color w:val="auto"/>
          <w:sz w:val="28"/>
          <w:szCs w:val="24"/>
        </w:rPr>
      </w:pPr>
      <w:r>
        <w:rPr>
          <w:rFonts w:cs="Times New Roman"/>
          <w:b/>
          <w:bCs/>
          <w:color w:val="auto"/>
          <w:sz w:val="28"/>
          <w:szCs w:val="24"/>
        </w:rPr>
        <w:t>二、建设项目工程分析</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 w:type="pct"/>
            <w:vAlign w:val="center"/>
          </w:tcPr>
          <w:p>
            <w:pPr>
              <w:adjustRightInd w:val="0"/>
              <w:snapToGrid w:val="0"/>
              <w:spacing w:line="240" w:lineRule="auto"/>
              <w:jc w:val="center"/>
              <w:rPr>
                <w:rFonts w:cs="Times New Roman"/>
                <w:color w:val="auto"/>
              </w:rPr>
            </w:pPr>
            <w:r>
              <w:rPr>
                <w:rFonts w:cs="Times New Roman"/>
                <w:color w:val="auto"/>
              </w:rPr>
              <w:t>建设内容</w:t>
            </w:r>
          </w:p>
        </w:tc>
        <w:tc>
          <w:tcPr>
            <w:tcW w:w="4796" w:type="pct"/>
          </w:tcPr>
          <w:p>
            <w:pPr>
              <w:ind w:firstLine="482" w:firstLineChars="200"/>
              <w:rPr>
                <w:rFonts w:cs="Times New Roman"/>
                <w:b/>
                <w:bCs/>
                <w:color w:val="auto"/>
              </w:rPr>
            </w:pPr>
            <w:r>
              <w:rPr>
                <w:rFonts w:cs="Times New Roman"/>
                <w:b/>
                <w:bCs/>
                <w:color w:val="auto"/>
              </w:rPr>
              <w:t>1、项目由来</w:t>
            </w:r>
          </w:p>
          <w:p>
            <w:pPr>
              <w:ind w:firstLine="480" w:firstLineChars="200"/>
              <w:rPr>
                <w:rFonts w:cs="Times New Roman"/>
                <w:color w:val="auto"/>
              </w:rPr>
            </w:pPr>
            <w:r>
              <w:rPr>
                <w:rFonts w:hint="eastAsia" w:cs="Times New Roman"/>
                <w:color w:val="auto"/>
                <w:lang w:eastAsia="zh-CN"/>
              </w:rPr>
              <w:t>西安恒正宇道路养护有限公司</w:t>
            </w:r>
            <w:r>
              <w:rPr>
                <w:rFonts w:cs="Times New Roman"/>
                <w:color w:val="auto"/>
              </w:rPr>
              <w:t>成立于2017年</w:t>
            </w:r>
            <w:r>
              <w:rPr>
                <w:rFonts w:hint="eastAsia" w:cs="Times New Roman"/>
                <w:color w:val="auto"/>
                <w:lang w:val="en-US" w:eastAsia="zh-CN"/>
              </w:rPr>
              <w:t>06</w:t>
            </w:r>
            <w:r>
              <w:rPr>
                <w:rFonts w:cs="Times New Roman"/>
                <w:color w:val="auto"/>
              </w:rPr>
              <w:t>月</w:t>
            </w:r>
            <w:r>
              <w:rPr>
                <w:rFonts w:hint="eastAsia" w:cs="Times New Roman"/>
                <w:color w:val="auto"/>
                <w:lang w:val="en-US" w:eastAsia="zh-CN"/>
              </w:rPr>
              <w:t>05</w:t>
            </w:r>
            <w:r>
              <w:rPr>
                <w:rFonts w:cs="Times New Roman"/>
                <w:color w:val="auto"/>
              </w:rPr>
              <w:t>日，</w:t>
            </w:r>
            <w:r>
              <w:rPr>
                <w:rFonts w:hint="eastAsia" w:cs="Times New Roman"/>
                <w:color w:val="auto"/>
                <w:lang w:eastAsia="zh-CN"/>
              </w:rPr>
              <w:t>注册地址为</w:t>
            </w:r>
            <w:r>
              <w:rPr>
                <w:rFonts w:hint="eastAsia" w:cs="Times New Roman"/>
                <w:color w:val="auto"/>
              </w:rPr>
              <w:t>周至县周广路十字南300米路西</w:t>
            </w:r>
            <w:r>
              <w:rPr>
                <w:rFonts w:cs="Times New Roman"/>
                <w:color w:val="auto"/>
              </w:rPr>
              <w:t>。</w:t>
            </w:r>
            <w:r>
              <w:rPr>
                <w:rFonts w:eastAsia="宋体" w:cs="Times New Roman"/>
                <w:color w:val="auto"/>
                <w:szCs w:val="24"/>
              </w:rPr>
              <w:t>为满足市场需求及自身可持续发展，</w:t>
            </w:r>
            <w:r>
              <w:rPr>
                <w:rFonts w:cs="Times New Roman"/>
                <w:color w:val="auto"/>
              </w:rPr>
              <w:t>202</w:t>
            </w:r>
            <w:r>
              <w:rPr>
                <w:rFonts w:hint="eastAsia" w:cs="Times New Roman"/>
                <w:color w:val="auto"/>
                <w:lang w:val="en-US" w:eastAsia="zh-CN"/>
              </w:rPr>
              <w:t>4</w:t>
            </w:r>
            <w:r>
              <w:rPr>
                <w:rFonts w:cs="Times New Roman"/>
                <w:color w:val="auto"/>
              </w:rPr>
              <w:t>年</w:t>
            </w:r>
            <w:r>
              <w:rPr>
                <w:rFonts w:hint="eastAsia" w:cs="Times New Roman"/>
                <w:color w:val="auto"/>
                <w:lang w:val="en-US" w:eastAsia="zh-CN"/>
              </w:rPr>
              <w:t>4</w:t>
            </w:r>
            <w:r>
              <w:rPr>
                <w:rFonts w:cs="Times New Roman"/>
                <w:color w:val="auto"/>
              </w:rPr>
              <w:t>月</w:t>
            </w:r>
            <w:r>
              <w:rPr>
                <w:rFonts w:hint="eastAsia" w:cs="Times New Roman"/>
                <w:color w:val="auto"/>
                <w:lang w:eastAsia="zh-CN"/>
              </w:rPr>
              <w:t>西安恒正宇道路养护有限公司</w:t>
            </w:r>
            <w:r>
              <w:rPr>
                <w:rFonts w:cs="Times New Roman"/>
                <w:color w:val="auto"/>
              </w:rPr>
              <w:t>在</w:t>
            </w:r>
            <w:r>
              <w:rPr>
                <w:rFonts w:hint="eastAsia" w:cs="Times New Roman"/>
                <w:color w:val="auto"/>
                <w:lang w:eastAsia="zh-CN"/>
              </w:rPr>
              <w:t>周至县富仁镇上三高村</w:t>
            </w:r>
            <w:r>
              <w:rPr>
                <w:rFonts w:hint="eastAsia" w:cs="Times New Roman"/>
                <w:color w:val="auto"/>
                <w:lang w:val="en-US" w:eastAsia="zh-CN"/>
              </w:rPr>
              <w:t>，</w:t>
            </w:r>
            <w:r>
              <w:rPr>
                <w:rFonts w:cs="Times New Roman"/>
                <w:color w:val="auto"/>
              </w:rPr>
              <w:t>投资建</w:t>
            </w:r>
            <w:r>
              <w:rPr>
                <w:rFonts w:hint="eastAsia" w:cs="Times New Roman"/>
                <w:color w:val="auto"/>
                <w:lang w:eastAsia="zh-CN"/>
              </w:rPr>
              <w:t>设水稳材料和环保水泥砖生产线建设项目，</w:t>
            </w:r>
            <w:r>
              <w:rPr>
                <w:rFonts w:hint="eastAsia" w:cs="Times New Roman"/>
                <w:color w:val="auto"/>
                <w:lang w:val="en-US" w:eastAsia="zh-CN"/>
              </w:rPr>
              <w:t>项目占地35</w:t>
            </w:r>
            <w:r>
              <w:rPr>
                <w:rFonts w:cs="Times New Roman"/>
                <w:color w:val="auto"/>
              </w:rPr>
              <w:t>亩</w:t>
            </w:r>
            <w:r>
              <w:rPr>
                <w:rFonts w:hint="eastAsia" w:cs="Times New Roman"/>
                <w:color w:val="auto"/>
                <w:lang w:eastAsia="zh-CN"/>
              </w:rPr>
              <w:t>，</w:t>
            </w:r>
            <w:r>
              <w:rPr>
                <w:rFonts w:cs="Times New Roman"/>
                <w:color w:val="auto"/>
              </w:rPr>
              <w:t>现状为空地</w:t>
            </w:r>
            <w:r>
              <w:rPr>
                <w:rFonts w:hint="eastAsia" w:cs="Times New Roman"/>
                <w:color w:val="auto"/>
                <w:lang w:eastAsia="zh-CN"/>
              </w:rPr>
              <w:t>。</w:t>
            </w:r>
            <w:r>
              <w:rPr>
                <w:rFonts w:hint="eastAsia" w:cs="Times New Roman"/>
                <w:color w:val="auto"/>
                <w:lang w:val="en-US" w:eastAsia="zh-CN"/>
              </w:rPr>
              <w:t>主要</w:t>
            </w:r>
            <w:r>
              <w:rPr>
                <w:rFonts w:hint="eastAsia" w:cs="Times New Roman"/>
                <w:color w:val="auto"/>
                <w:lang w:eastAsia="zh-CN"/>
              </w:rPr>
              <w:t>建设水泥稳定材料生产线1条，优质环保水泥砖生产线</w:t>
            </w:r>
            <w:r>
              <w:rPr>
                <w:rFonts w:hint="eastAsia" w:cs="Times New Roman"/>
                <w:color w:val="auto"/>
                <w:lang w:val="en-US" w:eastAsia="zh-CN"/>
              </w:rPr>
              <w:t>1</w:t>
            </w:r>
            <w:r>
              <w:rPr>
                <w:rFonts w:hint="eastAsia" w:cs="Times New Roman"/>
                <w:color w:val="auto"/>
                <w:lang w:eastAsia="zh-CN"/>
              </w:rPr>
              <w:t>条，建成后预计年生产水泥稳定材</w:t>
            </w:r>
            <w:r>
              <w:rPr>
                <w:rFonts w:cs="Times New Roman"/>
                <w:color w:val="auto"/>
              </w:rPr>
              <w:t>料20万吨/年</w:t>
            </w:r>
            <w:r>
              <w:rPr>
                <w:rFonts w:hint="eastAsia" w:cs="Times New Roman"/>
                <w:color w:val="auto"/>
                <w:lang w:eastAsia="zh-CN"/>
              </w:rPr>
              <w:t>，</w:t>
            </w:r>
            <w:r>
              <w:rPr>
                <w:rFonts w:hint="eastAsia" w:cs="Times New Roman"/>
                <w:color w:val="auto"/>
                <w:lang w:val="en-US" w:eastAsia="zh-CN"/>
              </w:rPr>
              <w:t>优质环保水泥砖5000万块</w:t>
            </w:r>
            <w:r>
              <w:rPr>
                <w:rFonts w:cs="Times New Roman"/>
                <w:color w:val="auto"/>
              </w:rPr>
              <w:t>。</w:t>
            </w:r>
          </w:p>
          <w:p>
            <w:pPr>
              <w:ind w:firstLine="480" w:firstLineChars="200"/>
              <w:rPr>
                <w:rFonts w:cs="Times New Roman"/>
                <w:color w:val="auto"/>
              </w:rPr>
            </w:pPr>
            <w:r>
              <w:rPr>
                <w:rFonts w:cs="Times New Roman"/>
                <w:color w:val="auto"/>
              </w:rPr>
              <w:t>根据《国民经济行业分类》（GB/T 4754-2017），本项目行业</w:t>
            </w:r>
            <w:r>
              <w:rPr>
                <w:rFonts w:cs="Times New Roman"/>
                <w:color w:val="auto"/>
                <w:highlight w:val="none"/>
              </w:rPr>
              <w:t>类别为C3</w:t>
            </w:r>
            <w:r>
              <w:rPr>
                <w:rFonts w:hint="eastAsia" w:cs="Times New Roman"/>
                <w:color w:val="auto"/>
                <w:highlight w:val="none"/>
                <w:lang w:val="en-US" w:eastAsia="zh-CN"/>
              </w:rPr>
              <w:t>02</w:t>
            </w:r>
            <w:r>
              <w:rPr>
                <w:rFonts w:cs="Times New Roman"/>
                <w:color w:val="auto"/>
                <w:highlight w:val="none"/>
                <w:lang w:val="en-US" w:eastAsia="zh-CN"/>
              </w:rPr>
              <w:t>石膏、水泥制品及类似制品制</w:t>
            </w:r>
            <w:r>
              <w:rPr>
                <w:rFonts w:hint="eastAsia" w:cs="Times New Roman"/>
                <w:color w:val="auto"/>
                <w:highlight w:val="none"/>
                <w:lang w:val="en-US" w:eastAsia="zh-CN"/>
              </w:rPr>
              <w:t>造中C</w:t>
            </w:r>
            <w:r>
              <w:rPr>
                <w:rFonts w:hint="default" w:cs="Times New Roman"/>
                <w:color w:val="auto"/>
                <w:highlight w:val="none"/>
                <w:lang w:val="en-US" w:eastAsia="zh-CN"/>
              </w:rPr>
              <w:t>302</w:t>
            </w:r>
            <w:r>
              <w:rPr>
                <w:rFonts w:hint="eastAsia" w:cs="Times New Roman"/>
                <w:color w:val="auto"/>
                <w:highlight w:val="none"/>
                <w:lang w:val="en-US" w:eastAsia="zh-CN"/>
              </w:rPr>
              <w:t>1水泥制品制造和</w:t>
            </w:r>
            <w:r>
              <w:rPr>
                <w:rFonts w:cs="Times New Roman"/>
                <w:color w:val="auto"/>
              </w:rPr>
              <w:t>C3029其他水泥类似制品制造</w:t>
            </w:r>
            <w:r>
              <w:rPr>
                <w:rFonts w:cs="Times New Roman"/>
                <w:color w:val="auto"/>
                <w:highlight w:val="none"/>
              </w:rPr>
              <w:t>；依据《建设项目环境影响评价分类管理名录》（202</w:t>
            </w:r>
            <w:r>
              <w:rPr>
                <w:rFonts w:cs="Times New Roman"/>
                <w:color w:val="auto"/>
              </w:rPr>
              <w:t>1版），本项目属于“二十七：非金属矿物制品业30–石膏、水泥制品及类似制品制造302”中的“水泥制品制造”，应当编制环境影响报告表。</w:t>
            </w:r>
          </w:p>
          <w:p>
            <w:pPr>
              <w:ind w:firstLine="482" w:firstLineChars="200"/>
              <w:rPr>
                <w:rFonts w:cs="Times New Roman"/>
                <w:b/>
                <w:bCs/>
                <w:color w:val="auto"/>
              </w:rPr>
            </w:pPr>
            <w:r>
              <w:rPr>
                <w:rFonts w:cs="Times New Roman"/>
                <w:b/>
                <w:bCs/>
                <w:color w:val="auto"/>
              </w:rPr>
              <w:t>2、项目组成及建设内容</w:t>
            </w:r>
          </w:p>
          <w:p>
            <w:pPr>
              <w:ind w:firstLine="480" w:firstLineChars="200"/>
              <w:rPr>
                <w:rFonts w:hint="eastAsia" w:cs="Times New Roman" w:eastAsiaTheme="minorEastAsia"/>
                <w:color w:val="auto"/>
                <w:lang w:eastAsia="zh-CN"/>
              </w:rPr>
            </w:pPr>
            <w:r>
              <w:rPr>
                <w:rFonts w:cs="Times New Roman"/>
                <w:color w:val="auto"/>
                <w:highlight w:val="none"/>
              </w:rPr>
              <w:t>本项目占地</w:t>
            </w:r>
            <w:r>
              <w:rPr>
                <w:rFonts w:hint="eastAsia" w:cs="Times New Roman"/>
                <w:color w:val="auto"/>
                <w:highlight w:val="none"/>
                <w:lang w:eastAsia="zh-CN"/>
              </w:rPr>
              <w:t>面积</w:t>
            </w:r>
            <w:r>
              <w:rPr>
                <w:rFonts w:hint="eastAsia" w:cs="Times New Roman"/>
                <w:color w:val="auto"/>
                <w:highlight w:val="none"/>
                <w:lang w:val="en-US" w:eastAsia="zh-CN"/>
              </w:rPr>
              <w:t>23333.33m</w:t>
            </w:r>
            <w:r>
              <w:rPr>
                <w:rFonts w:hint="eastAsia" w:cs="Times New Roman"/>
                <w:color w:val="auto"/>
                <w:highlight w:val="none"/>
                <w:vertAlign w:val="superscript"/>
                <w:lang w:val="en-US" w:eastAsia="zh-CN"/>
              </w:rPr>
              <w:t>2</w:t>
            </w:r>
            <w:r>
              <w:rPr>
                <w:rFonts w:hint="eastAsia" w:cs="Times New Roman"/>
                <w:color w:val="auto"/>
                <w:highlight w:val="none"/>
                <w:lang w:val="en-US" w:eastAsia="zh-CN"/>
              </w:rPr>
              <w:t>（35</w:t>
            </w:r>
            <w:r>
              <w:rPr>
                <w:rFonts w:cs="Times New Roman"/>
                <w:color w:val="auto"/>
                <w:highlight w:val="none"/>
              </w:rPr>
              <w:t>亩</w:t>
            </w:r>
            <w:r>
              <w:rPr>
                <w:rFonts w:hint="eastAsia" w:cs="Times New Roman"/>
                <w:color w:val="auto"/>
                <w:highlight w:val="none"/>
                <w:lang w:val="en-US" w:eastAsia="zh-CN"/>
              </w:rPr>
              <w:t>）</w:t>
            </w:r>
            <w:r>
              <w:rPr>
                <w:rFonts w:cs="Times New Roman"/>
                <w:color w:val="auto"/>
                <w:highlight w:val="none"/>
              </w:rPr>
              <w:t>，建设标</w:t>
            </w:r>
            <w:r>
              <w:rPr>
                <w:rFonts w:cs="Times New Roman"/>
                <w:color w:val="auto"/>
              </w:rPr>
              <w:t>准化工业厂房</w:t>
            </w:r>
            <w:r>
              <w:rPr>
                <w:rFonts w:hint="eastAsia" w:cs="Times New Roman"/>
                <w:color w:val="auto"/>
                <w:lang w:val="en-US" w:eastAsia="zh-CN"/>
              </w:rPr>
              <w:t>7100</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2</w:t>
            </w:r>
            <w:r>
              <w:rPr>
                <w:rFonts w:cs="Times New Roman"/>
                <w:color w:val="auto"/>
              </w:rPr>
              <w:t>。拟购置水泥筒</w:t>
            </w:r>
            <w:r>
              <w:rPr>
                <w:rFonts w:cs="Times New Roman"/>
                <w:color w:val="auto"/>
                <w:highlight w:val="none"/>
              </w:rPr>
              <w:t>仓、搅拌缸、装载机、传送带等生产设备及辅助设</w:t>
            </w:r>
            <w:r>
              <w:rPr>
                <w:rFonts w:cs="Times New Roman"/>
                <w:color w:val="auto"/>
              </w:rPr>
              <w:t>施，在工业厂房内</w:t>
            </w:r>
            <w:r>
              <w:rPr>
                <w:rFonts w:hint="eastAsia" w:cs="Times New Roman"/>
                <w:color w:val="auto"/>
                <w:lang w:eastAsia="zh-CN"/>
              </w:rPr>
              <w:t>建设</w:t>
            </w:r>
            <w:r>
              <w:rPr>
                <w:rFonts w:cs="Times New Roman"/>
                <w:color w:val="auto"/>
              </w:rPr>
              <w:t>水泥稳定材料生产线</w:t>
            </w:r>
            <w:r>
              <w:rPr>
                <w:rFonts w:hint="eastAsia" w:cs="Times New Roman"/>
                <w:color w:val="auto"/>
                <w:lang w:eastAsia="zh-CN"/>
              </w:rPr>
              <w:t>和优质环保水泥砖生产线各</w:t>
            </w:r>
            <w:r>
              <w:rPr>
                <w:rFonts w:cs="Times New Roman"/>
                <w:color w:val="auto"/>
              </w:rPr>
              <w:t>1条</w:t>
            </w:r>
            <w:r>
              <w:rPr>
                <w:rFonts w:hint="eastAsia" w:cs="Times New Roman"/>
                <w:color w:val="auto"/>
                <w:lang w:eastAsia="zh-CN"/>
              </w:rPr>
              <w:t>。</w:t>
            </w:r>
          </w:p>
          <w:p>
            <w:pPr>
              <w:ind w:firstLine="480" w:firstLineChars="200"/>
              <w:rPr>
                <w:rFonts w:cs="Times New Roman"/>
                <w:color w:val="auto"/>
              </w:rPr>
            </w:pPr>
            <w:r>
              <w:rPr>
                <w:rFonts w:cs="Times New Roman"/>
                <w:color w:val="auto"/>
              </w:rPr>
              <w:t>本</w:t>
            </w:r>
            <w:r>
              <w:rPr>
                <w:rFonts w:hint="eastAsia" w:cs="Times New Roman"/>
                <w:color w:val="auto"/>
                <w:lang w:eastAsia="zh-CN"/>
              </w:rPr>
              <w:t>项目</w:t>
            </w:r>
            <w:r>
              <w:rPr>
                <w:rFonts w:cs="Times New Roman"/>
                <w:color w:val="auto"/>
              </w:rPr>
              <w:t>由主体工程、储运工程、辅助工程、公用工程、环保工程和工程组成，详见表2-1。</w:t>
            </w:r>
          </w:p>
          <w:p>
            <w:pPr>
              <w:pStyle w:val="28"/>
              <w:rPr>
                <w:rFonts w:cs="Times New Roman"/>
                <w:color w:val="auto"/>
              </w:rPr>
            </w:pPr>
            <w:r>
              <w:rPr>
                <w:rFonts w:cs="Times New Roman"/>
                <w:color w:val="auto"/>
              </w:rPr>
              <w:t xml:space="preserve">表2-1 </w:t>
            </w:r>
            <w:r>
              <w:rPr>
                <w:rFonts w:hint="eastAsia" w:cs="Times New Roman"/>
                <w:color w:val="auto"/>
                <w:lang w:eastAsia="zh-CN"/>
              </w:rPr>
              <w:t>新建</w:t>
            </w:r>
            <w:r>
              <w:rPr>
                <w:rFonts w:cs="Times New Roman"/>
                <w:color w:val="auto"/>
              </w:rPr>
              <w:t>项目组成一览表</w:t>
            </w:r>
          </w:p>
          <w:tbl>
            <w:tblPr>
              <w:tblStyle w:val="23"/>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40"/>
              <w:gridCol w:w="1131"/>
              <w:gridCol w:w="5096"/>
              <w:gridCol w:w="98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6" w:type="pct"/>
                  <w:gridSpan w:val="2"/>
                  <w:tcBorders>
                    <w:tl2br w:val="nil"/>
                    <w:tr2bl w:val="nil"/>
                  </w:tcBorders>
                  <w:vAlign w:val="center"/>
                </w:tcPr>
                <w:p>
                  <w:pPr>
                    <w:pStyle w:val="27"/>
                    <w:jc w:val="center"/>
                    <w:rPr>
                      <w:b/>
                      <w:bCs/>
                      <w:color w:val="auto"/>
                    </w:rPr>
                  </w:pPr>
                  <w:r>
                    <w:rPr>
                      <w:b/>
                      <w:bCs/>
                      <w:color w:val="auto"/>
                    </w:rPr>
                    <w:t>项目组成</w:t>
                  </w:r>
                </w:p>
              </w:tc>
              <w:tc>
                <w:tcPr>
                  <w:tcW w:w="3458" w:type="pct"/>
                  <w:gridSpan w:val="2"/>
                  <w:tcBorders>
                    <w:tl2br w:val="nil"/>
                    <w:tr2bl w:val="nil"/>
                  </w:tcBorders>
                  <w:vAlign w:val="center"/>
                </w:tcPr>
                <w:p>
                  <w:pPr>
                    <w:pStyle w:val="27"/>
                    <w:jc w:val="center"/>
                    <w:rPr>
                      <w:b/>
                      <w:bCs/>
                      <w:color w:val="auto"/>
                    </w:rPr>
                  </w:pPr>
                  <w:r>
                    <w:rPr>
                      <w:b/>
                      <w:bCs/>
                      <w:color w:val="auto"/>
                    </w:rPr>
                    <w:t>建设内容</w:t>
                  </w:r>
                </w:p>
              </w:tc>
              <w:tc>
                <w:tcPr>
                  <w:tcW w:w="545" w:type="pct"/>
                  <w:tcBorders>
                    <w:tl2br w:val="nil"/>
                    <w:tr2bl w:val="nil"/>
                  </w:tcBorders>
                  <w:vAlign w:val="center"/>
                </w:tcPr>
                <w:p>
                  <w:pPr>
                    <w:pStyle w:val="27"/>
                    <w:jc w:val="center"/>
                    <w:rPr>
                      <w:b/>
                      <w:bCs/>
                      <w:color w:val="auto"/>
                    </w:rPr>
                  </w:pPr>
                  <w:r>
                    <w:rPr>
                      <w:b/>
                      <w:bCs/>
                      <w:color w:val="auto"/>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tcBorders>
                    <w:tl2br w:val="nil"/>
                    <w:tr2bl w:val="nil"/>
                  </w:tcBorders>
                  <w:vAlign w:val="center"/>
                </w:tcPr>
                <w:p>
                  <w:pPr>
                    <w:pStyle w:val="27"/>
                    <w:jc w:val="center"/>
                    <w:rPr>
                      <w:color w:val="auto"/>
                    </w:rPr>
                  </w:pPr>
                  <w:r>
                    <w:rPr>
                      <w:color w:val="auto"/>
                    </w:rPr>
                    <w:t>主体工程</w:t>
                  </w:r>
                </w:p>
              </w:tc>
              <w:tc>
                <w:tcPr>
                  <w:tcW w:w="632" w:type="pct"/>
                  <w:tcBorders>
                    <w:tl2br w:val="nil"/>
                    <w:tr2bl w:val="nil"/>
                  </w:tcBorders>
                  <w:vAlign w:val="center"/>
                </w:tcPr>
                <w:p>
                  <w:pPr>
                    <w:pStyle w:val="27"/>
                    <w:jc w:val="center"/>
                    <w:rPr>
                      <w:color w:val="auto"/>
                    </w:rPr>
                  </w:pPr>
                  <w:r>
                    <w:rPr>
                      <w:color w:val="auto"/>
                    </w:rPr>
                    <w:t>标准化工业厂房</w:t>
                  </w:r>
                </w:p>
              </w:tc>
              <w:tc>
                <w:tcPr>
                  <w:tcW w:w="3458" w:type="pct"/>
                  <w:gridSpan w:val="2"/>
                  <w:tcBorders>
                    <w:tl2br w:val="nil"/>
                    <w:tr2bl w:val="nil"/>
                  </w:tcBorders>
                  <w:vAlign w:val="center"/>
                </w:tcPr>
                <w:p>
                  <w:pPr>
                    <w:pStyle w:val="27"/>
                    <w:jc w:val="both"/>
                    <w:rPr>
                      <w:rFonts w:hint="eastAsia" w:eastAsia="宋体"/>
                      <w:color w:val="auto"/>
                      <w:lang w:eastAsia="zh-CN"/>
                    </w:rPr>
                  </w:pPr>
                  <w:r>
                    <w:rPr>
                      <w:color w:val="auto"/>
                    </w:rPr>
                    <w:t>新建标准化工业厂房</w:t>
                  </w:r>
                  <w:r>
                    <w:rPr>
                      <w:rFonts w:hint="eastAsia"/>
                      <w:color w:val="auto"/>
                      <w:lang w:eastAsia="zh-CN"/>
                    </w:rPr>
                    <w:t>，建筑面积</w:t>
                  </w:r>
                  <w:r>
                    <w:rPr>
                      <w:rFonts w:hint="eastAsia"/>
                      <w:color w:val="auto"/>
                      <w:lang w:val="en-US" w:eastAsia="zh-CN"/>
                    </w:rPr>
                    <w:t>71</w:t>
                  </w:r>
                  <w:r>
                    <w:rPr>
                      <w:color w:val="auto"/>
                    </w:rPr>
                    <w:t>00m</w:t>
                  </w:r>
                  <w:r>
                    <w:rPr>
                      <w:color w:val="auto"/>
                      <w:vertAlign w:val="superscript"/>
                    </w:rPr>
                    <w:t>2</w:t>
                  </w:r>
                  <w:r>
                    <w:rPr>
                      <w:color w:val="auto"/>
                    </w:rPr>
                    <w:t>，购置水泥筒仓、搅拌缸、装载机、传送带等生产设备及辅助设施，在工业厂房内建设水泥稳定材料生产线1条</w:t>
                  </w:r>
                  <w:r>
                    <w:rPr>
                      <w:rFonts w:hint="eastAsia"/>
                      <w:color w:val="auto"/>
                      <w:lang w:eastAsia="zh-CN"/>
                    </w:rPr>
                    <w:t>，年</w:t>
                  </w:r>
                  <w:r>
                    <w:rPr>
                      <w:rFonts w:hint="eastAsia"/>
                      <w:color w:val="auto"/>
                      <w:lang w:val="en-US" w:eastAsia="zh-CN"/>
                    </w:rPr>
                    <w:t>产能20万吨；优质环保水泥砖生产线1条，年生产优质环保水泥砖5000万块。</w:t>
                  </w:r>
                </w:p>
              </w:tc>
              <w:tc>
                <w:tcPr>
                  <w:tcW w:w="545" w:type="pct"/>
                  <w:tcBorders>
                    <w:tl2br w:val="nil"/>
                    <w:tr2bl w:val="nil"/>
                  </w:tcBorders>
                  <w:vAlign w:val="center"/>
                </w:tcPr>
                <w:p>
                  <w:pPr>
                    <w:pStyle w:val="27"/>
                    <w:jc w:val="center"/>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restart"/>
                  <w:tcBorders>
                    <w:tl2br w:val="nil"/>
                    <w:tr2bl w:val="nil"/>
                  </w:tcBorders>
                  <w:vAlign w:val="center"/>
                </w:tcPr>
                <w:p>
                  <w:pPr>
                    <w:pStyle w:val="27"/>
                    <w:jc w:val="center"/>
                    <w:rPr>
                      <w:color w:val="auto"/>
                    </w:rPr>
                  </w:pPr>
                  <w:r>
                    <w:rPr>
                      <w:color w:val="auto"/>
                    </w:rPr>
                    <w:t>储运工程</w:t>
                  </w:r>
                </w:p>
              </w:tc>
              <w:tc>
                <w:tcPr>
                  <w:tcW w:w="632" w:type="pct"/>
                  <w:tcBorders>
                    <w:tl2br w:val="nil"/>
                    <w:tr2bl w:val="nil"/>
                  </w:tcBorders>
                  <w:vAlign w:val="center"/>
                </w:tcPr>
                <w:p>
                  <w:pPr>
                    <w:pStyle w:val="27"/>
                    <w:jc w:val="center"/>
                    <w:rPr>
                      <w:rFonts w:hint="eastAsia" w:eastAsia="宋体"/>
                      <w:color w:val="auto"/>
                      <w:lang w:eastAsia="zh-CN"/>
                    </w:rPr>
                  </w:pPr>
                  <w:r>
                    <w:rPr>
                      <w:color w:val="auto"/>
                    </w:rPr>
                    <w:t>原料</w:t>
                  </w:r>
                  <w:r>
                    <w:rPr>
                      <w:rFonts w:hint="eastAsia"/>
                      <w:color w:val="auto"/>
                      <w:lang w:val="en-US" w:eastAsia="zh-CN"/>
                    </w:rPr>
                    <w:t>库</w:t>
                  </w:r>
                </w:p>
              </w:tc>
              <w:tc>
                <w:tcPr>
                  <w:tcW w:w="3458" w:type="pct"/>
                  <w:gridSpan w:val="2"/>
                  <w:tcBorders>
                    <w:tl2br w:val="nil"/>
                    <w:tr2bl w:val="nil"/>
                  </w:tcBorders>
                  <w:vAlign w:val="center"/>
                </w:tcPr>
                <w:p>
                  <w:pPr>
                    <w:pStyle w:val="27"/>
                    <w:jc w:val="both"/>
                    <w:rPr>
                      <w:rFonts w:hint="eastAsia" w:eastAsia="宋体"/>
                      <w:color w:val="auto"/>
                      <w:lang w:eastAsia="zh-CN"/>
                    </w:rPr>
                  </w:pPr>
                  <w:r>
                    <w:rPr>
                      <w:rFonts w:hint="eastAsia"/>
                      <w:color w:val="auto"/>
                      <w:lang w:val="en-US" w:eastAsia="zh-CN"/>
                    </w:rPr>
                    <w:t>位于</w:t>
                  </w:r>
                  <w:r>
                    <w:rPr>
                      <w:color w:val="auto"/>
                    </w:rPr>
                    <w:t>新建的标准化厂房</w:t>
                  </w:r>
                  <w:r>
                    <w:rPr>
                      <w:rFonts w:hint="eastAsia"/>
                      <w:color w:val="auto"/>
                      <w:lang w:val="en-US" w:eastAsia="zh-CN"/>
                    </w:rPr>
                    <w:t>内</w:t>
                  </w:r>
                  <w:r>
                    <w:rPr>
                      <w:color w:val="auto"/>
                    </w:rPr>
                    <w:t>，建筑面积约</w:t>
                  </w:r>
                  <w:r>
                    <w:rPr>
                      <w:rFonts w:hint="eastAsia"/>
                      <w:color w:val="auto"/>
                      <w:lang w:val="en-US" w:eastAsia="zh-CN"/>
                    </w:rPr>
                    <w:t>56</w:t>
                  </w:r>
                  <w:r>
                    <w:rPr>
                      <w:color w:val="auto"/>
                    </w:rPr>
                    <w:t>00m</w:t>
                  </w:r>
                  <w:r>
                    <w:rPr>
                      <w:color w:val="auto"/>
                      <w:vertAlign w:val="superscript"/>
                    </w:rPr>
                    <w:t>2</w:t>
                  </w:r>
                  <w:r>
                    <w:rPr>
                      <w:color w:val="auto"/>
                    </w:rPr>
                    <w:t>，</w:t>
                  </w:r>
                  <w:r>
                    <w:rPr>
                      <w:rFonts w:hint="eastAsia"/>
                      <w:color w:val="auto"/>
                      <w:lang w:eastAsia="zh-CN"/>
                    </w:rPr>
                    <w:t>位于厂区东侧，</w:t>
                  </w:r>
                  <w:r>
                    <w:rPr>
                      <w:color w:val="auto"/>
                    </w:rPr>
                    <w:t>用于存放砂子、石子等</w:t>
                  </w:r>
                  <w:r>
                    <w:rPr>
                      <w:rFonts w:hint="eastAsia"/>
                      <w:color w:val="auto"/>
                      <w:lang w:eastAsia="zh-CN"/>
                    </w:rPr>
                    <w:t>骨料</w:t>
                  </w:r>
                  <w:r>
                    <w:rPr>
                      <w:color w:val="auto"/>
                    </w:rPr>
                    <w:t>。</w:t>
                  </w:r>
                </w:p>
              </w:tc>
              <w:tc>
                <w:tcPr>
                  <w:tcW w:w="545" w:type="pct"/>
                  <w:tcBorders>
                    <w:tl2br w:val="nil"/>
                    <w:tr2bl w:val="nil"/>
                  </w:tcBorders>
                  <w:vAlign w:val="center"/>
                </w:tcPr>
                <w:p>
                  <w:pPr>
                    <w:pStyle w:val="27"/>
                    <w:jc w:val="center"/>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rPr>
                  </w:pPr>
                  <w:r>
                    <w:rPr>
                      <w:color w:val="auto"/>
                    </w:rPr>
                    <w:t>水泥筒仓</w:t>
                  </w:r>
                </w:p>
              </w:tc>
              <w:tc>
                <w:tcPr>
                  <w:tcW w:w="3458" w:type="pct"/>
                  <w:gridSpan w:val="2"/>
                  <w:tcBorders>
                    <w:tl2br w:val="nil"/>
                    <w:tr2bl w:val="nil"/>
                  </w:tcBorders>
                  <w:vAlign w:val="center"/>
                </w:tcPr>
                <w:p>
                  <w:pPr>
                    <w:pStyle w:val="27"/>
                    <w:jc w:val="both"/>
                    <w:rPr>
                      <w:color w:val="auto"/>
                    </w:rPr>
                  </w:pPr>
                  <w:r>
                    <w:rPr>
                      <w:color w:val="auto"/>
                    </w:rPr>
                    <w:t>位于新建的标准化厂房内，设置</w:t>
                  </w:r>
                  <w:r>
                    <w:rPr>
                      <w:rFonts w:hint="eastAsia"/>
                      <w:color w:val="auto"/>
                      <w:lang w:val="en-US" w:eastAsia="zh-CN"/>
                    </w:rPr>
                    <w:t>3</w:t>
                  </w:r>
                  <w:r>
                    <w:rPr>
                      <w:color w:val="auto"/>
                    </w:rPr>
                    <w:t>座水泥筒仓，每个筒仓均为100t。</w:t>
                  </w:r>
                </w:p>
              </w:tc>
              <w:tc>
                <w:tcPr>
                  <w:tcW w:w="545" w:type="pct"/>
                  <w:tcBorders>
                    <w:tl2br w:val="nil"/>
                    <w:tr2bl w:val="nil"/>
                  </w:tcBorders>
                  <w:vAlign w:val="center"/>
                </w:tcPr>
                <w:p>
                  <w:pPr>
                    <w:pStyle w:val="27"/>
                    <w:jc w:val="center"/>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rPr>
                  </w:pPr>
                  <w:r>
                    <w:rPr>
                      <w:color w:val="auto"/>
                    </w:rPr>
                    <w:t>成品运输</w:t>
                  </w:r>
                </w:p>
              </w:tc>
              <w:tc>
                <w:tcPr>
                  <w:tcW w:w="3458" w:type="pct"/>
                  <w:gridSpan w:val="2"/>
                  <w:tcBorders>
                    <w:tl2br w:val="nil"/>
                    <w:tr2bl w:val="nil"/>
                  </w:tcBorders>
                  <w:vAlign w:val="center"/>
                </w:tcPr>
                <w:p>
                  <w:pPr>
                    <w:pStyle w:val="27"/>
                    <w:jc w:val="both"/>
                    <w:rPr>
                      <w:rFonts w:hint="eastAsia"/>
                      <w:color w:val="auto"/>
                      <w:lang w:eastAsia="zh-CN"/>
                    </w:rPr>
                  </w:pPr>
                  <w:r>
                    <w:rPr>
                      <w:color w:val="auto"/>
                    </w:rPr>
                    <w:t>水泥稳定材料成品</w:t>
                  </w:r>
                  <w:r>
                    <w:rPr>
                      <w:color w:val="auto"/>
                      <w:highlight w:val="none"/>
                    </w:rPr>
                    <w:t>通过</w:t>
                  </w:r>
                  <w:r>
                    <w:rPr>
                      <w:color w:val="auto"/>
                    </w:rPr>
                    <w:t>装卸台由外部运输车辆运输至建筑工地</w:t>
                  </w:r>
                  <w:r>
                    <w:rPr>
                      <w:rFonts w:hint="eastAsia"/>
                      <w:color w:val="auto"/>
                      <w:lang w:eastAsia="zh-CN"/>
                    </w:rPr>
                    <w:t>，</w:t>
                  </w:r>
                  <w:r>
                    <w:rPr>
                      <w:color w:val="auto"/>
                    </w:rPr>
                    <w:t>项目地不设成品区。</w:t>
                  </w:r>
                </w:p>
                <w:p>
                  <w:pPr>
                    <w:pStyle w:val="27"/>
                    <w:jc w:val="both"/>
                    <w:rPr>
                      <w:color w:val="auto"/>
                    </w:rPr>
                  </w:pPr>
                  <w:r>
                    <w:rPr>
                      <w:rFonts w:hint="eastAsia"/>
                      <w:color w:val="auto"/>
                      <w:lang w:eastAsia="zh-CN"/>
                    </w:rPr>
                    <w:t>优质环保水泥砖</w:t>
                  </w:r>
                  <w:r>
                    <w:rPr>
                      <w:rFonts w:hint="eastAsia"/>
                      <w:color w:val="auto"/>
                      <w:lang w:val="en-US" w:eastAsia="zh-CN"/>
                    </w:rPr>
                    <w:t>利用厂内其余空地进行堆放，厂内地面均硬化。</w:t>
                  </w:r>
                </w:p>
              </w:tc>
              <w:tc>
                <w:tcPr>
                  <w:tcW w:w="545" w:type="pct"/>
                  <w:tcBorders>
                    <w:tl2br w:val="nil"/>
                    <w:tr2bl w:val="nil"/>
                  </w:tcBorders>
                  <w:vAlign w:val="center"/>
                </w:tcPr>
                <w:p>
                  <w:pPr>
                    <w:pStyle w:val="27"/>
                    <w:jc w:val="center"/>
                    <w:rPr>
                      <w:color w:val="auto"/>
                    </w:rPr>
                  </w:pPr>
                  <w:r>
                    <w:rPr>
                      <w:color w:val="auto"/>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restart"/>
                  <w:tcBorders>
                    <w:tl2br w:val="nil"/>
                    <w:tr2bl w:val="nil"/>
                  </w:tcBorders>
                  <w:vAlign w:val="center"/>
                </w:tcPr>
                <w:p>
                  <w:pPr>
                    <w:pStyle w:val="27"/>
                    <w:jc w:val="center"/>
                    <w:rPr>
                      <w:color w:val="auto"/>
                    </w:rPr>
                  </w:pPr>
                  <w:r>
                    <w:rPr>
                      <w:color w:val="auto"/>
                    </w:rPr>
                    <w:t>辅助工程</w:t>
                  </w:r>
                </w:p>
              </w:tc>
              <w:tc>
                <w:tcPr>
                  <w:tcW w:w="632" w:type="pct"/>
                  <w:tcBorders>
                    <w:tl2br w:val="nil"/>
                    <w:tr2bl w:val="nil"/>
                  </w:tcBorders>
                  <w:vAlign w:val="center"/>
                </w:tcPr>
                <w:p>
                  <w:pPr>
                    <w:pStyle w:val="27"/>
                    <w:jc w:val="center"/>
                    <w:rPr>
                      <w:color w:val="auto"/>
                    </w:rPr>
                  </w:pPr>
                  <w:r>
                    <w:rPr>
                      <w:color w:val="auto"/>
                    </w:rPr>
                    <w:t>办公区</w:t>
                  </w:r>
                </w:p>
              </w:tc>
              <w:tc>
                <w:tcPr>
                  <w:tcW w:w="3458" w:type="pct"/>
                  <w:gridSpan w:val="2"/>
                  <w:tcBorders>
                    <w:tl2br w:val="nil"/>
                    <w:tr2bl w:val="nil"/>
                  </w:tcBorders>
                  <w:vAlign w:val="center"/>
                </w:tcPr>
                <w:p>
                  <w:pPr>
                    <w:spacing w:line="240" w:lineRule="auto"/>
                    <w:jc w:val="both"/>
                    <w:rPr>
                      <w:rFonts w:eastAsia="宋体" w:cs="Times New Roman"/>
                      <w:color w:val="auto"/>
                      <w:sz w:val="21"/>
                      <w:szCs w:val="21"/>
                      <w:highlight w:val="none"/>
                    </w:rPr>
                  </w:pPr>
                  <w:r>
                    <w:rPr>
                      <w:rFonts w:hint="eastAsia" w:eastAsia="宋体" w:cs="Times New Roman"/>
                      <w:color w:val="auto"/>
                      <w:sz w:val="21"/>
                      <w:szCs w:val="21"/>
                      <w:highlight w:val="none"/>
                      <w:lang w:eastAsia="zh-CN"/>
                    </w:rPr>
                    <w:t>位于厂区南侧，砖混结构，</w:t>
                  </w:r>
                  <w:r>
                    <w:rPr>
                      <w:rFonts w:eastAsia="宋体" w:cs="Times New Roman"/>
                      <w:color w:val="auto"/>
                      <w:sz w:val="21"/>
                      <w:szCs w:val="21"/>
                    </w:rPr>
                    <w:t>建筑面积约</w:t>
                  </w:r>
                  <w:r>
                    <w:rPr>
                      <w:rFonts w:hint="eastAsia" w:eastAsia="宋体" w:cs="Times New Roman"/>
                      <w:color w:val="auto"/>
                      <w:sz w:val="21"/>
                      <w:szCs w:val="21"/>
                      <w:lang w:val="en-US" w:eastAsia="zh-CN"/>
                    </w:rPr>
                    <w:t>200</w:t>
                  </w:r>
                  <w:r>
                    <w:rPr>
                      <w:rFonts w:eastAsia="宋体" w:cs="Times New Roman"/>
                      <w:color w:val="auto"/>
                      <w:sz w:val="21"/>
                      <w:szCs w:val="21"/>
                    </w:rPr>
                    <w:t>m</w:t>
                  </w:r>
                  <w:r>
                    <w:rPr>
                      <w:rFonts w:eastAsia="宋体" w:cs="Times New Roman"/>
                      <w:color w:val="auto"/>
                      <w:sz w:val="21"/>
                      <w:szCs w:val="21"/>
                      <w:vertAlign w:val="superscript"/>
                    </w:rPr>
                    <w:t>2</w:t>
                  </w:r>
                  <w:r>
                    <w:rPr>
                      <w:rFonts w:eastAsia="宋体" w:cs="Times New Roman"/>
                      <w:color w:val="auto"/>
                      <w:sz w:val="21"/>
                      <w:szCs w:val="21"/>
                    </w:rPr>
                    <w:t>，</w:t>
                  </w:r>
                  <w:r>
                    <w:rPr>
                      <w:rFonts w:hint="eastAsia" w:eastAsia="宋体" w:cs="Times New Roman"/>
                      <w:color w:val="auto"/>
                      <w:sz w:val="21"/>
                      <w:szCs w:val="21"/>
                      <w:highlight w:val="none"/>
                      <w:lang w:eastAsia="zh-CN"/>
                    </w:rPr>
                    <w:t>用于员工办公和休息。</w:t>
                  </w:r>
                </w:p>
              </w:tc>
              <w:tc>
                <w:tcPr>
                  <w:tcW w:w="545" w:type="pct"/>
                  <w:tcBorders>
                    <w:tl2br w:val="nil"/>
                    <w:tr2bl w:val="nil"/>
                  </w:tcBorders>
                  <w:vAlign w:val="center"/>
                </w:tcPr>
                <w:p>
                  <w:pPr>
                    <w:pStyle w:val="27"/>
                    <w:jc w:val="center"/>
                    <w:rPr>
                      <w:rFonts w:hint="eastAsia" w:eastAsia="宋体"/>
                      <w:color w:val="auto"/>
                      <w:lang w:eastAsia="zh-CN"/>
                    </w:rPr>
                  </w:pPr>
                  <w:r>
                    <w:rPr>
                      <w:rFonts w:hint="eastAsia"/>
                      <w:color w:val="auto"/>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rPr>
                  </w:pPr>
                  <w:r>
                    <w:rPr>
                      <w:color w:val="auto"/>
                    </w:rPr>
                    <w:t>洗车台</w:t>
                  </w:r>
                </w:p>
              </w:tc>
              <w:tc>
                <w:tcPr>
                  <w:tcW w:w="3458" w:type="pct"/>
                  <w:gridSpan w:val="2"/>
                  <w:tcBorders>
                    <w:tl2br w:val="nil"/>
                    <w:tr2bl w:val="nil"/>
                  </w:tcBorders>
                  <w:vAlign w:val="center"/>
                </w:tcPr>
                <w:p>
                  <w:pPr>
                    <w:spacing w:line="240" w:lineRule="auto"/>
                    <w:jc w:val="both"/>
                    <w:rPr>
                      <w:rFonts w:eastAsia="宋体" w:cs="Times New Roman"/>
                      <w:color w:val="auto"/>
                      <w:sz w:val="21"/>
                      <w:szCs w:val="21"/>
                      <w:highlight w:val="none"/>
                    </w:rPr>
                  </w:pPr>
                  <w:r>
                    <w:rPr>
                      <w:rFonts w:hint="eastAsia" w:eastAsia="宋体" w:cs="Times New Roman"/>
                      <w:color w:val="auto"/>
                      <w:sz w:val="21"/>
                      <w:szCs w:val="21"/>
                      <w:highlight w:val="none"/>
                    </w:rPr>
                    <w:t>位于厂区入口，并配置自动洗车设备，对车辆车轮进行全方位清洗。</w:t>
                  </w:r>
                </w:p>
              </w:tc>
              <w:tc>
                <w:tcPr>
                  <w:tcW w:w="545" w:type="pct"/>
                  <w:tcBorders>
                    <w:tl2br w:val="nil"/>
                    <w:tr2bl w:val="nil"/>
                  </w:tcBorders>
                  <w:vAlign w:val="center"/>
                </w:tcPr>
                <w:p>
                  <w:pPr>
                    <w:pStyle w:val="27"/>
                    <w:jc w:val="center"/>
                    <w:rPr>
                      <w:rFonts w:cs="Times New Roman"/>
                      <w:color w:val="auto"/>
                      <w:sz w:val="21"/>
                      <w:szCs w:val="21"/>
                    </w:rPr>
                  </w:pPr>
                  <w:r>
                    <w:rPr>
                      <w:rFonts w:hint="eastAsia"/>
                      <w:color w:val="auto"/>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rPr>
                  </w:pPr>
                  <w:r>
                    <w:rPr>
                      <w:color w:val="auto"/>
                    </w:rPr>
                    <w:t>机械设备停放及保养区</w:t>
                  </w:r>
                </w:p>
              </w:tc>
              <w:tc>
                <w:tcPr>
                  <w:tcW w:w="3458" w:type="pct"/>
                  <w:gridSpan w:val="2"/>
                  <w:tcBorders>
                    <w:tl2br w:val="nil"/>
                    <w:tr2bl w:val="nil"/>
                  </w:tcBorders>
                  <w:vAlign w:val="center"/>
                </w:tcPr>
                <w:p>
                  <w:pPr>
                    <w:pStyle w:val="27"/>
                    <w:jc w:val="both"/>
                    <w:rPr>
                      <w:color w:val="auto"/>
                      <w:highlight w:val="none"/>
                    </w:rPr>
                  </w:pPr>
                  <w:r>
                    <w:rPr>
                      <w:color w:val="auto"/>
                      <w:highlight w:val="none"/>
                    </w:rPr>
                    <w:t>位于厂区</w:t>
                  </w:r>
                  <w:r>
                    <w:rPr>
                      <w:rFonts w:hint="eastAsia"/>
                      <w:color w:val="auto"/>
                      <w:highlight w:val="none"/>
                      <w:lang w:val="en-US" w:eastAsia="zh-CN"/>
                    </w:rPr>
                    <w:t>东南角</w:t>
                  </w:r>
                  <w:r>
                    <w:rPr>
                      <w:color w:val="auto"/>
                      <w:highlight w:val="none"/>
                    </w:rPr>
                    <w:t>，主要用于对厂内机械设备的停放，并定期对机械设备进行保养维护。</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363" w:type="pct"/>
                  <w:vMerge w:val="restart"/>
                  <w:tcBorders>
                    <w:tl2br w:val="nil"/>
                    <w:tr2bl w:val="nil"/>
                  </w:tcBorders>
                  <w:vAlign w:val="center"/>
                </w:tcPr>
                <w:p>
                  <w:pPr>
                    <w:pStyle w:val="27"/>
                    <w:jc w:val="center"/>
                    <w:rPr>
                      <w:color w:val="auto"/>
                    </w:rPr>
                  </w:pPr>
                  <w:r>
                    <w:rPr>
                      <w:color w:val="auto"/>
                    </w:rPr>
                    <w:t>公用工程</w:t>
                  </w:r>
                </w:p>
              </w:tc>
              <w:tc>
                <w:tcPr>
                  <w:tcW w:w="632" w:type="pct"/>
                  <w:tcBorders>
                    <w:tl2br w:val="nil"/>
                    <w:tr2bl w:val="nil"/>
                  </w:tcBorders>
                  <w:vAlign w:val="center"/>
                </w:tcPr>
                <w:p>
                  <w:pPr>
                    <w:pStyle w:val="27"/>
                    <w:jc w:val="center"/>
                    <w:rPr>
                      <w:color w:val="auto"/>
                    </w:rPr>
                  </w:pPr>
                  <w:r>
                    <w:rPr>
                      <w:color w:val="auto"/>
                      <w:lang w:val="en-GB"/>
                    </w:rPr>
                    <w:t>给水</w:t>
                  </w:r>
                </w:p>
              </w:tc>
              <w:tc>
                <w:tcPr>
                  <w:tcW w:w="3458" w:type="pct"/>
                  <w:gridSpan w:val="2"/>
                  <w:tcBorders>
                    <w:tl2br w:val="nil"/>
                    <w:tr2bl w:val="nil"/>
                  </w:tcBorders>
                  <w:vAlign w:val="center"/>
                </w:tcPr>
                <w:p>
                  <w:pPr>
                    <w:pStyle w:val="27"/>
                    <w:jc w:val="both"/>
                    <w:rPr>
                      <w:color w:val="auto"/>
                    </w:rPr>
                  </w:pPr>
                  <w:r>
                    <w:rPr>
                      <w:rFonts w:hint="eastAsia"/>
                      <w:color w:val="auto"/>
                      <w:lang w:eastAsia="zh-CN"/>
                    </w:rPr>
                    <w:t>由市政供水管网供给。</w:t>
                  </w:r>
                </w:p>
              </w:tc>
              <w:tc>
                <w:tcPr>
                  <w:tcW w:w="545" w:type="pct"/>
                  <w:vMerge w:val="restart"/>
                  <w:tcBorders>
                    <w:tl2br w:val="nil"/>
                    <w:tr2bl w:val="nil"/>
                  </w:tcBorders>
                  <w:vAlign w:val="center"/>
                </w:tcPr>
                <w:p>
                  <w:pPr>
                    <w:pStyle w:val="27"/>
                    <w:jc w:val="center"/>
                    <w:rPr>
                      <w:rFonts w:hint="eastAsia" w:eastAsia="宋体"/>
                      <w:color w:val="auto"/>
                      <w:lang w:eastAsia="zh-CN"/>
                    </w:rPr>
                  </w:pPr>
                  <w:r>
                    <w:rPr>
                      <w:rFonts w:hint="eastAsia"/>
                      <w:color w:val="auto"/>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lang w:val="en-GB"/>
                    </w:rPr>
                  </w:pPr>
                  <w:r>
                    <w:rPr>
                      <w:color w:val="auto"/>
                      <w:lang w:val="en-GB"/>
                    </w:rPr>
                    <w:t>排水</w:t>
                  </w:r>
                </w:p>
              </w:tc>
              <w:tc>
                <w:tcPr>
                  <w:tcW w:w="3458" w:type="pct"/>
                  <w:gridSpan w:val="2"/>
                  <w:tcBorders>
                    <w:tl2br w:val="nil"/>
                    <w:tr2bl w:val="nil"/>
                  </w:tcBorders>
                  <w:vAlign w:val="center"/>
                </w:tcPr>
                <w:p>
                  <w:pPr>
                    <w:pStyle w:val="27"/>
                    <w:jc w:val="both"/>
                    <w:rPr>
                      <w:color w:val="auto"/>
                      <w:lang w:val="en-GB"/>
                    </w:rPr>
                  </w:pPr>
                  <w:r>
                    <w:rPr>
                      <w:rFonts w:hint="eastAsia"/>
                      <w:color w:val="auto"/>
                      <w:lang w:val="en-GB" w:eastAsia="zh-CN"/>
                    </w:rPr>
                    <w:t>生活污水排入化粪池，定期清掏用作农肥，不外排；车辆冲洗废水经沉淀池沉淀后回用不外排。</w:t>
                  </w:r>
                </w:p>
              </w:tc>
              <w:tc>
                <w:tcPr>
                  <w:tcW w:w="545" w:type="pct"/>
                  <w:vMerge w:val="continue"/>
                  <w:tcBorders>
                    <w:tl2br w:val="nil"/>
                    <w:tr2bl w:val="nil"/>
                  </w:tcBorders>
                  <w:vAlign w:val="center"/>
                </w:tcPr>
                <w:p>
                  <w:pPr>
                    <w:pStyle w:val="27"/>
                    <w:jc w:val="center"/>
                    <w:rPr>
                      <w:color w:val="auto"/>
                      <w:lang w:val="en-GB"/>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lang w:val="en-GB"/>
                    </w:rPr>
                  </w:pPr>
                  <w:r>
                    <w:rPr>
                      <w:color w:val="auto"/>
                    </w:rPr>
                    <w:t>供电</w:t>
                  </w:r>
                </w:p>
              </w:tc>
              <w:tc>
                <w:tcPr>
                  <w:tcW w:w="3458" w:type="pct"/>
                  <w:gridSpan w:val="2"/>
                  <w:tcBorders>
                    <w:tl2br w:val="nil"/>
                    <w:tr2bl w:val="nil"/>
                  </w:tcBorders>
                  <w:vAlign w:val="center"/>
                </w:tcPr>
                <w:p>
                  <w:pPr>
                    <w:pStyle w:val="27"/>
                    <w:jc w:val="both"/>
                    <w:rPr>
                      <w:rFonts w:hint="eastAsia" w:eastAsia="宋体"/>
                      <w:color w:val="auto"/>
                      <w:lang w:eastAsia="zh-CN"/>
                    </w:rPr>
                  </w:pPr>
                  <w:r>
                    <w:rPr>
                      <w:rFonts w:hint="eastAsia"/>
                      <w:color w:val="auto"/>
                      <w:lang w:val="en-US" w:eastAsia="zh-CN"/>
                    </w:rPr>
                    <w:t>采用</w:t>
                  </w:r>
                  <w:r>
                    <w:rPr>
                      <w:rFonts w:hint="default"/>
                      <w:color w:val="auto"/>
                      <w:lang w:eastAsia="zh-CN"/>
                    </w:rPr>
                    <w:t>市政供电。</w:t>
                  </w:r>
                </w:p>
              </w:tc>
              <w:tc>
                <w:tcPr>
                  <w:tcW w:w="545" w:type="pct"/>
                  <w:tcBorders>
                    <w:tl2br w:val="nil"/>
                    <w:tr2bl w:val="nil"/>
                  </w:tcBorders>
                  <w:vAlign w:val="center"/>
                </w:tcPr>
                <w:p>
                  <w:pPr>
                    <w:adjustRightInd w:val="0"/>
                    <w:snapToGrid w:val="0"/>
                    <w:spacing w:line="240" w:lineRule="auto"/>
                    <w:jc w:val="center"/>
                    <w:rPr>
                      <w:rFonts w:hint="eastAsia" w:cs="Times New Roman" w:eastAsiaTheme="minorEastAsia"/>
                      <w:color w:val="auto"/>
                      <w:sz w:val="21"/>
                      <w:szCs w:val="21"/>
                      <w:lang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lang w:val="en-GB"/>
                    </w:rPr>
                  </w:pPr>
                  <w:r>
                    <w:rPr>
                      <w:color w:val="auto"/>
                    </w:rPr>
                    <w:t>采暖及制冷</w:t>
                  </w:r>
                </w:p>
              </w:tc>
              <w:tc>
                <w:tcPr>
                  <w:tcW w:w="3458" w:type="pct"/>
                  <w:gridSpan w:val="2"/>
                  <w:tcBorders>
                    <w:tl2br w:val="nil"/>
                    <w:tr2bl w:val="nil"/>
                  </w:tcBorders>
                  <w:vAlign w:val="center"/>
                </w:tcPr>
                <w:p>
                  <w:pPr>
                    <w:pStyle w:val="27"/>
                    <w:jc w:val="both"/>
                    <w:rPr>
                      <w:color w:val="auto"/>
                    </w:rPr>
                  </w:pPr>
                  <w:r>
                    <w:rPr>
                      <w:rFonts w:hint="default"/>
                      <w:color w:val="auto"/>
                      <w:lang w:eastAsia="zh-CN"/>
                    </w:rPr>
                    <w:t>生活办公区采用空调制冷和取暖</w:t>
                  </w:r>
                </w:p>
              </w:tc>
              <w:tc>
                <w:tcPr>
                  <w:tcW w:w="545" w:type="pct"/>
                  <w:tcBorders>
                    <w:tl2br w:val="nil"/>
                    <w:tr2bl w:val="nil"/>
                  </w:tcBorders>
                  <w:vAlign w:val="center"/>
                </w:tcPr>
                <w:p>
                  <w:pPr>
                    <w:adjustRightInd w:val="0"/>
                    <w:snapToGrid w:val="0"/>
                    <w:spacing w:line="240" w:lineRule="auto"/>
                    <w:jc w:val="center"/>
                    <w:rPr>
                      <w:rFonts w:hint="eastAsia" w:cs="Times New Roman" w:eastAsiaTheme="minorEastAsia"/>
                      <w:color w:val="auto"/>
                      <w:sz w:val="21"/>
                      <w:szCs w:val="21"/>
                      <w:lang w:eastAsia="zh-CN"/>
                    </w:rPr>
                  </w:pPr>
                  <w:r>
                    <w:rPr>
                      <w:rFonts w:hint="eastAsia" w:cs="Times New Roman"/>
                      <w:color w:val="auto"/>
                      <w:sz w:val="21"/>
                      <w:szCs w:val="21"/>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restart"/>
                  <w:tcBorders>
                    <w:tl2br w:val="nil"/>
                    <w:tr2bl w:val="nil"/>
                  </w:tcBorders>
                  <w:vAlign w:val="center"/>
                </w:tcPr>
                <w:p>
                  <w:pPr>
                    <w:pStyle w:val="27"/>
                    <w:jc w:val="center"/>
                    <w:rPr>
                      <w:color w:val="auto"/>
                    </w:rPr>
                  </w:pPr>
                  <w:r>
                    <w:rPr>
                      <w:color w:val="auto"/>
                    </w:rPr>
                    <w:t>环保工程</w:t>
                  </w:r>
                </w:p>
              </w:tc>
              <w:tc>
                <w:tcPr>
                  <w:tcW w:w="632" w:type="pct"/>
                  <w:vMerge w:val="restart"/>
                  <w:tcBorders>
                    <w:tl2br w:val="nil"/>
                    <w:tr2bl w:val="nil"/>
                  </w:tcBorders>
                  <w:vAlign w:val="center"/>
                </w:tcPr>
                <w:p>
                  <w:pPr>
                    <w:pStyle w:val="27"/>
                    <w:jc w:val="center"/>
                    <w:rPr>
                      <w:color w:val="auto"/>
                    </w:rPr>
                  </w:pPr>
                  <w:r>
                    <w:rPr>
                      <w:color w:val="auto"/>
                    </w:rPr>
                    <w:t>废气</w:t>
                  </w:r>
                </w:p>
              </w:tc>
              <w:tc>
                <w:tcPr>
                  <w:tcW w:w="628" w:type="pct"/>
                  <w:tcBorders>
                    <w:tl2br w:val="nil"/>
                    <w:tr2bl w:val="nil"/>
                  </w:tcBorders>
                  <w:vAlign w:val="center"/>
                </w:tcPr>
                <w:p>
                  <w:pPr>
                    <w:pStyle w:val="27"/>
                    <w:jc w:val="center"/>
                    <w:rPr>
                      <w:color w:val="auto"/>
                      <w:highlight w:val="none"/>
                    </w:rPr>
                  </w:pPr>
                  <w:r>
                    <w:rPr>
                      <w:color w:val="auto"/>
                      <w:highlight w:val="none"/>
                    </w:rPr>
                    <w:t>装卸、堆存粉尘</w:t>
                  </w:r>
                </w:p>
              </w:tc>
              <w:tc>
                <w:tcPr>
                  <w:tcW w:w="2829" w:type="pct"/>
                  <w:tcBorders>
                    <w:tl2br w:val="nil"/>
                    <w:tr2bl w:val="nil"/>
                  </w:tcBorders>
                  <w:vAlign w:val="center"/>
                </w:tcPr>
                <w:p>
                  <w:pPr>
                    <w:pStyle w:val="27"/>
                    <w:jc w:val="both"/>
                    <w:rPr>
                      <w:color w:val="auto"/>
                      <w:highlight w:val="none"/>
                    </w:rPr>
                  </w:pPr>
                  <w:r>
                    <w:rPr>
                      <w:color w:val="auto"/>
                    </w:rPr>
                    <w:t>厂区地面硬化，物料的装卸和堆放在</w:t>
                  </w:r>
                  <w:r>
                    <w:rPr>
                      <w:rFonts w:hint="eastAsia"/>
                      <w:color w:val="auto"/>
                      <w:lang w:val="en-US" w:eastAsia="zh-CN"/>
                    </w:rPr>
                    <w:t>封闭式</w:t>
                  </w:r>
                  <w:r>
                    <w:rPr>
                      <w:color w:val="auto"/>
                    </w:rPr>
                    <w:t>厂房内进行，厂房顶部加装有雾状喷淋装置抑尘。</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color w:val="auto"/>
                      <w:highlight w:val="none"/>
                    </w:rPr>
                  </w:pPr>
                  <w:r>
                    <w:rPr>
                      <w:color w:val="auto"/>
                      <w:highlight w:val="none"/>
                    </w:rPr>
                    <w:t>物料输送</w:t>
                  </w:r>
                  <w:r>
                    <w:rPr>
                      <w:rFonts w:hint="eastAsia"/>
                      <w:color w:val="auto"/>
                      <w:highlight w:val="none"/>
                      <w:lang w:val="en-US" w:eastAsia="zh-CN"/>
                    </w:rPr>
                    <w:t>及</w:t>
                  </w:r>
                  <w:r>
                    <w:rPr>
                      <w:rFonts w:hint="default" w:ascii="Times New Roman" w:hAnsi="Times New Roman" w:eastAsia="宋体" w:cs="Times New Roman"/>
                      <w:b w:val="0"/>
                      <w:color w:val="auto"/>
                      <w:kern w:val="2"/>
                      <w:sz w:val="21"/>
                      <w:szCs w:val="21"/>
                      <w:highlight w:val="none"/>
                      <w:vertAlign w:val="baseline"/>
                      <w:lang w:val="en-US" w:eastAsia="zh-CN" w:bidi="ar-SA"/>
                    </w:rPr>
                    <w:t>搅拌</w:t>
                  </w:r>
                  <w:r>
                    <w:rPr>
                      <w:color w:val="auto"/>
                      <w:highlight w:val="none"/>
                    </w:rPr>
                    <w:t>粉尘</w:t>
                  </w:r>
                </w:p>
              </w:tc>
              <w:tc>
                <w:tcPr>
                  <w:tcW w:w="2829" w:type="pct"/>
                  <w:tcBorders>
                    <w:tl2br w:val="nil"/>
                    <w:tr2bl w:val="nil"/>
                  </w:tcBorders>
                  <w:vAlign w:val="center"/>
                </w:tcPr>
                <w:p>
                  <w:pPr>
                    <w:pStyle w:val="27"/>
                    <w:jc w:val="both"/>
                    <w:rPr>
                      <w:color w:val="auto"/>
                      <w:highlight w:val="none"/>
                    </w:rPr>
                  </w:pPr>
                  <w:r>
                    <w:rPr>
                      <w:color w:val="auto"/>
                    </w:rPr>
                    <w:t>石子、砂子等输送采用铲车输送至料仓后通过封闭式传送带运至拌合设备；水泥采用螺旋输送机输送至拌合设备，在</w:t>
                  </w:r>
                  <w:r>
                    <w:rPr>
                      <w:rFonts w:hint="eastAsia"/>
                      <w:color w:val="auto"/>
                      <w:lang w:val="en-US" w:eastAsia="zh-CN"/>
                    </w:rPr>
                    <w:t>水泥稳定材料</w:t>
                  </w:r>
                  <w:r>
                    <w:rPr>
                      <w:color w:val="auto"/>
                    </w:rPr>
                    <w:t>下料口和</w:t>
                  </w:r>
                  <w:r>
                    <w:rPr>
                      <w:rFonts w:hint="eastAsia"/>
                      <w:color w:val="auto"/>
                      <w:lang w:val="en-US" w:eastAsia="zh-CN"/>
                    </w:rPr>
                    <w:t>各</w:t>
                  </w:r>
                  <w:r>
                    <w:rPr>
                      <w:color w:val="auto"/>
                    </w:rPr>
                    <w:t>搅拌机处设置集尘罩收集至一套袋式除尘器处理后在车间内无组织排放；车间顶部设置有雾状喷淋装置。</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color w:val="auto"/>
                      <w:highlight w:val="none"/>
                    </w:rPr>
                  </w:pPr>
                  <w:r>
                    <w:rPr>
                      <w:rFonts w:hint="eastAsia"/>
                      <w:color w:val="auto"/>
                      <w:highlight w:val="none"/>
                      <w:lang w:eastAsia="zh-CN"/>
                    </w:rPr>
                    <w:t>水泥</w:t>
                  </w:r>
                  <w:r>
                    <w:rPr>
                      <w:color w:val="auto"/>
                      <w:highlight w:val="none"/>
                    </w:rPr>
                    <w:t>筒仓呼吸粉尘</w:t>
                  </w:r>
                </w:p>
              </w:tc>
              <w:tc>
                <w:tcPr>
                  <w:tcW w:w="2829" w:type="pct"/>
                  <w:tcBorders>
                    <w:tl2br w:val="nil"/>
                    <w:tr2bl w:val="nil"/>
                  </w:tcBorders>
                  <w:vAlign w:val="center"/>
                </w:tcPr>
                <w:p>
                  <w:pPr>
                    <w:pStyle w:val="27"/>
                    <w:jc w:val="both"/>
                    <w:rPr>
                      <w:color w:val="auto"/>
                      <w:highlight w:val="none"/>
                    </w:rPr>
                  </w:pPr>
                  <w:r>
                    <w:rPr>
                      <w:color w:val="auto"/>
                    </w:rPr>
                    <w:t>经顶部自带的脉冲式布袋除尘器处理后在车间内无组织排放，车间顶部设置有雾状喷淋装置。</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color w:val="auto"/>
                      <w:highlight w:val="none"/>
                    </w:rPr>
                  </w:pPr>
                  <w:r>
                    <w:rPr>
                      <w:color w:val="auto"/>
                      <w:highlight w:val="none"/>
                    </w:rPr>
                    <w:t>车辆运输扬尘</w:t>
                  </w:r>
                </w:p>
              </w:tc>
              <w:tc>
                <w:tcPr>
                  <w:tcW w:w="2829" w:type="pct"/>
                  <w:tcBorders>
                    <w:tl2br w:val="nil"/>
                    <w:tr2bl w:val="nil"/>
                  </w:tcBorders>
                  <w:vAlign w:val="center"/>
                </w:tcPr>
                <w:p>
                  <w:pPr>
                    <w:pStyle w:val="27"/>
                    <w:jc w:val="both"/>
                    <w:rPr>
                      <w:color w:val="auto"/>
                      <w:highlight w:val="none"/>
                    </w:rPr>
                  </w:pPr>
                  <w:r>
                    <w:rPr>
                      <w:color w:val="auto"/>
                    </w:rPr>
                    <w:t>原料运输过程中覆盖篷布，</w:t>
                  </w:r>
                  <w:r>
                    <w:rPr>
                      <w:color w:val="auto"/>
                      <w:highlight w:val="none"/>
                    </w:rPr>
                    <w:t>厂区定期洒水抑尘，并设洗车台，清洗车辆。</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63" w:type="pct"/>
                  <w:vMerge w:val="continue"/>
                  <w:tcBorders>
                    <w:tl2br w:val="nil"/>
                    <w:tr2bl w:val="nil"/>
                  </w:tcBorders>
                  <w:vAlign w:val="center"/>
                </w:tcPr>
                <w:p>
                  <w:pPr>
                    <w:pStyle w:val="27"/>
                    <w:jc w:val="center"/>
                    <w:rPr>
                      <w:color w:val="auto"/>
                    </w:rPr>
                  </w:pPr>
                </w:p>
              </w:tc>
              <w:tc>
                <w:tcPr>
                  <w:tcW w:w="632" w:type="pct"/>
                  <w:vMerge w:val="restart"/>
                  <w:tcBorders>
                    <w:tl2br w:val="nil"/>
                    <w:tr2bl w:val="nil"/>
                  </w:tcBorders>
                  <w:vAlign w:val="center"/>
                </w:tcPr>
                <w:p>
                  <w:pPr>
                    <w:pStyle w:val="27"/>
                    <w:jc w:val="center"/>
                    <w:rPr>
                      <w:color w:val="auto"/>
                    </w:rPr>
                  </w:pPr>
                  <w:r>
                    <w:rPr>
                      <w:color w:val="auto"/>
                    </w:rPr>
                    <w:t>废水</w:t>
                  </w:r>
                </w:p>
              </w:tc>
              <w:tc>
                <w:tcPr>
                  <w:tcW w:w="628" w:type="pct"/>
                  <w:tcBorders>
                    <w:tl2br w:val="nil"/>
                    <w:tr2bl w:val="nil"/>
                  </w:tcBorders>
                  <w:vAlign w:val="center"/>
                </w:tcPr>
                <w:p>
                  <w:pPr>
                    <w:pStyle w:val="27"/>
                    <w:jc w:val="center"/>
                    <w:rPr>
                      <w:rFonts w:hint="eastAsia" w:eastAsia="宋体"/>
                      <w:color w:val="auto"/>
                      <w:lang w:val="en-US" w:eastAsia="zh-CN"/>
                    </w:rPr>
                  </w:pPr>
                  <w:r>
                    <w:rPr>
                      <w:rFonts w:hint="eastAsia"/>
                      <w:color w:val="auto"/>
                      <w:lang w:val="en-US" w:eastAsia="zh-CN"/>
                    </w:rPr>
                    <w:t>生活污水</w:t>
                  </w:r>
                </w:p>
              </w:tc>
              <w:tc>
                <w:tcPr>
                  <w:tcW w:w="2829" w:type="pct"/>
                  <w:tcBorders>
                    <w:tl2br w:val="nil"/>
                    <w:tr2bl w:val="nil"/>
                  </w:tcBorders>
                  <w:vAlign w:val="center"/>
                </w:tcPr>
                <w:p>
                  <w:pPr>
                    <w:pStyle w:val="27"/>
                    <w:jc w:val="both"/>
                    <w:rPr>
                      <w:rFonts w:hint="eastAsia"/>
                      <w:color w:val="auto"/>
                      <w:lang w:val="en-GB" w:eastAsia="zh-CN"/>
                    </w:rPr>
                  </w:pPr>
                  <w:r>
                    <w:rPr>
                      <w:rFonts w:hint="eastAsia"/>
                      <w:color w:val="auto"/>
                      <w:lang w:val="en-GB" w:eastAsia="zh-CN"/>
                    </w:rPr>
                    <w:t>生活污水排入化粪池，定期清掏用作农肥，不外排。</w:t>
                  </w:r>
                </w:p>
              </w:tc>
              <w:tc>
                <w:tcPr>
                  <w:tcW w:w="545" w:type="pct"/>
                  <w:vMerge w:val="restart"/>
                  <w:tcBorders>
                    <w:tl2br w:val="nil"/>
                    <w:tr2bl w:val="nil"/>
                  </w:tcBorders>
                  <w:vAlign w:val="center"/>
                </w:tcPr>
                <w:p>
                  <w:pPr>
                    <w:adjustRightInd w:val="0"/>
                    <w:snapToGrid w:val="0"/>
                    <w:spacing w:line="240" w:lineRule="auto"/>
                    <w:jc w:val="center"/>
                    <w:rPr>
                      <w:rFonts w:hint="eastAsia" w:cs="Times New Roman" w:eastAsiaTheme="minorEastAsia"/>
                      <w:color w:val="auto"/>
                      <w:sz w:val="21"/>
                      <w:szCs w:val="21"/>
                      <w:lang w:eastAsia="zh-CN"/>
                    </w:rPr>
                  </w:pPr>
                  <w:r>
                    <w:rPr>
                      <w:rFonts w:hint="eastAsia" w:cs="Times New Roman"/>
                      <w:color w:val="auto"/>
                      <w:sz w:val="21"/>
                      <w:szCs w:val="21"/>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rFonts w:hint="eastAsia"/>
                      <w:color w:val="auto"/>
                      <w:lang w:val="en-GB" w:eastAsia="zh-CN"/>
                    </w:rPr>
                  </w:pPr>
                  <w:r>
                    <w:rPr>
                      <w:rFonts w:hint="eastAsia"/>
                      <w:color w:val="auto"/>
                      <w:lang w:val="en-GB" w:eastAsia="zh-CN"/>
                    </w:rPr>
                    <w:t>生产废水</w:t>
                  </w:r>
                </w:p>
              </w:tc>
              <w:tc>
                <w:tcPr>
                  <w:tcW w:w="2829" w:type="pct"/>
                  <w:tcBorders>
                    <w:tl2br w:val="nil"/>
                    <w:tr2bl w:val="nil"/>
                  </w:tcBorders>
                  <w:vAlign w:val="center"/>
                </w:tcPr>
                <w:p>
                  <w:pPr>
                    <w:pStyle w:val="27"/>
                    <w:jc w:val="both"/>
                    <w:rPr>
                      <w:rFonts w:hint="eastAsia"/>
                      <w:color w:val="auto"/>
                      <w:lang w:val="en-GB" w:eastAsia="zh-CN"/>
                    </w:rPr>
                  </w:pPr>
                  <w:r>
                    <w:rPr>
                      <w:rFonts w:hint="eastAsia"/>
                      <w:color w:val="auto"/>
                      <w:lang w:val="en-GB" w:eastAsia="zh-CN"/>
                    </w:rPr>
                    <w:t>车辆冲洗废水经沉淀池沉淀后回用不外排。</w:t>
                  </w:r>
                </w:p>
              </w:tc>
              <w:tc>
                <w:tcPr>
                  <w:tcW w:w="545" w:type="pct"/>
                  <w:vMerge w:val="continue"/>
                  <w:tcBorders>
                    <w:tl2br w:val="nil"/>
                    <w:tr2bl w:val="nil"/>
                  </w:tcBorders>
                  <w:vAlign w:val="center"/>
                </w:tcPr>
                <w:p>
                  <w:pPr>
                    <w:pStyle w:val="27"/>
                    <w:jc w:val="center"/>
                    <w:rPr>
                      <w:rFonts w:hint="eastAsia"/>
                      <w:color w:val="auto"/>
                      <w:lang w:val="en-GB"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restart"/>
                  <w:tcBorders>
                    <w:tl2br w:val="nil"/>
                    <w:tr2bl w:val="nil"/>
                  </w:tcBorders>
                  <w:vAlign w:val="center"/>
                </w:tcPr>
                <w:p>
                  <w:pPr>
                    <w:pStyle w:val="27"/>
                    <w:jc w:val="center"/>
                    <w:rPr>
                      <w:color w:val="auto"/>
                    </w:rPr>
                  </w:pPr>
                  <w:r>
                    <w:rPr>
                      <w:color w:val="auto"/>
                    </w:rPr>
                    <w:t>固体废物</w:t>
                  </w:r>
                </w:p>
              </w:tc>
              <w:tc>
                <w:tcPr>
                  <w:tcW w:w="628"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color w:val="auto"/>
                      <w:kern w:val="2"/>
                      <w:sz w:val="21"/>
                      <w:szCs w:val="21"/>
                      <w:highlight w:val="none"/>
                      <w:vertAlign w:val="baseline"/>
                      <w:lang w:val="en-US" w:eastAsia="zh-CN" w:bidi="ar-SA"/>
                    </w:rPr>
                  </w:pPr>
                  <w:r>
                    <w:rPr>
                      <w:rFonts w:hint="eastAsia" w:ascii="Times New Roman" w:hAnsi="Times New Roman" w:eastAsia="宋体" w:cs="Times New Roman"/>
                      <w:b w:val="0"/>
                      <w:color w:val="auto"/>
                      <w:kern w:val="2"/>
                      <w:sz w:val="21"/>
                      <w:szCs w:val="21"/>
                      <w:highlight w:val="none"/>
                      <w:vertAlign w:val="baseline"/>
                      <w:lang w:val="en-US" w:eastAsia="zh-CN" w:bidi="ar-SA"/>
                    </w:rPr>
                    <w:t>生活垃圾</w:t>
                  </w:r>
                </w:p>
              </w:tc>
              <w:tc>
                <w:tcPr>
                  <w:tcW w:w="282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厂区内设分类垃圾桶收集，定期交环卫部门外运处置。</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hint="eastAsia" w:cs="Times New Roman"/>
                      <w:color w:val="auto"/>
                      <w:sz w:val="21"/>
                      <w:szCs w:val="21"/>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color w:val="auto"/>
                    </w:rPr>
                  </w:pPr>
                  <w:r>
                    <w:rPr>
                      <w:color w:val="auto"/>
                    </w:rPr>
                    <w:t>一般固体废物</w:t>
                  </w:r>
                </w:p>
              </w:tc>
              <w:tc>
                <w:tcPr>
                  <w:tcW w:w="2829" w:type="pct"/>
                  <w:tcBorders>
                    <w:tl2br w:val="nil"/>
                    <w:tr2bl w:val="nil"/>
                  </w:tcBorders>
                  <w:vAlign w:val="center"/>
                </w:tcPr>
                <w:p>
                  <w:pPr>
                    <w:pStyle w:val="27"/>
                    <w:jc w:val="both"/>
                    <w:rPr>
                      <w:rFonts w:hint="default"/>
                      <w:color w:val="auto"/>
                      <w:lang w:val="en-US"/>
                    </w:rPr>
                  </w:pPr>
                  <w:r>
                    <w:rPr>
                      <w:rFonts w:hint="eastAsia"/>
                      <w:color w:val="auto"/>
                      <w:lang w:eastAsia="zh-CN"/>
                    </w:rPr>
                    <w:t>除尘装置收集的粉尘和沉淀池沉渣综合利用，</w:t>
                  </w:r>
                  <w:r>
                    <w:rPr>
                      <w:rFonts w:hint="eastAsia"/>
                      <w:color w:val="auto"/>
                      <w:lang w:val="en-US" w:eastAsia="zh-CN"/>
                    </w:rPr>
                    <w:t>定期清出直接</w:t>
                  </w:r>
                  <w:r>
                    <w:rPr>
                      <w:rFonts w:hint="eastAsia"/>
                      <w:color w:val="auto"/>
                      <w:lang w:eastAsia="zh-CN"/>
                    </w:rPr>
                    <w:t>回用于生产。</w:t>
                  </w:r>
                  <w:r>
                    <w:rPr>
                      <w:rFonts w:hint="eastAsia"/>
                      <w:color w:val="auto"/>
                      <w:lang w:val="en-US" w:eastAsia="zh-CN"/>
                    </w:rPr>
                    <w:t>不合格产品再初凝前人工捣碎置于原料库，回用于生产。</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vMerge w:val="continue"/>
                  <w:tcBorders>
                    <w:tl2br w:val="nil"/>
                    <w:tr2bl w:val="nil"/>
                  </w:tcBorders>
                  <w:vAlign w:val="center"/>
                </w:tcPr>
                <w:p>
                  <w:pPr>
                    <w:pStyle w:val="27"/>
                    <w:jc w:val="center"/>
                    <w:rPr>
                      <w:color w:val="auto"/>
                    </w:rPr>
                  </w:pPr>
                </w:p>
              </w:tc>
              <w:tc>
                <w:tcPr>
                  <w:tcW w:w="628" w:type="pct"/>
                  <w:tcBorders>
                    <w:tl2br w:val="nil"/>
                    <w:tr2bl w:val="nil"/>
                  </w:tcBorders>
                  <w:vAlign w:val="center"/>
                </w:tcPr>
                <w:p>
                  <w:pPr>
                    <w:pStyle w:val="27"/>
                    <w:jc w:val="center"/>
                    <w:rPr>
                      <w:color w:val="auto"/>
                    </w:rPr>
                  </w:pPr>
                  <w:r>
                    <w:rPr>
                      <w:color w:val="auto"/>
                    </w:rPr>
                    <w:t>危险废物</w:t>
                  </w:r>
                </w:p>
              </w:tc>
              <w:tc>
                <w:tcPr>
                  <w:tcW w:w="2829" w:type="pct"/>
                  <w:tcBorders>
                    <w:tl2br w:val="nil"/>
                    <w:tr2bl w:val="nil"/>
                  </w:tcBorders>
                  <w:vAlign w:val="center"/>
                </w:tcPr>
                <w:p>
                  <w:pPr>
                    <w:pStyle w:val="27"/>
                    <w:jc w:val="both"/>
                    <w:rPr>
                      <w:color w:val="auto"/>
                    </w:rPr>
                  </w:pPr>
                  <w:r>
                    <w:rPr>
                      <w:rFonts w:hint="eastAsia"/>
                      <w:color w:val="auto"/>
                      <w:lang w:val="en-US" w:eastAsia="zh-CN"/>
                    </w:rPr>
                    <w:t>废机油、废油桶、废油手套暂存于危废贮存库</w:t>
                  </w:r>
                  <w:r>
                    <w:rPr>
                      <w:rFonts w:hint="eastAsia"/>
                      <w:color w:val="auto"/>
                      <w:highlight w:val="none"/>
                      <w:lang w:eastAsia="zh-CN"/>
                    </w:rPr>
                    <w:t>，</w:t>
                  </w:r>
                  <w:r>
                    <w:rPr>
                      <w:rFonts w:hint="eastAsia"/>
                      <w:color w:val="auto"/>
                      <w:highlight w:val="none"/>
                      <w:lang w:val="en-US" w:eastAsia="zh-CN"/>
                    </w:rPr>
                    <w:t>定期交由有资质的单位处置。</w:t>
                  </w:r>
                </w:p>
              </w:tc>
              <w:tc>
                <w:tcPr>
                  <w:tcW w:w="545" w:type="pct"/>
                  <w:tcBorders>
                    <w:tl2br w:val="nil"/>
                    <w:tr2bl w:val="nil"/>
                  </w:tcBorders>
                  <w:vAlign w:val="center"/>
                </w:tcPr>
                <w:p>
                  <w:pPr>
                    <w:adjustRightInd w:val="0"/>
                    <w:snapToGrid w:val="0"/>
                    <w:spacing w:line="240" w:lineRule="auto"/>
                    <w:jc w:val="center"/>
                    <w:rPr>
                      <w:rFonts w:hint="eastAsia" w:cs="Times New Roman" w:eastAsiaTheme="minorEastAsia"/>
                      <w:color w:val="auto"/>
                      <w:sz w:val="21"/>
                      <w:szCs w:val="21"/>
                      <w:lang w:eastAsia="zh-CN"/>
                    </w:rPr>
                  </w:pPr>
                  <w:r>
                    <w:rPr>
                      <w:rFonts w:hint="eastAsia" w:cs="Times New Roman"/>
                      <w:color w:val="auto"/>
                      <w:sz w:val="21"/>
                      <w:szCs w:val="21"/>
                      <w:lang w:eastAsia="zh-CN"/>
                    </w:rPr>
                    <w:t>新建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tcBorders>
                    <w:tl2br w:val="nil"/>
                    <w:tr2bl w:val="nil"/>
                  </w:tcBorders>
                  <w:vAlign w:val="center"/>
                </w:tcPr>
                <w:p>
                  <w:pPr>
                    <w:pStyle w:val="27"/>
                    <w:jc w:val="center"/>
                    <w:rPr>
                      <w:color w:val="auto"/>
                    </w:rPr>
                  </w:pPr>
                </w:p>
              </w:tc>
              <w:tc>
                <w:tcPr>
                  <w:tcW w:w="632" w:type="pct"/>
                  <w:tcBorders>
                    <w:tl2br w:val="nil"/>
                    <w:tr2bl w:val="nil"/>
                  </w:tcBorders>
                  <w:vAlign w:val="center"/>
                </w:tcPr>
                <w:p>
                  <w:pPr>
                    <w:pStyle w:val="27"/>
                    <w:jc w:val="center"/>
                    <w:rPr>
                      <w:color w:val="auto"/>
                    </w:rPr>
                  </w:pPr>
                  <w:r>
                    <w:rPr>
                      <w:color w:val="auto"/>
                    </w:rPr>
                    <w:t>噪声</w:t>
                  </w:r>
                </w:p>
              </w:tc>
              <w:tc>
                <w:tcPr>
                  <w:tcW w:w="3458" w:type="pct"/>
                  <w:gridSpan w:val="2"/>
                  <w:tcBorders>
                    <w:tl2br w:val="nil"/>
                    <w:tr2bl w:val="nil"/>
                  </w:tcBorders>
                  <w:vAlign w:val="center"/>
                </w:tcPr>
                <w:p>
                  <w:pPr>
                    <w:pStyle w:val="27"/>
                    <w:jc w:val="both"/>
                    <w:rPr>
                      <w:color w:val="auto"/>
                    </w:rPr>
                  </w:pPr>
                  <w:r>
                    <w:rPr>
                      <w:color w:val="auto"/>
                    </w:rPr>
                    <w:t>设备运行过程产生噪声，通过设置减振基座、厂房隔声等措施降低噪声影响。</w:t>
                  </w:r>
                </w:p>
              </w:tc>
              <w:tc>
                <w:tcPr>
                  <w:tcW w:w="545" w:type="pct"/>
                  <w:tcBorders>
                    <w:tl2br w:val="nil"/>
                    <w:tr2bl w:val="nil"/>
                  </w:tcBorders>
                  <w:vAlign w:val="center"/>
                </w:tcPr>
                <w:p>
                  <w:pPr>
                    <w:adjustRightInd w:val="0"/>
                    <w:snapToGrid w:val="0"/>
                    <w:spacing w:line="240" w:lineRule="auto"/>
                    <w:jc w:val="center"/>
                    <w:rPr>
                      <w:rFonts w:cs="Times New Roman"/>
                      <w:color w:val="auto"/>
                      <w:sz w:val="21"/>
                      <w:szCs w:val="21"/>
                    </w:rPr>
                  </w:pPr>
                  <w:r>
                    <w:rPr>
                      <w:rFonts w:cs="Times New Roman"/>
                      <w:color w:val="auto"/>
                      <w:sz w:val="21"/>
                      <w:szCs w:val="21"/>
                    </w:rPr>
                    <w:t>新建</w:t>
                  </w:r>
                </w:p>
              </w:tc>
            </w:tr>
          </w:tbl>
          <w:p>
            <w:pPr>
              <w:tabs>
                <w:tab w:val="left" w:pos="2130"/>
              </w:tabs>
              <w:ind w:firstLine="482" w:firstLineChars="200"/>
              <w:rPr>
                <w:rFonts w:cs="Times New Roman"/>
                <w:color w:val="auto"/>
              </w:rPr>
            </w:pPr>
            <w:r>
              <w:rPr>
                <w:rFonts w:cs="Times New Roman"/>
                <w:b/>
                <w:color w:val="auto"/>
              </w:rPr>
              <w:t>3、项目产品方案</w:t>
            </w:r>
          </w:p>
          <w:p>
            <w:pPr>
              <w:ind w:firstLine="480" w:firstLineChars="200"/>
              <w:rPr>
                <w:rFonts w:cs="Times New Roman"/>
                <w:color w:val="auto"/>
              </w:rPr>
            </w:pPr>
            <w:r>
              <w:rPr>
                <w:rFonts w:cs="Times New Roman"/>
                <w:color w:val="auto"/>
              </w:rPr>
              <w:t>本项目建成后年产20万吨水泥稳定材料</w:t>
            </w:r>
            <w:r>
              <w:rPr>
                <w:rFonts w:hint="eastAsia" w:cs="Times New Roman"/>
                <w:color w:val="auto"/>
                <w:lang w:eastAsia="zh-CN"/>
              </w:rPr>
              <w:t>和</w:t>
            </w:r>
            <w:r>
              <w:rPr>
                <w:rFonts w:hint="eastAsia" w:cs="Times New Roman"/>
                <w:color w:val="auto"/>
                <w:lang w:val="en-US" w:eastAsia="zh-CN"/>
              </w:rPr>
              <w:t>优质环保水泥砖5000万块</w:t>
            </w:r>
            <w:r>
              <w:rPr>
                <w:rFonts w:cs="Times New Roman"/>
                <w:color w:val="auto"/>
              </w:rPr>
              <w:t>。</w:t>
            </w:r>
          </w:p>
          <w:p>
            <w:pPr>
              <w:autoSpaceDE w:val="0"/>
              <w:autoSpaceDN w:val="0"/>
              <w:adjustRightInd w:val="0"/>
              <w:snapToGrid w:val="0"/>
              <w:spacing w:line="240" w:lineRule="auto"/>
              <w:jc w:val="center"/>
              <w:rPr>
                <w:rFonts w:eastAsia="宋体" w:cs="Times New Roman"/>
                <w:b/>
                <w:color w:val="auto"/>
                <w:sz w:val="21"/>
                <w:szCs w:val="21"/>
                <w:lang w:val="zh-CN" w:bidi="zh-CN"/>
              </w:rPr>
            </w:pPr>
            <w:r>
              <w:rPr>
                <w:rFonts w:eastAsia="宋体" w:cs="Times New Roman"/>
                <w:b/>
                <w:color w:val="auto"/>
                <w:sz w:val="21"/>
                <w:szCs w:val="21"/>
                <w:lang w:val="zh-CN" w:bidi="zh-CN"/>
              </w:rPr>
              <w:t>表2-2 项目生产规模一览表</w:t>
            </w:r>
          </w:p>
          <w:tbl>
            <w:tblPr>
              <w:tblStyle w:val="22"/>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1489"/>
              <w:gridCol w:w="510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9" w:type="pct"/>
                  <w:tcBorders>
                    <w:tl2br w:val="nil"/>
                    <w:tr2bl w:val="nil"/>
                  </w:tcBorders>
                  <w:vAlign w:val="center"/>
                </w:tcPr>
                <w:p>
                  <w:pPr>
                    <w:adjustRightInd w:val="0"/>
                    <w:snapToGrid w:val="0"/>
                    <w:spacing w:line="240" w:lineRule="auto"/>
                    <w:jc w:val="center"/>
                    <w:rPr>
                      <w:rFonts w:cs="Times New Roman"/>
                      <w:b/>
                      <w:color w:val="auto"/>
                      <w:sz w:val="21"/>
                      <w:szCs w:val="21"/>
                    </w:rPr>
                  </w:pPr>
                  <w:r>
                    <w:rPr>
                      <w:rFonts w:cs="Times New Roman"/>
                      <w:b/>
                      <w:color w:val="auto"/>
                      <w:sz w:val="21"/>
                      <w:szCs w:val="21"/>
                    </w:rPr>
                    <w:t>产品名称</w:t>
                  </w:r>
                </w:p>
              </w:tc>
              <w:tc>
                <w:tcPr>
                  <w:tcW w:w="827" w:type="pct"/>
                  <w:tcBorders>
                    <w:tl2br w:val="nil"/>
                    <w:tr2bl w:val="nil"/>
                  </w:tcBorders>
                  <w:vAlign w:val="center"/>
                </w:tcPr>
                <w:p>
                  <w:pPr>
                    <w:adjustRightInd w:val="0"/>
                    <w:snapToGrid w:val="0"/>
                    <w:spacing w:line="240" w:lineRule="auto"/>
                    <w:jc w:val="center"/>
                    <w:rPr>
                      <w:rFonts w:cs="Times New Roman"/>
                      <w:b/>
                      <w:color w:val="auto"/>
                      <w:sz w:val="21"/>
                      <w:szCs w:val="21"/>
                    </w:rPr>
                  </w:pPr>
                  <w:r>
                    <w:rPr>
                      <w:rFonts w:cs="Times New Roman"/>
                      <w:b/>
                      <w:color w:val="auto"/>
                      <w:sz w:val="21"/>
                      <w:szCs w:val="21"/>
                    </w:rPr>
                    <w:t>年产量</w:t>
                  </w:r>
                </w:p>
              </w:tc>
              <w:tc>
                <w:tcPr>
                  <w:tcW w:w="2832" w:type="pct"/>
                  <w:tcBorders>
                    <w:tl2br w:val="nil"/>
                    <w:tr2bl w:val="nil"/>
                  </w:tcBorders>
                  <w:vAlign w:val="center"/>
                </w:tcPr>
                <w:p>
                  <w:pPr>
                    <w:adjustRightInd w:val="0"/>
                    <w:snapToGrid w:val="0"/>
                    <w:spacing w:line="240" w:lineRule="auto"/>
                    <w:jc w:val="center"/>
                    <w:rPr>
                      <w:rFonts w:cs="Times New Roman"/>
                      <w:b/>
                      <w:color w:val="auto"/>
                      <w:sz w:val="21"/>
                      <w:szCs w:val="21"/>
                    </w:rPr>
                  </w:pPr>
                  <w:r>
                    <w:rPr>
                      <w:rFonts w:cs="Times New Roman"/>
                      <w:b/>
                      <w:color w:val="auto"/>
                      <w:sz w:val="21"/>
                      <w:szCs w:val="21"/>
                    </w:rPr>
                    <w:t>用途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9" w:type="pct"/>
                  <w:tcBorders>
                    <w:tl2br w:val="nil"/>
                    <w:tr2bl w:val="nil"/>
                  </w:tcBorders>
                  <w:vAlign w:val="center"/>
                </w:tcPr>
                <w:p>
                  <w:pPr>
                    <w:adjustRightInd w:val="0"/>
                    <w:snapToGrid w:val="0"/>
                    <w:spacing w:line="240" w:lineRule="auto"/>
                    <w:jc w:val="center"/>
                    <w:rPr>
                      <w:rFonts w:cs="Times New Roman"/>
                      <w:bCs/>
                      <w:color w:val="auto"/>
                      <w:sz w:val="21"/>
                      <w:szCs w:val="21"/>
                    </w:rPr>
                  </w:pPr>
                  <w:r>
                    <w:rPr>
                      <w:rFonts w:cs="Times New Roman"/>
                      <w:bCs/>
                      <w:color w:val="auto"/>
                      <w:sz w:val="21"/>
                      <w:szCs w:val="21"/>
                    </w:rPr>
                    <w:t>水泥稳定材料</w:t>
                  </w:r>
                </w:p>
              </w:tc>
              <w:tc>
                <w:tcPr>
                  <w:tcW w:w="827" w:type="pct"/>
                  <w:tcBorders>
                    <w:tl2br w:val="nil"/>
                    <w:tr2bl w:val="nil"/>
                  </w:tcBorders>
                  <w:vAlign w:val="center"/>
                </w:tcPr>
                <w:p>
                  <w:pPr>
                    <w:adjustRightInd w:val="0"/>
                    <w:snapToGrid w:val="0"/>
                    <w:spacing w:line="240" w:lineRule="auto"/>
                    <w:jc w:val="center"/>
                    <w:rPr>
                      <w:rFonts w:cs="Times New Roman"/>
                      <w:bCs/>
                      <w:color w:val="auto"/>
                      <w:sz w:val="21"/>
                      <w:szCs w:val="21"/>
                    </w:rPr>
                  </w:pPr>
                  <w:r>
                    <w:rPr>
                      <w:rFonts w:cs="Times New Roman"/>
                      <w:bCs/>
                      <w:color w:val="auto"/>
                      <w:sz w:val="21"/>
                      <w:szCs w:val="21"/>
                    </w:rPr>
                    <w:t>20万吨</w:t>
                  </w:r>
                </w:p>
              </w:tc>
              <w:tc>
                <w:tcPr>
                  <w:tcW w:w="2832" w:type="pct"/>
                  <w:tcBorders>
                    <w:tl2br w:val="nil"/>
                    <w:tr2bl w:val="nil"/>
                  </w:tcBorders>
                  <w:vAlign w:val="center"/>
                </w:tcPr>
                <w:p>
                  <w:pPr>
                    <w:adjustRightInd w:val="0"/>
                    <w:snapToGrid w:val="0"/>
                    <w:spacing w:line="240" w:lineRule="auto"/>
                    <w:jc w:val="center"/>
                    <w:rPr>
                      <w:rFonts w:cs="Times New Roman"/>
                      <w:bCs/>
                      <w:color w:val="auto"/>
                      <w:sz w:val="21"/>
                      <w:szCs w:val="21"/>
                    </w:rPr>
                  </w:pPr>
                  <w:r>
                    <w:rPr>
                      <w:rFonts w:cs="Times New Roman"/>
                      <w:bCs/>
                      <w:color w:val="auto"/>
                      <w:sz w:val="21"/>
                      <w:szCs w:val="21"/>
                    </w:rPr>
                    <w:t>用于道路的基层和底基层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Theme="minorEastAsia" w:cstheme="minorBidi"/>
                      <w:b/>
                      <w:bCs/>
                      <w:color w:val="auto"/>
                      <w:kern w:val="2"/>
                      <w:sz w:val="21"/>
                      <w:szCs w:val="21"/>
                      <w:vertAlign w:val="baseline"/>
                      <w:lang w:val="en-US" w:eastAsia="zh-CN" w:bidi="ar-SA"/>
                    </w:rPr>
                  </w:pPr>
                  <w:r>
                    <w:rPr>
                      <w:rFonts w:hint="eastAsia" w:ascii="Times New Roman" w:hAnsi="Times New Roman" w:eastAsia="宋体" w:cs="Times New Roman"/>
                      <w:b w:val="0"/>
                      <w:color w:val="auto"/>
                      <w:kern w:val="2"/>
                      <w:sz w:val="21"/>
                      <w:szCs w:val="21"/>
                      <w:highlight w:val="none"/>
                      <w:vertAlign w:val="baseline"/>
                      <w:lang w:val="en-US" w:eastAsia="zh-CN" w:bidi="ar-SA"/>
                    </w:rPr>
                    <w:t>优质环保水泥砖</w:t>
                  </w:r>
                </w:p>
              </w:tc>
              <w:tc>
                <w:tcPr>
                  <w:tcW w:w="82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Theme="minorEastAsia" w:cstheme="minorBidi"/>
                      <w:b/>
                      <w:bCs/>
                      <w:color w:val="auto"/>
                      <w:kern w:val="2"/>
                      <w:sz w:val="21"/>
                      <w:szCs w:val="21"/>
                      <w:vertAlign w:val="baseline"/>
                      <w:lang w:val="en-US" w:eastAsia="zh-CN" w:bidi="ar-SA"/>
                    </w:rPr>
                  </w:pPr>
                  <w:r>
                    <w:rPr>
                      <w:rFonts w:hint="eastAsia" w:ascii="Times New Roman" w:hAnsi="Times New Roman" w:eastAsia="宋体" w:cs="Times New Roman"/>
                      <w:b w:val="0"/>
                      <w:color w:val="auto"/>
                      <w:kern w:val="2"/>
                      <w:sz w:val="21"/>
                      <w:szCs w:val="21"/>
                      <w:highlight w:val="none"/>
                      <w:vertAlign w:val="baseline"/>
                      <w:lang w:val="en-US" w:eastAsia="zh-CN" w:bidi="ar-SA"/>
                    </w:rPr>
                    <w:t>5000</w:t>
                  </w:r>
                  <w:r>
                    <w:rPr>
                      <w:rFonts w:hint="default" w:ascii="Times New Roman" w:hAnsi="Times New Roman" w:eastAsia="宋体" w:cs="Times New Roman"/>
                      <w:b w:val="0"/>
                      <w:color w:val="auto"/>
                      <w:kern w:val="2"/>
                      <w:sz w:val="21"/>
                      <w:szCs w:val="21"/>
                      <w:highlight w:val="none"/>
                      <w:vertAlign w:val="baseline"/>
                      <w:lang w:val="en-US" w:eastAsia="zh-CN" w:bidi="ar-SA"/>
                    </w:rPr>
                    <w:t>万块</w:t>
                  </w:r>
                </w:p>
              </w:tc>
              <w:tc>
                <w:tcPr>
                  <w:tcW w:w="2832"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Theme="minorEastAsia" w:cstheme="minorBidi"/>
                      <w:b/>
                      <w:bCs/>
                      <w:color w:val="auto"/>
                      <w:kern w:val="2"/>
                      <w:sz w:val="21"/>
                      <w:szCs w:val="21"/>
                      <w:vertAlign w:val="baseline"/>
                      <w:lang w:val="en-US" w:eastAsia="zh-CN" w:bidi="ar-SA"/>
                    </w:rPr>
                  </w:pPr>
                  <w:r>
                    <w:rPr>
                      <w:rFonts w:hint="eastAsia" w:ascii="Times New Roman" w:hAnsi="Times New Roman" w:eastAsia="宋体" w:cs="Times New Roman"/>
                      <w:b w:val="0"/>
                      <w:color w:val="auto"/>
                      <w:kern w:val="2"/>
                      <w:sz w:val="21"/>
                      <w:szCs w:val="21"/>
                      <w:highlight w:val="none"/>
                      <w:vertAlign w:val="baseline"/>
                      <w:lang w:val="en-US" w:eastAsia="zh-CN" w:bidi="ar-SA"/>
                    </w:rPr>
                    <w:t>根据客户需求生产多种尺寸规格的产品，本次评价按市场普遍规格24-12砖，2~3kg/块进行计算分析。</w:t>
                  </w:r>
                </w:p>
              </w:tc>
            </w:tr>
          </w:tbl>
          <w:p>
            <w:pPr>
              <w:ind w:firstLine="482" w:firstLineChars="200"/>
              <w:rPr>
                <w:rFonts w:cs="Times New Roman"/>
                <w:b/>
                <w:bCs/>
                <w:color w:val="auto"/>
              </w:rPr>
            </w:pPr>
            <w:r>
              <w:rPr>
                <w:rFonts w:cs="Times New Roman"/>
                <w:b/>
                <w:color w:val="auto"/>
              </w:rPr>
              <w:t>4、主要原辅材</w:t>
            </w:r>
            <w:r>
              <w:rPr>
                <w:rFonts w:cs="Times New Roman"/>
                <w:b/>
                <w:bCs/>
                <w:color w:val="auto"/>
              </w:rPr>
              <w:t>料</w:t>
            </w:r>
          </w:p>
          <w:p>
            <w:pPr>
              <w:ind w:firstLine="482" w:firstLineChars="200"/>
              <w:rPr>
                <w:rFonts w:eastAsia="宋体" w:cs="Times New Roman"/>
                <w:b/>
                <w:bCs/>
                <w:color w:val="auto"/>
              </w:rPr>
            </w:pPr>
            <w:r>
              <w:rPr>
                <w:rFonts w:cs="Times New Roman"/>
                <w:b/>
                <w:bCs/>
                <w:color w:val="auto"/>
              </w:rPr>
              <w:t>（1）原辅材料用量</w:t>
            </w:r>
          </w:p>
          <w:p>
            <w:pPr>
              <w:ind w:firstLine="480" w:firstLineChars="200"/>
              <w:rPr>
                <w:rFonts w:cs="Times New Roman"/>
                <w:bCs/>
                <w:color w:val="auto"/>
              </w:rPr>
            </w:pPr>
            <w:r>
              <w:rPr>
                <w:rFonts w:cs="Times New Roman"/>
                <w:color w:val="auto"/>
              </w:rPr>
              <w:t>根据建设单位提供资料，</w:t>
            </w:r>
            <w:r>
              <w:rPr>
                <w:rFonts w:cs="Times New Roman"/>
                <w:bCs/>
                <w:color w:val="auto"/>
              </w:rPr>
              <w:t>本</w:t>
            </w:r>
            <w:r>
              <w:rPr>
                <w:rFonts w:cs="Times New Roman"/>
                <w:color w:val="auto"/>
              </w:rPr>
              <w:t>项目能耗和主要原辅材料情况</w:t>
            </w:r>
            <w:r>
              <w:rPr>
                <w:rFonts w:cs="Times New Roman"/>
                <w:bCs/>
                <w:color w:val="auto"/>
              </w:rPr>
              <w:t>见下表。</w:t>
            </w:r>
          </w:p>
          <w:p>
            <w:pPr>
              <w:autoSpaceDE w:val="0"/>
              <w:autoSpaceDN w:val="0"/>
              <w:spacing w:line="240" w:lineRule="auto"/>
              <w:jc w:val="center"/>
              <w:rPr>
                <w:rFonts w:eastAsia="宋体" w:cs="Times New Roman"/>
                <w:b/>
                <w:color w:val="auto"/>
                <w:sz w:val="21"/>
                <w:szCs w:val="21"/>
                <w:lang w:val="zh-CN" w:bidi="zh-CN"/>
              </w:rPr>
            </w:pPr>
            <w:r>
              <w:rPr>
                <w:rFonts w:eastAsia="宋体" w:cs="Times New Roman"/>
                <w:b/>
                <w:color w:val="auto"/>
                <w:sz w:val="21"/>
                <w:szCs w:val="21"/>
                <w:lang w:val="zh-CN" w:bidi="zh-CN"/>
              </w:rPr>
              <w:t>表2-3 本项目主要原辅材料情况一览表</w:t>
            </w:r>
          </w:p>
          <w:tbl>
            <w:tblPr>
              <w:tblStyle w:val="22"/>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830"/>
              <w:gridCol w:w="1048"/>
              <w:gridCol w:w="821"/>
              <w:gridCol w:w="1394"/>
              <w:gridCol w:w="4909"/>
            </w:tblGrid>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Style w:val="44"/>
                    <w:jc w:val="center"/>
                    <w:rPr>
                      <w:rFonts w:hint="eastAsia" w:cs="Times New Roman" w:eastAsiaTheme="minorEastAsia"/>
                      <w:b/>
                      <w:bCs/>
                      <w:color w:val="auto"/>
                      <w:highlight w:val="none"/>
                      <w:lang w:eastAsia="zh-CN"/>
                    </w:rPr>
                  </w:pPr>
                  <w:r>
                    <w:rPr>
                      <w:rFonts w:hint="eastAsia" w:cs="Times New Roman"/>
                      <w:b/>
                      <w:bCs/>
                      <w:color w:val="auto"/>
                      <w:highlight w:val="none"/>
                      <w:lang w:eastAsia="zh-CN"/>
                    </w:rPr>
                    <w:t>序号</w:t>
                  </w:r>
                </w:p>
              </w:tc>
              <w:tc>
                <w:tcPr>
                  <w:tcW w:w="1038" w:type="pct"/>
                  <w:gridSpan w:val="2"/>
                  <w:vAlign w:val="center"/>
                </w:tcPr>
                <w:p>
                  <w:pPr>
                    <w:pStyle w:val="44"/>
                    <w:jc w:val="center"/>
                    <w:rPr>
                      <w:rFonts w:ascii="Times New Roman" w:hAnsi="Times New Roman" w:cs="Times New Roman" w:eastAsiaTheme="minorEastAsia"/>
                      <w:b/>
                      <w:bCs/>
                      <w:color w:val="auto"/>
                      <w:kern w:val="2"/>
                      <w:sz w:val="21"/>
                      <w:szCs w:val="22"/>
                      <w:highlight w:val="none"/>
                      <w:lang w:val="en-US" w:eastAsia="zh-CN" w:bidi="ar-SA"/>
                    </w:rPr>
                  </w:pPr>
                  <w:r>
                    <w:rPr>
                      <w:rFonts w:cs="Times New Roman"/>
                      <w:b/>
                      <w:bCs/>
                      <w:color w:val="auto"/>
                      <w:highlight w:val="none"/>
                    </w:rPr>
                    <w:t>名称</w:t>
                  </w:r>
                </w:p>
              </w:tc>
              <w:tc>
                <w:tcPr>
                  <w:tcW w:w="774" w:type="pct"/>
                  <w:vAlign w:val="center"/>
                </w:tcPr>
                <w:p>
                  <w:pPr>
                    <w:pStyle w:val="44"/>
                    <w:jc w:val="center"/>
                    <w:rPr>
                      <w:rFonts w:cs="Times New Roman"/>
                      <w:b/>
                      <w:bCs/>
                      <w:color w:val="auto"/>
                      <w:highlight w:val="none"/>
                    </w:rPr>
                  </w:pPr>
                  <w:r>
                    <w:rPr>
                      <w:rFonts w:hint="eastAsia" w:cs="Times New Roman"/>
                      <w:b/>
                      <w:bCs/>
                      <w:color w:val="auto"/>
                      <w:highlight w:val="none"/>
                      <w:lang w:eastAsia="zh-CN"/>
                    </w:rPr>
                    <w:t>年消耗</w:t>
                  </w:r>
                  <w:r>
                    <w:rPr>
                      <w:rFonts w:cs="Times New Roman"/>
                      <w:b/>
                      <w:bCs/>
                      <w:color w:val="auto"/>
                      <w:highlight w:val="none"/>
                    </w:rPr>
                    <w:t>量</w:t>
                  </w:r>
                </w:p>
              </w:tc>
              <w:tc>
                <w:tcPr>
                  <w:tcW w:w="2726" w:type="pct"/>
                  <w:vAlign w:val="center"/>
                </w:tcPr>
                <w:p>
                  <w:pPr>
                    <w:pStyle w:val="44"/>
                    <w:jc w:val="center"/>
                    <w:rPr>
                      <w:rFonts w:cs="Times New Roman"/>
                      <w:b/>
                      <w:bCs/>
                      <w:color w:val="auto"/>
                      <w:highlight w:val="none"/>
                    </w:rPr>
                  </w:pPr>
                  <w:r>
                    <w:rPr>
                      <w:rFonts w:cs="Times New Roman"/>
                      <w:b/>
                      <w:bCs/>
                      <w:color w:val="auto"/>
                      <w:highlight w:val="none"/>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cs="Times New Roman"/>
                      <w:color w:val="auto"/>
                      <w:highlight w:val="none"/>
                    </w:rPr>
                  </w:pPr>
                  <w:r>
                    <w:rPr>
                      <w:rFonts w:hint="default" w:ascii="Times New Roman" w:hAnsi="Times New Roman" w:eastAsia="宋体" w:cs="Times New Roman"/>
                      <w:color w:val="auto"/>
                      <w:kern w:val="0"/>
                      <w:sz w:val="22"/>
                      <w:szCs w:val="22"/>
                      <w:highlight w:val="none"/>
                      <w:lang w:val="en-US" w:eastAsia="zh-CN"/>
                    </w:rPr>
                    <w:t>1</w:t>
                  </w:r>
                </w:p>
              </w:tc>
              <w:tc>
                <w:tcPr>
                  <w:tcW w:w="582" w:type="pct"/>
                  <w:vMerge w:val="restart"/>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r>
                    <w:rPr>
                      <w:rFonts w:hint="eastAsia" w:cs="Times New Roman"/>
                      <w:color w:val="auto"/>
                      <w:kern w:val="2"/>
                      <w:sz w:val="21"/>
                      <w:szCs w:val="22"/>
                      <w:highlight w:val="none"/>
                      <w:lang w:val="en-US" w:eastAsia="zh-CN" w:bidi="ar-SA"/>
                    </w:rPr>
                    <w:t>水泥</w:t>
                  </w:r>
                  <w:r>
                    <w:rPr>
                      <w:rFonts w:hint="default" w:ascii="Times New Roman" w:hAnsi="Times New Roman" w:cs="Times New Roman" w:eastAsiaTheme="minorEastAsia"/>
                      <w:color w:val="auto"/>
                      <w:kern w:val="2"/>
                      <w:sz w:val="21"/>
                      <w:szCs w:val="22"/>
                      <w:highlight w:val="none"/>
                      <w:lang w:val="en-US" w:eastAsia="zh-CN" w:bidi="ar-SA"/>
                    </w:rPr>
                    <w:t>稳定材料生产线</w:t>
                  </w:r>
                </w:p>
              </w:tc>
              <w:tc>
                <w:tcPr>
                  <w:tcW w:w="456" w:type="pct"/>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r>
                    <w:rPr>
                      <w:rFonts w:eastAsia="宋体" w:cs="Times New Roman"/>
                      <w:color w:val="auto"/>
                      <w:highlight w:val="none"/>
                    </w:rPr>
                    <w:t>水泥</w:t>
                  </w:r>
                </w:p>
              </w:tc>
              <w:tc>
                <w:tcPr>
                  <w:tcW w:w="774" w:type="pct"/>
                  <w:vAlign w:val="center"/>
                </w:tcPr>
                <w:p>
                  <w:pPr>
                    <w:pStyle w:val="44"/>
                    <w:jc w:val="center"/>
                    <w:rPr>
                      <w:rFonts w:eastAsia="宋体" w:cs="Times New Roman"/>
                      <w:color w:val="auto"/>
                      <w:highlight w:val="none"/>
                    </w:rPr>
                  </w:pPr>
                  <w:r>
                    <w:rPr>
                      <w:rFonts w:eastAsia="宋体" w:cs="Times New Roman"/>
                      <w:color w:val="auto"/>
                      <w:highlight w:val="none"/>
                    </w:rPr>
                    <w:t>8000</w:t>
                  </w:r>
                  <w:r>
                    <w:rPr>
                      <w:rFonts w:hint="default" w:eastAsia="宋体" w:cs="Times New Roman"/>
                      <w:color w:val="auto"/>
                      <w:highlight w:val="none"/>
                      <w:lang w:val="en-US" w:eastAsia="zh-CN"/>
                    </w:rPr>
                    <w:t>t/a</w:t>
                  </w:r>
                </w:p>
              </w:tc>
              <w:tc>
                <w:tcPr>
                  <w:tcW w:w="2726" w:type="pct"/>
                  <w:vMerge w:val="restart"/>
                  <w:vAlign w:val="center"/>
                </w:tcPr>
                <w:p>
                  <w:pPr>
                    <w:pStyle w:val="44"/>
                    <w:jc w:val="center"/>
                    <w:rPr>
                      <w:rFonts w:cs="Times New Roman"/>
                      <w:color w:val="auto"/>
                      <w:highlight w:val="none"/>
                    </w:rPr>
                  </w:pPr>
                  <w:r>
                    <w:rPr>
                      <w:rFonts w:hint="eastAsia" w:cs="Times New Roman"/>
                      <w:color w:val="auto"/>
                      <w:highlight w:val="none"/>
                      <w:lang w:eastAsia="zh-CN"/>
                    </w:rPr>
                    <w:t>外购，</w:t>
                  </w:r>
                  <w:r>
                    <w:rPr>
                      <w:rFonts w:cs="Times New Roman"/>
                      <w:color w:val="auto"/>
                      <w:highlight w:val="none"/>
                    </w:rPr>
                    <w:t>用于水稳材料生产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cs="Times New Roman"/>
                      <w:color w:val="auto"/>
                      <w:highlight w:val="none"/>
                    </w:rPr>
                  </w:pPr>
                  <w:r>
                    <w:rPr>
                      <w:rFonts w:hint="eastAsia" w:ascii="Times New Roman" w:hAnsi="Times New Roman" w:eastAsia="宋体" w:cs="Times New Roman"/>
                      <w:color w:val="auto"/>
                      <w:kern w:val="0"/>
                      <w:sz w:val="22"/>
                      <w:szCs w:val="22"/>
                      <w:highlight w:val="none"/>
                      <w:lang w:val="en-US" w:eastAsia="zh-CN"/>
                    </w:rPr>
                    <w:t>2</w:t>
                  </w:r>
                </w:p>
              </w:tc>
              <w:tc>
                <w:tcPr>
                  <w:tcW w:w="582" w:type="pct"/>
                  <w:vMerge w:val="continue"/>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p>
              </w:tc>
              <w:tc>
                <w:tcPr>
                  <w:tcW w:w="456" w:type="pct"/>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r>
                    <w:rPr>
                      <w:rFonts w:eastAsia="宋体" w:cs="Times New Roman"/>
                      <w:color w:val="auto"/>
                      <w:highlight w:val="none"/>
                    </w:rPr>
                    <w:t>石子</w:t>
                  </w:r>
                </w:p>
              </w:tc>
              <w:tc>
                <w:tcPr>
                  <w:tcW w:w="774" w:type="pct"/>
                  <w:vAlign w:val="center"/>
                </w:tcPr>
                <w:p>
                  <w:pPr>
                    <w:pStyle w:val="44"/>
                    <w:jc w:val="center"/>
                    <w:rPr>
                      <w:rFonts w:eastAsia="宋体" w:cs="Times New Roman"/>
                      <w:color w:val="auto"/>
                      <w:highlight w:val="none"/>
                    </w:rPr>
                  </w:pPr>
                  <w:r>
                    <w:rPr>
                      <w:rFonts w:eastAsia="宋体" w:cs="Times New Roman"/>
                      <w:color w:val="auto"/>
                      <w:highlight w:val="none"/>
                    </w:rPr>
                    <w:t>60000</w:t>
                  </w:r>
                  <w:r>
                    <w:rPr>
                      <w:rFonts w:hint="default" w:eastAsia="宋体" w:cs="Times New Roman"/>
                      <w:color w:val="auto"/>
                      <w:highlight w:val="none"/>
                      <w:lang w:val="en-US" w:eastAsia="zh-CN"/>
                    </w:rPr>
                    <w:t>t/a</w:t>
                  </w:r>
                </w:p>
              </w:tc>
              <w:tc>
                <w:tcPr>
                  <w:tcW w:w="2726" w:type="pct"/>
                  <w:vMerge w:val="continue"/>
                  <w:vAlign w:val="center"/>
                </w:tcPr>
                <w:p>
                  <w:pPr>
                    <w:pStyle w:val="44"/>
                    <w:jc w:val="center"/>
                    <w:rPr>
                      <w:rFonts w:cs="Times New Roman"/>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cs="Times New Roman"/>
                      <w:color w:val="auto"/>
                      <w:highlight w:val="none"/>
                    </w:rPr>
                  </w:pPr>
                  <w:r>
                    <w:rPr>
                      <w:rFonts w:hint="default" w:ascii="Times New Roman" w:hAnsi="Times New Roman" w:eastAsia="宋体" w:cs="Times New Roman"/>
                      <w:color w:val="auto"/>
                      <w:kern w:val="0"/>
                      <w:sz w:val="22"/>
                      <w:szCs w:val="22"/>
                      <w:highlight w:val="none"/>
                      <w:lang w:val="en-US" w:eastAsia="zh-CN"/>
                    </w:rPr>
                    <w:t>3</w:t>
                  </w:r>
                </w:p>
              </w:tc>
              <w:tc>
                <w:tcPr>
                  <w:tcW w:w="582" w:type="pct"/>
                  <w:vMerge w:val="continue"/>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p>
              </w:tc>
              <w:tc>
                <w:tcPr>
                  <w:tcW w:w="456" w:type="pct"/>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r>
                    <w:rPr>
                      <w:rFonts w:eastAsia="宋体" w:cs="Times New Roman"/>
                      <w:color w:val="auto"/>
                      <w:highlight w:val="none"/>
                    </w:rPr>
                    <w:t>砂子</w:t>
                  </w:r>
                </w:p>
              </w:tc>
              <w:tc>
                <w:tcPr>
                  <w:tcW w:w="774" w:type="pct"/>
                  <w:vAlign w:val="center"/>
                </w:tcPr>
                <w:p>
                  <w:pPr>
                    <w:pStyle w:val="44"/>
                    <w:jc w:val="center"/>
                    <w:rPr>
                      <w:rFonts w:eastAsia="宋体" w:cs="Times New Roman"/>
                      <w:color w:val="auto"/>
                      <w:highlight w:val="none"/>
                    </w:rPr>
                  </w:pPr>
                  <w:r>
                    <w:rPr>
                      <w:rFonts w:eastAsia="宋体" w:cs="Times New Roman"/>
                      <w:color w:val="auto"/>
                      <w:highlight w:val="none"/>
                    </w:rPr>
                    <w:t>130000</w:t>
                  </w:r>
                  <w:r>
                    <w:rPr>
                      <w:rFonts w:hint="default" w:eastAsia="宋体" w:cs="Times New Roman"/>
                      <w:color w:val="auto"/>
                      <w:highlight w:val="none"/>
                      <w:lang w:val="en-US" w:eastAsia="zh-CN"/>
                    </w:rPr>
                    <w:t>t/a</w:t>
                  </w:r>
                </w:p>
              </w:tc>
              <w:tc>
                <w:tcPr>
                  <w:tcW w:w="2726" w:type="pct"/>
                  <w:vMerge w:val="continue"/>
                  <w:vAlign w:val="center"/>
                </w:tcPr>
                <w:p>
                  <w:pPr>
                    <w:pStyle w:val="44"/>
                    <w:jc w:val="center"/>
                    <w:rPr>
                      <w:rFonts w:cs="Times New Roman"/>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kern w:val="0"/>
                      <w:sz w:val="22"/>
                      <w:szCs w:val="22"/>
                      <w:highlight w:val="none"/>
                      <w:lang w:val="en-US" w:eastAsia="zh-CN"/>
                    </w:rPr>
                  </w:pPr>
                  <w:r>
                    <w:rPr>
                      <w:rFonts w:hint="eastAsia" w:ascii="Times New Roman" w:hAnsi="Times New Roman" w:eastAsia="宋体" w:cs="Times New Roman"/>
                      <w:color w:val="auto"/>
                      <w:kern w:val="0"/>
                      <w:sz w:val="22"/>
                      <w:szCs w:val="22"/>
                      <w:highlight w:val="none"/>
                      <w:lang w:val="en-US" w:eastAsia="zh-CN"/>
                    </w:rPr>
                    <w:t>4</w:t>
                  </w:r>
                </w:p>
              </w:tc>
              <w:tc>
                <w:tcPr>
                  <w:tcW w:w="582" w:type="pct"/>
                  <w:vMerge w:val="continue"/>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p>
              </w:tc>
              <w:tc>
                <w:tcPr>
                  <w:tcW w:w="456" w:type="pct"/>
                  <w:vAlign w:val="center"/>
                </w:tcPr>
                <w:p>
                  <w:pPr>
                    <w:pStyle w:val="44"/>
                    <w:jc w:val="center"/>
                    <w:rPr>
                      <w:rFonts w:ascii="Times New Roman" w:hAnsi="Times New Roman" w:cs="Times New Roman" w:eastAsiaTheme="minorEastAsia"/>
                      <w:color w:val="auto"/>
                      <w:kern w:val="2"/>
                      <w:sz w:val="21"/>
                      <w:szCs w:val="22"/>
                      <w:highlight w:val="none"/>
                      <w:lang w:val="en-US" w:eastAsia="zh-CN" w:bidi="ar-SA"/>
                    </w:rPr>
                  </w:pPr>
                  <w:r>
                    <w:rPr>
                      <w:rFonts w:eastAsia="宋体" w:cs="Times New Roman"/>
                      <w:color w:val="auto"/>
                      <w:highlight w:val="none"/>
                    </w:rPr>
                    <w:t>水</w:t>
                  </w:r>
                </w:p>
              </w:tc>
              <w:tc>
                <w:tcPr>
                  <w:tcW w:w="774" w:type="pct"/>
                  <w:vAlign w:val="center"/>
                </w:tcPr>
                <w:p>
                  <w:pPr>
                    <w:pageBreakBefore w:val="0"/>
                    <w:kinsoku/>
                    <w:overflowPunct/>
                    <w:topLinePunct w:val="0"/>
                    <w:bidi w:val="0"/>
                    <w:adjustRightInd w:val="0"/>
                    <w:snapToGrid w:val="0"/>
                    <w:spacing w:line="240" w:lineRule="auto"/>
                    <w:jc w:val="center"/>
                    <w:rPr>
                      <w:rFonts w:ascii="Times New Roman" w:hAnsi="Times New Roman" w:eastAsia="宋体" w:cs="Times New Roman"/>
                      <w:color w:val="auto"/>
                      <w:kern w:val="2"/>
                      <w:sz w:val="24"/>
                      <w:szCs w:val="22"/>
                      <w:highlight w:val="none"/>
                      <w:lang w:val="en-US" w:eastAsia="zh-CN" w:bidi="ar-SA"/>
                    </w:rPr>
                  </w:pPr>
                  <w:r>
                    <w:rPr>
                      <w:rFonts w:hint="eastAsia" w:ascii="Times New Roman" w:hAnsi="Times New Roman" w:eastAsia="宋体" w:cs="Times New Roman"/>
                      <w:color w:val="auto"/>
                      <w:kern w:val="0"/>
                      <w:sz w:val="22"/>
                      <w:szCs w:val="22"/>
                      <w:lang w:val="en-US" w:eastAsia="zh-CN"/>
                    </w:rPr>
                    <w:t>2000</w:t>
                  </w:r>
                  <w:r>
                    <w:rPr>
                      <w:rFonts w:hint="default" w:ascii="Times New Roman" w:hAnsi="Times New Roman" w:eastAsia="宋体" w:cs="Times New Roman"/>
                      <w:color w:val="auto"/>
                      <w:kern w:val="0"/>
                      <w:sz w:val="22"/>
                      <w:szCs w:val="22"/>
                      <w:lang w:val="en-US" w:eastAsia="zh-CN"/>
                    </w:rPr>
                    <w:t>m</w:t>
                  </w:r>
                  <w:r>
                    <w:rPr>
                      <w:rFonts w:hint="default" w:ascii="Times New Roman" w:hAnsi="Times New Roman" w:eastAsia="宋体" w:cs="Times New Roman"/>
                      <w:color w:val="auto"/>
                      <w:kern w:val="0"/>
                      <w:sz w:val="22"/>
                      <w:szCs w:val="22"/>
                      <w:vertAlign w:val="superscript"/>
                      <w:lang w:val="en-US" w:eastAsia="zh-CN"/>
                    </w:rPr>
                    <w:t>3</w:t>
                  </w:r>
                  <w:r>
                    <w:rPr>
                      <w:rFonts w:hint="default" w:ascii="Times New Roman" w:hAnsi="Times New Roman" w:eastAsia="宋体" w:cs="Times New Roman"/>
                      <w:color w:val="auto"/>
                      <w:kern w:val="0"/>
                      <w:sz w:val="22"/>
                      <w:szCs w:val="22"/>
                      <w:lang w:val="en-US" w:eastAsia="zh-CN"/>
                    </w:rPr>
                    <w:t>/a</w:t>
                  </w:r>
                </w:p>
              </w:tc>
              <w:tc>
                <w:tcPr>
                  <w:tcW w:w="2726" w:type="pct"/>
                  <w:vAlign w:val="center"/>
                </w:tcPr>
                <w:p>
                  <w:pPr>
                    <w:pStyle w:val="44"/>
                    <w:jc w:val="center"/>
                    <w:rPr>
                      <w:rFonts w:cs="Times New Roman"/>
                      <w:color w:val="auto"/>
                      <w:highlight w:val="none"/>
                    </w:rPr>
                  </w:pPr>
                  <w:r>
                    <w:rPr>
                      <w:rFonts w:hint="eastAsia" w:cs="Times New Roman"/>
                      <w:color w:val="auto"/>
                      <w:highlight w:val="none"/>
                      <w:lang w:eastAsia="zh-CN"/>
                    </w:rPr>
                    <w:t>用于生产配比用水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kern w:val="0"/>
                      <w:sz w:val="22"/>
                      <w:szCs w:val="22"/>
                      <w:highlight w:val="none"/>
                      <w:lang w:val="en-US" w:eastAsia="zh-CN"/>
                    </w:rPr>
                  </w:pPr>
                  <w:r>
                    <w:rPr>
                      <w:rFonts w:hint="eastAsia" w:ascii="Times New Roman" w:hAnsi="Times New Roman" w:eastAsia="宋体" w:cs="Times New Roman"/>
                      <w:color w:val="auto"/>
                      <w:kern w:val="0"/>
                      <w:sz w:val="22"/>
                      <w:szCs w:val="22"/>
                      <w:highlight w:val="none"/>
                      <w:lang w:val="en-US" w:eastAsia="zh-CN"/>
                    </w:rPr>
                    <w:t>5</w:t>
                  </w:r>
                </w:p>
              </w:tc>
              <w:tc>
                <w:tcPr>
                  <w:tcW w:w="5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sz w:val="21"/>
                      <w:szCs w:val="21"/>
                      <w:vertAlign w:val="baseline"/>
                      <w:lang w:val="en-US" w:eastAsia="zh-CN"/>
                    </w:rPr>
                    <w:t>优质环保水泥砖生产线</w:t>
                  </w:r>
                </w:p>
              </w:tc>
              <w:tc>
                <w:tcPr>
                  <w:tcW w:w="45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cs="Times New Roman"/>
                      <w:b w:val="0"/>
                      <w:bCs w:val="0"/>
                      <w:color w:val="auto"/>
                      <w:sz w:val="21"/>
                      <w:szCs w:val="21"/>
                      <w:vertAlign w:val="baseline"/>
                      <w:lang w:val="en-US" w:eastAsia="zh-CN"/>
                    </w:rPr>
                    <w:t>骨料</w:t>
                  </w:r>
                </w:p>
              </w:tc>
              <w:tc>
                <w:tcPr>
                  <w:tcW w:w="774" w:type="pct"/>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102500</w:t>
                  </w:r>
                  <w:r>
                    <w:rPr>
                      <w:rFonts w:hint="eastAsia" w:ascii="Times New Roman" w:hAnsi="Times New Roman" w:eastAsia="宋体" w:cs="Times New Roman"/>
                      <w:color w:val="auto"/>
                      <w:kern w:val="0"/>
                      <w:sz w:val="21"/>
                      <w:szCs w:val="21"/>
                      <w:lang w:val="en-US" w:eastAsia="zh-CN"/>
                    </w:rPr>
                    <w:t>t/a</w:t>
                  </w:r>
                </w:p>
              </w:tc>
              <w:tc>
                <w:tcPr>
                  <w:tcW w:w="2726" w:type="pct"/>
                  <w:vMerge w:val="restart"/>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eastAsia="zh-CN"/>
                    </w:rPr>
                    <w:t>外购，用于</w:t>
                  </w:r>
                  <w:r>
                    <w:rPr>
                      <w:rFonts w:hint="eastAsia" w:ascii="Times New Roman" w:hAnsi="Times New Roman" w:eastAsia="宋体" w:cs="Times New Roman"/>
                      <w:color w:val="auto"/>
                      <w:kern w:val="0"/>
                      <w:sz w:val="21"/>
                      <w:szCs w:val="21"/>
                      <w:lang w:val="en-US" w:eastAsia="zh-CN"/>
                    </w:rPr>
                    <w:t>优质环保水泥砖生产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kern w:val="0"/>
                      <w:sz w:val="22"/>
                      <w:szCs w:val="22"/>
                      <w:highlight w:val="none"/>
                      <w:lang w:val="en-US" w:eastAsia="zh-CN"/>
                    </w:rPr>
                  </w:pPr>
                  <w:r>
                    <w:rPr>
                      <w:rFonts w:hint="eastAsia" w:ascii="Times New Roman" w:hAnsi="Times New Roman" w:eastAsia="宋体" w:cs="Times New Roman"/>
                      <w:color w:val="auto"/>
                      <w:kern w:val="0"/>
                      <w:sz w:val="22"/>
                      <w:szCs w:val="22"/>
                      <w:highlight w:val="none"/>
                      <w:lang w:val="en-US" w:eastAsia="zh-CN"/>
                    </w:rPr>
                    <w:t>6</w:t>
                  </w:r>
                </w:p>
              </w:tc>
              <w:tc>
                <w:tcPr>
                  <w:tcW w:w="5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p>
              </w:tc>
              <w:tc>
                <w:tcPr>
                  <w:tcW w:w="45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 w:val="0"/>
                      <w:bCs w:val="0"/>
                      <w:color w:val="auto"/>
                      <w:sz w:val="21"/>
                      <w:szCs w:val="21"/>
                      <w:vertAlign w:val="baseline"/>
                      <w:lang w:val="en-US" w:eastAsia="zh-CN"/>
                    </w:rPr>
                    <w:t>砂子</w:t>
                  </w:r>
                </w:p>
              </w:tc>
              <w:tc>
                <w:tcPr>
                  <w:tcW w:w="774" w:type="pct"/>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1250</w:t>
                  </w:r>
                  <w:r>
                    <w:rPr>
                      <w:rFonts w:hint="eastAsia" w:ascii="Times New Roman" w:hAnsi="Times New Roman" w:eastAsia="宋体" w:cs="Times New Roman"/>
                      <w:color w:val="auto"/>
                      <w:kern w:val="0"/>
                      <w:sz w:val="21"/>
                      <w:szCs w:val="21"/>
                      <w:lang w:val="en-US" w:eastAsia="zh-CN"/>
                    </w:rPr>
                    <w:t>t/a</w:t>
                  </w:r>
                </w:p>
              </w:tc>
              <w:tc>
                <w:tcPr>
                  <w:tcW w:w="2726" w:type="pct"/>
                  <w:vMerge w:val="continue"/>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kern w:val="0"/>
                      <w:sz w:val="22"/>
                      <w:szCs w:val="22"/>
                      <w:highlight w:val="none"/>
                      <w:lang w:val="en-US" w:eastAsia="zh-CN"/>
                    </w:rPr>
                  </w:pPr>
                  <w:r>
                    <w:rPr>
                      <w:rFonts w:hint="eastAsia" w:ascii="Times New Roman" w:hAnsi="Times New Roman" w:eastAsia="宋体" w:cs="Times New Roman"/>
                      <w:color w:val="auto"/>
                      <w:kern w:val="0"/>
                      <w:sz w:val="22"/>
                      <w:szCs w:val="22"/>
                      <w:highlight w:val="none"/>
                      <w:lang w:val="en-US" w:eastAsia="zh-CN"/>
                    </w:rPr>
                    <w:t>7</w:t>
                  </w:r>
                </w:p>
              </w:tc>
              <w:tc>
                <w:tcPr>
                  <w:tcW w:w="5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p>
              </w:tc>
              <w:tc>
                <w:tcPr>
                  <w:tcW w:w="45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b w:val="0"/>
                      <w:bCs w:val="0"/>
                      <w:color w:val="auto"/>
                      <w:sz w:val="21"/>
                      <w:szCs w:val="21"/>
                      <w:vertAlign w:val="baseline"/>
                      <w:lang w:val="en-US" w:eastAsia="zh-CN"/>
                    </w:rPr>
                    <w:t>水泥</w:t>
                  </w:r>
                </w:p>
              </w:tc>
              <w:tc>
                <w:tcPr>
                  <w:tcW w:w="774" w:type="pct"/>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15000</w:t>
                  </w:r>
                  <w:r>
                    <w:rPr>
                      <w:rFonts w:hint="eastAsia" w:ascii="Times New Roman" w:hAnsi="Times New Roman" w:eastAsia="宋体" w:cs="Times New Roman"/>
                      <w:color w:val="auto"/>
                      <w:kern w:val="0"/>
                      <w:sz w:val="21"/>
                      <w:szCs w:val="21"/>
                      <w:lang w:val="en-US" w:eastAsia="zh-CN"/>
                    </w:rPr>
                    <w:t>t/a</w:t>
                  </w:r>
                </w:p>
              </w:tc>
              <w:tc>
                <w:tcPr>
                  <w:tcW w:w="2726" w:type="pct"/>
                  <w:vMerge w:val="continue"/>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auto"/>
                      <w:kern w:val="0"/>
                      <w:sz w:val="22"/>
                      <w:szCs w:val="22"/>
                      <w:highlight w:val="none"/>
                      <w:lang w:val="en-US" w:eastAsia="zh-CN"/>
                    </w:rPr>
                  </w:pPr>
                  <w:r>
                    <w:rPr>
                      <w:rFonts w:hint="eastAsia" w:eastAsia="宋体" w:cs="Times New Roman"/>
                      <w:color w:val="auto"/>
                      <w:kern w:val="0"/>
                      <w:sz w:val="22"/>
                      <w:szCs w:val="22"/>
                      <w:highlight w:val="none"/>
                      <w:lang w:val="en-US" w:eastAsia="zh-CN"/>
                    </w:rPr>
                    <w:t>8</w:t>
                  </w:r>
                </w:p>
              </w:tc>
              <w:tc>
                <w:tcPr>
                  <w:tcW w:w="5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p>
              </w:tc>
              <w:tc>
                <w:tcPr>
                  <w:tcW w:w="45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sz w:val="21"/>
                      <w:szCs w:val="21"/>
                      <w:vertAlign w:val="baseline"/>
                      <w:lang w:val="en-US" w:eastAsia="zh-CN"/>
                    </w:rPr>
                    <w:t>水</w:t>
                  </w:r>
                </w:p>
              </w:tc>
              <w:tc>
                <w:tcPr>
                  <w:tcW w:w="774" w:type="pct"/>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6250</w:t>
                  </w:r>
                  <w:r>
                    <w:rPr>
                      <w:rFonts w:hint="eastAsia" w:cs="Times New Roman"/>
                      <w:color w:val="auto"/>
                      <w:kern w:val="0"/>
                      <w:sz w:val="21"/>
                      <w:szCs w:val="21"/>
                      <w:lang w:val="en-US" w:eastAsia="zh-CN"/>
                    </w:rPr>
                    <w:t>m³</w:t>
                  </w:r>
                  <w:r>
                    <w:rPr>
                      <w:rFonts w:hint="eastAsia" w:ascii="Times New Roman" w:hAnsi="Times New Roman" w:eastAsia="宋体" w:cs="Times New Roman"/>
                      <w:color w:val="auto"/>
                      <w:kern w:val="0"/>
                      <w:sz w:val="21"/>
                      <w:szCs w:val="21"/>
                      <w:lang w:val="en-US" w:eastAsia="zh-CN"/>
                    </w:rPr>
                    <w:t>/a</w:t>
                  </w:r>
                </w:p>
              </w:tc>
              <w:tc>
                <w:tcPr>
                  <w:tcW w:w="2726" w:type="pct"/>
                  <w:vAlign w:val="center"/>
                </w:tcPr>
                <w:p>
                  <w:pPr>
                    <w:pStyle w:val="44"/>
                    <w:jc w:val="center"/>
                    <w:rPr>
                      <w:rFonts w:cs="Times New Roman"/>
                      <w:color w:val="auto"/>
                      <w:highlight w:val="none"/>
                    </w:rPr>
                  </w:pPr>
                  <w:r>
                    <w:rPr>
                      <w:rFonts w:hint="eastAsia" w:cs="Times New Roman"/>
                      <w:color w:val="auto"/>
                      <w:highlight w:val="none"/>
                      <w:lang w:eastAsia="zh-CN"/>
                    </w:rPr>
                    <w:t>用于生产配比用水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eastAsia="宋体" w:cs="Times New Roman"/>
                      <w:color w:val="auto"/>
                      <w:kern w:val="0"/>
                      <w:sz w:val="22"/>
                      <w:szCs w:val="22"/>
                      <w:highlight w:val="none"/>
                      <w:lang w:val="en-US" w:eastAsia="zh-CN"/>
                    </w:rPr>
                  </w:pPr>
                  <w:r>
                    <w:rPr>
                      <w:rFonts w:hint="eastAsia" w:eastAsia="宋体" w:cs="Times New Roman"/>
                      <w:color w:val="auto"/>
                      <w:kern w:val="0"/>
                      <w:sz w:val="22"/>
                      <w:szCs w:val="22"/>
                      <w:highlight w:val="none"/>
                      <w:lang w:val="en-US" w:eastAsia="zh-CN"/>
                    </w:rPr>
                    <w:t>9</w:t>
                  </w:r>
                </w:p>
              </w:tc>
              <w:tc>
                <w:tcPr>
                  <w:tcW w:w="58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辅料</w:t>
                  </w:r>
                </w:p>
              </w:tc>
              <w:tc>
                <w:tcPr>
                  <w:tcW w:w="45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机油</w:t>
                  </w:r>
                </w:p>
              </w:tc>
              <w:tc>
                <w:tcPr>
                  <w:tcW w:w="77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0.</w:t>
                  </w:r>
                  <w:r>
                    <w:rPr>
                      <w:rFonts w:hint="eastAsia" w:ascii="Times New Roman" w:hAnsi="Times New Roman" w:eastAsia="宋体" w:cs="Times New Roman"/>
                      <w:b w:val="0"/>
                      <w:bCs w:val="0"/>
                      <w:color w:val="auto"/>
                      <w:sz w:val="21"/>
                      <w:szCs w:val="21"/>
                      <w:vertAlign w:val="baseline"/>
                      <w:lang w:val="en-US" w:eastAsia="zh-CN"/>
                    </w:rPr>
                    <w:t>4</w:t>
                  </w:r>
                  <w:r>
                    <w:rPr>
                      <w:rFonts w:hint="default" w:ascii="Times New Roman" w:hAnsi="Times New Roman" w:eastAsia="宋体" w:cs="Times New Roman"/>
                      <w:b w:val="0"/>
                      <w:bCs w:val="0"/>
                      <w:color w:val="auto"/>
                      <w:sz w:val="21"/>
                      <w:szCs w:val="21"/>
                      <w:vertAlign w:val="baseline"/>
                      <w:lang w:val="en-US" w:eastAsia="zh-CN"/>
                    </w:rPr>
                    <w:t>t/a</w:t>
                  </w:r>
                </w:p>
              </w:tc>
              <w:tc>
                <w:tcPr>
                  <w:tcW w:w="2726" w:type="pct"/>
                  <w:vAlign w:val="center"/>
                </w:tcPr>
                <w:p>
                  <w:pPr>
                    <w:pageBreakBefore w:val="0"/>
                    <w:kinsoku/>
                    <w:overflowPunct/>
                    <w:topLinePunct w:val="0"/>
                    <w:bidi w:val="0"/>
                    <w:adjustRightInd w:val="0"/>
                    <w:snapToGrid w:val="0"/>
                    <w:spacing w:line="240" w:lineRule="auto"/>
                    <w:jc w:val="center"/>
                    <w:rPr>
                      <w:rFonts w:hint="eastAsia" w:ascii="Times New Roman" w:hAnsi="Times New Roman" w:cs="Times New Roman" w:eastAsiaTheme="minorEastAsia"/>
                      <w:color w:val="auto"/>
                      <w:kern w:val="2"/>
                      <w:sz w:val="21"/>
                      <w:szCs w:val="22"/>
                      <w:highlight w:val="none"/>
                      <w:lang w:val="en-US" w:eastAsia="zh-CN" w:bidi="ar-SA"/>
                    </w:rPr>
                  </w:pPr>
                  <w:r>
                    <w:rPr>
                      <w:rFonts w:hint="default" w:ascii="Times New Roman" w:hAnsi="Times New Roman" w:cs="Times New Roman" w:eastAsiaTheme="minorEastAsia"/>
                      <w:color w:val="auto"/>
                      <w:kern w:val="2"/>
                      <w:sz w:val="21"/>
                      <w:szCs w:val="22"/>
                      <w:highlight w:val="none"/>
                      <w:lang w:val="en-US" w:eastAsia="zh-CN" w:bidi="ar-SA"/>
                    </w:rPr>
                    <w:t>外购；设备运行维护，年用约</w:t>
                  </w:r>
                  <w:r>
                    <w:rPr>
                      <w:rFonts w:hint="eastAsia" w:ascii="Times New Roman" w:hAnsi="Times New Roman" w:cs="Times New Roman" w:eastAsiaTheme="minorEastAsia"/>
                      <w:color w:val="auto"/>
                      <w:kern w:val="2"/>
                      <w:sz w:val="21"/>
                      <w:szCs w:val="22"/>
                      <w:highlight w:val="none"/>
                      <w:lang w:val="en-US" w:eastAsia="zh-CN" w:bidi="ar-SA"/>
                    </w:rPr>
                    <w:t>2</w:t>
                  </w:r>
                  <w:r>
                    <w:rPr>
                      <w:rFonts w:hint="default" w:ascii="Times New Roman" w:hAnsi="Times New Roman" w:cs="Times New Roman" w:eastAsiaTheme="minorEastAsia"/>
                      <w:color w:val="auto"/>
                      <w:kern w:val="2"/>
                      <w:sz w:val="21"/>
                      <w:szCs w:val="22"/>
                      <w:highlight w:val="none"/>
                      <w:lang w:val="en-US" w:eastAsia="zh-CN" w:bidi="ar-SA"/>
                    </w:rPr>
                    <w:t>桶，规格200kg</w:t>
                  </w:r>
                  <w:r>
                    <w:rPr>
                      <w:rFonts w:hint="eastAsia" w:ascii="Times New Roman" w:hAnsi="Times New Roman" w:cs="Times New Roman" w:eastAsiaTheme="minorEastAsia"/>
                      <w:color w:val="auto"/>
                      <w:kern w:val="2"/>
                      <w:sz w:val="21"/>
                      <w:szCs w:val="22"/>
                      <w:highlight w:val="none"/>
                      <w:lang w:val="en-US" w:eastAsia="zh-CN" w:bidi="ar-SA"/>
                    </w:rPr>
                    <w:t>/</w:t>
                  </w:r>
                  <w:r>
                    <w:rPr>
                      <w:rFonts w:hint="default" w:ascii="Times New Roman" w:hAnsi="Times New Roman" w:cs="Times New Roman" w:eastAsiaTheme="minorEastAsia"/>
                      <w:color w:val="auto"/>
                      <w:kern w:val="2"/>
                      <w:sz w:val="21"/>
                      <w:szCs w:val="22"/>
                      <w:highlight w:val="none"/>
                      <w:lang w:val="en-US" w:eastAsia="zh-CN" w:bidi="ar-SA"/>
                    </w:rPr>
                    <w:t>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eastAsia="宋体" w:cs="Times New Roman"/>
                      <w:color w:val="auto"/>
                      <w:kern w:val="0"/>
                      <w:sz w:val="22"/>
                      <w:szCs w:val="22"/>
                      <w:highlight w:val="none"/>
                      <w:lang w:val="en-US" w:eastAsia="zh-CN"/>
                    </w:rPr>
                  </w:pPr>
                  <w:r>
                    <w:rPr>
                      <w:rFonts w:hint="eastAsia" w:eastAsia="宋体" w:cs="Times New Roman"/>
                      <w:color w:val="auto"/>
                      <w:kern w:val="0"/>
                      <w:sz w:val="22"/>
                      <w:szCs w:val="22"/>
                      <w:highlight w:val="none"/>
                      <w:lang w:val="en-US" w:eastAsia="zh-CN"/>
                    </w:rPr>
                    <w:t>10</w:t>
                  </w:r>
                </w:p>
              </w:tc>
              <w:tc>
                <w:tcPr>
                  <w:tcW w:w="58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eastAsia" w:ascii="Times New Roman" w:hAnsi="Times New Roman" w:eastAsia="宋体" w:cs="Times New Roman"/>
                      <w:b w:val="0"/>
                      <w:bCs w:val="0"/>
                      <w:color w:val="auto"/>
                      <w:kern w:val="2"/>
                      <w:sz w:val="21"/>
                      <w:szCs w:val="21"/>
                      <w:vertAlign w:val="baseline"/>
                      <w:lang w:val="en-US" w:eastAsia="zh-CN" w:bidi="ar-SA"/>
                    </w:rPr>
                    <w:t>能源</w:t>
                  </w:r>
                </w:p>
              </w:tc>
              <w:tc>
                <w:tcPr>
                  <w:tcW w:w="456" w:type="pct"/>
                  <w:vAlign w:val="center"/>
                </w:tcPr>
                <w:p>
                  <w:pPr>
                    <w:adjustRightInd w:val="0"/>
                    <w:snapToGrid w:val="0"/>
                    <w:spacing w:line="240" w:lineRule="auto"/>
                    <w:jc w:val="center"/>
                    <w:rPr>
                      <w:rFonts w:hint="eastAsia" w:ascii="Times New Roman" w:hAnsi="Times New Roman" w:eastAsia="宋体" w:cs="Times New Roman"/>
                      <w:b w:val="0"/>
                      <w:bCs w:val="0"/>
                      <w:color w:val="auto"/>
                      <w:sz w:val="21"/>
                      <w:szCs w:val="21"/>
                      <w:vertAlign w:val="baseline"/>
                      <w:lang w:val="en-US" w:eastAsia="zh-CN"/>
                    </w:rPr>
                  </w:pPr>
                  <w:r>
                    <w:rPr>
                      <w:rFonts w:hint="eastAsia" w:cs="Times New Roman"/>
                      <w:color w:val="auto"/>
                      <w:kern w:val="0"/>
                      <w:sz w:val="21"/>
                      <w:szCs w:val="21"/>
                      <w:lang w:eastAsia="zh-CN"/>
                    </w:rPr>
                    <w:t>水</w:t>
                  </w:r>
                </w:p>
              </w:tc>
              <w:tc>
                <w:tcPr>
                  <w:tcW w:w="774" w:type="pct"/>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4985m³</w:t>
                  </w:r>
                  <w:r>
                    <w:rPr>
                      <w:rFonts w:hint="eastAsia" w:ascii="Times New Roman" w:hAnsi="Times New Roman" w:eastAsia="宋体" w:cs="Times New Roman"/>
                      <w:color w:val="auto"/>
                      <w:kern w:val="0"/>
                      <w:sz w:val="21"/>
                      <w:szCs w:val="21"/>
                      <w:lang w:val="en-US" w:eastAsia="zh-CN"/>
                    </w:rPr>
                    <w:t>/a</w:t>
                  </w:r>
                </w:p>
              </w:tc>
              <w:tc>
                <w:tcPr>
                  <w:tcW w:w="2726" w:type="pct"/>
                  <w:vAlign w:val="center"/>
                </w:tcPr>
                <w:p>
                  <w:pPr>
                    <w:adjustRightInd w:val="0"/>
                    <w:snapToGrid w:val="0"/>
                    <w:spacing w:line="240" w:lineRule="auto"/>
                    <w:jc w:val="center"/>
                    <w:rPr>
                      <w:rFonts w:hint="eastAsia" w:cs="Times New Roman"/>
                      <w:color w:val="auto"/>
                      <w:highlight w:val="none"/>
                      <w:lang w:eastAsia="zh-CN"/>
                    </w:rPr>
                  </w:pPr>
                  <w:r>
                    <w:rPr>
                      <w:rFonts w:hint="eastAsia" w:cs="Times New Roman"/>
                      <w:color w:val="auto"/>
                      <w:kern w:val="0"/>
                      <w:sz w:val="21"/>
                      <w:szCs w:val="21"/>
                      <w:lang w:eastAsia="zh-CN"/>
                    </w:rPr>
                    <w:t>其他生活、车辆冲洗等用水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61" w:type="pct"/>
                  <w:vAlign w:val="center"/>
                </w:tcPr>
                <w:p>
                  <w:pPr>
                    <w:pageBreakBefore w:val="0"/>
                    <w:kinsoku/>
                    <w:overflowPunct/>
                    <w:topLinePunct w:val="0"/>
                    <w:bidi w:val="0"/>
                    <w:adjustRightInd w:val="0"/>
                    <w:snapToGrid w:val="0"/>
                    <w:spacing w:line="240" w:lineRule="auto"/>
                    <w:jc w:val="center"/>
                    <w:rPr>
                      <w:rFonts w:hint="default" w:eastAsia="宋体" w:cs="Times New Roman"/>
                      <w:color w:val="auto"/>
                      <w:kern w:val="0"/>
                      <w:sz w:val="22"/>
                      <w:szCs w:val="22"/>
                      <w:highlight w:val="none"/>
                      <w:lang w:val="en-US" w:eastAsia="zh-CN"/>
                    </w:rPr>
                  </w:pPr>
                  <w:r>
                    <w:rPr>
                      <w:rFonts w:hint="eastAsia" w:eastAsia="宋体" w:cs="Times New Roman"/>
                      <w:color w:val="auto"/>
                      <w:kern w:val="0"/>
                      <w:sz w:val="22"/>
                      <w:szCs w:val="22"/>
                      <w:highlight w:val="none"/>
                      <w:lang w:val="en-US" w:eastAsia="zh-CN"/>
                    </w:rPr>
                    <w:t>11</w:t>
                  </w:r>
                </w:p>
              </w:tc>
              <w:tc>
                <w:tcPr>
                  <w:tcW w:w="58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auto"/>
                      <w:kern w:val="2"/>
                      <w:sz w:val="21"/>
                      <w:szCs w:val="21"/>
                      <w:vertAlign w:val="baseline"/>
                      <w:lang w:val="en-US" w:eastAsia="zh-CN" w:bidi="ar-SA"/>
                    </w:rPr>
                  </w:pPr>
                </w:p>
              </w:tc>
              <w:tc>
                <w:tcPr>
                  <w:tcW w:w="456" w:type="pct"/>
                  <w:vAlign w:val="center"/>
                </w:tcPr>
                <w:p>
                  <w:pPr>
                    <w:adjustRightInd w:val="0"/>
                    <w:snapToGrid w:val="0"/>
                    <w:spacing w:line="240" w:lineRule="auto"/>
                    <w:jc w:val="center"/>
                    <w:rPr>
                      <w:rFonts w:hint="eastAsia" w:ascii="Times New Roman" w:hAnsi="Times New Roman" w:eastAsia="宋体" w:cs="Times New Roman"/>
                      <w:b w:val="0"/>
                      <w:bCs w:val="0"/>
                      <w:color w:val="auto"/>
                      <w:sz w:val="21"/>
                      <w:szCs w:val="21"/>
                      <w:vertAlign w:val="baseline"/>
                      <w:lang w:val="en-US" w:eastAsia="zh-CN"/>
                    </w:rPr>
                  </w:pPr>
                  <w:r>
                    <w:rPr>
                      <w:rFonts w:hint="eastAsia" w:cs="Times New Roman"/>
                      <w:color w:val="auto"/>
                      <w:kern w:val="0"/>
                      <w:sz w:val="21"/>
                      <w:szCs w:val="21"/>
                      <w:lang w:eastAsia="zh-CN"/>
                    </w:rPr>
                    <w:t>电</w:t>
                  </w:r>
                </w:p>
              </w:tc>
              <w:tc>
                <w:tcPr>
                  <w:tcW w:w="774" w:type="pct"/>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134万kW·h</w:t>
                  </w:r>
                </w:p>
              </w:tc>
              <w:tc>
                <w:tcPr>
                  <w:tcW w:w="2726" w:type="pct"/>
                  <w:vAlign w:val="center"/>
                </w:tcPr>
                <w:p>
                  <w:pPr>
                    <w:adjustRightInd w:val="0"/>
                    <w:snapToGrid w:val="0"/>
                    <w:spacing w:line="240" w:lineRule="auto"/>
                    <w:jc w:val="center"/>
                    <w:rPr>
                      <w:rFonts w:hint="eastAsia" w:cs="Times New Roman"/>
                      <w:color w:val="auto"/>
                      <w:highlight w:val="none"/>
                      <w:lang w:eastAsia="zh-CN"/>
                    </w:rPr>
                  </w:pPr>
                  <w:r>
                    <w:rPr>
                      <w:rFonts w:hint="eastAsia" w:ascii="Times New Roman" w:hAnsi="Times New Roman" w:eastAsia="宋体" w:cs="Times New Roman"/>
                      <w:b w:val="0"/>
                      <w:color w:val="auto"/>
                      <w:kern w:val="2"/>
                      <w:sz w:val="21"/>
                      <w:szCs w:val="21"/>
                      <w:highlight w:val="none"/>
                      <w:vertAlign w:val="baseline"/>
                      <w:lang w:val="en-US" w:eastAsia="zh-CN" w:bidi="ar-SA"/>
                    </w:rPr>
                    <w:t>电源引自市政供电</w:t>
                  </w:r>
                </w:p>
              </w:tc>
            </w:tr>
          </w:tbl>
          <w:p>
            <w:pPr>
              <w:ind w:firstLine="482" w:firstLineChars="200"/>
              <w:rPr>
                <w:rFonts w:hint="default" w:cs="Times New Roman" w:eastAsiaTheme="minorEastAsia"/>
                <w:b/>
                <w:bCs/>
                <w:color w:val="auto"/>
                <w:lang w:val="en-US" w:eastAsia="zh-CN"/>
              </w:rPr>
            </w:pPr>
            <w:r>
              <w:rPr>
                <w:rFonts w:hint="default" w:cs="Times New Roman"/>
                <w:b/>
                <w:bCs/>
                <w:color w:val="auto"/>
                <w:lang w:eastAsia="zh-CN"/>
              </w:rPr>
              <w:t>（</w:t>
            </w:r>
            <w:r>
              <w:rPr>
                <w:rFonts w:hint="default" w:cs="Times New Roman"/>
                <w:b/>
                <w:bCs/>
                <w:color w:val="auto"/>
                <w:lang w:val="en-US" w:eastAsia="zh-CN"/>
              </w:rPr>
              <w:t>2</w:t>
            </w:r>
            <w:r>
              <w:rPr>
                <w:rFonts w:hint="default" w:cs="Times New Roman"/>
                <w:b/>
                <w:bCs/>
                <w:color w:val="auto"/>
                <w:lang w:eastAsia="zh-CN"/>
              </w:rPr>
              <w:t>）</w:t>
            </w:r>
            <w:r>
              <w:rPr>
                <w:rFonts w:hint="default" w:cs="Times New Roman"/>
                <w:b/>
                <w:bCs/>
                <w:color w:val="auto"/>
                <w:lang w:val="en-US" w:eastAsia="zh-CN"/>
              </w:rPr>
              <w:t>物料平衡</w:t>
            </w:r>
          </w:p>
          <w:p>
            <w:pPr>
              <w:ind w:firstLine="480" w:firstLineChars="200"/>
              <w:rPr>
                <w:rFonts w:hint="default" w:cs="Times New Roman" w:eastAsiaTheme="minorEastAsia"/>
                <w:color w:val="auto"/>
                <w:lang w:val="en-US" w:eastAsia="zh-CN"/>
              </w:rPr>
            </w:pPr>
            <w:r>
              <w:rPr>
                <w:rFonts w:hint="eastAsia" w:cs="Times New Roman"/>
                <w:color w:val="auto"/>
                <w:lang w:val="en-US" w:eastAsia="zh-CN"/>
              </w:rPr>
              <w:t>①水泥稳定材料生产线</w:t>
            </w:r>
          </w:p>
          <w:p>
            <w:pPr>
              <w:ind w:firstLine="480" w:firstLineChars="200"/>
              <w:rPr>
                <w:rFonts w:cs="Times New Roman"/>
                <w:color w:val="auto"/>
              </w:rPr>
            </w:pPr>
            <w:r>
              <w:rPr>
                <w:rFonts w:cs="Times New Roman"/>
                <w:color w:val="auto"/>
              </w:rPr>
              <w:t>本项目</w:t>
            </w:r>
            <w:r>
              <w:rPr>
                <w:rFonts w:hint="eastAsia" w:cs="Times New Roman"/>
                <w:color w:val="auto"/>
                <w:lang w:eastAsia="zh-CN"/>
              </w:rPr>
              <w:t>水泥</w:t>
            </w:r>
            <w:r>
              <w:rPr>
                <w:rFonts w:hint="default" w:cs="Times New Roman"/>
                <w:color w:val="auto"/>
                <w:lang w:val="en-US" w:eastAsia="zh-CN"/>
              </w:rPr>
              <w:t>稳定材料生产线</w:t>
            </w:r>
            <w:r>
              <w:rPr>
                <w:rFonts w:cs="Times New Roman"/>
                <w:color w:val="auto"/>
              </w:rPr>
              <w:t>物料平衡表见表2-</w:t>
            </w:r>
            <w:r>
              <w:rPr>
                <w:rFonts w:hint="eastAsia" w:cs="Times New Roman"/>
                <w:color w:val="auto"/>
                <w:lang w:val="en-US" w:eastAsia="zh-CN"/>
              </w:rPr>
              <w:t>4</w:t>
            </w:r>
            <w:r>
              <w:rPr>
                <w:rFonts w:cs="Times New Roman"/>
                <w:color w:val="auto"/>
              </w:rPr>
              <w:t>，物料平衡图见图2-1。</w:t>
            </w:r>
          </w:p>
          <w:p>
            <w:pPr>
              <w:pStyle w:val="28"/>
              <w:rPr>
                <w:rFonts w:cs="Times New Roman"/>
                <w:color w:val="auto"/>
                <w:lang w:val="en-US"/>
              </w:rPr>
            </w:pPr>
            <w:r>
              <w:rPr>
                <w:rFonts w:cs="Times New Roman"/>
                <w:color w:val="auto"/>
              </w:rPr>
              <w:t>表2-</w:t>
            </w:r>
            <w:r>
              <w:rPr>
                <w:rFonts w:hint="eastAsia" w:cs="Times New Roman"/>
                <w:color w:val="auto"/>
                <w:lang w:val="en-US" w:eastAsia="zh-CN"/>
              </w:rPr>
              <w:t>4</w:t>
            </w:r>
            <w:r>
              <w:rPr>
                <w:rFonts w:cs="Times New Roman"/>
                <w:color w:val="auto"/>
              </w:rPr>
              <w:t xml:space="preserve"> </w:t>
            </w:r>
            <w:r>
              <w:rPr>
                <w:rFonts w:hint="eastAsia" w:cs="Times New Roman"/>
                <w:color w:val="auto"/>
                <w:lang w:eastAsia="zh-CN"/>
              </w:rPr>
              <w:t>水泥</w:t>
            </w:r>
            <w:r>
              <w:rPr>
                <w:rFonts w:hint="default" w:cs="Times New Roman"/>
                <w:color w:val="auto"/>
                <w:lang w:val="en-US" w:eastAsia="zh-CN"/>
              </w:rPr>
              <w:t>稳定材料生产线</w:t>
            </w:r>
            <w:r>
              <w:rPr>
                <w:rFonts w:cs="Times New Roman"/>
                <w:color w:val="auto"/>
              </w:rPr>
              <w:t>物料平衡表</w:t>
            </w:r>
          </w:p>
          <w:tbl>
            <w:tblPr>
              <w:tblStyle w:val="23"/>
              <w:tblW w:w="91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1700"/>
              <w:gridCol w:w="2097"/>
              <w:gridCol w:w="1476"/>
              <w:gridCol w:w="17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28" w:type="dxa"/>
                  <w:gridSpan w:val="2"/>
                  <w:vAlign w:val="center"/>
                </w:tcPr>
                <w:p>
                  <w:pPr>
                    <w:pStyle w:val="44"/>
                    <w:jc w:val="center"/>
                    <w:rPr>
                      <w:rFonts w:cs="Times New Roman"/>
                      <w:b/>
                      <w:bCs/>
                      <w:color w:val="auto"/>
                    </w:rPr>
                  </w:pPr>
                  <w:r>
                    <w:rPr>
                      <w:rFonts w:cs="Times New Roman"/>
                      <w:b/>
                      <w:bCs/>
                      <w:color w:val="auto"/>
                    </w:rPr>
                    <w:t>投入</w:t>
                  </w:r>
                </w:p>
              </w:tc>
              <w:tc>
                <w:tcPr>
                  <w:tcW w:w="3573" w:type="dxa"/>
                  <w:gridSpan w:val="2"/>
                  <w:vAlign w:val="center"/>
                </w:tcPr>
                <w:p>
                  <w:pPr>
                    <w:pStyle w:val="44"/>
                    <w:jc w:val="center"/>
                    <w:rPr>
                      <w:rFonts w:cs="Times New Roman"/>
                      <w:b/>
                      <w:bCs/>
                      <w:color w:val="auto"/>
                    </w:rPr>
                  </w:pPr>
                  <w:r>
                    <w:rPr>
                      <w:rFonts w:cs="Times New Roman"/>
                      <w:b/>
                      <w:bCs/>
                      <w:color w:val="auto"/>
                    </w:rPr>
                    <w:t>产出</w:t>
                  </w:r>
                </w:p>
              </w:tc>
              <w:tc>
                <w:tcPr>
                  <w:tcW w:w="1799" w:type="dxa"/>
                  <w:vMerge w:val="restart"/>
                  <w:vAlign w:val="center"/>
                </w:tcPr>
                <w:p>
                  <w:pPr>
                    <w:pStyle w:val="44"/>
                    <w:jc w:val="center"/>
                    <w:rPr>
                      <w:rFonts w:cs="Times New Roman"/>
                      <w:b/>
                      <w:bCs/>
                      <w:color w:val="auto"/>
                    </w:rPr>
                  </w:pPr>
                  <w:r>
                    <w:rPr>
                      <w:rFonts w:cs="Times New Roman"/>
                      <w:b/>
                      <w:bCs/>
                      <w:color w:val="auto"/>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b/>
                      <w:bCs/>
                      <w:color w:val="auto"/>
                    </w:rPr>
                  </w:pPr>
                  <w:r>
                    <w:rPr>
                      <w:rFonts w:cs="Times New Roman"/>
                      <w:b/>
                      <w:bCs/>
                      <w:color w:val="auto"/>
                    </w:rPr>
                    <w:t>名称</w:t>
                  </w:r>
                </w:p>
              </w:tc>
              <w:tc>
                <w:tcPr>
                  <w:tcW w:w="1700" w:type="dxa"/>
                  <w:vAlign w:val="center"/>
                </w:tcPr>
                <w:p>
                  <w:pPr>
                    <w:pStyle w:val="44"/>
                    <w:jc w:val="center"/>
                    <w:rPr>
                      <w:rFonts w:cs="Times New Roman"/>
                      <w:b/>
                      <w:bCs/>
                      <w:color w:val="auto"/>
                    </w:rPr>
                  </w:pPr>
                  <w:r>
                    <w:rPr>
                      <w:rFonts w:cs="Times New Roman"/>
                      <w:b/>
                      <w:bCs/>
                      <w:color w:val="auto"/>
                    </w:rPr>
                    <w:t>年用量t/a</w:t>
                  </w:r>
                </w:p>
              </w:tc>
              <w:tc>
                <w:tcPr>
                  <w:tcW w:w="2097" w:type="dxa"/>
                  <w:vAlign w:val="center"/>
                </w:tcPr>
                <w:p>
                  <w:pPr>
                    <w:pStyle w:val="44"/>
                    <w:jc w:val="center"/>
                    <w:rPr>
                      <w:rFonts w:cs="Times New Roman"/>
                      <w:b/>
                      <w:bCs/>
                      <w:color w:val="auto"/>
                    </w:rPr>
                  </w:pPr>
                  <w:r>
                    <w:rPr>
                      <w:rFonts w:cs="Times New Roman"/>
                      <w:b/>
                      <w:bCs/>
                      <w:color w:val="auto"/>
                    </w:rPr>
                    <w:t>名称</w:t>
                  </w:r>
                </w:p>
              </w:tc>
              <w:tc>
                <w:tcPr>
                  <w:tcW w:w="1476" w:type="dxa"/>
                  <w:vAlign w:val="center"/>
                </w:tcPr>
                <w:p>
                  <w:pPr>
                    <w:pStyle w:val="44"/>
                    <w:jc w:val="center"/>
                    <w:rPr>
                      <w:rFonts w:cs="Times New Roman"/>
                      <w:b/>
                      <w:bCs/>
                      <w:color w:val="auto"/>
                    </w:rPr>
                  </w:pPr>
                  <w:r>
                    <w:rPr>
                      <w:rFonts w:cs="Times New Roman"/>
                      <w:b/>
                      <w:bCs/>
                      <w:color w:val="auto"/>
                    </w:rPr>
                    <w:t>年产量t/a</w:t>
                  </w:r>
                </w:p>
              </w:tc>
              <w:tc>
                <w:tcPr>
                  <w:tcW w:w="1799" w:type="dxa"/>
                  <w:vMerge w:val="continue"/>
                  <w:vAlign w:val="center"/>
                </w:tcPr>
                <w:p>
                  <w:pPr>
                    <w:pStyle w:val="44"/>
                    <w:jc w:val="center"/>
                    <w:rPr>
                      <w:rFonts w:cs="Times New Roman"/>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水泥</w:t>
                  </w:r>
                </w:p>
              </w:tc>
              <w:tc>
                <w:tcPr>
                  <w:tcW w:w="1700" w:type="dxa"/>
                  <w:vAlign w:val="center"/>
                </w:tcPr>
                <w:p>
                  <w:pPr>
                    <w:pStyle w:val="44"/>
                    <w:jc w:val="center"/>
                    <w:rPr>
                      <w:rFonts w:cs="Times New Roman"/>
                      <w:color w:val="auto"/>
                    </w:rPr>
                  </w:pPr>
                  <w:r>
                    <w:rPr>
                      <w:rFonts w:cs="Times New Roman"/>
                      <w:color w:val="auto"/>
                    </w:rPr>
                    <w:t>8000</w:t>
                  </w:r>
                </w:p>
              </w:tc>
              <w:tc>
                <w:tcPr>
                  <w:tcW w:w="2097" w:type="dxa"/>
                  <w:vAlign w:val="center"/>
                </w:tcPr>
                <w:p>
                  <w:pPr>
                    <w:pStyle w:val="44"/>
                    <w:jc w:val="center"/>
                    <w:rPr>
                      <w:rFonts w:cs="Times New Roman"/>
                      <w:color w:val="auto"/>
                    </w:rPr>
                  </w:pPr>
                  <w:r>
                    <w:rPr>
                      <w:rFonts w:cs="Times New Roman"/>
                      <w:color w:val="auto"/>
                    </w:rPr>
                    <w:t>粉尘</w:t>
                  </w:r>
                </w:p>
              </w:tc>
              <w:tc>
                <w:tcPr>
                  <w:tcW w:w="1476" w:type="dxa"/>
                  <w:vAlign w:val="center"/>
                </w:tcPr>
                <w:p>
                  <w:pPr>
                    <w:pStyle w:val="44"/>
                    <w:jc w:val="center"/>
                    <w:rPr>
                      <w:rFonts w:hint="default" w:cs="Times New Roman"/>
                      <w:color w:val="auto"/>
                      <w:lang w:val="en-US" w:eastAsia="zh-CN"/>
                    </w:rPr>
                  </w:pPr>
                  <w:r>
                    <w:rPr>
                      <w:rFonts w:hint="eastAsia" w:cs="Times New Roman"/>
                      <w:color w:val="auto"/>
                      <w:lang w:val="en-US" w:eastAsia="zh-CN"/>
                    </w:rPr>
                    <w:t>0.0564</w:t>
                  </w:r>
                </w:p>
              </w:tc>
              <w:tc>
                <w:tcPr>
                  <w:tcW w:w="1799" w:type="dxa"/>
                  <w:vAlign w:val="center"/>
                </w:tcPr>
                <w:p>
                  <w:pPr>
                    <w:pStyle w:val="44"/>
                    <w:jc w:val="center"/>
                    <w:rPr>
                      <w:rFonts w:hint="eastAsia" w:cs="Times New Roman" w:eastAsiaTheme="minorEastAsia"/>
                      <w:color w:val="auto"/>
                      <w:lang w:val="en-US" w:eastAsia="zh-CN"/>
                    </w:rPr>
                  </w:pPr>
                  <w:r>
                    <w:rPr>
                      <w:rFonts w:hint="eastAsia" w:cs="Times New Roman"/>
                      <w:color w:va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石子</w:t>
                  </w:r>
                </w:p>
              </w:tc>
              <w:tc>
                <w:tcPr>
                  <w:tcW w:w="1700" w:type="dxa"/>
                  <w:vAlign w:val="center"/>
                </w:tcPr>
                <w:p>
                  <w:pPr>
                    <w:pStyle w:val="44"/>
                    <w:jc w:val="center"/>
                    <w:rPr>
                      <w:rFonts w:cs="Times New Roman"/>
                      <w:color w:val="auto"/>
                    </w:rPr>
                  </w:pPr>
                  <w:r>
                    <w:rPr>
                      <w:rFonts w:cs="Times New Roman"/>
                      <w:color w:val="auto"/>
                    </w:rPr>
                    <w:t>60000</w:t>
                  </w:r>
                </w:p>
              </w:tc>
              <w:tc>
                <w:tcPr>
                  <w:tcW w:w="2097" w:type="dxa"/>
                  <w:vAlign w:val="center"/>
                </w:tcPr>
                <w:p>
                  <w:pPr>
                    <w:pStyle w:val="44"/>
                    <w:jc w:val="center"/>
                    <w:rPr>
                      <w:rFonts w:cs="Times New Roman"/>
                      <w:color w:val="auto"/>
                    </w:rPr>
                  </w:pPr>
                  <w:r>
                    <w:rPr>
                      <w:rFonts w:cs="Times New Roman"/>
                      <w:color w:val="auto"/>
                    </w:rPr>
                    <w:t>水稳材料产品</w:t>
                  </w:r>
                </w:p>
              </w:tc>
              <w:tc>
                <w:tcPr>
                  <w:tcW w:w="1476" w:type="dxa"/>
                  <w:vAlign w:val="center"/>
                </w:tcPr>
                <w:p>
                  <w:pPr>
                    <w:pStyle w:val="44"/>
                    <w:jc w:val="center"/>
                    <w:rPr>
                      <w:rFonts w:hint="default" w:cs="Times New Roman" w:eastAsiaTheme="minorEastAsia"/>
                      <w:color w:val="auto"/>
                      <w:lang w:val="en-US" w:eastAsia="zh-CN"/>
                    </w:rPr>
                  </w:pPr>
                  <w:r>
                    <w:rPr>
                      <w:rFonts w:hint="eastAsia" w:cs="Times New Roman"/>
                      <w:color w:val="auto"/>
                      <w:lang w:val="en-US" w:eastAsia="zh-CN"/>
                    </w:rPr>
                    <w:t>200000.8636</w:t>
                  </w:r>
                </w:p>
              </w:tc>
              <w:tc>
                <w:tcPr>
                  <w:tcW w:w="1799" w:type="dxa"/>
                  <w:vAlign w:val="center"/>
                </w:tcPr>
                <w:p>
                  <w:pPr>
                    <w:pStyle w:val="44"/>
                    <w:jc w:val="center"/>
                    <w:rPr>
                      <w:rFonts w:cs="Times New Roman"/>
                      <w:color w:val="auto"/>
                    </w:rPr>
                  </w:pPr>
                  <w:r>
                    <w:rPr>
                      <w:rFonts w:cs="Times New Roman"/>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砂子</w:t>
                  </w:r>
                </w:p>
              </w:tc>
              <w:tc>
                <w:tcPr>
                  <w:tcW w:w="1700" w:type="dxa"/>
                  <w:vAlign w:val="center"/>
                </w:tcPr>
                <w:p>
                  <w:pPr>
                    <w:pStyle w:val="44"/>
                    <w:jc w:val="center"/>
                    <w:rPr>
                      <w:rFonts w:cs="Times New Roman"/>
                      <w:color w:val="auto"/>
                    </w:rPr>
                  </w:pPr>
                  <w:r>
                    <w:rPr>
                      <w:rFonts w:cs="Times New Roman"/>
                      <w:color w:val="auto"/>
                    </w:rPr>
                    <w:t>130000</w:t>
                  </w:r>
                </w:p>
              </w:tc>
              <w:tc>
                <w:tcPr>
                  <w:tcW w:w="2097" w:type="dxa"/>
                  <w:vAlign w:val="center"/>
                </w:tcPr>
                <w:p>
                  <w:pPr>
                    <w:pStyle w:val="44"/>
                    <w:jc w:val="center"/>
                    <w:rPr>
                      <w:rFonts w:cs="Times New Roman"/>
                      <w:color w:val="auto"/>
                    </w:rPr>
                  </w:pPr>
                  <w:r>
                    <w:rPr>
                      <w:rFonts w:cs="Times New Roman"/>
                      <w:color w:val="auto"/>
                    </w:rPr>
                    <w:t>除尘器收集的粉尘</w:t>
                  </w:r>
                </w:p>
              </w:tc>
              <w:tc>
                <w:tcPr>
                  <w:tcW w:w="1476" w:type="dxa"/>
                  <w:vAlign w:val="center"/>
                </w:tcPr>
                <w:p>
                  <w:pPr>
                    <w:pStyle w:val="44"/>
                    <w:jc w:val="center"/>
                    <w:rPr>
                      <w:rFonts w:hint="default" w:cs="Times New Roman"/>
                      <w:color w:val="auto"/>
                      <w:lang w:val="en-US" w:eastAsia="zh-CN"/>
                    </w:rPr>
                  </w:pPr>
                  <w:r>
                    <w:rPr>
                      <w:rFonts w:hint="eastAsia" w:cs="Times New Roman"/>
                      <w:color w:val="auto"/>
                      <w:lang w:val="en-US" w:eastAsia="zh-CN"/>
                    </w:rPr>
                    <w:t>99.271</w:t>
                  </w:r>
                </w:p>
              </w:tc>
              <w:tc>
                <w:tcPr>
                  <w:tcW w:w="1799" w:type="dxa"/>
                  <w:vAlign w:val="center"/>
                </w:tcPr>
                <w:p>
                  <w:pPr>
                    <w:pStyle w:val="44"/>
                    <w:jc w:val="center"/>
                    <w:rPr>
                      <w:rFonts w:cs="Times New Roman"/>
                      <w:color w:val="auto"/>
                    </w:rPr>
                  </w:pPr>
                  <w:r>
                    <w:rPr>
                      <w:rFonts w:cs="Times New Roman"/>
                      <w:color w:val="auto"/>
                    </w:rPr>
                    <w:t>全部回用于生产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水</w:t>
                  </w:r>
                </w:p>
              </w:tc>
              <w:tc>
                <w:tcPr>
                  <w:tcW w:w="1700" w:type="dxa"/>
                  <w:vAlign w:val="center"/>
                </w:tcPr>
                <w:p>
                  <w:pPr>
                    <w:pStyle w:val="44"/>
                    <w:jc w:val="center"/>
                    <w:rPr>
                      <w:rFonts w:cs="Times New Roman"/>
                      <w:color w:val="auto"/>
                    </w:rPr>
                  </w:pPr>
                  <w:r>
                    <w:rPr>
                      <w:rFonts w:cs="Times New Roman"/>
                      <w:color w:val="auto"/>
                    </w:rPr>
                    <w:t>2000</w:t>
                  </w:r>
                </w:p>
              </w:tc>
              <w:tc>
                <w:tcPr>
                  <w:tcW w:w="2097" w:type="dxa"/>
                  <w:vAlign w:val="center"/>
                </w:tcPr>
                <w:p>
                  <w:pPr>
                    <w:pStyle w:val="44"/>
                    <w:jc w:val="center"/>
                    <w:rPr>
                      <w:rFonts w:cs="Times New Roman"/>
                      <w:color w:val="auto"/>
                    </w:rPr>
                  </w:pPr>
                  <w:r>
                    <w:rPr>
                      <w:rFonts w:cs="Times New Roman"/>
                      <w:color w:val="auto"/>
                    </w:rPr>
                    <w:t>/</w:t>
                  </w:r>
                </w:p>
              </w:tc>
              <w:tc>
                <w:tcPr>
                  <w:tcW w:w="1476" w:type="dxa"/>
                  <w:vAlign w:val="center"/>
                </w:tcPr>
                <w:p>
                  <w:pPr>
                    <w:pStyle w:val="44"/>
                    <w:jc w:val="center"/>
                    <w:rPr>
                      <w:rFonts w:cs="Times New Roman"/>
                      <w:color w:val="auto"/>
                    </w:rPr>
                  </w:pPr>
                  <w:r>
                    <w:rPr>
                      <w:rFonts w:cs="Times New Roman"/>
                      <w:color w:val="auto"/>
                    </w:rPr>
                    <w:t>/</w:t>
                  </w:r>
                </w:p>
              </w:tc>
              <w:tc>
                <w:tcPr>
                  <w:tcW w:w="1799" w:type="dxa"/>
                  <w:vAlign w:val="center"/>
                </w:tcPr>
                <w:p>
                  <w:pPr>
                    <w:pStyle w:val="44"/>
                    <w:jc w:val="center"/>
                    <w:rPr>
                      <w:rFonts w:cs="Times New Roman"/>
                      <w:color w:val="auto"/>
                    </w:rPr>
                  </w:pPr>
                  <w:r>
                    <w:rPr>
                      <w:rFonts w:cs="Times New Roman"/>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沉淀池沉渣</w:t>
                  </w:r>
                </w:p>
              </w:tc>
              <w:tc>
                <w:tcPr>
                  <w:tcW w:w="1700" w:type="dxa"/>
                  <w:vAlign w:val="center"/>
                </w:tcPr>
                <w:p>
                  <w:pPr>
                    <w:pStyle w:val="44"/>
                    <w:jc w:val="center"/>
                    <w:rPr>
                      <w:rFonts w:hint="default" w:cs="Times New Roman"/>
                      <w:color w:val="auto"/>
                      <w:lang w:val="en-US" w:eastAsia="zh-CN"/>
                    </w:rPr>
                  </w:pPr>
                  <w:r>
                    <w:rPr>
                      <w:rFonts w:hint="eastAsia" w:cs="Times New Roman"/>
                      <w:color w:val="auto"/>
                      <w:lang w:val="en-US" w:eastAsia="zh-CN"/>
                    </w:rPr>
                    <w:t>0.92</w:t>
                  </w:r>
                </w:p>
              </w:tc>
              <w:tc>
                <w:tcPr>
                  <w:tcW w:w="2097" w:type="dxa"/>
                  <w:vAlign w:val="center"/>
                </w:tcPr>
                <w:p>
                  <w:pPr>
                    <w:pStyle w:val="44"/>
                    <w:jc w:val="center"/>
                    <w:rPr>
                      <w:rFonts w:cs="Times New Roman"/>
                      <w:color w:val="auto"/>
                    </w:rPr>
                  </w:pPr>
                  <w:r>
                    <w:rPr>
                      <w:rFonts w:cs="Times New Roman"/>
                      <w:color w:val="auto"/>
                    </w:rPr>
                    <w:t>/</w:t>
                  </w:r>
                </w:p>
              </w:tc>
              <w:tc>
                <w:tcPr>
                  <w:tcW w:w="1476" w:type="dxa"/>
                  <w:vAlign w:val="center"/>
                </w:tcPr>
                <w:p>
                  <w:pPr>
                    <w:pStyle w:val="44"/>
                    <w:jc w:val="center"/>
                    <w:rPr>
                      <w:rFonts w:cs="Times New Roman"/>
                      <w:color w:val="auto"/>
                    </w:rPr>
                  </w:pPr>
                  <w:r>
                    <w:rPr>
                      <w:rFonts w:cs="Times New Roman"/>
                      <w:color w:val="auto"/>
                    </w:rPr>
                    <w:t>/</w:t>
                  </w:r>
                </w:p>
              </w:tc>
              <w:tc>
                <w:tcPr>
                  <w:tcW w:w="1799" w:type="dxa"/>
                  <w:vAlign w:val="center"/>
                </w:tcPr>
                <w:p>
                  <w:pPr>
                    <w:pStyle w:val="44"/>
                    <w:jc w:val="center"/>
                    <w:rPr>
                      <w:rFonts w:cs="Times New Roman"/>
                      <w:color w:val="auto"/>
                    </w:rPr>
                  </w:pPr>
                  <w:r>
                    <w:rPr>
                      <w:rFonts w:cs="Times New Roman"/>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color w:val="auto"/>
                    </w:rPr>
                  </w:pPr>
                  <w:r>
                    <w:rPr>
                      <w:rFonts w:cs="Times New Roman"/>
                      <w:color w:val="auto"/>
                    </w:rPr>
                    <w:t>除尘器收集的粉尘</w:t>
                  </w:r>
                </w:p>
              </w:tc>
              <w:tc>
                <w:tcPr>
                  <w:tcW w:w="1700" w:type="dxa"/>
                  <w:vAlign w:val="center"/>
                </w:tcPr>
                <w:p>
                  <w:pPr>
                    <w:pStyle w:val="44"/>
                    <w:jc w:val="center"/>
                    <w:rPr>
                      <w:rFonts w:hint="default" w:cs="Times New Roman"/>
                      <w:color w:val="auto"/>
                      <w:lang w:val="en-US" w:eastAsia="zh-CN"/>
                    </w:rPr>
                  </w:pPr>
                  <w:r>
                    <w:rPr>
                      <w:rFonts w:hint="eastAsia" w:cs="Times New Roman"/>
                      <w:color w:val="auto"/>
                      <w:lang w:val="en-US" w:eastAsia="zh-CN"/>
                    </w:rPr>
                    <w:t>99.271</w:t>
                  </w:r>
                </w:p>
              </w:tc>
              <w:tc>
                <w:tcPr>
                  <w:tcW w:w="2097" w:type="dxa"/>
                  <w:vAlign w:val="center"/>
                </w:tcPr>
                <w:p>
                  <w:pPr>
                    <w:pStyle w:val="44"/>
                    <w:jc w:val="center"/>
                    <w:rPr>
                      <w:rFonts w:cs="Times New Roman"/>
                      <w:color w:val="auto"/>
                    </w:rPr>
                  </w:pPr>
                  <w:r>
                    <w:rPr>
                      <w:rFonts w:cs="Times New Roman"/>
                      <w:color w:val="auto"/>
                    </w:rPr>
                    <w:t>/</w:t>
                  </w:r>
                </w:p>
              </w:tc>
              <w:tc>
                <w:tcPr>
                  <w:tcW w:w="1476" w:type="dxa"/>
                  <w:vAlign w:val="center"/>
                </w:tcPr>
                <w:p>
                  <w:pPr>
                    <w:pStyle w:val="44"/>
                    <w:jc w:val="center"/>
                    <w:rPr>
                      <w:rFonts w:cs="Times New Roman"/>
                      <w:color w:val="auto"/>
                    </w:rPr>
                  </w:pPr>
                  <w:r>
                    <w:rPr>
                      <w:rFonts w:cs="Times New Roman"/>
                      <w:color w:val="auto"/>
                    </w:rPr>
                    <w:t>/</w:t>
                  </w:r>
                </w:p>
              </w:tc>
              <w:tc>
                <w:tcPr>
                  <w:tcW w:w="1799" w:type="dxa"/>
                  <w:vAlign w:val="center"/>
                </w:tcPr>
                <w:p>
                  <w:pPr>
                    <w:pStyle w:val="44"/>
                    <w:jc w:val="center"/>
                    <w:rPr>
                      <w:rFonts w:cs="Times New Roman"/>
                      <w:color w:val="auto"/>
                    </w:rPr>
                  </w:pPr>
                  <w:r>
                    <w:rPr>
                      <w:rFonts w:cs="Times New Roman"/>
                      <w:color w:val="auto"/>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8" w:type="dxa"/>
                  <w:vAlign w:val="center"/>
                </w:tcPr>
                <w:p>
                  <w:pPr>
                    <w:pStyle w:val="44"/>
                    <w:jc w:val="center"/>
                    <w:rPr>
                      <w:rFonts w:cs="Times New Roman"/>
                      <w:b/>
                      <w:bCs/>
                      <w:color w:val="auto"/>
                    </w:rPr>
                  </w:pPr>
                  <w:r>
                    <w:rPr>
                      <w:rFonts w:cs="Times New Roman"/>
                      <w:b/>
                      <w:bCs/>
                      <w:color w:val="auto"/>
                    </w:rPr>
                    <w:t>合计</w:t>
                  </w:r>
                </w:p>
              </w:tc>
              <w:tc>
                <w:tcPr>
                  <w:tcW w:w="1700" w:type="dxa"/>
                  <w:vAlign w:val="center"/>
                </w:tcPr>
                <w:p>
                  <w:pPr>
                    <w:pStyle w:val="44"/>
                    <w:jc w:val="center"/>
                    <w:rPr>
                      <w:rFonts w:hint="default" w:cs="Times New Roman"/>
                      <w:b/>
                      <w:bCs/>
                      <w:color w:val="auto"/>
                      <w:lang w:val="en-US" w:eastAsia="zh-CN"/>
                    </w:rPr>
                  </w:pPr>
                  <w:r>
                    <w:rPr>
                      <w:rFonts w:hint="eastAsia" w:cs="Times New Roman"/>
                      <w:b/>
                      <w:bCs/>
                      <w:color w:val="auto"/>
                      <w:lang w:val="en-US" w:eastAsia="zh-CN"/>
                    </w:rPr>
                    <w:t>200100.191</w:t>
                  </w:r>
                </w:p>
              </w:tc>
              <w:tc>
                <w:tcPr>
                  <w:tcW w:w="2097" w:type="dxa"/>
                  <w:vAlign w:val="center"/>
                </w:tcPr>
                <w:p>
                  <w:pPr>
                    <w:pStyle w:val="44"/>
                    <w:jc w:val="center"/>
                    <w:rPr>
                      <w:rFonts w:cs="Times New Roman"/>
                      <w:b/>
                      <w:bCs/>
                      <w:color w:val="auto"/>
                    </w:rPr>
                  </w:pPr>
                  <w:r>
                    <w:rPr>
                      <w:rFonts w:cs="Times New Roman"/>
                      <w:b/>
                      <w:bCs/>
                      <w:color w:val="auto"/>
                    </w:rPr>
                    <w:t>合计</w:t>
                  </w:r>
                </w:p>
              </w:tc>
              <w:tc>
                <w:tcPr>
                  <w:tcW w:w="1476" w:type="dxa"/>
                  <w:vAlign w:val="center"/>
                </w:tcPr>
                <w:p>
                  <w:pPr>
                    <w:pStyle w:val="44"/>
                    <w:jc w:val="center"/>
                    <w:rPr>
                      <w:rFonts w:hint="eastAsia" w:cs="Times New Roman"/>
                      <w:b/>
                      <w:bCs/>
                      <w:color w:val="auto"/>
                      <w:lang w:val="en-US" w:eastAsia="zh-CN"/>
                    </w:rPr>
                  </w:pPr>
                  <w:r>
                    <w:rPr>
                      <w:rFonts w:hint="eastAsia" w:cs="Times New Roman"/>
                      <w:b/>
                      <w:bCs/>
                      <w:color w:val="auto"/>
                      <w:lang w:val="en-US" w:eastAsia="zh-CN"/>
                    </w:rPr>
                    <w:t>200100.191</w:t>
                  </w:r>
                </w:p>
              </w:tc>
              <w:tc>
                <w:tcPr>
                  <w:tcW w:w="1799" w:type="dxa"/>
                  <w:vAlign w:val="center"/>
                </w:tcPr>
                <w:p>
                  <w:pPr>
                    <w:pStyle w:val="44"/>
                    <w:jc w:val="center"/>
                    <w:rPr>
                      <w:rFonts w:cs="Times New Roman"/>
                      <w:b/>
                      <w:bCs/>
                      <w:color w:val="auto"/>
                    </w:rPr>
                  </w:pPr>
                  <w:r>
                    <w:rPr>
                      <w:rFonts w:cs="Times New Roman"/>
                      <w:b/>
                      <w:bCs/>
                      <w:color w:val="auto"/>
                    </w:rPr>
                    <w:t>/</w:t>
                  </w:r>
                </w:p>
              </w:tc>
            </w:tr>
          </w:tbl>
          <w:p>
            <w:pPr>
              <w:jc w:val="center"/>
              <w:rPr>
                <w:rFonts w:cs="Times New Roman"/>
                <w:b/>
                <w:bCs/>
                <w:color w:val="auto"/>
                <w:sz w:val="21"/>
                <w:szCs w:val="20"/>
                <w:highlight w:val="none"/>
              </w:rPr>
            </w:pPr>
            <w:r>
              <w:rPr>
                <w:color w:val="auto"/>
              </w:rPr>
              <w:drawing>
                <wp:anchor distT="0" distB="0" distL="114300" distR="114300" simplePos="0" relativeHeight="251659264" behindDoc="0" locked="0" layoutInCell="1" allowOverlap="1">
                  <wp:simplePos x="0" y="0"/>
                  <wp:positionH relativeFrom="column">
                    <wp:posOffset>632460</wp:posOffset>
                  </wp:positionH>
                  <wp:positionV relativeFrom="paragraph">
                    <wp:posOffset>31115</wp:posOffset>
                  </wp:positionV>
                  <wp:extent cx="5134610" cy="1940560"/>
                  <wp:effectExtent l="0" t="0" r="0" b="2540"/>
                  <wp:wrapTopAndBottom/>
                  <wp:docPr id="1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5"/>
                          <pic:cNvPicPr>
                            <a:picLocks noChangeAspect="1"/>
                          </pic:cNvPicPr>
                        </pic:nvPicPr>
                        <pic:blipFill>
                          <a:blip r:embed="rId9"/>
                          <a:stretch>
                            <a:fillRect/>
                          </a:stretch>
                        </pic:blipFill>
                        <pic:spPr>
                          <a:xfrm>
                            <a:off x="0" y="0"/>
                            <a:ext cx="5134610" cy="1940560"/>
                          </a:xfrm>
                          <a:prstGeom prst="rect">
                            <a:avLst/>
                          </a:prstGeom>
                          <a:noFill/>
                          <a:ln>
                            <a:noFill/>
                          </a:ln>
                        </pic:spPr>
                      </pic:pic>
                    </a:graphicData>
                  </a:graphic>
                </wp:anchor>
              </w:drawing>
            </w:r>
            <w:r>
              <w:rPr>
                <w:rFonts w:cs="Times New Roman"/>
                <w:b/>
                <w:bCs/>
                <w:color w:val="auto"/>
                <w:sz w:val="21"/>
                <w:szCs w:val="20"/>
                <w:highlight w:val="none"/>
              </w:rPr>
              <w:t>图2</w:t>
            </w:r>
            <w:r>
              <w:rPr>
                <w:rFonts w:hint="eastAsia" w:cs="Times New Roman"/>
                <w:b/>
                <w:bCs/>
                <w:color w:val="auto"/>
                <w:sz w:val="21"/>
                <w:szCs w:val="20"/>
                <w:highlight w:val="none"/>
                <w:lang w:val="en-US" w:eastAsia="zh-CN"/>
              </w:rPr>
              <w:t>-1</w:t>
            </w:r>
            <w:r>
              <w:rPr>
                <w:rFonts w:cs="Times New Roman"/>
                <w:b/>
                <w:bCs/>
                <w:color w:val="auto"/>
                <w:sz w:val="21"/>
                <w:szCs w:val="20"/>
                <w:highlight w:val="none"/>
              </w:rPr>
              <w:t xml:space="preserve"> 本项目</w:t>
            </w:r>
            <w:r>
              <w:rPr>
                <w:rFonts w:hint="eastAsia" w:cs="Times New Roman"/>
                <w:b/>
                <w:bCs/>
                <w:color w:val="auto"/>
                <w:sz w:val="21"/>
                <w:szCs w:val="20"/>
                <w:highlight w:val="none"/>
                <w:lang w:eastAsia="zh-CN"/>
              </w:rPr>
              <w:t>水泥</w:t>
            </w:r>
            <w:r>
              <w:rPr>
                <w:rFonts w:hint="default" w:cs="Times New Roman"/>
                <w:b/>
                <w:bCs/>
                <w:color w:val="auto"/>
                <w:sz w:val="21"/>
                <w:szCs w:val="20"/>
                <w:highlight w:val="none"/>
                <w:lang w:val="en-US" w:eastAsia="zh-CN"/>
              </w:rPr>
              <w:t>稳定材料生产线</w:t>
            </w:r>
            <w:r>
              <w:rPr>
                <w:rFonts w:cs="Times New Roman"/>
                <w:b/>
                <w:bCs/>
                <w:color w:val="auto"/>
                <w:sz w:val="21"/>
                <w:szCs w:val="20"/>
                <w:highlight w:val="none"/>
              </w:rPr>
              <w:t>物料平衡图</w:t>
            </w:r>
          </w:p>
          <w:p>
            <w:pPr>
              <w:ind w:firstLine="480" w:firstLineChars="200"/>
              <w:rPr>
                <w:rFonts w:hint="default" w:cs="Times New Roman"/>
                <w:color w:val="auto"/>
                <w:lang w:val="en-US" w:eastAsia="zh-CN"/>
              </w:rPr>
            </w:pPr>
            <w:r>
              <w:rPr>
                <w:rFonts w:hint="eastAsia" w:cs="Times New Roman"/>
                <w:color w:val="auto"/>
                <w:lang w:val="en-US" w:eastAsia="zh-CN"/>
              </w:rPr>
              <w:t>②优质环保水泥砖生产线</w:t>
            </w:r>
          </w:p>
          <w:p>
            <w:pPr>
              <w:ind w:firstLine="480" w:firstLineChars="200"/>
              <w:rPr>
                <w:rFonts w:hint="eastAsia" w:cs="Times New Roman"/>
                <w:color w:val="auto"/>
                <w:lang w:val="en-US" w:eastAsia="zh-CN"/>
              </w:rPr>
            </w:pPr>
            <w:r>
              <w:rPr>
                <w:rFonts w:hint="eastAsia" w:cs="Times New Roman"/>
                <w:color w:val="auto"/>
                <w:lang w:val="en-US" w:eastAsia="zh-CN"/>
              </w:rPr>
              <w:t>本项目</w:t>
            </w:r>
            <w:r>
              <w:rPr>
                <w:rFonts w:hint="default" w:cs="Times New Roman"/>
                <w:color w:val="auto"/>
                <w:lang w:val="en-US" w:eastAsia="zh-CN"/>
              </w:rPr>
              <w:t>优质环保水泥砖生产线</w:t>
            </w:r>
            <w:r>
              <w:rPr>
                <w:rFonts w:hint="eastAsia" w:cs="Times New Roman"/>
                <w:color w:val="auto"/>
                <w:lang w:val="en-US" w:eastAsia="zh-CN"/>
              </w:rPr>
              <w:t>物料平衡表见表2-5，物料平衡图见图2-2。</w:t>
            </w:r>
          </w:p>
          <w:p>
            <w:pPr>
              <w:pStyle w:val="28"/>
              <w:rPr>
                <w:rFonts w:cs="Times New Roman"/>
                <w:color w:val="auto"/>
                <w:highlight w:val="none"/>
                <w:lang w:val="en-US"/>
              </w:rPr>
            </w:pPr>
            <w:r>
              <w:rPr>
                <w:rFonts w:cs="Times New Roman"/>
                <w:color w:val="auto"/>
                <w:highlight w:val="none"/>
              </w:rPr>
              <w:t>表2-</w:t>
            </w:r>
            <w:r>
              <w:rPr>
                <w:rFonts w:hint="eastAsia" w:cs="Times New Roman"/>
                <w:color w:val="auto"/>
                <w:highlight w:val="none"/>
                <w:lang w:val="en-US" w:eastAsia="zh-CN"/>
              </w:rPr>
              <w:t>5</w:t>
            </w:r>
            <w:r>
              <w:rPr>
                <w:rFonts w:cs="Times New Roman"/>
                <w:color w:val="auto"/>
                <w:highlight w:val="none"/>
              </w:rPr>
              <w:t xml:space="preserve"> </w:t>
            </w:r>
            <w:r>
              <w:rPr>
                <w:rFonts w:hint="eastAsia" w:cs="Times New Roman"/>
                <w:color w:val="auto"/>
                <w:highlight w:val="none"/>
                <w:lang w:val="en-US" w:eastAsia="zh-CN"/>
              </w:rPr>
              <w:t>优质环保水泥砖生产线</w:t>
            </w:r>
            <w:r>
              <w:rPr>
                <w:rFonts w:cs="Times New Roman"/>
                <w:color w:val="auto"/>
                <w:highlight w:val="none"/>
              </w:rPr>
              <w:t>物料平衡表</w:t>
            </w:r>
          </w:p>
          <w:tbl>
            <w:tblPr>
              <w:tblStyle w:val="23"/>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1909"/>
              <w:gridCol w:w="2335"/>
              <w:gridCol w:w="1293"/>
              <w:gridCol w:w="141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96" w:type="pct"/>
                  <w:gridSpan w:val="2"/>
                  <w:tcBorders>
                    <w:tl2br w:val="nil"/>
                    <w:tr2bl w:val="nil"/>
                  </w:tcBorders>
                  <w:vAlign w:val="center"/>
                </w:tcPr>
                <w:p>
                  <w:pPr>
                    <w:pStyle w:val="44"/>
                    <w:jc w:val="center"/>
                    <w:rPr>
                      <w:rFonts w:hint="eastAsia" w:cs="Times New Roman"/>
                      <w:b/>
                      <w:bCs/>
                      <w:color w:val="auto"/>
                      <w:lang w:val="en-US" w:eastAsia="zh-CN"/>
                    </w:rPr>
                  </w:pPr>
                  <w:r>
                    <w:rPr>
                      <w:rFonts w:hint="eastAsia" w:cs="Times New Roman"/>
                      <w:b/>
                      <w:bCs/>
                      <w:color w:val="auto"/>
                      <w:lang w:val="en-US" w:eastAsia="zh-CN"/>
                    </w:rPr>
                    <w:t>投入</w:t>
                  </w:r>
                </w:p>
              </w:tc>
              <w:tc>
                <w:tcPr>
                  <w:tcW w:w="2803" w:type="pct"/>
                  <w:gridSpan w:val="3"/>
                  <w:tcBorders>
                    <w:tl2br w:val="nil"/>
                    <w:tr2bl w:val="nil"/>
                  </w:tcBorders>
                  <w:vAlign w:val="center"/>
                </w:tcPr>
                <w:p>
                  <w:pPr>
                    <w:pStyle w:val="44"/>
                    <w:jc w:val="center"/>
                    <w:rPr>
                      <w:rFonts w:hint="default" w:cs="Times New Roman"/>
                      <w:b/>
                      <w:bCs/>
                      <w:color w:val="auto"/>
                      <w:lang w:val="en-US" w:eastAsia="zh-CN"/>
                    </w:rPr>
                  </w:pPr>
                  <w:r>
                    <w:rPr>
                      <w:rFonts w:hint="eastAsia" w:cs="Times New Roman"/>
                      <w:b/>
                      <w:bCs/>
                      <w:color w:val="auto"/>
                      <w:lang w:val="en-US" w:eastAsia="zh-CN"/>
                    </w:rPr>
                    <w:t>产出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pStyle w:val="44"/>
                    <w:jc w:val="center"/>
                    <w:rPr>
                      <w:rFonts w:hint="default" w:cs="Times New Roman"/>
                      <w:b/>
                      <w:bCs/>
                      <w:color w:val="auto"/>
                    </w:rPr>
                  </w:pPr>
                  <w:r>
                    <w:rPr>
                      <w:rFonts w:hint="default" w:cs="Times New Roman"/>
                      <w:b/>
                      <w:bCs/>
                      <w:color w:val="auto"/>
                      <w:lang w:val="en-US" w:eastAsia="zh-CN"/>
                    </w:rPr>
                    <w:t>名称</w:t>
                  </w:r>
                </w:p>
              </w:tc>
              <w:tc>
                <w:tcPr>
                  <w:tcW w:w="1060" w:type="pct"/>
                  <w:tcBorders>
                    <w:tl2br w:val="nil"/>
                    <w:tr2bl w:val="nil"/>
                  </w:tcBorders>
                  <w:vAlign w:val="center"/>
                </w:tcPr>
                <w:p>
                  <w:pPr>
                    <w:pStyle w:val="44"/>
                    <w:jc w:val="center"/>
                    <w:rPr>
                      <w:rFonts w:hint="default" w:cs="Times New Roman"/>
                      <w:b/>
                      <w:bCs/>
                      <w:color w:val="auto"/>
                      <w:lang w:val="en-US" w:eastAsia="zh-CN"/>
                    </w:rPr>
                  </w:pPr>
                  <w:r>
                    <w:rPr>
                      <w:rFonts w:hint="eastAsia" w:cs="Times New Roman"/>
                      <w:b/>
                      <w:bCs/>
                      <w:color w:val="auto"/>
                      <w:lang w:val="en-US" w:eastAsia="zh-CN"/>
                    </w:rPr>
                    <w:t>年</w:t>
                  </w:r>
                  <w:r>
                    <w:rPr>
                      <w:rFonts w:hint="default" w:cs="Times New Roman"/>
                      <w:b/>
                      <w:bCs/>
                      <w:color w:val="auto"/>
                      <w:lang w:val="en-US" w:eastAsia="zh-CN"/>
                    </w:rPr>
                    <w:t>用量（t/a）</w:t>
                  </w:r>
                </w:p>
              </w:tc>
              <w:tc>
                <w:tcPr>
                  <w:tcW w:w="1296" w:type="pct"/>
                  <w:tcBorders>
                    <w:tl2br w:val="nil"/>
                    <w:tr2bl w:val="nil"/>
                  </w:tcBorders>
                  <w:vAlign w:val="center"/>
                </w:tcPr>
                <w:p>
                  <w:pPr>
                    <w:pStyle w:val="44"/>
                    <w:jc w:val="center"/>
                    <w:rPr>
                      <w:rFonts w:hint="default" w:cs="Times New Roman"/>
                      <w:b/>
                      <w:bCs/>
                      <w:color w:val="auto"/>
                    </w:rPr>
                  </w:pPr>
                  <w:r>
                    <w:rPr>
                      <w:rFonts w:hint="default" w:cs="Times New Roman"/>
                      <w:b/>
                      <w:bCs/>
                      <w:color w:val="auto"/>
                      <w:lang w:val="en-US" w:eastAsia="zh-CN"/>
                    </w:rPr>
                    <w:t>名称</w:t>
                  </w:r>
                </w:p>
              </w:tc>
              <w:tc>
                <w:tcPr>
                  <w:tcW w:w="718" w:type="pct"/>
                  <w:tcBorders>
                    <w:tl2br w:val="nil"/>
                    <w:tr2bl w:val="nil"/>
                  </w:tcBorders>
                  <w:vAlign w:val="center"/>
                </w:tcPr>
                <w:p>
                  <w:pPr>
                    <w:pStyle w:val="44"/>
                    <w:jc w:val="center"/>
                    <w:rPr>
                      <w:rFonts w:hint="default" w:cs="Times New Roman"/>
                      <w:b/>
                      <w:bCs/>
                      <w:color w:val="auto"/>
                    </w:rPr>
                  </w:pPr>
                  <w:r>
                    <w:rPr>
                      <w:rFonts w:hint="default" w:cs="Times New Roman"/>
                      <w:b/>
                      <w:bCs/>
                      <w:color w:val="auto"/>
                      <w:lang w:val="en-US" w:eastAsia="zh-CN"/>
                    </w:rPr>
                    <w:t>产量（t/a）</w:t>
                  </w:r>
                </w:p>
              </w:tc>
              <w:tc>
                <w:tcPr>
                  <w:tcW w:w="788" w:type="pct"/>
                  <w:tcBorders>
                    <w:tl2br w:val="nil"/>
                    <w:tr2bl w:val="nil"/>
                  </w:tcBorders>
                  <w:vAlign w:val="center"/>
                </w:tcPr>
                <w:p>
                  <w:pPr>
                    <w:pStyle w:val="44"/>
                    <w:jc w:val="center"/>
                    <w:rPr>
                      <w:rFonts w:hint="default" w:cs="Times New Roman"/>
                      <w:b/>
                      <w:bCs/>
                      <w:color w:val="auto"/>
                      <w:lang w:val="en-US" w:eastAsia="zh-CN"/>
                    </w:rPr>
                  </w:pPr>
                  <w:r>
                    <w:rPr>
                      <w:rFonts w:hint="default" w:cs="Times New Roman"/>
                      <w:b/>
                      <w:bCs/>
                      <w:color w:val="auto"/>
                      <w:lang w:val="en-US" w:eastAsia="zh-CN"/>
                    </w:rPr>
                    <w:t>折合重量（t）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骨料</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102500</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环保水泥砖产品</w:t>
                  </w:r>
                </w:p>
              </w:tc>
              <w:tc>
                <w:tcPr>
                  <w:tcW w:w="718" w:type="pct"/>
                  <w:tcBorders>
                    <w:tl2br w:val="nil"/>
                    <w:tr2bl w:val="nil"/>
                  </w:tcBorders>
                  <w:vAlign w:val="center"/>
                </w:tcPr>
                <w:p>
                  <w:pPr>
                    <w:widowControl/>
                    <w:spacing w:line="240" w:lineRule="auto"/>
                    <w:jc w:val="center"/>
                    <w:textAlignment w:val="center"/>
                    <w:rPr>
                      <w:rFonts w:hint="default" w:ascii="Times New Roman" w:hAnsi="Times New Roman" w:eastAsia="宋体" w:cs="Times New Roman"/>
                      <w:color w:val="auto"/>
                      <w:kern w:val="0"/>
                      <w:sz w:val="21"/>
                      <w:szCs w:val="21"/>
                      <w:u w:val="none"/>
                      <w:lang w:bidi="ar"/>
                    </w:rPr>
                  </w:pPr>
                  <w:r>
                    <w:rPr>
                      <w:rFonts w:hint="default" w:ascii="Times New Roman" w:hAnsi="Times New Roman" w:eastAsia="宋体" w:cs="Times New Roman"/>
                      <w:color w:val="auto"/>
                      <w:kern w:val="0"/>
                      <w:sz w:val="21"/>
                      <w:szCs w:val="21"/>
                      <w:u w:val="none"/>
                      <w:lang w:val="en-US" w:eastAsia="zh-CN" w:bidi="ar"/>
                    </w:rPr>
                    <w:t>5000万块</w:t>
                  </w:r>
                </w:p>
              </w:tc>
              <w:tc>
                <w:tcPr>
                  <w:tcW w:w="788"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125000.5447</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砂子</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1250</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颗粒物</w:t>
                  </w:r>
                </w:p>
              </w:tc>
              <w:tc>
                <w:tcPr>
                  <w:tcW w:w="1293" w:type="dxa"/>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bidi="ar"/>
                    </w:rPr>
                  </w:pPr>
                  <w:r>
                    <w:rPr>
                      <w:rFonts w:hint="default" w:ascii="Times New Roman" w:hAnsi="Times New Roman" w:eastAsia="宋体" w:cs="Times New Roman"/>
                      <w:i w:val="0"/>
                      <w:iCs w:val="0"/>
                      <w:color w:val="auto"/>
                      <w:kern w:val="0"/>
                      <w:sz w:val="21"/>
                      <w:szCs w:val="21"/>
                      <w:u w:val="none"/>
                      <w:lang w:val="en-US" w:eastAsia="zh-CN" w:bidi="ar"/>
                    </w:rPr>
                    <w:t>0.0353</w:t>
                  </w:r>
                </w:p>
              </w:tc>
              <w:tc>
                <w:tcPr>
                  <w:tcW w:w="788" w:type="pct"/>
                  <w:tcBorders>
                    <w:tl2br w:val="nil"/>
                    <w:tr2bl w:val="nil"/>
                  </w:tcBorders>
                  <w:vAlign w:val="center"/>
                </w:tcPr>
                <w:p>
                  <w:pPr>
                    <w:widowControl/>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color w:val="auto"/>
                      <w:kern w:val="0"/>
                      <w:sz w:val="21"/>
                      <w:szCs w:val="21"/>
                      <w:u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水泥</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15000</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除尘器收集颗粒物</w:t>
                  </w:r>
                </w:p>
              </w:tc>
              <w:tc>
                <w:tcPr>
                  <w:tcW w:w="1293" w:type="dxa"/>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bidi="ar"/>
                    </w:rPr>
                  </w:pPr>
                  <w:r>
                    <w:rPr>
                      <w:rFonts w:hint="default" w:ascii="Times New Roman" w:hAnsi="Times New Roman" w:eastAsia="宋体" w:cs="Times New Roman"/>
                      <w:i w:val="0"/>
                      <w:iCs w:val="0"/>
                      <w:color w:val="auto"/>
                      <w:kern w:val="0"/>
                      <w:sz w:val="21"/>
                      <w:szCs w:val="21"/>
                      <w:u w:val="none"/>
                      <w:lang w:val="en-US" w:eastAsia="zh-CN" w:bidi="ar"/>
                    </w:rPr>
                    <w:t>62.294</w:t>
                  </w:r>
                </w:p>
              </w:tc>
              <w:tc>
                <w:tcPr>
                  <w:tcW w:w="788" w:type="pct"/>
                  <w:tcBorders>
                    <w:tl2br w:val="nil"/>
                    <w:tr2bl w:val="nil"/>
                  </w:tcBorders>
                  <w:vAlign w:val="center"/>
                </w:tcPr>
                <w:p>
                  <w:pPr>
                    <w:widowControl/>
                    <w:spacing w:line="240" w:lineRule="auto"/>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color w:val="auto"/>
                      <w:kern w:val="0"/>
                      <w:sz w:val="21"/>
                      <w:szCs w:val="21"/>
                      <w:u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水</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6250</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不合格产品</w:t>
                  </w:r>
                </w:p>
              </w:tc>
              <w:tc>
                <w:tcPr>
                  <w:tcW w:w="1293" w:type="dxa"/>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w:t>
                  </w:r>
                </w:p>
              </w:tc>
              <w:tc>
                <w:tcPr>
                  <w:tcW w:w="788" w:type="pct"/>
                  <w:tcBorders>
                    <w:tl2br w:val="nil"/>
                    <w:tr2bl w:val="nil"/>
                  </w:tcBorders>
                  <w:vAlign w:val="center"/>
                </w:tcPr>
                <w:p>
                  <w:pPr>
                    <w:widowControl/>
                    <w:spacing w:line="240" w:lineRule="auto"/>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color w:val="auto"/>
                      <w:kern w:val="0"/>
                      <w:sz w:val="21"/>
                      <w:szCs w:val="21"/>
                      <w:u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沉淀池沉渣</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0.58</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lang w:eastAsia="zh-CN"/>
                    </w:rPr>
                  </w:pPr>
                </w:p>
              </w:tc>
              <w:tc>
                <w:tcPr>
                  <w:tcW w:w="718" w:type="pct"/>
                  <w:tcBorders>
                    <w:tl2br w:val="nil"/>
                    <w:tr2bl w:val="nil"/>
                  </w:tcBorders>
                  <w:vAlign w:val="center"/>
                </w:tcPr>
                <w:p>
                  <w:pPr>
                    <w:widowControl/>
                    <w:spacing w:line="240" w:lineRule="auto"/>
                    <w:textAlignment w:val="center"/>
                    <w:rPr>
                      <w:rFonts w:hint="default" w:ascii="Times New Roman" w:hAnsi="Times New Roman" w:eastAsia="宋体" w:cs="Times New Roman"/>
                      <w:color w:val="auto"/>
                      <w:kern w:val="0"/>
                      <w:sz w:val="21"/>
                      <w:szCs w:val="21"/>
                      <w:u w:val="none"/>
                      <w:lang w:val="en-US" w:eastAsia="zh-CN" w:bidi="ar"/>
                    </w:rPr>
                  </w:pPr>
                </w:p>
              </w:tc>
              <w:tc>
                <w:tcPr>
                  <w:tcW w:w="788" w:type="pct"/>
                  <w:tcBorders>
                    <w:tl2br w:val="nil"/>
                    <w:tr2bl w:val="nil"/>
                  </w:tcBorders>
                  <w:vAlign w:val="center"/>
                </w:tcPr>
                <w:p>
                  <w:pPr>
                    <w:widowControl/>
                    <w:spacing w:line="240" w:lineRule="auto"/>
                    <w:textAlignment w:val="center"/>
                    <w:rPr>
                      <w:rFonts w:hint="default" w:ascii="Times New Roman" w:hAnsi="Times New Roman" w:eastAsia="宋体" w:cs="Times New Roman"/>
                      <w:color w:val="auto"/>
                      <w:kern w:val="0"/>
                      <w:sz w:val="21"/>
                      <w:szCs w:val="21"/>
                      <w:u w:val="none"/>
                      <w:lang w:val="en-US" w:eastAsia="zh-CN"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除尘器收集的粉尘</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62.294</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lang w:eastAsia="zh-CN"/>
                    </w:rPr>
                  </w:pPr>
                </w:p>
              </w:tc>
              <w:tc>
                <w:tcPr>
                  <w:tcW w:w="718"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p>
              </w:tc>
              <w:tc>
                <w:tcPr>
                  <w:tcW w:w="788"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不合格产品</w:t>
                  </w:r>
                </w:p>
              </w:tc>
              <w:tc>
                <w:tcPr>
                  <w:tcW w:w="1060"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12.5</w:t>
                  </w:r>
                </w:p>
              </w:tc>
              <w:tc>
                <w:tcPr>
                  <w:tcW w:w="1296" w:type="pct"/>
                  <w:tcBorders>
                    <w:tl2br w:val="nil"/>
                    <w:tr2bl w:val="nil"/>
                  </w:tcBorders>
                  <w:vAlign w:val="center"/>
                </w:tcPr>
                <w:p>
                  <w:pPr>
                    <w:pStyle w:val="44"/>
                    <w:jc w:val="center"/>
                    <w:rPr>
                      <w:rFonts w:hint="default" w:ascii="Times New Roman" w:hAnsi="Times New Roman" w:eastAsia="宋体" w:cs="Times New Roman"/>
                      <w:color w:val="auto"/>
                      <w:szCs w:val="21"/>
                      <w:lang w:eastAsia="zh-CN"/>
                    </w:rPr>
                  </w:pPr>
                </w:p>
              </w:tc>
              <w:tc>
                <w:tcPr>
                  <w:tcW w:w="718"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p>
              </w:tc>
              <w:tc>
                <w:tcPr>
                  <w:tcW w:w="788" w:type="pct"/>
                  <w:tcBorders>
                    <w:tl2br w:val="nil"/>
                    <w:tr2bl w:val="nil"/>
                  </w:tcBorders>
                  <w:vAlign w:val="center"/>
                </w:tcPr>
                <w:p>
                  <w:pPr>
                    <w:pStyle w:val="44"/>
                    <w:jc w:val="center"/>
                    <w:rPr>
                      <w:rFonts w:hint="default" w:ascii="Times New Roman" w:hAnsi="Times New Roman" w:eastAsia="宋体" w:cs="Times New Roman"/>
                      <w:color w:val="auto"/>
                      <w:szCs w:val="21"/>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36" w:type="pct"/>
                  <w:tcBorders>
                    <w:tl2br w:val="nil"/>
                    <w:tr2bl w:val="nil"/>
                  </w:tcBorders>
                  <w:vAlign w:val="center"/>
                </w:tcPr>
                <w:p>
                  <w:pPr>
                    <w:pStyle w:val="44"/>
                    <w:jc w:val="center"/>
                    <w:rPr>
                      <w:rFonts w:hint="default" w:cs="Times New Roman"/>
                      <w:b/>
                      <w:bCs/>
                      <w:color w:val="auto"/>
                      <w:lang w:val="en-US" w:eastAsia="zh-CN"/>
                    </w:rPr>
                  </w:pPr>
                  <w:r>
                    <w:rPr>
                      <w:rFonts w:hint="eastAsia" w:cs="Times New Roman"/>
                      <w:b/>
                      <w:bCs/>
                      <w:color w:val="auto"/>
                      <w:lang w:val="en-US" w:eastAsia="zh-CN"/>
                    </w:rPr>
                    <w:t>合计</w:t>
                  </w:r>
                </w:p>
              </w:tc>
              <w:tc>
                <w:tcPr>
                  <w:tcW w:w="1060" w:type="pct"/>
                  <w:tcBorders>
                    <w:tl2br w:val="nil"/>
                    <w:tr2bl w:val="nil"/>
                  </w:tcBorders>
                  <w:vAlign w:val="center"/>
                </w:tcPr>
                <w:p>
                  <w:pPr>
                    <w:pStyle w:val="44"/>
                    <w:jc w:val="center"/>
                    <w:rPr>
                      <w:rFonts w:hint="default" w:cs="Times New Roman"/>
                      <w:b/>
                      <w:bCs/>
                      <w:color w:val="auto"/>
                      <w:lang w:val="en-US" w:eastAsia="zh-CN"/>
                    </w:rPr>
                  </w:pPr>
                  <w:r>
                    <w:rPr>
                      <w:rFonts w:hint="eastAsia" w:cs="Times New Roman"/>
                      <w:b/>
                      <w:bCs/>
                      <w:color w:val="auto"/>
                      <w:lang w:val="en-US" w:eastAsia="zh-CN"/>
                    </w:rPr>
                    <w:t>125075.374</w:t>
                  </w:r>
                </w:p>
              </w:tc>
              <w:tc>
                <w:tcPr>
                  <w:tcW w:w="1296" w:type="pct"/>
                  <w:tcBorders>
                    <w:tl2br w:val="nil"/>
                    <w:tr2bl w:val="nil"/>
                  </w:tcBorders>
                  <w:vAlign w:val="center"/>
                </w:tcPr>
                <w:p>
                  <w:pPr>
                    <w:pStyle w:val="44"/>
                    <w:jc w:val="center"/>
                    <w:rPr>
                      <w:rFonts w:hint="eastAsia" w:cs="Times New Roman"/>
                      <w:b/>
                      <w:bCs/>
                      <w:color w:val="auto"/>
                      <w:lang w:eastAsia="zh-CN"/>
                    </w:rPr>
                  </w:pPr>
                  <w:r>
                    <w:rPr>
                      <w:rFonts w:hint="eastAsia" w:cs="Times New Roman"/>
                      <w:b/>
                      <w:bCs/>
                      <w:color w:val="auto"/>
                      <w:lang w:val="en-US" w:eastAsia="zh-CN"/>
                    </w:rPr>
                    <w:t>合计</w:t>
                  </w:r>
                </w:p>
              </w:tc>
              <w:tc>
                <w:tcPr>
                  <w:tcW w:w="718" w:type="pct"/>
                  <w:tcBorders>
                    <w:tl2br w:val="nil"/>
                    <w:tr2bl w:val="nil"/>
                  </w:tcBorders>
                  <w:vAlign w:val="center"/>
                </w:tcPr>
                <w:p>
                  <w:pPr>
                    <w:pStyle w:val="44"/>
                    <w:jc w:val="center"/>
                    <w:rPr>
                      <w:rFonts w:hint="eastAsia" w:cs="Times New Roman"/>
                      <w:b/>
                      <w:bCs/>
                      <w:color w:val="auto"/>
                      <w:lang w:val="en-US" w:eastAsia="zh-CN"/>
                    </w:rPr>
                  </w:pPr>
                  <w:r>
                    <w:rPr>
                      <w:rFonts w:hint="eastAsia" w:cs="Times New Roman"/>
                      <w:b/>
                      <w:bCs/>
                      <w:color w:val="auto"/>
                      <w:lang w:val="en-US" w:eastAsia="zh-CN"/>
                    </w:rPr>
                    <w:t>125075.374</w:t>
                  </w:r>
                </w:p>
              </w:tc>
              <w:tc>
                <w:tcPr>
                  <w:tcW w:w="788" w:type="pct"/>
                  <w:tcBorders>
                    <w:tl2br w:val="nil"/>
                    <w:tr2bl w:val="nil"/>
                  </w:tcBorders>
                  <w:vAlign w:val="center"/>
                </w:tcPr>
                <w:p>
                  <w:pPr>
                    <w:pStyle w:val="44"/>
                    <w:jc w:val="center"/>
                    <w:rPr>
                      <w:rFonts w:hint="default" w:cs="Times New Roman"/>
                      <w:b/>
                      <w:bCs/>
                      <w:color w:val="auto"/>
                      <w:lang w:val="en-US" w:eastAsia="zh-CN"/>
                    </w:rPr>
                  </w:pPr>
                </w:p>
              </w:tc>
            </w:tr>
          </w:tbl>
          <w:p>
            <w:pPr>
              <w:pStyle w:val="3"/>
              <w:spacing w:line="240" w:lineRule="auto"/>
              <w:jc w:val="center"/>
              <w:rPr>
                <w:color w:val="auto"/>
              </w:rPr>
            </w:pPr>
            <w:r>
              <w:rPr>
                <w:color w:val="auto"/>
              </w:rPr>
              <w:drawing>
                <wp:inline distT="0" distB="0" distL="114300" distR="114300">
                  <wp:extent cx="5092065" cy="1924050"/>
                  <wp:effectExtent l="0" t="0" r="0" b="0"/>
                  <wp:docPr id="1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6"/>
                          <pic:cNvPicPr>
                            <a:picLocks noChangeAspect="1"/>
                          </pic:cNvPicPr>
                        </pic:nvPicPr>
                        <pic:blipFill>
                          <a:blip r:embed="rId10"/>
                          <a:stretch>
                            <a:fillRect/>
                          </a:stretch>
                        </pic:blipFill>
                        <pic:spPr>
                          <a:xfrm>
                            <a:off x="0" y="0"/>
                            <a:ext cx="5092065" cy="1924050"/>
                          </a:xfrm>
                          <a:prstGeom prst="rect">
                            <a:avLst/>
                          </a:prstGeom>
                          <a:noFill/>
                          <a:ln>
                            <a:noFill/>
                          </a:ln>
                        </pic:spPr>
                      </pic:pic>
                    </a:graphicData>
                  </a:graphic>
                </wp:inline>
              </w:drawing>
            </w:r>
          </w:p>
          <w:p>
            <w:pPr>
              <w:autoSpaceDE w:val="0"/>
              <w:autoSpaceDN w:val="0"/>
              <w:spacing w:line="240" w:lineRule="auto"/>
              <w:jc w:val="center"/>
              <w:rPr>
                <w:rFonts w:hint="default" w:eastAsia="宋体" w:cs="Times New Roman"/>
                <w:b/>
                <w:color w:val="auto"/>
                <w:sz w:val="21"/>
                <w:szCs w:val="21"/>
                <w:highlight w:val="none"/>
                <w:lang w:val="en-US" w:bidi="zh-CN"/>
              </w:rPr>
            </w:pPr>
            <w:r>
              <w:rPr>
                <w:rFonts w:eastAsia="宋体" w:cs="Times New Roman"/>
                <w:b/>
                <w:color w:val="auto"/>
                <w:sz w:val="21"/>
                <w:szCs w:val="21"/>
                <w:highlight w:val="none"/>
                <w:lang w:val="zh-CN" w:bidi="zh-CN"/>
              </w:rPr>
              <w:t>图2</w:t>
            </w:r>
            <w:r>
              <w:rPr>
                <w:rFonts w:hint="eastAsia" w:eastAsia="宋体" w:cs="Times New Roman"/>
                <w:b/>
                <w:color w:val="auto"/>
                <w:sz w:val="21"/>
                <w:szCs w:val="21"/>
                <w:highlight w:val="none"/>
                <w:lang w:val="en-US" w:eastAsia="zh-CN" w:bidi="zh-CN"/>
              </w:rPr>
              <w:t>-2</w:t>
            </w:r>
            <w:r>
              <w:rPr>
                <w:rFonts w:eastAsia="宋体" w:cs="Times New Roman"/>
                <w:b/>
                <w:color w:val="auto"/>
                <w:sz w:val="21"/>
                <w:szCs w:val="21"/>
                <w:highlight w:val="none"/>
                <w:lang w:val="zh-CN" w:bidi="zh-CN"/>
              </w:rPr>
              <w:t xml:space="preserve"> </w:t>
            </w:r>
            <w:r>
              <w:rPr>
                <w:rFonts w:hint="eastAsia" w:eastAsia="宋体" w:cs="Times New Roman"/>
                <w:b/>
                <w:color w:val="auto"/>
                <w:sz w:val="21"/>
                <w:szCs w:val="21"/>
                <w:highlight w:val="none"/>
                <w:lang w:val="en-US" w:eastAsia="zh-CN" w:bidi="zh-CN"/>
              </w:rPr>
              <w:t>优质环保水泥砖生产线</w:t>
            </w:r>
            <w:r>
              <w:rPr>
                <w:rFonts w:eastAsia="宋体" w:cs="Times New Roman"/>
                <w:b/>
                <w:color w:val="auto"/>
                <w:sz w:val="21"/>
                <w:szCs w:val="21"/>
                <w:highlight w:val="none"/>
                <w:lang w:val="zh-CN" w:bidi="zh-CN"/>
              </w:rPr>
              <w:t>物料平衡图</w:t>
            </w:r>
            <w:r>
              <w:rPr>
                <w:rFonts w:hint="eastAsia" w:eastAsia="宋体" w:cs="Times New Roman"/>
                <w:b/>
                <w:color w:val="auto"/>
                <w:sz w:val="21"/>
                <w:szCs w:val="21"/>
                <w:highlight w:val="none"/>
                <w:lang w:val="en-US" w:bidi="zh-CN"/>
              </w:rPr>
              <w:t xml:space="preserve">  </w:t>
            </w:r>
          </w:p>
          <w:p>
            <w:pPr>
              <w:ind w:firstLine="482" w:firstLineChars="200"/>
              <w:rPr>
                <w:rFonts w:cs="Times New Roman"/>
                <w:b/>
                <w:color w:val="auto"/>
                <w:highlight w:val="none"/>
                <w:lang w:val="zh-CN"/>
              </w:rPr>
            </w:pPr>
            <w:r>
              <w:rPr>
                <w:rFonts w:cs="Times New Roman"/>
                <w:b/>
                <w:color w:val="auto"/>
                <w:highlight w:val="none"/>
              </w:rPr>
              <w:t>5</w:t>
            </w:r>
            <w:r>
              <w:rPr>
                <w:rFonts w:cs="Times New Roman"/>
                <w:b/>
                <w:color w:val="auto"/>
                <w:highlight w:val="none"/>
                <w:lang w:val="zh-CN"/>
              </w:rPr>
              <w:t>、主要设备</w:t>
            </w:r>
          </w:p>
          <w:p>
            <w:pPr>
              <w:tabs>
                <w:tab w:val="left" w:pos="2130"/>
              </w:tabs>
              <w:ind w:firstLine="480" w:firstLineChars="200"/>
              <w:rPr>
                <w:rFonts w:cs="Times New Roman"/>
                <w:color w:val="auto"/>
              </w:rPr>
            </w:pPr>
            <w:r>
              <w:rPr>
                <w:rFonts w:cs="Times New Roman"/>
                <w:color w:val="auto"/>
              </w:rPr>
              <w:t>根据建设单位提供，本项目主要工艺设备见表2-</w:t>
            </w:r>
            <w:r>
              <w:rPr>
                <w:rFonts w:hint="eastAsia" w:cs="Times New Roman"/>
                <w:color w:val="auto"/>
                <w:lang w:val="en-US" w:eastAsia="zh-CN"/>
              </w:rPr>
              <w:t>6</w:t>
            </w:r>
            <w:r>
              <w:rPr>
                <w:rFonts w:cs="Times New Roman"/>
                <w:color w:val="auto"/>
              </w:rPr>
              <w:t>。</w:t>
            </w:r>
          </w:p>
          <w:p>
            <w:pPr>
              <w:autoSpaceDE w:val="0"/>
              <w:autoSpaceDN w:val="0"/>
              <w:spacing w:line="240" w:lineRule="auto"/>
              <w:jc w:val="center"/>
              <w:rPr>
                <w:rFonts w:eastAsia="宋体" w:cs="Times New Roman"/>
                <w:b/>
                <w:color w:val="auto"/>
                <w:sz w:val="21"/>
                <w:szCs w:val="21"/>
                <w:lang w:val="zh-CN" w:bidi="zh-CN"/>
              </w:rPr>
            </w:pPr>
            <w:r>
              <w:rPr>
                <w:rFonts w:eastAsia="宋体" w:cs="Times New Roman"/>
                <w:b/>
                <w:color w:val="auto"/>
                <w:sz w:val="21"/>
                <w:szCs w:val="21"/>
                <w:lang w:val="zh-CN" w:bidi="zh-CN"/>
              </w:rPr>
              <w:t>表2</w:t>
            </w:r>
            <w:r>
              <w:rPr>
                <w:rFonts w:hint="eastAsia" w:eastAsia="宋体" w:cs="Times New Roman"/>
                <w:b/>
                <w:color w:val="auto"/>
                <w:sz w:val="21"/>
                <w:szCs w:val="21"/>
                <w:lang w:val="en-US" w:bidi="zh-CN"/>
              </w:rPr>
              <w:t xml:space="preserve">-6 </w:t>
            </w:r>
            <w:r>
              <w:rPr>
                <w:rFonts w:eastAsia="宋体" w:cs="Times New Roman"/>
                <w:b/>
                <w:color w:val="auto"/>
                <w:sz w:val="21"/>
                <w:szCs w:val="21"/>
                <w:lang w:val="zh-CN" w:bidi="zh-CN"/>
              </w:rPr>
              <w:t>项目主要设备一览表</w:t>
            </w:r>
          </w:p>
          <w:tbl>
            <w:tblPr>
              <w:tblStyle w:val="22"/>
              <w:tblW w:w="497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281"/>
              <w:gridCol w:w="1171"/>
              <w:gridCol w:w="1779"/>
              <w:gridCol w:w="29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21"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cs="Times New Roman"/>
                      <w:b/>
                      <w:bCs/>
                      <w:color w:val="auto"/>
                      <w:sz w:val="21"/>
                      <w:szCs w:val="21"/>
                    </w:rPr>
                  </w:pPr>
                  <w:r>
                    <w:rPr>
                      <w:rFonts w:hint="eastAsia" w:cs="Times New Roman"/>
                      <w:b/>
                      <w:bCs/>
                      <w:color w:val="auto"/>
                      <w:sz w:val="21"/>
                      <w:szCs w:val="21"/>
                      <w:lang w:val="en-US" w:bidi="zh-CN"/>
                    </w:rPr>
                    <w:t>序号</w:t>
                  </w:r>
                </w:p>
              </w:tc>
              <w:tc>
                <w:tcPr>
                  <w:tcW w:w="12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cs="Times New Roman"/>
                      <w:b/>
                      <w:bCs/>
                      <w:color w:val="auto"/>
                      <w:sz w:val="21"/>
                      <w:szCs w:val="21"/>
                      <w:lang w:bidi="zh-CN"/>
                    </w:rPr>
                  </w:pPr>
                  <w:r>
                    <w:rPr>
                      <w:rFonts w:cs="Times New Roman"/>
                      <w:b/>
                      <w:bCs/>
                      <w:color w:val="auto"/>
                      <w:sz w:val="21"/>
                      <w:szCs w:val="21"/>
                      <w:lang w:bidi="zh-CN"/>
                    </w:rPr>
                    <w:t>设备名称</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cs="Times New Roman"/>
                      <w:b/>
                      <w:bCs/>
                      <w:color w:val="auto"/>
                      <w:sz w:val="21"/>
                      <w:szCs w:val="21"/>
                    </w:rPr>
                  </w:pPr>
                  <w:r>
                    <w:rPr>
                      <w:rFonts w:hint="eastAsia" w:cs="Times New Roman"/>
                      <w:b/>
                      <w:bCs/>
                      <w:color w:val="auto"/>
                      <w:sz w:val="21"/>
                      <w:szCs w:val="21"/>
                      <w:lang w:bidi="zh-CN"/>
                    </w:rPr>
                    <w:t>数量</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cs="Times New Roman"/>
                      <w:b/>
                      <w:bCs/>
                      <w:color w:val="auto"/>
                      <w:sz w:val="21"/>
                      <w:szCs w:val="21"/>
                      <w:lang w:bidi="zh-CN"/>
                    </w:rPr>
                  </w:pPr>
                  <w:r>
                    <w:rPr>
                      <w:rFonts w:cs="Times New Roman"/>
                      <w:b/>
                      <w:bCs/>
                      <w:color w:val="auto"/>
                      <w:sz w:val="21"/>
                      <w:szCs w:val="21"/>
                      <w:lang w:bidi="zh-CN"/>
                    </w:rPr>
                    <w:t>规格型号</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cs="Times New Roman"/>
                      <w:b/>
                      <w:bCs/>
                      <w:color w:val="auto"/>
                      <w:sz w:val="21"/>
                      <w:szCs w:val="21"/>
                      <w:lang w:bidi="zh-CN"/>
                    </w:rPr>
                  </w:pPr>
                  <w:r>
                    <w:rPr>
                      <w:rFonts w:cs="Times New Roman"/>
                      <w:b/>
                      <w:bCs/>
                      <w:color w:val="auto"/>
                      <w:sz w:val="21"/>
                      <w:szCs w:val="21"/>
                      <w:lang w:bidi="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rPr>
                  </w:pPr>
                  <w:r>
                    <w:rPr>
                      <w:rFonts w:cs="Times New Roman"/>
                      <w:color w:val="auto"/>
                      <w:sz w:val="21"/>
                      <w:szCs w:val="21"/>
                    </w:rPr>
                    <w:t>1</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水泥筒仓</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hint="default" w:eastAsia="宋体" w:cs="Times New Roman"/>
                      <w:color w:val="auto"/>
                      <w:sz w:val="21"/>
                      <w:szCs w:val="21"/>
                      <w:lang w:val="en-US" w:eastAsia="zh-CN" w:bidi="ar"/>
                    </w:rPr>
                    <w:t>3</w:t>
                  </w:r>
                  <w:r>
                    <w:rPr>
                      <w:rFonts w:eastAsia="宋体" w:cs="Times New Roman"/>
                      <w:color w:val="auto"/>
                      <w:sz w:val="21"/>
                      <w:szCs w:val="21"/>
                      <w:lang w:bidi="ar"/>
                    </w:rPr>
                    <w:t>座</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100吨</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用于水泥储存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rPr>
                  </w:pPr>
                  <w:r>
                    <w:rPr>
                      <w:rFonts w:cs="Times New Roman"/>
                      <w:color w:val="auto"/>
                      <w:sz w:val="21"/>
                      <w:szCs w:val="21"/>
                    </w:rPr>
                    <w:t>2</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highlight w:val="none"/>
                      <w:lang w:val="en-US" w:eastAsia="zh-CN" w:bidi="ar"/>
                    </w:rPr>
                  </w:pPr>
                  <w:r>
                    <w:rPr>
                      <w:rFonts w:hint="default" w:eastAsia="宋体" w:cs="Times New Roman"/>
                      <w:color w:val="auto"/>
                      <w:sz w:val="21"/>
                      <w:szCs w:val="21"/>
                      <w:highlight w:val="none"/>
                      <w:lang w:eastAsia="zh-CN" w:bidi="ar"/>
                    </w:rPr>
                    <w:t>搅拌机</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宋体" w:cs="Times New Roman"/>
                      <w:color w:val="auto"/>
                      <w:sz w:val="21"/>
                      <w:szCs w:val="21"/>
                      <w:highlight w:val="none"/>
                      <w:lang w:eastAsia="zh-CN" w:bidi="ar"/>
                    </w:rPr>
                  </w:pPr>
                  <w:r>
                    <w:rPr>
                      <w:rFonts w:hint="eastAsia" w:eastAsia="宋体" w:cs="Times New Roman"/>
                      <w:color w:val="auto"/>
                      <w:sz w:val="21"/>
                      <w:szCs w:val="21"/>
                      <w:highlight w:val="none"/>
                      <w:lang w:val="en-US" w:eastAsia="zh-CN" w:bidi="ar"/>
                    </w:rPr>
                    <w:t>2</w:t>
                  </w:r>
                  <w:r>
                    <w:rPr>
                      <w:rFonts w:hint="eastAsia" w:eastAsia="宋体" w:cs="Times New Roman"/>
                      <w:color w:val="auto"/>
                      <w:sz w:val="21"/>
                      <w:szCs w:val="21"/>
                      <w:highlight w:val="none"/>
                      <w:lang w:eastAsia="zh-CN" w:bidi="ar"/>
                    </w:rPr>
                    <w:t>台</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用于产品搅拌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rPr>
                  </w:pPr>
                  <w:r>
                    <w:rPr>
                      <w:rFonts w:cs="Times New Roman"/>
                      <w:color w:val="auto"/>
                      <w:sz w:val="21"/>
                      <w:szCs w:val="21"/>
                    </w:rPr>
                    <w:t>3</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传送带</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hint="eastAsia" w:eastAsia="宋体" w:cs="Times New Roman"/>
                      <w:color w:val="auto"/>
                      <w:sz w:val="21"/>
                      <w:szCs w:val="21"/>
                      <w:lang w:val="en-US" w:eastAsia="zh-CN" w:bidi="ar"/>
                    </w:rPr>
                    <w:t>2</w:t>
                  </w:r>
                  <w:r>
                    <w:rPr>
                      <w:rFonts w:eastAsia="宋体" w:cs="Times New Roman"/>
                      <w:color w:val="auto"/>
                      <w:sz w:val="21"/>
                      <w:szCs w:val="21"/>
                      <w:lang w:bidi="ar"/>
                    </w:rPr>
                    <w:t>条</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35m</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用于产品传送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rPr>
                  </w:pPr>
                  <w:r>
                    <w:rPr>
                      <w:rFonts w:cs="Times New Roman"/>
                      <w:color w:val="auto"/>
                      <w:sz w:val="21"/>
                      <w:szCs w:val="21"/>
                    </w:rPr>
                    <w:t>4</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装卸台</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1座</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产品装卸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rPr>
                  </w:pPr>
                  <w:r>
                    <w:rPr>
                      <w:rFonts w:hint="eastAsia" w:eastAsia="宋体" w:cs="Times New Roman"/>
                      <w:color w:val="auto"/>
                      <w:sz w:val="21"/>
                      <w:szCs w:val="21"/>
                      <w:lang w:val="en-US" w:eastAsia="zh-CN"/>
                    </w:rPr>
                    <w:t>5</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废气处理风机</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hint="eastAsia" w:eastAsia="宋体" w:cs="Times New Roman"/>
                      <w:color w:val="auto"/>
                      <w:sz w:val="21"/>
                      <w:szCs w:val="21"/>
                      <w:lang w:val="en-US" w:eastAsia="zh-CN" w:bidi="ar"/>
                    </w:rPr>
                    <w:t>2</w:t>
                  </w:r>
                  <w:r>
                    <w:rPr>
                      <w:rFonts w:eastAsia="宋体" w:cs="Times New Roman"/>
                      <w:color w:val="auto"/>
                      <w:sz w:val="21"/>
                      <w:szCs w:val="21"/>
                      <w:lang w:bidi="ar"/>
                    </w:rPr>
                    <w:t>台</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风量：1</w:t>
                  </w:r>
                  <w:r>
                    <w:rPr>
                      <w:rFonts w:hint="eastAsia" w:eastAsia="宋体" w:cs="Times New Roman"/>
                      <w:color w:val="auto"/>
                      <w:sz w:val="21"/>
                      <w:szCs w:val="21"/>
                      <w:lang w:val="en-US" w:eastAsia="zh-CN" w:bidi="ar"/>
                    </w:rPr>
                    <w:t>0</w:t>
                  </w:r>
                  <w:r>
                    <w:rPr>
                      <w:rFonts w:eastAsia="宋体" w:cs="Times New Roman"/>
                      <w:color w:val="auto"/>
                      <w:sz w:val="21"/>
                      <w:szCs w:val="21"/>
                      <w:lang w:bidi="ar"/>
                    </w:rPr>
                    <w:t>000m³/h</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用于搅拌过程废气治理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SA"/>
                    </w:rPr>
                  </w:pPr>
                  <w:r>
                    <w:rPr>
                      <w:rFonts w:eastAsia="宋体" w:cs="Times New Roman"/>
                      <w:color w:val="auto"/>
                      <w:sz w:val="21"/>
                      <w:szCs w:val="21"/>
                    </w:rPr>
                    <w:t>6</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水泵</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hint="eastAsia" w:eastAsia="宋体" w:cs="Times New Roman"/>
                      <w:color w:val="auto"/>
                      <w:sz w:val="21"/>
                      <w:szCs w:val="21"/>
                      <w:lang w:val="en-US" w:eastAsia="zh-CN" w:bidi="ar"/>
                    </w:rPr>
                    <w:t>2</w:t>
                  </w:r>
                  <w:r>
                    <w:rPr>
                      <w:rFonts w:eastAsia="宋体" w:cs="Times New Roman"/>
                      <w:color w:val="auto"/>
                      <w:sz w:val="21"/>
                      <w:szCs w:val="21"/>
                      <w:lang w:bidi="ar"/>
                    </w:rPr>
                    <w:t>台</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提供生产用水、喷淋设施使用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SA"/>
                    </w:rPr>
                  </w:pPr>
                  <w:r>
                    <w:rPr>
                      <w:rFonts w:cs="Times New Roman"/>
                      <w:color w:val="auto"/>
                      <w:sz w:val="21"/>
                      <w:szCs w:val="21"/>
                    </w:rPr>
                    <w:t>7</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空压机</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hint="eastAsia" w:eastAsia="宋体" w:cs="Times New Roman"/>
                      <w:color w:val="auto"/>
                      <w:sz w:val="21"/>
                      <w:szCs w:val="21"/>
                      <w:lang w:val="en-US" w:eastAsia="zh-CN" w:bidi="ar"/>
                    </w:rPr>
                    <w:t>2</w:t>
                  </w:r>
                  <w:r>
                    <w:rPr>
                      <w:rFonts w:eastAsia="宋体" w:cs="Times New Roman"/>
                      <w:color w:val="auto"/>
                      <w:sz w:val="21"/>
                      <w:szCs w:val="21"/>
                      <w:lang w:bidi="ar"/>
                    </w:rPr>
                    <w:t>台</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eastAsia="宋体" w:cs="Times New Roman"/>
                      <w:color w:val="auto"/>
                      <w:sz w:val="21"/>
                      <w:szCs w:val="21"/>
                      <w:lang w:bidi="ar"/>
                    </w:rPr>
                  </w:pPr>
                  <w:r>
                    <w:rPr>
                      <w:rFonts w:eastAsia="宋体" w:cs="Times New Roman"/>
                      <w:color w:val="auto"/>
                      <w:sz w:val="21"/>
                      <w:szCs w:val="21"/>
                      <w:lang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kern w:val="2"/>
                      <w:sz w:val="21"/>
                      <w:szCs w:val="21"/>
                      <w:lang w:val="en-US" w:eastAsia="zh-CN" w:bidi="ar-SA"/>
                    </w:rPr>
                  </w:pPr>
                  <w:r>
                    <w:rPr>
                      <w:rFonts w:cs="Times New Roman"/>
                      <w:color w:val="auto"/>
                      <w:sz w:val="21"/>
                      <w:szCs w:val="21"/>
                    </w:rPr>
                    <w:t>8</w:t>
                  </w:r>
                </w:p>
              </w:tc>
              <w:tc>
                <w:tcPr>
                  <w:tcW w:w="1273"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洒水车</w:t>
                  </w:r>
                </w:p>
              </w:tc>
              <w:tc>
                <w:tcPr>
                  <w:tcW w:w="65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1辆</w:t>
                  </w:r>
                </w:p>
              </w:tc>
              <w:tc>
                <w:tcPr>
                  <w:tcW w:w="993"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w:t>
                  </w:r>
                </w:p>
              </w:tc>
              <w:tc>
                <w:tcPr>
                  <w:tcW w:w="1658"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rPr>
                    <w:t>厂区洒水降尘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宋体" w:cs="Times New Roman"/>
                      <w:color w:val="auto"/>
                      <w:sz w:val="21"/>
                      <w:szCs w:val="21"/>
                      <w:lang w:val="en-US" w:eastAsia="zh-CN" w:bidi="ar"/>
                    </w:rPr>
                  </w:pPr>
                  <w:r>
                    <w:rPr>
                      <w:rFonts w:hint="eastAsia" w:eastAsia="宋体" w:cs="Times New Roman"/>
                      <w:color w:val="auto"/>
                      <w:sz w:val="21"/>
                      <w:szCs w:val="21"/>
                      <w:lang w:val="en-US" w:eastAsia="zh-CN" w:bidi="ar"/>
                    </w:rPr>
                    <w:t>9</w:t>
                  </w:r>
                </w:p>
              </w:tc>
              <w:tc>
                <w:tcPr>
                  <w:tcW w:w="1273"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铲车</w:t>
                  </w:r>
                </w:p>
              </w:tc>
              <w:tc>
                <w:tcPr>
                  <w:tcW w:w="65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1辆</w:t>
                  </w:r>
                </w:p>
              </w:tc>
              <w:tc>
                <w:tcPr>
                  <w:tcW w:w="99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国四</w:t>
                  </w:r>
                </w:p>
              </w:tc>
              <w:tc>
                <w:tcPr>
                  <w:tcW w:w="165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
                    </w:rPr>
                  </w:pPr>
                  <w:r>
                    <w:rPr>
                      <w:rFonts w:eastAsia="宋体" w:cs="Times New Roman"/>
                      <w:color w:val="auto"/>
                      <w:sz w:val="21"/>
                      <w:szCs w:val="21"/>
                      <w:lang w:bidi="ar"/>
                    </w:rPr>
                    <w:t>用于厂区物料输送</w:t>
                  </w:r>
                </w:p>
              </w:tc>
            </w:tr>
          </w:tbl>
          <w:p>
            <w:pPr>
              <w:widowControl/>
              <w:ind w:firstLine="482" w:firstLineChars="200"/>
              <w:rPr>
                <w:rFonts w:cs="Times New Roman"/>
                <w:b/>
                <w:color w:val="auto"/>
              </w:rPr>
            </w:pPr>
            <w:r>
              <w:rPr>
                <w:rFonts w:cs="Times New Roman"/>
                <w:b/>
                <w:color w:val="auto"/>
              </w:rPr>
              <w:t>6</w:t>
            </w:r>
            <w:r>
              <w:rPr>
                <w:rFonts w:cs="Times New Roman"/>
                <w:b/>
                <w:color w:val="auto"/>
                <w:lang w:val="zh-CN"/>
              </w:rPr>
              <w:t>、公用工程</w:t>
            </w:r>
          </w:p>
          <w:p>
            <w:pPr>
              <w:ind w:firstLine="482" w:firstLineChars="200"/>
              <w:rPr>
                <w:rFonts w:cs="Times New Roman"/>
                <w:b/>
                <w:bCs/>
                <w:color w:val="auto"/>
                <w:lang w:val="zh-CN"/>
              </w:rPr>
            </w:pPr>
            <w:r>
              <w:rPr>
                <w:rFonts w:cs="Times New Roman"/>
                <w:b/>
                <w:bCs/>
                <w:color w:val="auto"/>
                <w:lang w:val="zh-CN"/>
              </w:rPr>
              <w:t>（</w:t>
            </w:r>
            <w:r>
              <w:rPr>
                <w:rFonts w:cs="Times New Roman"/>
                <w:b/>
                <w:bCs/>
                <w:color w:val="auto"/>
              </w:rPr>
              <w:t>1）</w:t>
            </w:r>
            <w:r>
              <w:rPr>
                <w:rFonts w:cs="Times New Roman"/>
                <w:b/>
                <w:bCs/>
                <w:color w:val="auto"/>
                <w:lang w:val="zh-CN"/>
              </w:rPr>
              <w:t>给水</w:t>
            </w:r>
          </w:p>
          <w:p>
            <w:pPr>
              <w:ind w:firstLine="480" w:firstLineChars="200"/>
              <w:rPr>
                <w:rFonts w:hint="eastAsia" w:cs="Times New Roman"/>
                <w:color w:val="auto"/>
                <w:lang w:val="en-US" w:eastAsia="zh-CN"/>
              </w:rPr>
            </w:pPr>
            <w:r>
              <w:rPr>
                <w:rFonts w:hint="eastAsia" w:cs="Times New Roman"/>
                <w:color w:val="auto"/>
                <w:lang w:val="en-US" w:eastAsia="zh-CN"/>
              </w:rPr>
              <w:t>项目主要用水为职工生活用水、生产配比用水、车辆冲洗用水、喷淋抑尘用水、路面洒水、养护用水。</w:t>
            </w:r>
          </w:p>
          <w:p>
            <w:pPr>
              <w:ind w:firstLine="480" w:firstLineChars="200"/>
              <w:rPr>
                <w:rFonts w:hint="default" w:cs="Times New Roman"/>
                <w:color w:val="auto"/>
                <w:lang w:val="en-US" w:eastAsia="zh-CN"/>
              </w:rPr>
            </w:pPr>
            <w:r>
              <w:rPr>
                <w:rFonts w:hint="eastAsia" w:cs="Times New Roman"/>
                <w:color w:val="auto"/>
                <w:lang w:val="en-US" w:eastAsia="zh-CN"/>
              </w:rPr>
              <w:t>1）职工生活用水</w:t>
            </w:r>
          </w:p>
          <w:p>
            <w:pPr>
              <w:ind w:firstLine="480" w:firstLineChars="200"/>
              <w:rPr>
                <w:rFonts w:hint="eastAsia" w:cs="Times New Roman"/>
                <w:color w:val="auto"/>
                <w:lang w:val="en-US" w:eastAsia="zh-CN"/>
              </w:rPr>
            </w:pPr>
            <w:r>
              <w:rPr>
                <w:rFonts w:hint="eastAsia" w:cs="Times New Roman"/>
                <w:color w:val="auto"/>
                <w:lang w:val="en-US" w:eastAsia="zh-CN"/>
              </w:rPr>
              <w:t>本项目劳动定员10人，年工作300天，每天8小时。参照《陕西省行业用水定额》（DB61/T943-2020），“表B.17 行政办公及科研院所用水定额中先进值10</w:t>
            </w:r>
            <w:r>
              <w:rPr>
                <w:rFonts w:hint="eastAsia" w:cs="Times New Roman"/>
                <w:color w:val="auto"/>
                <w:highlight w:val="none"/>
                <w:lang w:val="en-US" w:eastAsia="zh-CN"/>
              </w:rPr>
              <w:t>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/（人•a）”，经计算，本项目员工生活日用水量为0.33m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/d，年用水量为100m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/a。</w:t>
            </w:r>
          </w:p>
          <w:p>
            <w:pPr>
              <w:ind w:firstLine="480" w:firstLineChars="200"/>
              <w:rPr>
                <w:rFonts w:eastAsia="宋体" w:cs="Times New Roman"/>
                <w:color w:val="auto"/>
                <w:szCs w:val="24"/>
              </w:rPr>
            </w:pPr>
            <w:r>
              <w:rPr>
                <w:rFonts w:hint="eastAsia" w:eastAsia="宋体" w:cs="Times New Roman"/>
                <w:color w:val="auto"/>
                <w:szCs w:val="24"/>
                <w:lang w:val="en-US" w:eastAsia="zh-CN"/>
              </w:rPr>
              <w:t>2</w:t>
            </w:r>
            <w:r>
              <w:rPr>
                <w:rFonts w:eastAsia="宋体" w:cs="Times New Roman"/>
                <w:color w:val="auto"/>
                <w:szCs w:val="24"/>
              </w:rPr>
              <w:t>）生产配比用水</w:t>
            </w:r>
          </w:p>
          <w:p>
            <w:pPr>
              <w:ind w:firstLine="480" w:firstLineChars="200"/>
              <w:rPr>
                <w:rFonts w:eastAsia="宋体" w:cs="Times New Roman"/>
                <w:color w:val="auto"/>
                <w:szCs w:val="24"/>
              </w:rPr>
            </w:pPr>
            <w:r>
              <w:rPr>
                <w:rFonts w:eastAsia="宋体" w:cs="Times New Roman"/>
                <w:color w:val="auto"/>
                <w:szCs w:val="24"/>
              </w:rPr>
              <w:t>根据企业提供的资料，本项目水稳材料原辅材料主要为：水泥（4%）、砂子（30%）、石子（65%）、水（1%）。水稳材料生产线生产规模为20万t/a，则搅拌用水量为2000t/a。配料用水全部进入产品。</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本项目优质环保水泥砖原辅材料主要为</w:t>
            </w:r>
            <w:r>
              <w:rPr>
                <w:rFonts w:hint="eastAsia" w:ascii="Times New Roman" w:hAnsi="Times New Roman" w:eastAsia="宋体" w:cs="Times New Roman"/>
                <w:b w:val="0"/>
                <w:bCs w:val="0"/>
                <w:color w:val="auto"/>
                <w:kern w:val="2"/>
                <w:sz w:val="24"/>
                <w:szCs w:val="24"/>
                <w:lang w:val="en-US" w:eastAsia="zh-CN" w:bidi="ar-SA"/>
              </w:rPr>
              <w:t>：再生骨料（82%）、砂子（1%）、水泥（12%）、水（5%）。优质环保水泥砖生产线生产规模为5000万块，则搅拌用水量为6250</w:t>
            </w:r>
            <w:r>
              <w:rPr>
                <w:rFonts w:hint="default" w:ascii="Times New Roman" w:hAnsi="Times New Roman" w:eastAsia="宋体" w:cs="Times New Roman"/>
                <w:b w:val="0"/>
                <w:bCs w:val="0"/>
                <w:color w:val="auto"/>
                <w:kern w:val="2"/>
                <w:sz w:val="24"/>
                <w:szCs w:val="24"/>
                <w:lang w:val="en-US" w:eastAsia="zh-CN" w:bidi="ar-SA"/>
              </w:rPr>
              <w:t>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default" w:ascii="Times New Roman" w:hAnsi="Times New Roman" w:eastAsia="宋体" w:cs="Times New Roman"/>
                <w:b w:val="0"/>
                <w:bCs w:val="0"/>
                <w:color w:val="auto"/>
                <w:kern w:val="2"/>
                <w:sz w:val="24"/>
                <w:szCs w:val="24"/>
                <w:lang w:val="en-US" w:eastAsia="zh-CN" w:bidi="ar-SA"/>
              </w:rPr>
              <w:t>/a。</w:t>
            </w:r>
            <w:r>
              <w:rPr>
                <w:rFonts w:hint="eastAsia" w:ascii="Times New Roman" w:hAnsi="Times New Roman" w:eastAsia="宋体" w:cs="Times New Roman"/>
                <w:b w:val="0"/>
                <w:bCs w:val="0"/>
                <w:color w:val="auto"/>
                <w:kern w:val="2"/>
                <w:sz w:val="24"/>
                <w:szCs w:val="24"/>
                <w:lang w:val="en-US" w:eastAsia="zh-CN" w:bidi="ar-SA"/>
              </w:rPr>
              <w:t>搅拌用水在使用中部分蒸发损耗，其余全部进入产品。</w:t>
            </w:r>
          </w:p>
          <w:p>
            <w:pPr>
              <w:ind w:firstLine="480" w:firstLineChars="200"/>
              <w:rPr>
                <w:rFonts w:eastAsia="宋体" w:cs="Times New Roman"/>
                <w:color w:val="auto"/>
                <w:szCs w:val="24"/>
              </w:rPr>
            </w:pPr>
            <w:r>
              <w:rPr>
                <w:rFonts w:hint="eastAsia" w:eastAsia="宋体" w:cs="Times New Roman"/>
                <w:color w:val="auto"/>
                <w:szCs w:val="24"/>
                <w:lang w:val="en-US" w:eastAsia="zh-CN"/>
              </w:rPr>
              <w:t>3</w:t>
            </w:r>
            <w:r>
              <w:rPr>
                <w:rFonts w:eastAsia="宋体" w:cs="Times New Roman"/>
                <w:color w:val="auto"/>
                <w:szCs w:val="24"/>
              </w:rPr>
              <w:t>）车辆冲洗用水</w:t>
            </w:r>
          </w:p>
          <w:p>
            <w:pPr>
              <w:ind w:firstLine="480" w:firstLineChars="200"/>
              <w:rPr>
                <w:rFonts w:hint="eastAsia" w:cs="Times New Roman"/>
                <w:color w:val="auto"/>
                <w:lang w:eastAsia="zh-CN"/>
              </w:rPr>
            </w:pPr>
            <w:r>
              <w:rPr>
                <w:rFonts w:hint="eastAsia" w:cs="Times New Roman"/>
                <w:color w:val="auto"/>
                <w:lang w:eastAsia="zh-CN"/>
              </w:rPr>
              <w:t xml:space="preserve">本项目在进入厂区出入厂道路口设置 </w:t>
            </w:r>
            <w:r>
              <w:rPr>
                <w:rFonts w:hint="eastAsia" w:cs="Times New Roman"/>
                <w:color w:val="auto"/>
                <w:lang w:val="en-US" w:eastAsia="zh-CN"/>
              </w:rPr>
              <w:t>1</w:t>
            </w:r>
            <w:r>
              <w:rPr>
                <w:rFonts w:hint="eastAsia" w:cs="Times New Roman"/>
                <w:color w:val="auto"/>
                <w:lang w:eastAsia="zh-CN"/>
              </w:rPr>
              <w:t>个冲洗平台，对进出厂区的运输车辆进行冲洗，减少车辆运输产生的粉尘，厂区平均每天发车为</w:t>
            </w:r>
            <w:r>
              <w:rPr>
                <w:rFonts w:hint="eastAsia" w:cs="Times New Roman"/>
                <w:color w:val="auto"/>
                <w:lang w:val="en-US" w:eastAsia="zh-CN"/>
              </w:rPr>
              <w:t>25</w:t>
            </w:r>
            <w:r>
              <w:rPr>
                <w:rFonts w:hint="eastAsia" w:cs="Times New Roman"/>
                <w:color w:val="auto"/>
                <w:lang w:eastAsia="zh-CN"/>
              </w:rPr>
              <w:t>辆，</w:t>
            </w:r>
            <w:r>
              <w:rPr>
                <w:rFonts w:cs="Times New Roman"/>
                <w:color w:val="auto"/>
              </w:rPr>
              <w:t>年工作时间300天。</w:t>
            </w:r>
            <w:r>
              <w:rPr>
                <w:rFonts w:hint="eastAsia" w:cs="Times New Roman"/>
                <w:color w:val="auto"/>
                <w:lang w:eastAsia="zh-CN"/>
              </w:rPr>
              <w:t>每天每辆车运输进出各冲洗一次，每辆车冲洗时间</w:t>
            </w:r>
            <w:r>
              <w:rPr>
                <w:rFonts w:hint="eastAsia" w:cs="Times New Roman"/>
                <w:color w:val="auto"/>
                <w:lang w:val="en-US" w:eastAsia="zh-CN"/>
              </w:rPr>
              <w:t>2~3</w:t>
            </w:r>
            <w:r>
              <w:rPr>
                <w:rFonts w:hint="eastAsia" w:cs="Times New Roman"/>
                <w:color w:val="auto"/>
                <w:lang w:eastAsia="zh-CN"/>
              </w:rPr>
              <w:t>分钟，</w:t>
            </w:r>
            <w:r>
              <w:rPr>
                <w:rFonts w:hint="eastAsia" w:cs="Times New Roman"/>
                <w:color w:val="auto"/>
                <w:lang w:val="en-US" w:eastAsia="zh-CN"/>
              </w:rPr>
              <w:t>参照</w:t>
            </w:r>
            <w:r>
              <w:rPr>
                <w:rFonts w:cs="Times New Roman"/>
                <w:color w:val="auto"/>
              </w:rPr>
              <w:t>《行业用水定额》（DB61/T943-2020），洗车用水量以55L/辆·次</w:t>
            </w:r>
            <w:r>
              <w:rPr>
                <w:rFonts w:hint="eastAsia" w:cs="Times New Roman"/>
                <w:color w:val="auto"/>
                <w:lang w:val="en-US" w:eastAsia="zh-CN"/>
              </w:rPr>
              <w:t>计</w:t>
            </w:r>
            <w:r>
              <w:rPr>
                <w:rFonts w:cs="Times New Roman"/>
                <w:color w:val="auto"/>
              </w:rPr>
              <w:t>，</w:t>
            </w:r>
            <w:r>
              <w:rPr>
                <w:rFonts w:hint="eastAsia" w:cs="Times New Roman"/>
                <w:color w:val="auto"/>
                <w:lang w:eastAsia="zh-CN"/>
              </w:rPr>
              <w:t xml:space="preserve">则车辆冲洗用水量为 </w:t>
            </w:r>
            <w:r>
              <w:rPr>
                <w:rFonts w:hint="eastAsia" w:cs="Times New Roman"/>
                <w:color w:val="auto"/>
                <w:lang w:val="en-US" w:eastAsia="zh-CN"/>
              </w:rPr>
              <w:t>1.375</w:t>
            </w:r>
            <w:r>
              <w:rPr>
                <w:rFonts w:hint="eastAsia" w:cs="Times New Roman"/>
                <w:color w:val="auto"/>
                <w:lang w:eastAsia="zh-CN"/>
              </w:rPr>
              <w:t>m</w:t>
            </w:r>
            <w:r>
              <w:rPr>
                <w:rFonts w:hint="eastAsia" w:cs="Times New Roman"/>
                <w:color w:val="auto"/>
                <w:vertAlign w:val="superscript"/>
                <w:lang w:eastAsia="zh-CN"/>
              </w:rPr>
              <w:t>3</w:t>
            </w:r>
            <w:r>
              <w:rPr>
                <w:rFonts w:hint="eastAsia" w:cs="Times New Roman"/>
                <w:color w:val="auto"/>
                <w:lang w:eastAsia="zh-CN"/>
              </w:rPr>
              <w:t>/d（</w:t>
            </w:r>
            <w:r>
              <w:rPr>
                <w:rFonts w:hint="eastAsia" w:cs="Times New Roman"/>
                <w:color w:val="auto"/>
                <w:lang w:val="en-US" w:eastAsia="zh-CN"/>
              </w:rPr>
              <w:t>412.5m</w:t>
            </w:r>
            <w:r>
              <w:rPr>
                <w:rFonts w:hint="eastAsia" w:cs="Times New Roman"/>
                <w:color w:val="auto"/>
                <w:vertAlign w:val="superscript"/>
                <w:lang w:val="en-US" w:eastAsia="zh-CN"/>
              </w:rPr>
              <w:t>3</w:t>
            </w:r>
            <w:r>
              <w:rPr>
                <w:rFonts w:hint="eastAsia" w:cs="Times New Roman"/>
                <w:color w:val="auto"/>
                <w:lang w:val="en-US" w:eastAsia="zh-CN"/>
              </w:rPr>
              <w:t>/a</w:t>
            </w:r>
            <w:r>
              <w:rPr>
                <w:rFonts w:hint="eastAsia" w:cs="Times New Roman"/>
                <w:color w:val="auto"/>
                <w:lang w:eastAsia="zh-CN"/>
              </w:rPr>
              <w:t>）。</w:t>
            </w:r>
          </w:p>
          <w:p>
            <w:pPr>
              <w:ind w:firstLine="480" w:firstLineChars="200"/>
              <w:rPr>
                <w:rFonts w:eastAsia="宋体" w:cs="Times New Roman"/>
                <w:color w:val="auto"/>
                <w:szCs w:val="24"/>
              </w:rPr>
            </w:pPr>
            <w:r>
              <w:rPr>
                <w:rFonts w:hint="eastAsia" w:eastAsia="宋体" w:cs="Times New Roman"/>
                <w:color w:val="auto"/>
                <w:szCs w:val="24"/>
                <w:lang w:val="en-US" w:eastAsia="zh-CN"/>
              </w:rPr>
              <w:t>4</w:t>
            </w:r>
            <w:r>
              <w:rPr>
                <w:rFonts w:eastAsia="宋体" w:cs="Times New Roman"/>
                <w:color w:val="auto"/>
                <w:szCs w:val="24"/>
              </w:rPr>
              <w:t>）喷淋抑尘用水</w:t>
            </w:r>
          </w:p>
          <w:p>
            <w:pPr>
              <w:ind w:firstLine="480" w:firstLineChars="200"/>
              <w:rPr>
                <w:rFonts w:eastAsia="宋体" w:cs="Times New Roman"/>
                <w:color w:val="auto"/>
                <w:szCs w:val="24"/>
              </w:rPr>
            </w:pPr>
            <w:r>
              <w:rPr>
                <w:rFonts w:cs="Times New Roman"/>
                <w:color w:val="auto"/>
              </w:rPr>
              <w:t>本项目</w:t>
            </w:r>
            <w:r>
              <w:rPr>
                <w:rFonts w:hint="eastAsia" w:cs="Times New Roman"/>
                <w:color w:val="auto"/>
                <w:lang w:val="en-US" w:eastAsia="zh-CN"/>
              </w:rPr>
              <w:t>在封闭式厂房</w:t>
            </w:r>
            <w:r>
              <w:rPr>
                <w:rFonts w:cs="Times New Roman"/>
                <w:color w:val="auto"/>
              </w:rPr>
              <w:t>顶部</w:t>
            </w:r>
            <w:r>
              <w:rPr>
                <w:rFonts w:hint="eastAsia" w:cs="Times New Roman"/>
                <w:color w:val="auto"/>
                <w:lang w:val="en-US" w:eastAsia="zh-CN"/>
              </w:rPr>
              <w:t>均</w:t>
            </w:r>
            <w:r>
              <w:rPr>
                <w:rFonts w:cs="Times New Roman"/>
                <w:color w:val="auto"/>
              </w:rPr>
              <w:t>配备有喷淋抑尘设施，可有效减少无组织粉尘的排放。根据企业提供的资料，喷雾装置用水量约为10L/min，运营期每天开启6次，每次开启10min。项目年工作300天，则喷淋用水量为180m</w:t>
            </w:r>
            <w:r>
              <w:rPr>
                <w:rFonts w:cs="Times New Roman"/>
                <w:color w:val="auto"/>
                <w:vertAlign w:val="superscript"/>
              </w:rPr>
              <w:t>3</w:t>
            </w:r>
            <w:r>
              <w:rPr>
                <w:rFonts w:cs="Times New Roman"/>
                <w:color w:val="auto"/>
              </w:rPr>
              <w:t>/a（0.6m</w:t>
            </w:r>
            <w:r>
              <w:rPr>
                <w:rFonts w:cs="Times New Roman"/>
                <w:color w:val="auto"/>
                <w:vertAlign w:val="superscript"/>
              </w:rPr>
              <w:t>3</w:t>
            </w:r>
            <w:r>
              <w:rPr>
                <w:rFonts w:cs="Times New Roman"/>
                <w:color w:val="auto"/>
              </w:rPr>
              <w:t>/d）</w:t>
            </w:r>
            <w:r>
              <w:rPr>
                <w:rFonts w:eastAsia="宋体" w:cs="Times New Roman"/>
                <w:color w:val="auto"/>
                <w:szCs w:val="24"/>
              </w:rPr>
              <w:t>。</w:t>
            </w:r>
          </w:p>
          <w:p>
            <w:pPr>
              <w:ind w:firstLine="480" w:firstLineChars="200"/>
              <w:rPr>
                <w:rFonts w:hint="eastAsia" w:eastAsia="宋体" w:cs="Times New Roman"/>
                <w:color w:val="auto"/>
                <w:szCs w:val="24"/>
                <w:lang w:val="en-US" w:eastAsia="zh-CN"/>
              </w:rPr>
            </w:pPr>
            <w:r>
              <w:rPr>
                <w:rFonts w:hint="eastAsia" w:eastAsia="宋体" w:cs="Times New Roman"/>
                <w:color w:val="auto"/>
                <w:szCs w:val="24"/>
                <w:lang w:val="en-US" w:eastAsia="zh-CN"/>
              </w:rPr>
              <w:t>5</w:t>
            </w:r>
            <w:r>
              <w:rPr>
                <w:rFonts w:eastAsia="宋体" w:cs="Times New Roman"/>
                <w:color w:val="auto"/>
                <w:szCs w:val="24"/>
              </w:rPr>
              <w:t>）</w:t>
            </w:r>
            <w:r>
              <w:rPr>
                <w:rFonts w:hint="eastAsia" w:eastAsia="宋体" w:cs="Times New Roman"/>
                <w:color w:val="auto"/>
                <w:szCs w:val="24"/>
                <w:lang w:val="en-US" w:eastAsia="zh-CN"/>
              </w:rPr>
              <w:t>道路洒水</w:t>
            </w:r>
          </w:p>
          <w:p>
            <w:pPr>
              <w:adjustRightInd w:val="0"/>
              <w:snapToGrid w:val="0"/>
              <w:ind w:firstLine="480" w:firstLineChars="200"/>
              <w:rPr>
                <w:rFonts w:cs="Times New Roman"/>
                <w:color w:val="auto"/>
              </w:rPr>
            </w:pPr>
            <w:r>
              <w:rPr>
                <w:rFonts w:cs="Times New Roman"/>
                <w:color w:val="auto"/>
              </w:rPr>
              <w:t>为了进一步控制道路扬尘的产生，项目运营期约每3天对厂内硬化地面洒水1次。根据《行业用水定额》（DB61/T943-2020），道路浇洒用水定额为1.5L/（m</w:t>
            </w:r>
            <w:r>
              <w:rPr>
                <w:rFonts w:cs="Times New Roman"/>
                <w:color w:val="auto"/>
                <w:vertAlign w:val="superscript"/>
              </w:rPr>
              <w:t>2</w:t>
            </w:r>
            <w:r>
              <w:rPr>
                <w:rFonts w:cs="Times New Roman"/>
                <w:color w:val="auto"/>
              </w:rPr>
              <w:t>·d），本项目场地</w:t>
            </w:r>
            <w:r>
              <w:rPr>
                <w:rFonts w:hint="eastAsia" w:cs="Times New Roman"/>
                <w:color w:val="auto"/>
                <w:lang w:val="en-US" w:eastAsia="zh-CN"/>
              </w:rPr>
              <w:t>道路面积</w:t>
            </w:r>
            <w:r>
              <w:rPr>
                <w:rFonts w:cs="Times New Roman"/>
                <w:color w:val="auto"/>
                <w:highlight w:val="none"/>
              </w:rPr>
              <w:t>以</w:t>
            </w:r>
            <w:r>
              <w:rPr>
                <w:rFonts w:hint="eastAsia" w:cs="Times New Roman"/>
                <w:color w:val="auto"/>
                <w:highlight w:val="none"/>
                <w:lang w:val="en-US" w:eastAsia="zh-CN"/>
              </w:rPr>
              <w:t>30</w:t>
            </w:r>
            <w:r>
              <w:rPr>
                <w:rFonts w:cs="Times New Roman"/>
                <w:color w:val="auto"/>
                <w:highlight w:val="none"/>
              </w:rPr>
              <w:t>00m</w:t>
            </w:r>
            <w:r>
              <w:rPr>
                <w:rFonts w:cs="Times New Roman"/>
                <w:color w:val="auto"/>
                <w:highlight w:val="none"/>
                <w:vertAlign w:val="superscript"/>
              </w:rPr>
              <w:t>2</w:t>
            </w:r>
            <w:r>
              <w:rPr>
                <w:rFonts w:cs="Times New Roman"/>
                <w:color w:val="auto"/>
                <w:highlight w:val="none"/>
              </w:rPr>
              <w:t>计</w:t>
            </w:r>
            <w:r>
              <w:rPr>
                <w:rFonts w:cs="Times New Roman"/>
                <w:color w:val="auto"/>
              </w:rPr>
              <w:t>，则每次洒水量为</w:t>
            </w:r>
            <w:r>
              <w:rPr>
                <w:rFonts w:hint="eastAsia" w:cs="Times New Roman"/>
                <w:color w:val="auto"/>
                <w:lang w:val="en-US" w:eastAsia="zh-CN"/>
              </w:rPr>
              <w:t>4.5</w:t>
            </w:r>
            <w:r>
              <w:rPr>
                <w:rFonts w:cs="Times New Roman"/>
                <w:color w:val="auto"/>
              </w:rPr>
              <w:t>m</w:t>
            </w:r>
            <w:r>
              <w:rPr>
                <w:rFonts w:cs="Times New Roman"/>
                <w:color w:val="auto"/>
                <w:vertAlign w:val="superscript"/>
              </w:rPr>
              <w:t>3</w:t>
            </w:r>
            <w:r>
              <w:rPr>
                <w:rFonts w:cs="Times New Roman"/>
                <w:color w:val="auto"/>
              </w:rPr>
              <w:t>。本项目路面洒水量为</w:t>
            </w:r>
            <w:r>
              <w:rPr>
                <w:rFonts w:hint="eastAsia" w:cs="Times New Roman"/>
                <w:color w:val="auto"/>
                <w:lang w:val="en-US" w:eastAsia="zh-CN"/>
              </w:rPr>
              <w:t>450</w:t>
            </w:r>
            <w:r>
              <w:rPr>
                <w:rFonts w:cs="Times New Roman"/>
                <w:color w:val="auto"/>
              </w:rPr>
              <w:t>m</w:t>
            </w:r>
            <w:r>
              <w:rPr>
                <w:rFonts w:cs="Times New Roman"/>
                <w:color w:val="auto"/>
                <w:vertAlign w:val="superscript"/>
              </w:rPr>
              <w:t>3</w:t>
            </w:r>
            <w:r>
              <w:rPr>
                <w:rFonts w:cs="Times New Roman"/>
                <w:color w:val="auto"/>
              </w:rPr>
              <w:t>/a。</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6</w:t>
            </w:r>
            <w:r>
              <w:rPr>
                <w:rFonts w:hint="default" w:ascii="Times New Roman" w:hAnsi="Times New Roman" w:eastAsia="宋体" w:cs="Times New Roman"/>
                <w:b w:val="0"/>
                <w:bCs w:val="0"/>
                <w:color w:val="auto"/>
                <w:kern w:val="2"/>
                <w:sz w:val="24"/>
                <w:szCs w:val="24"/>
                <w:lang w:val="en-US" w:eastAsia="zh-CN" w:bidi="ar-SA"/>
              </w:rPr>
              <w:t>）</w:t>
            </w:r>
            <w:r>
              <w:rPr>
                <w:rFonts w:hint="eastAsia" w:ascii="Times New Roman" w:hAnsi="Times New Roman" w:eastAsia="宋体" w:cs="Times New Roman"/>
                <w:b w:val="0"/>
                <w:bCs w:val="0"/>
                <w:color w:val="auto"/>
                <w:kern w:val="2"/>
                <w:sz w:val="24"/>
                <w:szCs w:val="24"/>
                <w:lang w:val="en-US" w:eastAsia="zh-CN" w:bidi="ar-SA"/>
              </w:rPr>
              <w:t>水泥砖养护</w:t>
            </w:r>
            <w:r>
              <w:rPr>
                <w:rFonts w:hint="default" w:ascii="Times New Roman" w:hAnsi="Times New Roman" w:eastAsia="宋体" w:cs="Times New Roman"/>
                <w:b w:val="0"/>
                <w:bCs w:val="0"/>
                <w:color w:val="auto"/>
                <w:kern w:val="2"/>
                <w:sz w:val="24"/>
                <w:szCs w:val="24"/>
                <w:lang w:val="en-US" w:eastAsia="zh-CN" w:bidi="ar-SA"/>
              </w:rPr>
              <w:t>用水</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项目生产产品为环保水泥砖5000万块，约12.5万t/a，根据建设单位提供资料，水泥砖自然养护过程中加水比例为：产品：水=1:0.01，则年需用水量为1250m</w:t>
            </w:r>
            <w:r>
              <w:rPr>
                <w:rFonts w:hint="eastAsia"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/a（4.17m</w:t>
            </w:r>
            <w:r>
              <w:rPr>
                <w:rFonts w:hint="eastAsia" w:ascii="Times New Roman" w:hAnsi="Times New Roman" w:eastAsia="宋体" w:cs="Times New Roman"/>
                <w:b w:val="0"/>
                <w:bCs w:val="0"/>
                <w:color w:val="auto"/>
                <w:kern w:val="2"/>
                <w:sz w:val="24"/>
                <w:szCs w:val="24"/>
                <w:vertAlign w:val="superscript"/>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/d）。在养护过程中蒸发损耗，无废水产生。</w:t>
            </w:r>
          </w:p>
          <w:p>
            <w:pPr>
              <w:ind w:firstLine="482" w:firstLineChars="200"/>
              <w:rPr>
                <w:rFonts w:cs="Times New Roman"/>
                <w:b/>
                <w:bCs/>
                <w:color w:val="auto"/>
                <w:szCs w:val="24"/>
              </w:rPr>
            </w:pPr>
            <w:r>
              <w:rPr>
                <w:rFonts w:cs="Times New Roman"/>
                <w:b/>
                <w:bCs/>
                <w:color w:val="auto"/>
                <w:szCs w:val="24"/>
              </w:rPr>
              <w:t>（2）排水</w:t>
            </w:r>
          </w:p>
          <w:p>
            <w:pPr>
              <w:ind w:firstLine="480" w:firstLineChars="200"/>
              <w:rPr>
                <w:rFonts w:cs="Times New Roman"/>
                <w:color w:val="auto"/>
              </w:rPr>
            </w:pPr>
            <w:r>
              <w:rPr>
                <w:rFonts w:cs="Times New Roman"/>
                <w:color w:val="auto"/>
              </w:rPr>
              <w:t>本项目</w:t>
            </w:r>
            <w:r>
              <w:rPr>
                <w:rFonts w:hint="eastAsia" w:cs="Times New Roman"/>
                <w:color w:val="auto"/>
                <w:lang w:eastAsia="zh-CN"/>
              </w:rPr>
              <w:t>生活污水经化粪池处理后，定期清掏用作农肥，不外排；洗车废水经洗车台沉淀处理后循环使用；</w:t>
            </w:r>
            <w:r>
              <w:rPr>
                <w:rFonts w:cs="Times New Roman"/>
                <w:color w:val="auto"/>
              </w:rPr>
              <w:t>生产配比用水、喷淋抑尘用水和</w:t>
            </w:r>
            <w:r>
              <w:rPr>
                <w:rFonts w:hint="eastAsia" w:cs="Times New Roman"/>
                <w:color w:val="auto"/>
                <w:lang w:val="en-US" w:eastAsia="zh-CN"/>
              </w:rPr>
              <w:t>道路清扫用水</w:t>
            </w:r>
            <w:r>
              <w:rPr>
                <w:rFonts w:hint="eastAsia" w:cs="Times New Roman"/>
                <w:color w:val="auto"/>
                <w:lang w:eastAsia="zh-CN"/>
              </w:rPr>
              <w:t>、养护用水</w:t>
            </w:r>
            <w:r>
              <w:rPr>
                <w:rFonts w:cs="Times New Roman"/>
                <w:color w:val="auto"/>
              </w:rPr>
              <w:t>全部进入产品、地面或空气，无废水产生。</w:t>
            </w:r>
          </w:p>
          <w:p>
            <w:pPr>
              <w:ind w:firstLine="480" w:firstLineChars="200"/>
              <w:rPr>
                <w:rFonts w:hint="eastAsia" w:cs="Times New Roman"/>
                <w:color w:val="auto"/>
                <w:lang w:eastAsia="zh-CN"/>
              </w:rPr>
            </w:pPr>
            <w:r>
              <w:rPr>
                <w:rFonts w:hint="eastAsia" w:cs="Times New Roman"/>
                <w:color w:val="auto"/>
                <w:lang w:eastAsia="zh-CN"/>
              </w:rPr>
              <w:t>职工生活污水：排放量按用水量的80%计算，则项目生活污水产生量为</w:t>
            </w:r>
            <w:r>
              <w:rPr>
                <w:rFonts w:hint="eastAsia" w:cs="Times New Roman"/>
                <w:color w:val="auto"/>
                <w:lang w:val="en-US" w:eastAsia="zh-CN"/>
              </w:rPr>
              <w:t>80</w:t>
            </w:r>
            <w:r>
              <w:rPr>
                <w:rFonts w:hint="eastAsia" w:cs="Times New Roman"/>
                <w:color w:val="auto"/>
                <w:lang w:eastAsia="zh-CN"/>
              </w:rPr>
              <w:t>m</w:t>
            </w:r>
            <w:r>
              <w:rPr>
                <w:rFonts w:hint="eastAsia" w:cs="Times New Roman"/>
                <w:color w:val="auto"/>
                <w:vertAlign w:val="superscript"/>
                <w:lang w:eastAsia="zh-CN"/>
              </w:rPr>
              <w:t>3</w:t>
            </w:r>
            <w:r>
              <w:rPr>
                <w:rFonts w:hint="eastAsia" w:cs="Times New Roman"/>
                <w:color w:val="auto"/>
                <w:lang w:eastAsia="zh-CN"/>
              </w:rPr>
              <w:t>/a（</w:t>
            </w:r>
            <w:r>
              <w:rPr>
                <w:rFonts w:hint="eastAsia" w:cs="Times New Roman"/>
                <w:color w:val="auto"/>
                <w:lang w:val="en-US" w:eastAsia="zh-CN"/>
              </w:rPr>
              <w:t>0.27</w:t>
            </w:r>
            <w:r>
              <w:rPr>
                <w:rFonts w:hint="eastAsia" w:cs="Times New Roman"/>
                <w:color w:val="auto"/>
                <w:lang w:eastAsia="zh-CN"/>
              </w:rPr>
              <w:t>m</w:t>
            </w:r>
            <w:r>
              <w:rPr>
                <w:rFonts w:hint="eastAsia" w:cs="Times New Roman"/>
                <w:color w:val="auto"/>
                <w:vertAlign w:val="superscript"/>
                <w:lang w:eastAsia="zh-CN"/>
              </w:rPr>
              <w:t>3</w:t>
            </w:r>
            <w:r>
              <w:rPr>
                <w:rFonts w:hint="eastAsia" w:cs="Times New Roman"/>
                <w:color w:val="auto"/>
                <w:lang w:eastAsia="zh-CN"/>
              </w:rPr>
              <w:t>/d）。生活污水经化粪池处理后，定期清掏用作农肥，不外排。</w:t>
            </w:r>
          </w:p>
          <w:p>
            <w:pPr>
              <w:ind w:firstLine="480" w:firstLineChars="200"/>
              <w:rPr>
                <w:rFonts w:eastAsia="宋体" w:cs="Times New Roman"/>
                <w:color w:val="auto"/>
                <w:szCs w:val="24"/>
              </w:rPr>
            </w:pPr>
            <w:r>
              <w:rPr>
                <w:rFonts w:cs="Times New Roman"/>
                <w:color w:val="auto"/>
              </w:rPr>
              <w:t>车辆冲洗废水：洗车用水损耗以20%计，则洗车补充用水量</w:t>
            </w:r>
            <w:r>
              <w:rPr>
                <w:rFonts w:cs="Times New Roman"/>
                <w:color w:val="auto"/>
                <w:highlight w:val="none"/>
              </w:rPr>
              <w:t>为</w:t>
            </w:r>
            <w:r>
              <w:rPr>
                <w:rFonts w:hint="eastAsia" w:cs="Times New Roman"/>
                <w:color w:val="auto"/>
                <w:highlight w:val="none"/>
                <w:lang w:val="en-US" w:eastAsia="zh-CN"/>
              </w:rPr>
              <w:t>82.5</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/a（</w:t>
            </w:r>
            <w:r>
              <w:rPr>
                <w:rFonts w:hint="eastAsia" w:cs="Times New Roman"/>
                <w:color w:val="auto"/>
                <w:highlight w:val="none"/>
                <w:lang w:val="en-US" w:eastAsia="zh-CN"/>
              </w:rPr>
              <w:t>0.275</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/d）。冲洗废水产生量为</w:t>
            </w:r>
            <w:r>
              <w:rPr>
                <w:rFonts w:hint="eastAsia" w:cs="Times New Roman"/>
                <w:color w:val="auto"/>
                <w:highlight w:val="none"/>
                <w:lang w:val="en-US" w:eastAsia="zh-CN"/>
              </w:rPr>
              <w:t>330</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/a（</w:t>
            </w:r>
            <w:r>
              <w:rPr>
                <w:rFonts w:hint="eastAsia" w:cs="Times New Roman"/>
                <w:color w:val="auto"/>
                <w:highlight w:val="none"/>
                <w:lang w:val="en-US" w:eastAsia="zh-CN"/>
              </w:rPr>
              <w:t>1.1</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/d），洗车废水经洗车台沉淀处理后循</w:t>
            </w:r>
            <w:r>
              <w:rPr>
                <w:rFonts w:cs="Times New Roman"/>
                <w:color w:val="auto"/>
              </w:rPr>
              <w:t>环使用。</w:t>
            </w:r>
            <w:r>
              <w:rPr>
                <w:rFonts w:eastAsia="宋体" w:cs="Times New Roman"/>
                <w:color w:val="auto"/>
                <w:szCs w:val="24"/>
              </w:rPr>
              <w:t>本项目</w:t>
            </w:r>
            <w:r>
              <w:rPr>
                <w:rFonts w:eastAsia="宋体" w:cs="Times New Roman"/>
                <w:color w:val="auto"/>
                <w:szCs w:val="24"/>
                <w:lang w:val="zh-CN"/>
              </w:rPr>
              <w:t>水平衡</w:t>
            </w:r>
            <w:r>
              <w:rPr>
                <w:rFonts w:hint="eastAsia" w:eastAsia="宋体" w:cs="Times New Roman"/>
                <w:color w:val="auto"/>
                <w:szCs w:val="24"/>
                <w:lang w:val="zh-CN"/>
              </w:rPr>
              <w:t>见</w:t>
            </w:r>
            <w:r>
              <w:rPr>
                <w:rFonts w:eastAsia="宋体" w:cs="Times New Roman"/>
                <w:color w:val="auto"/>
                <w:szCs w:val="24"/>
              </w:rPr>
              <w:t>表2-</w:t>
            </w:r>
            <w:r>
              <w:rPr>
                <w:rFonts w:hint="eastAsia" w:eastAsia="宋体" w:cs="Times New Roman"/>
                <w:color w:val="auto"/>
                <w:szCs w:val="24"/>
                <w:lang w:val="en-US" w:eastAsia="zh-CN"/>
              </w:rPr>
              <w:t>7</w:t>
            </w:r>
            <w:r>
              <w:rPr>
                <w:rFonts w:eastAsia="宋体" w:cs="Times New Roman"/>
                <w:color w:val="auto"/>
                <w:szCs w:val="24"/>
              </w:rPr>
              <w:t>，</w:t>
            </w:r>
            <w:r>
              <w:rPr>
                <w:rFonts w:hint="eastAsia" w:eastAsia="宋体" w:cs="Times New Roman"/>
                <w:color w:val="auto"/>
                <w:szCs w:val="24"/>
                <w:lang w:eastAsia="zh-CN"/>
              </w:rPr>
              <w:t>项目</w:t>
            </w:r>
            <w:r>
              <w:rPr>
                <w:rFonts w:eastAsia="宋体" w:cs="Times New Roman"/>
                <w:color w:val="auto"/>
                <w:szCs w:val="24"/>
              </w:rPr>
              <w:t>水平衡图见图2-</w:t>
            </w:r>
            <w:r>
              <w:rPr>
                <w:rFonts w:hint="eastAsia" w:eastAsia="宋体" w:cs="Times New Roman"/>
                <w:color w:val="auto"/>
                <w:szCs w:val="24"/>
                <w:lang w:val="en-US" w:eastAsia="zh-CN"/>
              </w:rPr>
              <w:t>3</w:t>
            </w:r>
            <w:r>
              <w:rPr>
                <w:rFonts w:eastAsia="宋体" w:cs="Times New Roman"/>
                <w:color w:val="auto"/>
                <w:szCs w:val="24"/>
              </w:rPr>
              <w:t>。</w:t>
            </w:r>
          </w:p>
          <w:p>
            <w:pPr>
              <w:autoSpaceDE w:val="0"/>
              <w:autoSpaceDN w:val="0"/>
              <w:adjustRightInd w:val="0"/>
              <w:snapToGrid w:val="0"/>
              <w:spacing w:line="240" w:lineRule="auto"/>
              <w:jc w:val="right"/>
              <w:rPr>
                <w:rFonts w:eastAsia="宋体" w:cs="Times New Roman"/>
                <w:b/>
                <w:color w:val="auto"/>
                <w:sz w:val="21"/>
                <w:szCs w:val="21"/>
                <w:lang w:bidi="zh-CN"/>
              </w:rPr>
            </w:pPr>
            <w:r>
              <w:rPr>
                <w:rFonts w:eastAsia="宋体" w:cs="Times New Roman"/>
                <w:b/>
                <w:color w:val="auto"/>
                <w:sz w:val="21"/>
                <w:szCs w:val="21"/>
                <w:lang w:val="zh-CN" w:bidi="zh-CN"/>
              </w:rPr>
              <w:t>表</w:t>
            </w:r>
            <w:r>
              <w:rPr>
                <w:rFonts w:eastAsia="宋体" w:cs="Times New Roman"/>
                <w:b/>
                <w:color w:val="auto"/>
                <w:sz w:val="21"/>
                <w:szCs w:val="21"/>
                <w:lang w:bidi="zh-CN"/>
              </w:rPr>
              <w:t>2-</w:t>
            </w:r>
            <w:r>
              <w:rPr>
                <w:rFonts w:hint="eastAsia" w:eastAsia="宋体" w:cs="Times New Roman"/>
                <w:b/>
                <w:color w:val="auto"/>
                <w:sz w:val="21"/>
                <w:szCs w:val="21"/>
                <w:lang w:val="en-US" w:bidi="zh-CN"/>
              </w:rPr>
              <w:t>7</w:t>
            </w:r>
            <w:r>
              <w:rPr>
                <w:rFonts w:hint="eastAsia" w:eastAsia="宋体" w:cs="Times New Roman"/>
                <w:b/>
                <w:color w:val="auto"/>
                <w:sz w:val="21"/>
                <w:szCs w:val="21"/>
                <w:lang w:val="zh-CN" w:bidi="zh-CN"/>
              </w:rPr>
              <w:t>项目</w:t>
            </w:r>
            <w:r>
              <w:rPr>
                <w:rFonts w:eastAsia="宋体" w:cs="Times New Roman"/>
                <w:b/>
                <w:color w:val="auto"/>
                <w:sz w:val="21"/>
                <w:szCs w:val="21"/>
                <w:lang w:val="zh-CN" w:bidi="zh-CN"/>
              </w:rPr>
              <w:t>水平衡表</w:t>
            </w:r>
            <w:r>
              <w:rPr>
                <w:rFonts w:hint="eastAsia" w:eastAsia="宋体" w:cs="Times New Roman"/>
                <w:b/>
                <w:color w:val="auto"/>
                <w:sz w:val="21"/>
                <w:szCs w:val="21"/>
                <w:lang w:val="en-US" w:bidi="zh-CN"/>
              </w:rPr>
              <w:t xml:space="preserve">                     </w:t>
            </w:r>
            <w:r>
              <w:rPr>
                <w:rFonts w:eastAsia="宋体" w:cs="Times New Roman"/>
                <w:b/>
                <w:color w:val="auto"/>
                <w:sz w:val="21"/>
                <w:szCs w:val="21"/>
                <w:lang w:bidi="zh-CN"/>
              </w:rPr>
              <w:t>（</w:t>
            </w:r>
            <w:r>
              <w:rPr>
                <w:rFonts w:hint="eastAsia" w:eastAsia="宋体" w:cs="Times New Roman"/>
                <w:b/>
                <w:color w:val="auto"/>
                <w:sz w:val="21"/>
                <w:szCs w:val="21"/>
                <w:lang w:val="en-US" w:bidi="zh-CN"/>
              </w:rPr>
              <w:t>单位：</w:t>
            </w:r>
            <w:r>
              <w:rPr>
                <w:rFonts w:eastAsia="宋体" w:cs="Times New Roman"/>
                <w:b/>
                <w:color w:val="auto"/>
                <w:sz w:val="21"/>
                <w:szCs w:val="21"/>
                <w:lang w:bidi="zh-CN"/>
              </w:rPr>
              <w:t>m</w:t>
            </w:r>
            <w:r>
              <w:rPr>
                <w:rFonts w:eastAsia="宋体" w:cs="Times New Roman"/>
                <w:b/>
                <w:color w:val="auto"/>
                <w:sz w:val="21"/>
                <w:szCs w:val="21"/>
                <w:vertAlign w:val="superscript"/>
                <w:lang w:bidi="zh-CN"/>
              </w:rPr>
              <w:t>3</w:t>
            </w:r>
            <w:r>
              <w:rPr>
                <w:rFonts w:eastAsia="宋体" w:cs="Times New Roman"/>
                <w:b/>
                <w:color w:val="auto"/>
                <w:sz w:val="21"/>
                <w:szCs w:val="21"/>
                <w:lang w:bidi="zh-CN"/>
              </w:rPr>
              <w:t>/a）</w:t>
            </w:r>
          </w:p>
          <w:tbl>
            <w:tblPr>
              <w:tblStyle w:val="22"/>
              <w:tblW w:w="4995"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731"/>
              <w:gridCol w:w="923"/>
              <w:gridCol w:w="701"/>
              <w:gridCol w:w="908"/>
              <w:gridCol w:w="927"/>
              <w:gridCol w:w="682"/>
              <w:gridCol w:w="736"/>
              <w:gridCol w:w="191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序号</w:t>
                  </w:r>
                </w:p>
              </w:tc>
              <w:tc>
                <w:tcPr>
                  <w:tcW w:w="961"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用水分类</w:t>
                  </w:r>
                </w:p>
              </w:tc>
              <w:tc>
                <w:tcPr>
                  <w:tcW w:w="512" w:type="pct"/>
                  <w:tcBorders>
                    <w:tl2br w:val="nil"/>
                    <w:tr2bl w:val="nil"/>
                  </w:tcBorders>
                  <w:vAlign w:val="center"/>
                </w:tcPr>
                <w:p>
                  <w:pPr>
                    <w:adjustRightInd w:val="0"/>
                    <w:snapToGrid w:val="0"/>
                    <w:spacing w:line="240" w:lineRule="auto"/>
                    <w:jc w:val="center"/>
                    <w:rPr>
                      <w:rFonts w:hint="eastAsia" w:eastAsia="宋体" w:cs="Times New Roman"/>
                      <w:b/>
                      <w:color w:val="auto"/>
                      <w:kern w:val="0"/>
                      <w:sz w:val="21"/>
                      <w:szCs w:val="21"/>
                      <w:lang w:eastAsia="zh-CN"/>
                    </w:rPr>
                  </w:pPr>
                  <w:r>
                    <w:rPr>
                      <w:rFonts w:hint="eastAsia" w:eastAsia="宋体" w:cs="Times New Roman"/>
                      <w:b/>
                      <w:color w:val="auto"/>
                      <w:kern w:val="0"/>
                      <w:sz w:val="21"/>
                      <w:szCs w:val="21"/>
                      <w:highlight w:val="none"/>
                      <w:lang w:val="en-US" w:eastAsia="zh-CN"/>
                    </w:rPr>
                    <w:t>新鲜水</w:t>
                  </w:r>
                  <w:r>
                    <w:rPr>
                      <w:rFonts w:eastAsia="宋体" w:cs="Times New Roman"/>
                      <w:b/>
                      <w:color w:val="auto"/>
                      <w:kern w:val="0"/>
                      <w:sz w:val="21"/>
                      <w:szCs w:val="21"/>
                      <w:highlight w:val="none"/>
                    </w:rPr>
                    <w:t>用水量</w:t>
                  </w:r>
                </w:p>
              </w:tc>
              <w:tc>
                <w:tcPr>
                  <w:tcW w:w="389"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回用水量</w:t>
                  </w:r>
                </w:p>
              </w:tc>
              <w:tc>
                <w:tcPr>
                  <w:tcW w:w="504"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总用水量</w:t>
                  </w:r>
                </w:p>
              </w:tc>
              <w:tc>
                <w:tcPr>
                  <w:tcW w:w="514"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损耗量</w:t>
                  </w:r>
                </w:p>
              </w:tc>
              <w:tc>
                <w:tcPr>
                  <w:tcW w:w="378"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废水量</w:t>
                  </w:r>
                </w:p>
              </w:tc>
              <w:tc>
                <w:tcPr>
                  <w:tcW w:w="408"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排放量</w:t>
                  </w:r>
                </w:p>
              </w:tc>
              <w:tc>
                <w:tcPr>
                  <w:tcW w:w="1063" w:type="pct"/>
                  <w:tcBorders>
                    <w:tl2br w:val="nil"/>
                    <w:tr2bl w:val="nil"/>
                  </w:tcBorders>
                  <w:vAlign w:val="center"/>
                </w:tcPr>
                <w:p>
                  <w:pPr>
                    <w:adjustRightInd w:val="0"/>
                    <w:snapToGrid w:val="0"/>
                    <w:spacing w:line="240" w:lineRule="auto"/>
                    <w:jc w:val="center"/>
                    <w:rPr>
                      <w:rFonts w:eastAsia="宋体" w:cs="Times New Roman"/>
                      <w:b/>
                      <w:color w:val="auto"/>
                      <w:kern w:val="0"/>
                      <w:sz w:val="21"/>
                      <w:szCs w:val="21"/>
                    </w:rPr>
                  </w:pPr>
                  <w:r>
                    <w:rPr>
                      <w:rFonts w:eastAsia="宋体" w:cs="Times New Roman"/>
                      <w:b/>
                      <w:color w:val="auto"/>
                      <w:kern w:val="0"/>
                      <w:sz w:val="21"/>
                      <w:szCs w:val="21"/>
                    </w:rPr>
                    <w:t>备注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hint="eastAsia"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1</w:t>
                  </w:r>
                </w:p>
              </w:tc>
              <w:tc>
                <w:tcPr>
                  <w:tcW w:w="961" w:type="pct"/>
                  <w:tcBorders>
                    <w:tl2br w:val="nil"/>
                    <w:tr2bl w:val="nil"/>
                  </w:tcBorders>
                  <w:vAlign w:val="center"/>
                </w:tcPr>
                <w:p>
                  <w:pPr>
                    <w:pStyle w:val="27"/>
                    <w:rPr>
                      <w:rFonts w:hint="eastAsia" w:ascii="Times New Roman" w:hAnsi="Times New Roman" w:eastAsia="宋体" w:cs="Times New Roman"/>
                      <w:color w:val="auto"/>
                      <w:kern w:val="2"/>
                      <w:sz w:val="21"/>
                      <w:szCs w:val="21"/>
                      <w:lang w:val="en-US" w:eastAsia="zh-CN" w:bidi="ar-SA"/>
                    </w:rPr>
                  </w:pPr>
                  <w:r>
                    <w:rPr>
                      <w:color w:val="auto"/>
                    </w:rPr>
                    <w:t>职工生活</w:t>
                  </w:r>
                  <w:r>
                    <w:rPr>
                      <w:rFonts w:hint="eastAsia"/>
                      <w:color w:val="auto"/>
                      <w:lang w:eastAsia="zh-CN"/>
                    </w:rPr>
                    <w:t>用水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auto"/>
                      <w:kern w:val="0"/>
                      <w:sz w:val="21"/>
                      <w:szCs w:val="21"/>
                      <w:lang w:val="en-US" w:eastAsia="zh-CN" w:bidi="ar"/>
                    </w:rPr>
                  </w:pPr>
                  <w:r>
                    <w:rPr>
                      <w:rFonts w:hint="eastAsia" w:eastAsia="宋体" w:cs="Times New Roman"/>
                      <w:i w:val="0"/>
                      <w:iCs w:val="0"/>
                      <w:color w:val="auto"/>
                      <w:kern w:val="0"/>
                      <w:sz w:val="21"/>
                      <w:szCs w:val="21"/>
                      <w:u w:val="none"/>
                      <w:lang w:val="en-US" w:eastAsia="zh-CN" w:bidi="ar"/>
                    </w:rPr>
                    <w:t>/</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tcBorders>
                    <w:tl2br w:val="nil"/>
                    <w:tr2bl w:val="nil"/>
                  </w:tcBorders>
                  <w:vAlign w:val="center"/>
                </w:tcPr>
                <w:p>
                  <w:pPr>
                    <w:pStyle w:val="27"/>
                    <w:rPr>
                      <w:rFonts w:ascii="Times New Roman" w:hAnsi="Times New Roman" w:eastAsia="宋体" w:cs="Times New Roman"/>
                      <w:color w:val="auto"/>
                      <w:kern w:val="2"/>
                      <w:sz w:val="21"/>
                      <w:szCs w:val="21"/>
                      <w:lang w:val="en-US" w:eastAsia="zh-CN" w:bidi="ar-SA"/>
                    </w:rPr>
                  </w:pPr>
                  <w:r>
                    <w:rPr>
                      <w:color w:val="auto"/>
                    </w:rPr>
                    <w:t>经化粪池沉淀后</w:t>
                  </w:r>
                  <w:r>
                    <w:rPr>
                      <w:rFonts w:hint="eastAsia"/>
                      <w:color w:val="auto"/>
                      <w:lang w:eastAsia="zh-CN"/>
                    </w:rPr>
                    <w:t>，</w:t>
                  </w:r>
                  <w:r>
                    <w:rPr>
                      <w:color w:val="auto"/>
                    </w:rPr>
                    <w:t>定期清掏不外排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2</w:t>
                  </w:r>
                </w:p>
              </w:tc>
              <w:tc>
                <w:tcPr>
                  <w:tcW w:w="961"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生产配比用水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8250</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eastAsia" w:eastAsia="宋体" w:cs="Times New Roman"/>
                      <w:i w:val="0"/>
                      <w:iCs w:val="0"/>
                      <w:color w:val="auto"/>
                      <w:kern w:val="0"/>
                      <w:sz w:val="21"/>
                      <w:szCs w:val="21"/>
                      <w:u w:val="none"/>
                      <w:lang w:val="en-US" w:eastAsia="zh-CN" w:bidi="ar"/>
                    </w:rPr>
                    <w:t>/</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8250</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8250</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全部进入产品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highlight w:val="none"/>
                      <w:lang w:bidi="ar"/>
                    </w:rPr>
                  </w:pPr>
                  <w:r>
                    <w:rPr>
                      <w:rFonts w:eastAsia="宋体" w:cs="Times New Roman"/>
                      <w:color w:val="auto"/>
                      <w:kern w:val="0"/>
                      <w:sz w:val="21"/>
                      <w:szCs w:val="21"/>
                      <w:highlight w:val="none"/>
                      <w:lang w:bidi="ar"/>
                    </w:rPr>
                    <w:t>3</w:t>
                  </w:r>
                </w:p>
              </w:tc>
              <w:tc>
                <w:tcPr>
                  <w:tcW w:w="961"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highlight w:val="none"/>
                      <w:lang w:bidi="ar"/>
                    </w:rPr>
                  </w:pPr>
                  <w:r>
                    <w:rPr>
                      <w:rFonts w:eastAsia="宋体" w:cs="Times New Roman"/>
                      <w:color w:val="auto"/>
                      <w:kern w:val="0"/>
                      <w:sz w:val="21"/>
                      <w:szCs w:val="21"/>
                      <w:highlight w:val="none"/>
                      <w:lang w:bidi="ar"/>
                    </w:rPr>
                    <w:t>车辆冲洗用水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82.5</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330</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412.5</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highlight w:val="none"/>
                      <w:u w:val="none"/>
                      <w:lang w:val="en-US" w:bidi="ar"/>
                    </w:rPr>
                  </w:pPr>
                  <w:r>
                    <w:rPr>
                      <w:rFonts w:hint="default" w:ascii="Times New Roman" w:hAnsi="Times New Roman" w:eastAsia="宋体" w:cs="Times New Roman"/>
                      <w:i w:val="0"/>
                      <w:iCs w:val="0"/>
                      <w:color w:val="auto"/>
                      <w:kern w:val="0"/>
                      <w:sz w:val="21"/>
                      <w:szCs w:val="21"/>
                      <w:u w:val="none"/>
                      <w:lang w:val="en-US" w:eastAsia="zh-CN" w:bidi="ar"/>
                    </w:rPr>
                    <w:t>82.5</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highlight w:val="none"/>
                      <w:u w:val="none"/>
                      <w:lang w:val="en-US" w:bidi="ar"/>
                    </w:rPr>
                  </w:pPr>
                  <w:r>
                    <w:rPr>
                      <w:rFonts w:hint="default" w:ascii="Times New Roman" w:hAnsi="Times New Roman" w:eastAsia="宋体" w:cs="Times New Roman"/>
                      <w:i w:val="0"/>
                      <w:iCs w:val="0"/>
                      <w:color w:val="auto"/>
                      <w:kern w:val="0"/>
                      <w:sz w:val="21"/>
                      <w:szCs w:val="21"/>
                      <w:u w:val="none"/>
                      <w:lang w:val="en-US" w:eastAsia="zh-CN" w:bidi="ar"/>
                    </w:rPr>
                    <w:t>330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highlight w:val="none"/>
                      <w:u w:val="none"/>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沉淀池处理后回用于车辆冲洗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4</w:t>
                  </w:r>
                </w:p>
              </w:tc>
              <w:tc>
                <w:tcPr>
                  <w:tcW w:w="961"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喷淋抑尘用水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eastAsia" w:eastAsia="宋体" w:cs="Times New Roman"/>
                      <w:i w:val="0"/>
                      <w:iCs w:val="0"/>
                      <w:color w:val="auto"/>
                      <w:kern w:val="0"/>
                      <w:sz w:val="21"/>
                      <w:szCs w:val="21"/>
                      <w:u w:val="none"/>
                      <w:lang w:val="en-US" w:eastAsia="zh-CN" w:bidi="ar"/>
                    </w:rPr>
                    <w:t>/</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180</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vMerge w:val="restar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全部损耗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hint="eastAsia" w:eastAsia="宋体" w:cs="Times New Roman"/>
                      <w:color w:val="auto"/>
                      <w:kern w:val="0"/>
                      <w:sz w:val="21"/>
                      <w:szCs w:val="21"/>
                      <w:lang w:eastAsia="zh-CN" w:bidi="ar"/>
                    </w:rPr>
                  </w:pPr>
                  <w:r>
                    <w:rPr>
                      <w:rFonts w:hint="eastAsia" w:eastAsia="宋体" w:cs="Times New Roman"/>
                      <w:color w:val="auto"/>
                      <w:kern w:val="0"/>
                      <w:sz w:val="21"/>
                      <w:szCs w:val="21"/>
                      <w:lang w:val="en-US" w:eastAsia="zh-CN" w:bidi="ar"/>
                    </w:rPr>
                    <w:t>5</w:t>
                  </w:r>
                </w:p>
              </w:tc>
              <w:tc>
                <w:tcPr>
                  <w:tcW w:w="961"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highlight w:val="none"/>
                      <w:lang w:bidi="ar"/>
                    </w:rPr>
                  </w:pPr>
                  <w:r>
                    <w:rPr>
                      <w:rFonts w:hint="eastAsia" w:eastAsia="宋体" w:cs="Times New Roman"/>
                      <w:color w:val="auto"/>
                      <w:kern w:val="0"/>
                      <w:sz w:val="21"/>
                      <w:szCs w:val="21"/>
                      <w:highlight w:val="none"/>
                      <w:lang w:val="en-US" w:eastAsia="zh-CN" w:bidi="ar"/>
                    </w:rPr>
                    <w:t>道路洒水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highlight w:val="none"/>
                      <w:lang w:bidi="ar"/>
                    </w:rPr>
                  </w:pPr>
                  <w:r>
                    <w:rPr>
                      <w:rFonts w:hint="default" w:ascii="Times New Roman" w:hAnsi="Times New Roman" w:eastAsia="宋体" w:cs="Times New Roman"/>
                      <w:i w:val="0"/>
                      <w:iCs w:val="0"/>
                      <w:color w:val="auto"/>
                      <w:kern w:val="0"/>
                      <w:sz w:val="21"/>
                      <w:szCs w:val="21"/>
                      <w:u w:val="none"/>
                      <w:lang w:val="en-US" w:eastAsia="zh-CN" w:bidi="ar"/>
                    </w:rPr>
                    <w:t>450</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highlight w:val="none"/>
                      <w:lang w:bidi="ar"/>
                    </w:rPr>
                  </w:pPr>
                  <w:r>
                    <w:rPr>
                      <w:rFonts w:hint="eastAsia" w:eastAsia="宋体" w:cs="Times New Roman"/>
                      <w:i w:val="0"/>
                      <w:iCs w:val="0"/>
                      <w:color w:val="auto"/>
                      <w:kern w:val="0"/>
                      <w:sz w:val="21"/>
                      <w:szCs w:val="21"/>
                      <w:u w:val="none"/>
                      <w:lang w:val="en-US" w:eastAsia="zh-CN" w:bidi="ar"/>
                    </w:rPr>
                    <w:t>/</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highlight w:val="none"/>
                      <w:lang w:bidi="ar"/>
                    </w:rPr>
                  </w:pPr>
                  <w:r>
                    <w:rPr>
                      <w:rFonts w:hint="default" w:ascii="Times New Roman" w:hAnsi="Times New Roman" w:eastAsia="宋体" w:cs="Times New Roman"/>
                      <w:i w:val="0"/>
                      <w:iCs w:val="0"/>
                      <w:color w:val="auto"/>
                      <w:kern w:val="0"/>
                      <w:sz w:val="21"/>
                      <w:szCs w:val="21"/>
                      <w:u w:val="none"/>
                      <w:lang w:val="en-US" w:eastAsia="zh-CN" w:bidi="ar"/>
                    </w:rPr>
                    <w:t>450</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highlight w:val="none"/>
                      <w:lang w:bidi="ar"/>
                    </w:rPr>
                  </w:pPr>
                  <w:r>
                    <w:rPr>
                      <w:rFonts w:hint="default" w:ascii="Times New Roman" w:hAnsi="Times New Roman" w:eastAsia="宋体" w:cs="Times New Roman"/>
                      <w:i w:val="0"/>
                      <w:iCs w:val="0"/>
                      <w:color w:val="auto"/>
                      <w:kern w:val="0"/>
                      <w:sz w:val="21"/>
                      <w:szCs w:val="21"/>
                      <w:u w:val="none"/>
                      <w:lang w:val="en-US" w:eastAsia="zh-CN" w:bidi="ar"/>
                    </w:rPr>
                    <w:t>450</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vMerge w:val="continue"/>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5" w:type="pct"/>
                  <w:tcBorders>
                    <w:tl2br w:val="nil"/>
                    <w:tr2bl w:val="nil"/>
                  </w:tcBorders>
                  <w:vAlign w:val="center"/>
                </w:tcPr>
                <w:p>
                  <w:pPr>
                    <w:widowControl/>
                    <w:adjustRightInd w:val="0"/>
                    <w:snapToGrid w:val="0"/>
                    <w:spacing w:line="240" w:lineRule="auto"/>
                    <w:jc w:val="center"/>
                    <w:textAlignment w:val="center"/>
                    <w:rPr>
                      <w:rFonts w:hint="default"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6</w:t>
                  </w:r>
                </w:p>
              </w:tc>
              <w:tc>
                <w:tcPr>
                  <w:tcW w:w="961" w:type="pct"/>
                  <w:tcBorders>
                    <w:tl2br w:val="nil"/>
                    <w:tr2bl w:val="nil"/>
                  </w:tcBorders>
                  <w:vAlign w:val="center"/>
                </w:tcPr>
                <w:p>
                  <w:pPr>
                    <w:widowControl/>
                    <w:adjustRightInd w:val="0"/>
                    <w:snapToGrid w:val="0"/>
                    <w:spacing w:line="240" w:lineRule="auto"/>
                    <w:jc w:val="center"/>
                    <w:textAlignment w:val="center"/>
                    <w:rPr>
                      <w:rFonts w:hint="eastAsia" w:eastAsia="宋体" w:cs="Times New Roman"/>
                      <w:color w:val="auto"/>
                      <w:kern w:val="0"/>
                      <w:sz w:val="21"/>
                      <w:szCs w:val="21"/>
                      <w:highlight w:val="none"/>
                      <w:lang w:eastAsia="zh-CN" w:bidi="ar"/>
                    </w:rPr>
                  </w:pPr>
                  <w:r>
                    <w:rPr>
                      <w:rFonts w:hint="eastAsia" w:eastAsia="宋体" w:cs="Times New Roman"/>
                      <w:color w:val="auto"/>
                      <w:kern w:val="0"/>
                      <w:sz w:val="21"/>
                      <w:szCs w:val="21"/>
                      <w:highlight w:val="none"/>
                      <w:lang w:val="en-US" w:eastAsia="zh-CN" w:bidi="ar"/>
                    </w:rPr>
                    <w:t>水泥砖</w:t>
                  </w:r>
                  <w:r>
                    <w:rPr>
                      <w:rFonts w:hint="eastAsia" w:eastAsia="宋体" w:cs="Times New Roman"/>
                      <w:color w:val="auto"/>
                      <w:kern w:val="0"/>
                      <w:sz w:val="21"/>
                      <w:szCs w:val="21"/>
                      <w:highlight w:val="none"/>
                      <w:lang w:eastAsia="zh-CN" w:bidi="ar"/>
                    </w:rPr>
                    <w:t>养护用水</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1250</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hint="eastAsia" w:eastAsia="宋体" w:cs="Times New Roman"/>
                      <w:color w:val="auto"/>
                      <w:kern w:val="0"/>
                      <w:sz w:val="21"/>
                      <w:szCs w:val="21"/>
                      <w:highlight w:val="none"/>
                      <w:lang w:val="en-US" w:eastAsia="zh-CN" w:bidi="ar"/>
                    </w:rPr>
                  </w:pPr>
                  <w:r>
                    <w:rPr>
                      <w:rFonts w:hint="eastAsia" w:eastAsia="宋体" w:cs="Times New Roman"/>
                      <w:i w:val="0"/>
                      <w:iCs w:val="0"/>
                      <w:color w:val="auto"/>
                      <w:kern w:val="0"/>
                      <w:sz w:val="21"/>
                      <w:szCs w:val="21"/>
                      <w:u w:val="none"/>
                      <w:lang w:val="en-US" w:eastAsia="zh-CN" w:bidi="ar"/>
                    </w:rPr>
                    <w:t>/</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1250</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hint="default" w:eastAsia="宋体" w:cs="Times New Roman"/>
                      <w:color w:val="auto"/>
                      <w:kern w:val="0"/>
                      <w:sz w:val="21"/>
                      <w:szCs w:val="21"/>
                      <w:highlight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1250</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hint="eastAsia"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hint="eastAsia" w:eastAsia="宋体" w:cs="Times New Roman"/>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vMerge w:val="continue"/>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27" w:type="pct"/>
                  <w:gridSpan w:val="2"/>
                  <w:tcBorders>
                    <w:tl2br w:val="nil"/>
                    <w:tr2bl w:val="nil"/>
                  </w:tcBorders>
                  <w:vAlign w:val="center"/>
                </w:tcPr>
                <w:p>
                  <w:pPr>
                    <w:widowControl/>
                    <w:adjustRightInd w:val="0"/>
                    <w:snapToGrid w:val="0"/>
                    <w:spacing w:line="240" w:lineRule="auto"/>
                    <w:jc w:val="center"/>
                    <w:textAlignment w:val="center"/>
                    <w:rPr>
                      <w:rFonts w:hint="eastAsia" w:ascii="Times New Roman" w:hAnsi="Times New Roman" w:eastAsia="宋体" w:cs="Times New Roman"/>
                      <w:color w:val="auto"/>
                      <w:kern w:val="0"/>
                      <w:sz w:val="21"/>
                      <w:szCs w:val="21"/>
                      <w:highlight w:val="none"/>
                      <w:lang w:val="en-US" w:eastAsia="zh-CN" w:bidi="ar"/>
                    </w:rPr>
                  </w:pPr>
                  <w:r>
                    <w:rPr>
                      <w:rFonts w:hint="eastAsia" w:ascii="Times New Roman" w:hAnsi="Times New Roman" w:eastAsia="宋体" w:cs="Times New Roman"/>
                      <w:color w:val="auto"/>
                      <w:kern w:val="0"/>
                      <w:sz w:val="21"/>
                      <w:szCs w:val="21"/>
                      <w:highlight w:val="none"/>
                      <w:lang w:val="en-US" w:eastAsia="zh-CN" w:bidi="ar"/>
                    </w:rPr>
                    <w:t>合计</w:t>
                  </w:r>
                </w:p>
              </w:tc>
              <w:tc>
                <w:tcPr>
                  <w:tcW w:w="512"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10312.5</w:t>
                  </w:r>
                </w:p>
              </w:tc>
              <w:tc>
                <w:tcPr>
                  <w:tcW w:w="389"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330</w:t>
                  </w:r>
                </w:p>
              </w:tc>
              <w:tc>
                <w:tcPr>
                  <w:tcW w:w="504"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10642.5</w:t>
                  </w:r>
                </w:p>
              </w:tc>
              <w:tc>
                <w:tcPr>
                  <w:tcW w:w="514"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10232.5</w:t>
                  </w:r>
                </w:p>
              </w:tc>
              <w:tc>
                <w:tcPr>
                  <w:tcW w:w="378"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410</w:t>
                  </w:r>
                </w:p>
              </w:tc>
              <w:tc>
                <w:tcPr>
                  <w:tcW w:w="408" w:type="pct"/>
                  <w:tcBorders>
                    <w:tl2br w:val="nil"/>
                    <w:tr2bl w:val="nil"/>
                  </w:tcBorders>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063" w:type="pct"/>
                  <w:tcBorders>
                    <w:tl2br w:val="nil"/>
                    <w:tr2bl w:val="nil"/>
                  </w:tcBorders>
                  <w:vAlign w:val="center"/>
                </w:tcPr>
                <w:p>
                  <w:pPr>
                    <w:widowControl/>
                    <w:adjustRightInd w:val="0"/>
                    <w:snapToGrid w:val="0"/>
                    <w:spacing w:line="240" w:lineRule="auto"/>
                    <w:jc w:val="center"/>
                    <w:textAlignment w:val="center"/>
                    <w:rPr>
                      <w:rFonts w:eastAsia="宋体" w:cs="Times New Roman"/>
                      <w:color w:val="auto"/>
                      <w:kern w:val="0"/>
                      <w:sz w:val="21"/>
                      <w:szCs w:val="21"/>
                      <w:lang w:bidi="ar"/>
                    </w:rPr>
                  </w:pPr>
                  <w:r>
                    <w:rPr>
                      <w:rFonts w:eastAsia="宋体" w:cs="Times New Roman"/>
                      <w:color w:val="auto"/>
                      <w:kern w:val="0"/>
                      <w:sz w:val="21"/>
                      <w:szCs w:val="21"/>
                      <w:lang w:bidi="ar"/>
                    </w:rPr>
                    <w:t>/</w:t>
                  </w:r>
                </w:p>
              </w:tc>
            </w:tr>
          </w:tbl>
          <w:p>
            <w:pPr>
              <w:autoSpaceDE w:val="0"/>
              <w:autoSpaceDN w:val="0"/>
              <w:jc w:val="center"/>
              <w:rPr>
                <w:rFonts w:hint="default" w:eastAsia="宋体" w:cs="Times New Roman"/>
                <w:b/>
                <w:color w:val="auto"/>
                <w:sz w:val="21"/>
                <w:szCs w:val="21"/>
                <w:highlight w:val="none"/>
                <w:lang w:val="en-US" w:bidi="zh-CN"/>
              </w:rPr>
            </w:pPr>
            <w:r>
              <w:rPr>
                <w:color w:val="auto"/>
              </w:rPr>
              <w:drawing>
                <wp:inline distT="0" distB="0" distL="114300" distR="114300">
                  <wp:extent cx="5713730" cy="2602865"/>
                  <wp:effectExtent l="0" t="0" r="0" b="6985"/>
                  <wp:docPr id="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4"/>
                          <pic:cNvPicPr>
                            <a:picLocks noChangeAspect="1"/>
                          </pic:cNvPicPr>
                        </pic:nvPicPr>
                        <pic:blipFill>
                          <a:blip r:embed="rId11"/>
                          <a:stretch>
                            <a:fillRect/>
                          </a:stretch>
                        </pic:blipFill>
                        <pic:spPr>
                          <a:xfrm>
                            <a:off x="0" y="0"/>
                            <a:ext cx="5713730" cy="2602865"/>
                          </a:xfrm>
                          <a:prstGeom prst="rect">
                            <a:avLst/>
                          </a:prstGeom>
                          <a:noFill/>
                          <a:ln>
                            <a:noFill/>
                          </a:ln>
                        </pic:spPr>
                      </pic:pic>
                    </a:graphicData>
                  </a:graphic>
                </wp:inline>
              </w:drawing>
            </w:r>
            <w:r>
              <w:rPr>
                <w:rFonts w:eastAsia="宋体" w:cs="Times New Roman"/>
                <w:b/>
                <w:color w:val="auto"/>
                <w:sz w:val="21"/>
                <w:szCs w:val="21"/>
                <w:highlight w:val="none"/>
                <w:lang w:val="zh-CN" w:bidi="zh-CN"/>
              </w:rPr>
              <w:t>图</w:t>
            </w:r>
            <w:r>
              <w:rPr>
                <w:rFonts w:eastAsia="宋体" w:cs="Times New Roman"/>
                <w:b/>
                <w:color w:val="auto"/>
                <w:sz w:val="21"/>
                <w:szCs w:val="21"/>
                <w:highlight w:val="none"/>
                <w:lang w:bidi="zh-CN"/>
              </w:rPr>
              <w:t>2-</w:t>
            </w:r>
            <w:r>
              <w:rPr>
                <w:rFonts w:hint="eastAsia" w:eastAsia="宋体" w:cs="Times New Roman"/>
                <w:b/>
                <w:color w:val="auto"/>
                <w:sz w:val="21"/>
                <w:szCs w:val="21"/>
                <w:highlight w:val="none"/>
                <w:lang w:val="en-US" w:bidi="zh-CN"/>
              </w:rPr>
              <w:t>3</w:t>
            </w:r>
            <w:r>
              <w:rPr>
                <w:rFonts w:eastAsia="宋体" w:cs="Times New Roman"/>
                <w:b/>
                <w:color w:val="auto"/>
                <w:sz w:val="21"/>
                <w:szCs w:val="21"/>
                <w:highlight w:val="none"/>
                <w:lang w:bidi="zh-CN"/>
              </w:rPr>
              <w:t xml:space="preserve"> </w:t>
            </w:r>
            <w:r>
              <w:rPr>
                <w:rFonts w:hint="eastAsia" w:eastAsia="宋体" w:cs="Times New Roman"/>
                <w:b/>
                <w:color w:val="auto"/>
                <w:sz w:val="21"/>
                <w:szCs w:val="21"/>
                <w:highlight w:val="none"/>
                <w:lang w:val="zh-CN" w:bidi="zh-CN"/>
              </w:rPr>
              <w:t>项目</w:t>
            </w:r>
            <w:r>
              <w:rPr>
                <w:rFonts w:eastAsia="宋体" w:cs="Times New Roman"/>
                <w:b/>
                <w:color w:val="auto"/>
                <w:sz w:val="21"/>
                <w:szCs w:val="21"/>
                <w:highlight w:val="none"/>
                <w:lang w:val="zh-CN" w:bidi="zh-CN"/>
              </w:rPr>
              <w:t>水平衡图单位：m</w:t>
            </w:r>
            <w:r>
              <w:rPr>
                <w:rFonts w:eastAsia="宋体" w:cs="Times New Roman"/>
                <w:b/>
                <w:color w:val="auto"/>
                <w:sz w:val="21"/>
                <w:szCs w:val="21"/>
                <w:highlight w:val="none"/>
                <w:vertAlign w:val="superscript"/>
                <w:lang w:val="zh-CN" w:bidi="zh-CN"/>
              </w:rPr>
              <w:t>3</w:t>
            </w:r>
            <w:r>
              <w:rPr>
                <w:rFonts w:eastAsia="宋体" w:cs="Times New Roman"/>
                <w:b/>
                <w:color w:val="auto"/>
                <w:sz w:val="21"/>
                <w:szCs w:val="21"/>
                <w:highlight w:val="none"/>
                <w:lang w:val="zh-CN" w:bidi="zh-CN"/>
              </w:rPr>
              <w:t>/a</w:t>
            </w:r>
            <w:r>
              <w:rPr>
                <w:rFonts w:hint="eastAsia" w:eastAsia="宋体" w:cs="Times New Roman"/>
                <w:b/>
                <w:color w:val="auto"/>
                <w:sz w:val="21"/>
                <w:szCs w:val="21"/>
                <w:highlight w:val="none"/>
                <w:lang w:val="en-US" w:bidi="zh-CN"/>
              </w:rPr>
              <w:t xml:space="preserve">     </w:t>
            </w:r>
          </w:p>
          <w:p>
            <w:pPr>
              <w:ind w:firstLine="506" w:firstLineChars="200"/>
              <w:rPr>
                <w:rFonts w:cs="Times New Roman"/>
                <w:b/>
                <w:color w:val="auto"/>
                <w:spacing w:val="6"/>
                <w:kern w:val="0"/>
              </w:rPr>
            </w:pPr>
            <w:r>
              <w:rPr>
                <w:rFonts w:cs="Times New Roman"/>
                <w:b/>
                <w:color w:val="auto"/>
                <w:spacing w:val="6"/>
                <w:kern w:val="0"/>
              </w:rPr>
              <w:t>7、劳动定员及工作制度</w:t>
            </w:r>
          </w:p>
          <w:p>
            <w:pPr>
              <w:ind w:firstLine="480" w:firstLineChars="200"/>
              <w:rPr>
                <w:rFonts w:hint="eastAsia" w:cs="Times New Roman"/>
                <w:color w:val="auto"/>
                <w:lang w:val="en-US" w:eastAsia="zh-CN"/>
              </w:rPr>
            </w:pPr>
            <w:r>
              <w:rPr>
                <w:rFonts w:hint="eastAsia" w:cs="Times New Roman"/>
                <w:color w:val="auto"/>
                <w:lang w:val="en-US" w:eastAsia="zh-CN"/>
              </w:rPr>
              <w:t>本项目劳动定员10人，年工作300天，每天8小时，夜间不生产。</w:t>
            </w:r>
          </w:p>
          <w:p>
            <w:pPr>
              <w:ind w:firstLine="482" w:firstLineChars="200"/>
              <w:rPr>
                <w:rFonts w:cs="Times New Roman"/>
                <w:b/>
                <w:color w:val="auto"/>
                <w:kern w:val="0"/>
              </w:rPr>
            </w:pPr>
            <w:r>
              <w:rPr>
                <w:rFonts w:cs="Times New Roman"/>
                <w:b/>
                <w:color w:val="auto"/>
                <w:kern w:val="0"/>
              </w:rPr>
              <w:t>8、厂区平面布置</w:t>
            </w:r>
          </w:p>
          <w:p>
            <w:pPr>
              <w:ind w:firstLine="480" w:firstLineChars="200"/>
              <w:rPr>
                <w:rFonts w:hint="eastAsia" w:cs="Times New Roman"/>
                <w:color w:val="auto"/>
                <w:highlight w:val="none"/>
                <w:lang w:val="en-US" w:eastAsia="zh-CN"/>
              </w:rPr>
            </w:pPr>
            <w:r>
              <w:rPr>
                <w:rFonts w:hint="eastAsia" w:cs="Times New Roman"/>
                <w:color w:val="auto"/>
                <w:highlight w:val="none"/>
                <w:lang w:val="en-US" w:eastAsia="zh-CN"/>
              </w:rPr>
              <w:t>项目根据“分布合理、工艺流畅、物流短捷、突出环保、因地制宜”的原则，结合用地条件及生产工艺，综合考虑环保、消防、卫生等要求，对生产线布置进行统筹安排。</w:t>
            </w:r>
          </w:p>
          <w:p>
            <w:pPr>
              <w:ind w:firstLine="480" w:firstLineChars="200"/>
              <w:rPr>
                <w:rFonts w:hint="default" w:cs="Times New Roman"/>
                <w:color w:val="auto"/>
                <w:highlight w:val="none"/>
                <w:lang w:val="en-US" w:eastAsia="zh-CN"/>
              </w:rPr>
            </w:pPr>
            <w:r>
              <w:rPr>
                <w:rFonts w:hint="eastAsia" w:cs="Times New Roman"/>
                <w:color w:val="auto"/>
                <w:highlight w:val="none"/>
                <w:lang w:val="en-US" w:eastAsia="zh-CN"/>
              </w:rPr>
              <w:t>本项目占地面积23333.33平方米（约35亩）。拟建设水泥稳定材料生产线和优质环保水泥砖生产线，位于厂区西北角，厂区东侧拟建设7座原料库，单座占地面积约800m</w:t>
            </w:r>
            <w:r>
              <w:rPr>
                <w:rFonts w:hint="eastAsia" w:cs="Times New Roman"/>
                <w:color w:val="auto"/>
                <w:highlight w:val="none"/>
                <w:vertAlign w:val="superscript"/>
                <w:lang w:val="en-US" w:eastAsia="zh-CN"/>
              </w:rPr>
              <w:t>2</w:t>
            </w:r>
            <w:r>
              <w:rPr>
                <w:rFonts w:hint="eastAsia" w:cs="Times New Roman"/>
                <w:color w:val="auto"/>
                <w:highlight w:val="none"/>
                <w:lang w:val="en-US" w:eastAsia="zh-CN"/>
              </w:rPr>
              <w:t>。项目料场与生产线上料口相连接，物料运输方便，整个环节均在封闭式厂房内进行。厂区东南角设有办公楼、危废间、机修间和仓库。</w:t>
            </w:r>
          </w:p>
          <w:p>
            <w:pPr>
              <w:ind w:firstLine="480" w:firstLineChars="200"/>
              <w:rPr>
                <w:rFonts w:cs="Times New Roman"/>
                <w:color w:val="auto"/>
              </w:rPr>
            </w:pPr>
            <w:r>
              <w:rPr>
                <w:rFonts w:hint="eastAsia" w:cs="Times New Roman"/>
                <w:color w:val="auto"/>
                <w:highlight w:val="none"/>
                <w:lang w:val="en-US" w:eastAsia="zh-CN"/>
              </w:rPr>
              <w:t>项目平面布置最大限度满足工艺流程和生产操作的要求，功能分区明确、合理，交通方便，且便于生产操作，厂房平面规整，材料输送方便。厂区平面布置图见附图3</w:t>
            </w:r>
            <w:r>
              <w:rPr>
                <w:rFonts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3" w:type="pct"/>
            <w:vAlign w:val="center"/>
          </w:tcPr>
          <w:p>
            <w:pPr>
              <w:adjustRightInd w:val="0"/>
              <w:snapToGrid w:val="0"/>
              <w:spacing w:line="240" w:lineRule="auto"/>
              <w:rPr>
                <w:rFonts w:cs="Times New Roman"/>
                <w:color w:val="auto"/>
              </w:rPr>
            </w:pPr>
            <w:r>
              <w:rPr>
                <w:rFonts w:cs="Times New Roman"/>
                <w:color w:val="auto"/>
                <w:kern w:val="21"/>
                <w:szCs w:val="24"/>
              </w:rPr>
              <w:t>工艺流程和产排污环节</w:t>
            </w:r>
          </w:p>
        </w:tc>
        <w:tc>
          <w:tcPr>
            <w:tcW w:w="4796" w:type="pct"/>
          </w:tcPr>
          <w:p>
            <w:pPr>
              <w:ind w:firstLine="482" w:firstLineChars="200"/>
              <w:rPr>
                <w:rFonts w:cs="Times New Roman"/>
                <w:b/>
                <w:snapToGrid w:val="0"/>
                <w:color w:val="auto"/>
                <w:kern w:val="0"/>
                <w:szCs w:val="24"/>
              </w:rPr>
            </w:pPr>
            <w:r>
              <w:rPr>
                <w:rFonts w:eastAsia="宋体" w:cs="Times New Roman"/>
                <w:b/>
                <w:bCs/>
                <w:color w:val="auto"/>
                <w:szCs w:val="24"/>
              </w:rPr>
              <w:t>1、</w:t>
            </w:r>
            <w:r>
              <w:rPr>
                <w:rFonts w:eastAsia="宋体" w:cs="Times New Roman"/>
                <w:b/>
                <w:snapToGrid w:val="0"/>
                <w:color w:val="auto"/>
                <w:kern w:val="0"/>
                <w:szCs w:val="24"/>
              </w:rPr>
              <w:t>施工期工艺流程和产污分析</w:t>
            </w:r>
          </w:p>
          <w:p>
            <w:pPr>
              <w:ind w:firstLine="482" w:firstLineChars="200"/>
              <w:outlineLvl w:val="0"/>
              <w:rPr>
                <w:rFonts w:eastAsia="宋体" w:cs="Times New Roman"/>
                <w:b/>
                <w:color w:val="auto"/>
                <w:szCs w:val="24"/>
              </w:rPr>
            </w:pPr>
            <w:r>
              <w:rPr>
                <w:rFonts w:eastAsia="宋体" w:cs="Times New Roman"/>
                <w:b/>
                <w:color w:val="auto"/>
                <w:szCs w:val="24"/>
              </w:rPr>
              <w:t>（1）本项目建设期工艺流程</w:t>
            </w:r>
          </w:p>
          <w:p>
            <w:pPr>
              <w:ind w:firstLine="480" w:firstLineChars="200"/>
              <w:outlineLvl w:val="0"/>
              <w:rPr>
                <w:rFonts w:cs="Times New Roman"/>
                <w:color w:val="auto"/>
                <w:szCs w:val="24"/>
              </w:rPr>
            </w:pPr>
            <w:r>
              <w:rPr>
                <w:rFonts w:eastAsia="宋体" w:cs="Times New Roman"/>
                <w:bCs/>
                <w:color w:val="auto"/>
                <w:szCs w:val="24"/>
              </w:rPr>
              <w:t>项目施工过程包括基础工程、主体工程、装饰工程、安装工程等工序。根据对施工内容的分析可知，本工程施工期的污染源主要有施工现场的各类机械设备噪声和物料运输的交通噪声、施工扬尘、建筑垃圾等。施工结束后污染也随之消失，对环境影响较小，</w:t>
            </w:r>
            <w:r>
              <w:rPr>
                <w:rFonts w:cs="Times New Roman"/>
                <w:color w:val="auto"/>
                <w:szCs w:val="24"/>
              </w:rPr>
              <w:t>具体的工艺流程和产污环节见图2-</w:t>
            </w:r>
            <w:r>
              <w:rPr>
                <w:rFonts w:hint="eastAsia" w:cs="Times New Roman"/>
                <w:color w:val="auto"/>
                <w:szCs w:val="24"/>
                <w:lang w:val="en-US" w:eastAsia="zh-CN"/>
              </w:rPr>
              <w:t>4</w:t>
            </w:r>
            <w:r>
              <w:rPr>
                <w:rFonts w:cs="Times New Roman"/>
                <w:color w:val="auto"/>
                <w:szCs w:val="24"/>
              </w:rPr>
              <w:t>。</w:t>
            </w:r>
          </w:p>
          <w:p>
            <w:pPr>
              <w:jc w:val="center"/>
              <w:rPr>
                <w:rFonts w:cs="Times New Roman"/>
                <w:color w:val="auto"/>
              </w:rPr>
            </w:pPr>
            <w:r>
              <w:rPr>
                <w:rFonts w:cs="Times New Roman"/>
                <w:color w:val="auto"/>
              </w:rPr>
              <w:drawing>
                <wp:inline distT="0" distB="0" distL="114300" distR="114300">
                  <wp:extent cx="5770245" cy="1203325"/>
                  <wp:effectExtent l="0" t="0" r="1905"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2"/>
                          <a:stretch>
                            <a:fillRect/>
                          </a:stretch>
                        </pic:blipFill>
                        <pic:spPr>
                          <a:xfrm>
                            <a:off x="0" y="0"/>
                            <a:ext cx="5821326" cy="1214146"/>
                          </a:xfrm>
                          <a:prstGeom prst="rect">
                            <a:avLst/>
                          </a:prstGeom>
                          <a:noFill/>
                          <a:ln>
                            <a:noFill/>
                          </a:ln>
                        </pic:spPr>
                      </pic:pic>
                    </a:graphicData>
                  </a:graphic>
                </wp:inline>
              </w:drawing>
            </w:r>
          </w:p>
          <w:p>
            <w:pPr>
              <w:spacing w:line="240" w:lineRule="auto"/>
              <w:jc w:val="center"/>
              <w:rPr>
                <w:rFonts w:eastAsia="宋体" w:cs="Times New Roman"/>
                <w:color w:val="auto"/>
                <w:sz w:val="21"/>
                <w:szCs w:val="21"/>
              </w:rPr>
            </w:pPr>
            <w:r>
              <w:rPr>
                <w:rFonts w:eastAsia="宋体" w:cs="Times New Roman"/>
                <w:b/>
                <w:color w:val="auto"/>
                <w:sz w:val="21"/>
                <w:szCs w:val="21"/>
              </w:rPr>
              <w:t>图2-</w:t>
            </w:r>
            <w:r>
              <w:rPr>
                <w:rFonts w:hint="eastAsia" w:eastAsia="宋体" w:cs="Times New Roman"/>
                <w:b/>
                <w:color w:val="auto"/>
                <w:sz w:val="21"/>
                <w:szCs w:val="21"/>
                <w:lang w:val="en-US" w:eastAsia="zh-CN"/>
              </w:rPr>
              <w:t>4</w:t>
            </w:r>
            <w:r>
              <w:rPr>
                <w:rFonts w:eastAsia="宋体" w:cs="Times New Roman"/>
                <w:b/>
                <w:color w:val="auto"/>
                <w:sz w:val="21"/>
                <w:szCs w:val="21"/>
              </w:rPr>
              <w:t xml:space="preserve"> 施工建设期工艺流程图</w:t>
            </w:r>
          </w:p>
          <w:p>
            <w:pPr>
              <w:ind w:firstLine="482" w:firstLineChars="200"/>
              <w:rPr>
                <w:rFonts w:eastAsia="宋体" w:cs="Times New Roman"/>
                <w:b/>
                <w:snapToGrid w:val="0"/>
                <w:color w:val="auto"/>
                <w:kern w:val="0"/>
                <w:szCs w:val="24"/>
              </w:rPr>
            </w:pPr>
            <w:r>
              <w:rPr>
                <w:rFonts w:cs="Times New Roman"/>
                <w:b/>
                <w:snapToGrid w:val="0"/>
                <w:color w:val="auto"/>
                <w:kern w:val="0"/>
                <w:szCs w:val="24"/>
              </w:rPr>
              <w:t>2、</w:t>
            </w:r>
            <w:r>
              <w:rPr>
                <w:rFonts w:eastAsia="宋体" w:cs="Times New Roman"/>
                <w:b/>
                <w:snapToGrid w:val="0"/>
                <w:color w:val="auto"/>
                <w:kern w:val="0"/>
                <w:szCs w:val="24"/>
              </w:rPr>
              <w:t>运营期工艺流程和产污分析</w:t>
            </w:r>
          </w:p>
          <w:p>
            <w:pPr>
              <w:ind w:firstLine="482" w:firstLineChars="200"/>
              <w:rPr>
                <w:rFonts w:cs="Times New Roman"/>
                <w:b/>
                <w:bCs/>
                <w:color w:val="auto"/>
              </w:rPr>
            </w:pPr>
            <w:r>
              <w:rPr>
                <w:rFonts w:cs="Times New Roman"/>
                <w:b/>
                <w:bCs/>
                <w:color w:val="auto"/>
              </w:rPr>
              <w:t>（1）水稳材料工艺流程和产污分析</w:t>
            </w:r>
          </w:p>
          <w:p>
            <w:pPr>
              <w:pStyle w:val="40"/>
              <w:rPr>
                <w:color w:val="auto"/>
              </w:rPr>
            </w:pPr>
            <w:r>
              <w:rPr>
                <w:color w:val="auto"/>
              </w:rPr>
              <w:drawing>
                <wp:inline distT="0" distB="0" distL="114300" distR="114300">
                  <wp:extent cx="5420995" cy="1985645"/>
                  <wp:effectExtent l="0" t="0" r="8255" b="1460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13"/>
                          <a:stretch>
                            <a:fillRect/>
                          </a:stretch>
                        </pic:blipFill>
                        <pic:spPr>
                          <a:xfrm>
                            <a:off x="0" y="0"/>
                            <a:ext cx="5420995" cy="1985645"/>
                          </a:xfrm>
                          <a:prstGeom prst="rect">
                            <a:avLst/>
                          </a:prstGeom>
                          <a:noFill/>
                          <a:ln>
                            <a:noFill/>
                          </a:ln>
                        </pic:spPr>
                      </pic:pic>
                    </a:graphicData>
                  </a:graphic>
                </wp:inline>
              </w:drawing>
            </w:r>
          </w:p>
          <w:p>
            <w:pPr>
              <w:pStyle w:val="47"/>
              <w:rPr>
                <w:rFonts w:cs="Times New Roman"/>
                <w:color w:val="auto"/>
                <w:sz w:val="22"/>
              </w:rPr>
            </w:pPr>
            <w:r>
              <w:rPr>
                <w:rFonts w:cs="Times New Roman"/>
                <w:color w:val="auto"/>
              </w:rPr>
              <w:t>图2-</w:t>
            </w:r>
            <w:r>
              <w:rPr>
                <w:rFonts w:hint="eastAsia" w:cs="Times New Roman"/>
                <w:color w:val="auto"/>
                <w:lang w:val="en-US" w:eastAsia="zh-CN"/>
              </w:rPr>
              <w:t>5</w:t>
            </w:r>
            <w:r>
              <w:rPr>
                <w:rFonts w:cs="Times New Roman"/>
                <w:color w:val="auto"/>
              </w:rPr>
              <w:t xml:space="preserve"> 水泥稳定材料生产线工艺流程图</w:t>
            </w:r>
          </w:p>
          <w:p>
            <w:pPr>
              <w:ind w:firstLine="480" w:firstLineChars="200"/>
              <w:rPr>
                <w:rFonts w:cs="Times New Roman"/>
                <w:color w:val="auto"/>
              </w:rPr>
            </w:pPr>
            <w:r>
              <w:rPr>
                <w:rFonts w:cs="Times New Roman"/>
                <w:color w:val="auto"/>
              </w:rPr>
              <w:t>工艺流程简述：</w:t>
            </w:r>
          </w:p>
          <w:p>
            <w:pPr>
              <w:numPr>
                <w:ilvl w:val="0"/>
                <w:numId w:val="2"/>
              </w:numPr>
              <w:ind w:firstLine="480" w:firstLineChars="200"/>
              <w:rPr>
                <w:rFonts w:hint="eastAsia" w:cs="Times New Roman"/>
                <w:color w:val="auto"/>
                <w:highlight w:val="none"/>
              </w:rPr>
            </w:pPr>
            <w:r>
              <w:rPr>
                <w:rFonts w:hint="eastAsia" w:cs="Times New Roman"/>
                <w:color w:val="auto"/>
                <w:highlight w:val="none"/>
              </w:rPr>
              <w:t>原料：外购生产所需的水泥、砂子，砾石。砾石、砂子均采用汽车运输至厂区原料库暂存，水泥由罐车运至水泥仓内储存。此过程会产生车辆运输废气、装卸堆存废气、筒仓呼吸废气。</w:t>
            </w:r>
          </w:p>
          <w:p>
            <w:pPr>
              <w:numPr>
                <w:ilvl w:val="0"/>
                <w:numId w:val="0"/>
              </w:numPr>
              <w:ind w:firstLine="480" w:firstLineChars="200"/>
              <w:rPr>
                <w:rFonts w:cs="Times New Roman"/>
                <w:color w:val="auto"/>
                <w:highlight w:val="none"/>
              </w:rPr>
            </w:pPr>
            <w:r>
              <w:rPr>
                <w:rFonts w:cs="Times New Roman"/>
                <w:color w:val="auto"/>
                <w:highlight w:val="none"/>
              </w:rPr>
              <w:t>2）物料计量：</w:t>
            </w:r>
            <w:r>
              <w:rPr>
                <w:rFonts w:hint="eastAsia" w:ascii="Times New Roman" w:hAnsi="Times New Roman" w:cs="Times New Roman"/>
                <w:color w:val="auto"/>
                <w:highlight w:val="none"/>
                <w:lang w:val="en-US" w:eastAsia="zh-CN"/>
              </w:rPr>
              <w:t>砂子和</w:t>
            </w:r>
            <w:r>
              <w:rPr>
                <w:rFonts w:hint="eastAsia" w:cs="Times New Roman"/>
                <w:color w:val="auto"/>
                <w:highlight w:val="none"/>
                <w:lang w:val="en-US" w:eastAsia="zh-CN"/>
              </w:rPr>
              <w:t>砾石</w:t>
            </w:r>
            <w:r>
              <w:rPr>
                <w:rFonts w:hint="eastAsia" w:ascii="Times New Roman" w:hAnsi="Times New Roman" w:cs="Times New Roman"/>
                <w:color w:val="auto"/>
                <w:highlight w:val="none"/>
                <w:lang w:val="en-US" w:eastAsia="zh-CN"/>
              </w:rPr>
              <w:t>均由装载机运输至配料机上料口上料，上料后通过配料机进行配料、计量后由料斗通过提升机提升至搅拌机上方</w:t>
            </w:r>
            <w:r>
              <w:rPr>
                <w:rFonts w:hint="eastAsia" w:cs="Times New Roman"/>
                <w:color w:val="auto"/>
                <w:highlight w:val="none"/>
                <w:lang w:val="en-US" w:eastAsia="zh-CN"/>
              </w:rPr>
              <w:t>投料；</w:t>
            </w:r>
            <w:r>
              <w:rPr>
                <w:rFonts w:cs="Times New Roman"/>
                <w:color w:val="auto"/>
                <w:highlight w:val="none"/>
              </w:rPr>
              <w:t>水泥采用螺旋输送机输送至拌合台。从此过程会产生物料输送粉尘。</w:t>
            </w:r>
          </w:p>
          <w:p>
            <w:pPr>
              <w:ind w:firstLine="480" w:firstLineChars="200"/>
              <w:rPr>
                <w:rFonts w:cs="Times New Roman"/>
                <w:color w:val="auto"/>
                <w:highlight w:val="none"/>
              </w:rPr>
            </w:pPr>
            <w:r>
              <w:rPr>
                <w:rFonts w:cs="Times New Roman"/>
                <w:color w:val="auto"/>
                <w:highlight w:val="none"/>
              </w:rPr>
              <w:t>3）搅拌：将原材料和水按照比例和顺序加入拌合台中进行搅拌，此过程会产生搅拌废气和噪声。</w:t>
            </w:r>
          </w:p>
          <w:p>
            <w:pPr>
              <w:ind w:firstLine="480" w:firstLineChars="200"/>
              <w:rPr>
                <w:rFonts w:cs="Times New Roman"/>
                <w:color w:val="auto"/>
                <w:highlight w:val="none"/>
              </w:rPr>
            </w:pPr>
            <w:r>
              <w:rPr>
                <w:rFonts w:cs="Times New Roman"/>
                <w:color w:val="auto"/>
                <w:highlight w:val="none"/>
              </w:rPr>
              <w:t>4）外运：搅拌合格的产品，通过传送带运输至装卸台进入运输车送至建筑工地。此过程会产生车辆运输废气和噪声。</w:t>
            </w:r>
          </w:p>
          <w:p>
            <w:pPr>
              <w:ind w:firstLine="482" w:firstLineChars="200"/>
              <w:rPr>
                <w:rFonts w:ascii="Times New Roman" w:hAnsi="Times New Roman" w:cs="Times New Roman"/>
                <w:b/>
                <w:bCs/>
                <w:color w:val="auto"/>
              </w:rPr>
            </w:pPr>
            <w:r>
              <w:rPr>
                <w:rFonts w:ascii="Times New Roman" w:hAnsi="Times New Roman" w:cs="Times New Roman"/>
                <w:b/>
                <w:bCs/>
                <w:color w:val="auto"/>
              </w:rPr>
              <w:t>（</w:t>
            </w:r>
            <w:r>
              <w:rPr>
                <w:rFonts w:hint="eastAsia" w:ascii="Times New Roman" w:hAnsi="Times New Roman" w:cs="Times New Roman"/>
                <w:b/>
                <w:bCs/>
                <w:color w:val="auto"/>
                <w:lang w:val="en-US" w:eastAsia="zh-CN"/>
              </w:rPr>
              <w:t>2</w:t>
            </w:r>
            <w:r>
              <w:rPr>
                <w:rFonts w:ascii="Times New Roman" w:hAnsi="Times New Roman" w:cs="Times New Roman"/>
                <w:b/>
                <w:bCs/>
                <w:color w:val="auto"/>
              </w:rPr>
              <w:t>）</w:t>
            </w:r>
            <w:r>
              <w:rPr>
                <w:rFonts w:hint="eastAsia" w:ascii="Times New Roman" w:hAnsi="Times New Roman" w:cs="Times New Roman"/>
                <w:b/>
                <w:bCs/>
                <w:color w:val="auto"/>
                <w:lang w:val="en-US" w:eastAsia="zh-CN"/>
              </w:rPr>
              <w:t>优质环保水泥砖</w:t>
            </w:r>
            <w:r>
              <w:rPr>
                <w:rFonts w:ascii="Times New Roman" w:hAnsi="Times New Roman" w:cs="Times New Roman"/>
                <w:b/>
                <w:bCs/>
                <w:color w:val="auto"/>
              </w:rPr>
              <w:t>工艺流程和产污分析</w:t>
            </w:r>
          </w:p>
          <w:p>
            <w:pPr>
              <w:spacing w:line="240" w:lineRule="auto"/>
              <w:ind w:firstLine="0" w:firstLineChars="0"/>
              <w:jc w:val="center"/>
              <w:rPr>
                <w:rFonts w:ascii="Times New Roman" w:hAnsi="Times New Roman" w:cs="Times New Roman" w:eastAsiaTheme="minorEastAsia"/>
                <w:b/>
                <w:color w:val="auto"/>
                <w:kern w:val="2"/>
                <w:sz w:val="21"/>
                <w:szCs w:val="22"/>
                <w:lang w:val="en-US" w:eastAsia="zh-CN" w:bidi="ar-SA"/>
              </w:rPr>
            </w:pPr>
            <w:r>
              <w:rPr>
                <w:color w:val="auto"/>
              </w:rPr>
              <w:drawing>
                <wp:inline distT="0" distB="0" distL="114300" distR="114300">
                  <wp:extent cx="5714365" cy="1958975"/>
                  <wp:effectExtent l="0" t="0" r="635" b="0"/>
                  <wp:docPr id="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3"/>
                          <pic:cNvPicPr>
                            <a:picLocks noChangeAspect="1"/>
                          </pic:cNvPicPr>
                        </pic:nvPicPr>
                        <pic:blipFill>
                          <a:blip r:embed="rId14"/>
                          <a:stretch>
                            <a:fillRect/>
                          </a:stretch>
                        </pic:blipFill>
                        <pic:spPr>
                          <a:xfrm>
                            <a:off x="0" y="0"/>
                            <a:ext cx="5714365" cy="1958975"/>
                          </a:xfrm>
                          <a:prstGeom prst="rect">
                            <a:avLst/>
                          </a:prstGeom>
                          <a:noFill/>
                          <a:ln>
                            <a:noFill/>
                          </a:ln>
                        </pic:spPr>
                      </pic:pic>
                    </a:graphicData>
                  </a:graphic>
                </wp:inline>
              </w:drawing>
            </w:r>
            <w:r>
              <w:rPr>
                <w:rFonts w:ascii="Times New Roman" w:hAnsi="Times New Roman" w:cs="Times New Roman" w:eastAsiaTheme="minorEastAsia"/>
                <w:b/>
                <w:color w:val="auto"/>
                <w:kern w:val="2"/>
                <w:sz w:val="21"/>
                <w:szCs w:val="22"/>
                <w:lang w:val="en-US" w:eastAsia="zh-CN" w:bidi="ar-SA"/>
              </w:rPr>
              <w:t>图2-</w:t>
            </w:r>
            <w:r>
              <w:rPr>
                <w:rFonts w:hint="eastAsia" w:cs="Times New Roman"/>
                <w:b/>
                <w:color w:val="auto"/>
                <w:kern w:val="2"/>
                <w:sz w:val="21"/>
                <w:szCs w:val="22"/>
                <w:lang w:val="en-US" w:eastAsia="zh-CN" w:bidi="ar-SA"/>
              </w:rPr>
              <w:t>6</w:t>
            </w:r>
            <w:r>
              <w:rPr>
                <w:rFonts w:ascii="Times New Roman" w:hAnsi="Times New Roman" w:cs="Times New Roman" w:eastAsiaTheme="minorEastAsia"/>
                <w:b/>
                <w:color w:val="auto"/>
                <w:kern w:val="2"/>
                <w:sz w:val="21"/>
                <w:szCs w:val="22"/>
                <w:lang w:val="en-US" w:eastAsia="zh-CN" w:bidi="ar-SA"/>
              </w:rPr>
              <w:t xml:space="preserve"> </w:t>
            </w:r>
            <w:r>
              <w:rPr>
                <w:rFonts w:hint="eastAsia" w:ascii="Times New Roman" w:hAnsi="Times New Roman" w:cs="Times New Roman" w:eastAsiaTheme="minorEastAsia"/>
                <w:b/>
                <w:color w:val="auto"/>
                <w:kern w:val="2"/>
                <w:sz w:val="21"/>
                <w:szCs w:val="22"/>
                <w:lang w:val="en-US" w:eastAsia="zh-CN" w:bidi="ar-SA"/>
              </w:rPr>
              <w:t>优质环保水泥砖</w:t>
            </w:r>
            <w:r>
              <w:rPr>
                <w:rFonts w:ascii="Times New Roman" w:hAnsi="Times New Roman" w:cs="Times New Roman" w:eastAsiaTheme="minorEastAsia"/>
                <w:b/>
                <w:color w:val="auto"/>
                <w:kern w:val="2"/>
                <w:sz w:val="21"/>
                <w:szCs w:val="22"/>
                <w:lang w:val="en-US" w:eastAsia="zh-CN" w:bidi="ar-SA"/>
              </w:rPr>
              <w:t>生产线工艺流程图</w:t>
            </w:r>
          </w:p>
          <w:p>
            <w:pPr>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工艺流程简述：</w:t>
            </w:r>
          </w:p>
          <w:p>
            <w:pPr>
              <w:numPr>
                <w:ilvl w:val="0"/>
                <w:numId w:val="0"/>
              </w:numPr>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eastAsiaTheme="minorEastAsia"/>
                <w:color w:val="auto"/>
                <w:kern w:val="2"/>
                <w:sz w:val="24"/>
                <w:szCs w:val="22"/>
                <w:lang w:val="en-US" w:eastAsia="zh-CN" w:bidi="ar-SA"/>
              </w:rPr>
              <w:t>1）</w:t>
            </w:r>
            <w:r>
              <w:rPr>
                <w:rFonts w:hint="eastAsia" w:ascii="Times New Roman" w:hAnsi="Times New Roman" w:cs="Times New Roman"/>
                <w:color w:val="auto"/>
                <w:highlight w:val="none"/>
                <w:lang w:val="en-US" w:eastAsia="zh-CN"/>
              </w:rPr>
              <w:t>原料：外购生产所需的水泥、砂子，骨料。骨料、砂子均采用汽车运输至厂区原料库暂存，水泥由罐车运至水泥仓内储存。此过程会产生车辆运输废气、装卸堆存废气、筒仓呼吸废气。</w:t>
            </w:r>
          </w:p>
          <w:p>
            <w:pPr>
              <w:numPr>
                <w:ilvl w:val="0"/>
                <w:numId w:val="0"/>
              </w:numPr>
              <w:ind w:firstLine="480" w:firstLineChars="20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上料、搅拌：根据配合比，砂子和骨料均由装载机运输至配料机上料口上料，上料后通过配料机进行配料、计量后由料斗通过提升机提升至搅拌机上方后，料斗从底部打开，物料进入搅拌机内；水泥从水泥仓经螺旋输送机封闭式输送至搅拌机；在向搅拌机里投加原料的同时利用水泵加水，保持搅拌机内一定的湿度。在进入搅拌机后，搅拌2~5分钟，将搅拌好的配合料落入料斗内，准备输送至成型机进行成型。此时混合料的含水率较高，该工序主要产生粉尘、设备噪声。</w:t>
            </w:r>
          </w:p>
          <w:p>
            <w:pPr>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3）压制成型：将搅拌好的配合料输送至振压机的料车中，一次压振成型，得到砖坯。该工序主要产生设备噪声和少量的不合格品。</w:t>
            </w:r>
          </w:p>
          <w:p>
            <w:pPr>
              <w:ind w:firstLine="48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养护堆存：将成型好的砖坯放在成品堆放区进行24小时自然养护，养护过程中不定期喷水保持一定的湿度，自然条件下养护，自然晾干七天可得到产品。养护水全部蒸发损耗，无废水产生。养护完成后成品外售。</w:t>
            </w:r>
          </w:p>
          <w:p>
            <w:pPr>
              <w:autoSpaceDE w:val="0"/>
              <w:autoSpaceDN w:val="0"/>
              <w:spacing w:line="240" w:lineRule="auto"/>
              <w:jc w:val="center"/>
              <w:rPr>
                <w:rFonts w:cs="Times New Roman"/>
                <w:b/>
                <w:color w:val="auto"/>
                <w:sz w:val="21"/>
                <w:szCs w:val="21"/>
                <w:lang w:val="zh-CN" w:bidi="zh-CN"/>
              </w:rPr>
            </w:pPr>
            <w:r>
              <w:rPr>
                <w:rFonts w:cs="Times New Roman"/>
                <w:b/>
                <w:color w:val="auto"/>
                <w:sz w:val="21"/>
                <w:szCs w:val="21"/>
                <w:lang w:val="zh-CN" w:bidi="zh-CN"/>
              </w:rPr>
              <w:t>表2</w:t>
            </w:r>
            <w:r>
              <w:rPr>
                <w:rFonts w:hint="eastAsia" w:cs="Times New Roman"/>
                <w:b/>
                <w:color w:val="auto"/>
                <w:sz w:val="21"/>
                <w:szCs w:val="21"/>
                <w:lang w:val="en-US" w:bidi="zh-CN"/>
              </w:rPr>
              <w:t>-8</w:t>
            </w:r>
            <w:r>
              <w:rPr>
                <w:rFonts w:cs="Times New Roman"/>
                <w:b/>
                <w:color w:val="auto"/>
                <w:sz w:val="21"/>
                <w:szCs w:val="21"/>
                <w:lang w:val="zh-CN" w:bidi="zh-CN"/>
              </w:rPr>
              <w:t xml:space="preserve"> 项目生产工序及产排污环节一览表</w:t>
            </w:r>
          </w:p>
          <w:tbl>
            <w:tblPr>
              <w:tblStyle w:val="22"/>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759"/>
              <w:gridCol w:w="1643"/>
              <w:gridCol w:w="3813"/>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tcBorders>
                    <w:tl2br w:val="nil"/>
                    <w:tr2bl w:val="nil"/>
                  </w:tcBorders>
                  <w:vAlign w:val="center"/>
                </w:tcPr>
                <w:p>
                  <w:pPr>
                    <w:widowControl/>
                    <w:adjustRightInd w:val="0"/>
                    <w:snapToGrid w:val="0"/>
                    <w:spacing w:line="240" w:lineRule="auto"/>
                    <w:jc w:val="center"/>
                    <w:rPr>
                      <w:rFonts w:cs="Times New Roman"/>
                      <w:b/>
                      <w:bCs/>
                      <w:color w:val="auto"/>
                      <w:kern w:val="0"/>
                      <w:sz w:val="21"/>
                      <w:szCs w:val="21"/>
                      <w:lang w:bidi="ar"/>
                    </w:rPr>
                  </w:pPr>
                  <w:r>
                    <w:rPr>
                      <w:rFonts w:cs="Times New Roman"/>
                      <w:b/>
                      <w:bCs/>
                      <w:color w:val="auto"/>
                      <w:kern w:val="0"/>
                      <w:sz w:val="21"/>
                      <w:szCs w:val="21"/>
                      <w:lang w:bidi="ar"/>
                    </w:rPr>
                    <w:t>类别</w:t>
                  </w:r>
                </w:p>
              </w:tc>
              <w:tc>
                <w:tcPr>
                  <w:tcW w:w="1532" w:type="pct"/>
                  <w:tcBorders>
                    <w:tl2br w:val="nil"/>
                    <w:tr2bl w:val="nil"/>
                  </w:tcBorders>
                  <w:vAlign w:val="center"/>
                </w:tcPr>
                <w:p>
                  <w:pPr>
                    <w:widowControl/>
                    <w:adjustRightInd w:val="0"/>
                    <w:snapToGrid w:val="0"/>
                    <w:spacing w:line="240" w:lineRule="auto"/>
                    <w:jc w:val="center"/>
                    <w:rPr>
                      <w:rFonts w:cs="Times New Roman"/>
                      <w:b/>
                      <w:bCs/>
                      <w:color w:val="auto"/>
                      <w:kern w:val="0"/>
                      <w:sz w:val="21"/>
                      <w:szCs w:val="21"/>
                      <w:lang w:bidi="ar"/>
                    </w:rPr>
                  </w:pPr>
                  <w:r>
                    <w:rPr>
                      <w:rFonts w:cs="Times New Roman"/>
                      <w:b/>
                      <w:bCs/>
                      <w:color w:val="auto"/>
                      <w:kern w:val="0"/>
                      <w:sz w:val="21"/>
                      <w:szCs w:val="21"/>
                      <w:lang w:bidi="ar"/>
                    </w:rPr>
                    <w:t>产污环节</w:t>
                  </w:r>
                </w:p>
              </w:tc>
              <w:tc>
                <w:tcPr>
                  <w:tcW w:w="912" w:type="pct"/>
                  <w:tcBorders>
                    <w:tl2br w:val="nil"/>
                    <w:tr2bl w:val="nil"/>
                  </w:tcBorders>
                  <w:vAlign w:val="center"/>
                </w:tcPr>
                <w:p>
                  <w:pPr>
                    <w:widowControl/>
                    <w:adjustRightInd w:val="0"/>
                    <w:snapToGrid w:val="0"/>
                    <w:spacing w:line="240" w:lineRule="auto"/>
                    <w:jc w:val="center"/>
                    <w:rPr>
                      <w:rFonts w:cs="Times New Roman"/>
                      <w:b/>
                      <w:bCs/>
                      <w:color w:val="auto"/>
                      <w:kern w:val="0"/>
                      <w:sz w:val="21"/>
                      <w:szCs w:val="21"/>
                      <w:lang w:bidi="ar"/>
                    </w:rPr>
                  </w:pPr>
                  <w:r>
                    <w:rPr>
                      <w:rFonts w:cs="Times New Roman"/>
                      <w:b/>
                      <w:bCs/>
                      <w:color w:val="auto"/>
                      <w:kern w:val="0"/>
                      <w:sz w:val="21"/>
                      <w:szCs w:val="21"/>
                      <w:lang w:bidi="ar"/>
                    </w:rPr>
                    <w:t>污染物类型</w:t>
                  </w:r>
                </w:p>
              </w:tc>
              <w:tc>
                <w:tcPr>
                  <w:tcW w:w="2117" w:type="pct"/>
                  <w:tcBorders>
                    <w:tl2br w:val="nil"/>
                    <w:tr2bl w:val="nil"/>
                  </w:tcBorders>
                  <w:vAlign w:val="center"/>
                </w:tcPr>
                <w:p>
                  <w:pPr>
                    <w:widowControl/>
                    <w:adjustRightInd w:val="0"/>
                    <w:snapToGrid w:val="0"/>
                    <w:spacing w:line="240" w:lineRule="auto"/>
                    <w:jc w:val="center"/>
                    <w:rPr>
                      <w:rFonts w:cs="Times New Roman"/>
                      <w:b/>
                      <w:bCs/>
                      <w:color w:val="auto"/>
                      <w:kern w:val="0"/>
                      <w:sz w:val="21"/>
                      <w:szCs w:val="21"/>
                      <w:lang w:bidi="ar"/>
                    </w:rPr>
                  </w:pPr>
                  <w:r>
                    <w:rPr>
                      <w:rFonts w:cs="Times New Roman"/>
                      <w:b/>
                      <w:bCs/>
                      <w:color w:val="auto"/>
                      <w:kern w:val="0"/>
                      <w:sz w:val="21"/>
                      <w:szCs w:val="21"/>
                      <w:lang w:bidi="ar"/>
                    </w:rPr>
                    <w:t>污染因子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restar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废气</w:t>
                  </w:r>
                </w:p>
              </w:tc>
              <w:tc>
                <w:tcPr>
                  <w:tcW w:w="153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车辆运输</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粉尘</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物料堆存和装卸</w:t>
                  </w:r>
                </w:p>
              </w:tc>
              <w:tc>
                <w:tcPr>
                  <w:tcW w:w="91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粉尘</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筒仓呼吸</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粉尘</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eastAsia="宋体" w:cs="Times New Roman"/>
                      <w:color w:val="auto"/>
                      <w:kern w:val="0"/>
                      <w:sz w:val="21"/>
                      <w:szCs w:val="21"/>
                      <w:lang w:bidi="ar"/>
                    </w:rPr>
                    <w:t>物料输送</w:t>
                  </w:r>
                </w:p>
              </w:tc>
              <w:tc>
                <w:tcPr>
                  <w:tcW w:w="91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粉尘</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eastAsia="宋体" w:cs="Times New Roman"/>
                      <w:color w:val="auto"/>
                      <w:kern w:val="0"/>
                      <w:sz w:val="21"/>
                      <w:szCs w:val="21"/>
                      <w:lang w:bidi="ar"/>
                    </w:rPr>
                    <w:t>物料搅拌</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粉尘</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颗粒物</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restar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废水</w:t>
                  </w:r>
                </w:p>
              </w:tc>
              <w:tc>
                <w:tcPr>
                  <w:tcW w:w="1532" w:type="pct"/>
                  <w:tcBorders>
                    <w:tl2br w:val="nil"/>
                    <w:tr2bl w:val="nil"/>
                  </w:tcBorders>
                  <w:vAlign w:val="center"/>
                </w:tcPr>
                <w:p>
                  <w:pPr>
                    <w:widowControl/>
                    <w:adjustRightInd w:val="0"/>
                    <w:snapToGrid w:val="0"/>
                    <w:spacing w:line="240" w:lineRule="auto"/>
                    <w:jc w:val="center"/>
                    <w:rPr>
                      <w:rFonts w:hint="eastAsia" w:cs="Times New Roman" w:eastAsiaTheme="minorEastAsia"/>
                      <w:color w:val="auto"/>
                      <w:kern w:val="0"/>
                      <w:sz w:val="21"/>
                      <w:szCs w:val="21"/>
                      <w:lang w:eastAsia="zh-CN" w:bidi="ar"/>
                    </w:rPr>
                  </w:pPr>
                  <w:r>
                    <w:rPr>
                      <w:rFonts w:hint="eastAsia" w:cs="Times New Roman"/>
                      <w:color w:val="auto"/>
                      <w:kern w:val="0"/>
                      <w:sz w:val="21"/>
                      <w:szCs w:val="21"/>
                      <w:lang w:eastAsia="zh-CN" w:bidi="ar"/>
                    </w:rPr>
                    <w:t>职工生活</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hint="eastAsia" w:cs="Times New Roman"/>
                      <w:color w:val="auto"/>
                      <w:kern w:val="0"/>
                      <w:sz w:val="21"/>
                      <w:szCs w:val="21"/>
                      <w:lang w:eastAsia="zh-CN" w:bidi="ar"/>
                    </w:rPr>
                    <w:t>生活污水</w:t>
                  </w:r>
                </w:p>
              </w:tc>
              <w:tc>
                <w:tcPr>
                  <w:tcW w:w="2117"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hint="default" w:eastAsia="宋体" w:cs="Times New Roman"/>
                      <w:color w:val="auto"/>
                      <w:kern w:val="0"/>
                      <w:sz w:val="21"/>
                      <w:szCs w:val="21"/>
                      <w:lang w:val="en-US" w:eastAsia="zh-CN" w:bidi="ar"/>
                    </w:rPr>
                    <w:t>COD、BOD</w:t>
                  </w:r>
                  <w:r>
                    <w:rPr>
                      <w:rFonts w:hint="default" w:eastAsia="宋体" w:cs="Times New Roman"/>
                      <w:color w:val="auto"/>
                      <w:kern w:val="0"/>
                      <w:sz w:val="21"/>
                      <w:szCs w:val="21"/>
                      <w:vertAlign w:val="subscript"/>
                      <w:lang w:val="en-US" w:eastAsia="zh-CN" w:bidi="ar"/>
                    </w:rPr>
                    <w:t>5</w:t>
                  </w:r>
                  <w:r>
                    <w:rPr>
                      <w:rFonts w:hint="default" w:eastAsia="宋体" w:cs="Times New Roman"/>
                      <w:color w:val="auto"/>
                      <w:kern w:val="0"/>
                      <w:sz w:val="21"/>
                      <w:szCs w:val="21"/>
                      <w:lang w:val="en-US" w:eastAsia="zh-CN" w:bidi="ar"/>
                    </w:rPr>
                    <w:t>、SS、NH</w:t>
                  </w:r>
                  <w:r>
                    <w:rPr>
                      <w:rFonts w:hint="default" w:eastAsia="宋体" w:cs="Times New Roman"/>
                      <w:color w:val="auto"/>
                      <w:kern w:val="0"/>
                      <w:sz w:val="21"/>
                      <w:szCs w:val="21"/>
                      <w:vertAlign w:val="subscript"/>
                      <w:lang w:val="en-US" w:eastAsia="zh-CN" w:bidi="ar"/>
                    </w:rPr>
                    <w:t>3</w:t>
                  </w:r>
                  <w:r>
                    <w:rPr>
                      <w:rFonts w:hint="default" w:eastAsia="宋体" w:cs="Times New Roman"/>
                      <w:color w:val="auto"/>
                      <w:kern w:val="0"/>
                      <w:sz w:val="21"/>
                      <w:szCs w:val="21"/>
                      <w:lang w:val="en-US" w:eastAsia="zh-CN" w:bidi="ar"/>
                    </w:rPr>
                    <w:t>-N等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车辆冲洗</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车辆冲洗废水</w:t>
                  </w:r>
                </w:p>
              </w:tc>
              <w:tc>
                <w:tcPr>
                  <w:tcW w:w="2117"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eastAsia="宋体" w:cs="Times New Roman"/>
                      <w:color w:val="auto"/>
                      <w:kern w:val="0"/>
                      <w:sz w:val="21"/>
                      <w:szCs w:val="21"/>
                      <w:lang w:bidi="ar"/>
                    </w:rPr>
                    <w:t>SS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噪声</w:t>
                  </w:r>
                </w:p>
              </w:tc>
              <w:tc>
                <w:tcPr>
                  <w:tcW w:w="153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拌合设备、废气治理风机等</w:t>
                  </w: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设备噪声</w:t>
                  </w:r>
                </w:p>
              </w:tc>
              <w:tc>
                <w:tcPr>
                  <w:tcW w:w="2117"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restar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固体废物</w:t>
                  </w:r>
                </w:p>
              </w:tc>
              <w:tc>
                <w:tcPr>
                  <w:tcW w:w="1532" w:type="pct"/>
                  <w:tcBorders>
                    <w:tl2br w:val="nil"/>
                    <w:tr2bl w:val="nil"/>
                  </w:tcBorders>
                  <w:vAlign w:val="center"/>
                </w:tcPr>
                <w:p>
                  <w:pPr>
                    <w:widowControl/>
                    <w:adjustRightInd w:val="0"/>
                    <w:snapToGrid w:val="0"/>
                    <w:spacing w:line="240" w:lineRule="auto"/>
                    <w:jc w:val="center"/>
                    <w:rPr>
                      <w:rFonts w:hint="default" w:eastAsia="宋体" w:cs="Times New Roman"/>
                      <w:color w:val="auto"/>
                      <w:kern w:val="0"/>
                      <w:sz w:val="21"/>
                      <w:szCs w:val="21"/>
                      <w:lang w:val="en-US" w:eastAsia="zh-CN" w:bidi="ar"/>
                    </w:rPr>
                  </w:pPr>
                  <w:r>
                    <w:rPr>
                      <w:rFonts w:hint="eastAsia" w:eastAsia="宋体" w:cs="Times New Roman"/>
                      <w:color w:val="auto"/>
                      <w:kern w:val="0"/>
                      <w:sz w:val="21"/>
                      <w:szCs w:val="21"/>
                      <w:lang w:val="en-US" w:eastAsia="zh-CN" w:bidi="ar"/>
                    </w:rPr>
                    <w:t>职工生活</w:t>
                  </w:r>
                </w:p>
              </w:tc>
              <w:tc>
                <w:tcPr>
                  <w:tcW w:w="912" w:type="pct"/>
                  <w:tcBorders>
                    <w:tl2br w:val="nil"/>
                    <w:tr2bl w:val="nil"/>
                  </w:tcBorders>
                  <w:vAlign w:val="center"/>
                </w:tcPr>
                <w:p>
                  <w:pPr>
                    <w:widowControl/>
                    <w:adjustRightInd w:val="0"/>
                    <w:snapToGrid w:val="0"/>
                    <w:spacing w:line="240" w:lineRule="auto"/>
                    <w:jc w:val="center"/>
                    <w:rPr>
                      <w:rFonts w:hint="eastAsia" w:cs="Times New Roman" w:eastAsiaTheme="minorEastAsia"/>
                      <w:color w:val="auto"/>
                      <w:kern w:val="0"/>
                      <w:sz w:val="21"/>
                      <w:szCs w:val="21"/>
                      <w:lang w:val="en-US" w:eastAsia="zh-CN" w:bidi="ar"/>
                    </w:rPr>
                  </w:pPr>
                  <w:r>
                    <w:rPr>
                      <w:rFonts w:hint="eastAsia" w:cs="Times New Roman"/>
                      <w:color w:val="auto"/>
                      <w:kern w:val="0"/>
                      <w:sz w:val="21"/>
                      <w:szCs w:val="21"/>
                      <w:lang w:val="en-US" w:eastAsia="zh-CN" w:bidi="ar"/>
                    </w:rPr>
                    <w:t>生活垃圾</w:t>
                  </w:r>
                </w:p>
              </w:tc>
              <w:tc>
                <w:tcPr>
                  <w:tcW w:w="2117" w:type="pct"/>
                  <w:tcBorders>
                    <w:tl2br w:val="nil"/>
                    <w:tr2bl w:val="nil"/>
                  </w:tcBorders>
                  <w:vAlign w:val="center"/>
                </w:tcPr>
                <w:p>
                  <w:pPr>
                    <w:widowControl/>
                    <w:adjustRightInd w:val="0"/>
                    <w:snapToGrid w:val="0"/>
                    <w:spacing w:line="240" w:lineRule="auto"/>
                    <w:jc w:val="center"/>
                    <w:rPr>
                      <w:rFonts w:hint="default" w:cs="Times New Roman" w:eastAsiaTheme="minorEastAsia"/>
                      <w:color w:val="auto"/>
                      <w:kern w:val="0"/>
                      <w:sz w:val="21"/>
                      <w:szCs w:val="21"/>
                      <w:lang w:val="en-US" w:eastAsia="zh-CN" w:bidi="ar"/>
                    </w:rPr>
                  </w:pPr>
                  <w:r>
                    <w:rPr>
                      <w:rFonts w:hint="eastAsia" w:cs="Times New Roman"/>
                      <w:color w:val="auto"/>
                      <w:kern w:val="0"/>
                      <w:sz w:val="21"/>
                      <w:szCs w:val="21"/>
                      <w:lang w:val="en-US" w:eastAsia="zh-CN" w:bidi="ar"/>
                    </w:rPr>
                    <w:t>职工生活垃圾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p>
              </w:tc>
              <w:tc>
                <w:tcPr>
                  <w:tcW w:w="1532" w:type="pct"/>
                  <w:vMerge w:val="restar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eastAsia="宋体" w:cs="Times New Roman"/>
                      <w:color w:val="auto"/>
                      <w:kern w:val="0"/>
                      <w:sz w:val="21"/>
                      <w:szCs w:val="21"/>
                      <w:lang w:bidi="ar"/>
                    </w:rPr>
                    <w:t>生产过程</w:t>
                  </w:r>
                </w:p>
              </w:tc>
              <w:tc>
                <w:tcPr>
                  <w:tcW w:w="912"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一般固体废物</w:t>
                  </w:r>
                </w:p>
              </w:tc>
              <w:tc>
                <w:tcPr>
                  <w:tcW w:w="2117" w:type="pct"/>
                  <w:tcBorders>
                    <w:tl2br w:val="nil"/>
                    <w:tr2bl w:val="nil"/>
                  </w:tcBorders>
                  <w:vAlign w:val="center"/>
                </w:tcPr>
                <w:p>
                  <w:pPr>
                    <w:widowControl/>
                    <w:adjustRightInd w:val="0"/>
                    <w:snapToGrid w:val="0"/>
                    <w:spacing w:line="240" w:lineRule="auto"/>
                    <w:jc w:val="center"/>
                    <w:rPr>
                      <w:rFonts w:eastAsia="宋体" w:cs="Times New Roman"/>
                      <w:color w:val="auto"/>
                      <w:kern w:val="0"/>
                      <w:sz w:val="21"/>
                      <w:szCs w:val="21"/>
                      <w:lang w:bidi="ar"/>
                    </w:rPr>
                  </w:pPr>
                  <w:r>
                    <w:rPr>
                      <w:rFonts w:cs="Times New Roman"/>
                      <w:color w:val="auto"/>
                      <w:kern w:val="0"/>
                      <w:sz w:val="21"/>
                      <w:szCs w:val="21"/>
                      <w:lang w:bidi="ar"/>
                    </w:rPr>
                    <w:t>除尘器收集粉尘、沉淀池沉渣</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7"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1532" w:type="pct"/>
                  <w:vMerge w:val="continue"/>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p>
              </w:tc>
              <w:tc>
                <w:tcPr>
                  <w:tcW w:w="912" w:type="pct"/>
                  <w:tcBorders>
                    <w:tl2br w:val="nil"/>
                    <w:tr2bl w:val="nil"/>
                  </w:tcBorders>
                  <w:vAlign w:val="center"/>
                </w:tcPr>
                <w:p>
                  <w:pPr>
                    <w:widowControl/>
                    <w:adjustRightInd w:val="0"/>
                    <w:snapToGrid w:val="0"/>
                    <w:spacing w:line="240" w:lineRule="auto"/>
                    <w:jc w:val="center"/>
                    <w:rPr>
                      <w:rFonts w:cs="Times New Roman"/>
                      <w:color w:val="auto"/>
                      <w:kern w:val="0"/>
                      <w:sz w:val="21"/>
                      <w:szCs w:val="21"/>
                      <w:lang w:bidi="ar"/>
                    </w:rPr>
                  </w:pPr>
                  <w:r>
                    <w:rPr>
                      <w:rFonts w:cs="Times New Roman"/>
                      <w:color w:val="auto"/>
                      <w:kern w:val="0"/>
                      <w:sz w:val="21"/>
                      <w:szCs w:val="21"/>
                      <w:lang w:bidi="ar"/>
                    </w:rPr>
                    <w:t>危险废物</w:t>
                  </w:r>
                </w:p>
              </w:tc>
              <w:tc>
                <w:tcPr>
                  <w:tcW w:w="2117" w:type="pct"/>
                  <w:tcBorders>
                    <w:tl2br w:val="nil"/>
                    <w:tr2bl w:val="nil"/>
                  </w:tcBorders>
                  <w:vAlign w:val="center"/>
                </w:tcPr>
                <w:p>
                  <w:pPr>
                    <w:pStyle w:val="41"/>
                    <w:kinsoku w:val="0"/>
                    <w:overflowPunct w:val="0"/>
                    <w:spacing w:line="240" w:lineRule="auto"/>
                    <w:contextualSpacing/>
                    <w:rPr>
                      <w:rFonts w:hint="eastAsia" w:ascii="Times New Roman" w:hAnsi="Times New Roman" w:cs="Times New Roman" w:eastAsiaTheme="minorEastAsia"/>
                      <w:color w:val="auto"/>
                      <w:kern w:val="0"/>
                      <w:sz w:val="21"/>
                      <w:szCs w:val="21"/>
                      <w:lang w:val="en-US" w:eastAsia="zh-CN" w:bidi="ar"/>
                    </w:rPr>
                  </w:pPr>
                  <w:r>
                    <w:rPr>
                      <w:rFonts w:ascii="Times New Roman" w:hAnsi="Times New Roman" w:cs="Times New Roman"/>
                      <w:color w:val="auto"/>
                      <w:sz w:val="21"/>
                      <w:szCs w:val="21"/>
                      <w:lang w:val="en-US"/>
                    </w:rPr>
                    <w:t>废机油、废油桶</w:t>
                  </w:r>
                  <w:r>
                    <w:rPr>
                      <w:rFonts w:hint="eastAsia" w:ascii="Times New Roman" w:hAnsi="Times New Roman" w:cs="Times New Roman"/>
                      <w:color w:val="auto"/>
                      <w:sz w:val="21"/>
                      <w:szCs w:val="21"/>
                      <w:lang w:val="en-US" w:eastAsia="zh-CN"/>
                    </w:rPr>
                    <w:t>、废油手套</w:t>
                  </w:r>
                </w:p>
              </w:tc>
            </w:tr>
          </w:tbl>
          <w:p>
            <w:pPr>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0" w:hRule="atLeast"/>
        </w:trPr>
        <w:tc>
          <w:tcPr>
            <w:tcW w:w="203" w:type="pct"/>
            <w:vAlign w:val="center"/>
          </w:tcPr>
          <w:p>
            <w:pPr>
              <w:adjustRightInd w:val="0"/>
              <w:snapToGrid w:val="0"/>
              <w:spacing w:line="240" w:lineRule="auto"/>
              <w:jc w:val="center"/>
              <w:rPr>
                <w:rFonts w:cs="Times New Roman"/>
                <w:color w:val="auto"/>
              </w:rPr>
            </w:pPr>
            <w:r>
              <w:rPr>
                <w:rFonts w:cs="Times New Roman"/>
                <w:bCs/>
                <w:color w:val="auto"/>
                <w:kern w:val="21"/>
                <w:szCs w:val="24"/>
              </w:rPr>
              <w:t>与项目有关的原有环境污染问题</w:t>
            </w:r>
          </w:p>
        </w:tc>
        <w:tc>
          <w:tcPr>
            <w:tcW w:w="4796" w:type="pct"/>
            <w:vAlign w:val="center"/>
          </w:tcPr>
          <w:p>
            <w:pPr>
              <w:ind w:firstLine="480" w:firstLineChars="200"/>
              <w:jc w:val="both"/>
              <w:rPr>
                <w:rFonts w:hint="eastAsia"/>
                <w:color w:val="auto"/>
              </w:rPr>
            </w:pPr>
            <w:r>
              <w:rPr>
                <w:rFonts w:hint="eastAsia"/>
                <w:color w:val="auto"/>
                <w:lang w:val="en-US" w:eastAsia="zh-CN"/>
              </w:rPr>
              <w:t>根据现场踏勘，本项目用地目前为空地。调查期间未发现与本项目有关的原有环境污染问题。</w:t>
            </w:r>
          </w:p>
        </w:tc>
      </w:tr>
    </w:tbl>
    <w:p>
      <w:pPr>
        <w:jc w:val="center"/>
        <w:rPr>
          <w:rFonts w:cs="Times New Roman"/>
          <w:b/>
          <w:bCs/>
          <w:color w:val="auto"/>
          <w:sz w:val="28"/>
          <w:szCs w:val="24"/>
        </w:rPr>
      </w:pPr>
      <w:r>
        <w:rPr>
          <w:rFonts w:cs="Times New Roman"/>
          <w:color w:val="auto"/>
        </w:rPr>
        <w:br w:type="page"/>
      </w:r>
      <w:r>
        <w:rPr>
          <w:rFonts w:cs="Times New Roman"/>
          <w:b/>
          <w:bCs/>
          <w:color w:val="auto"/>
          <w:sz w:val="28"/>
          <w:szCs w:val="24"/>
        </w:rPr>
        <w:t>三、区域环境质量现状、环境保护目标及评价标准</w:t>
      </w:r>
    </w:p>
    <w:tbl>
      <w:tblPr>
        <w:tblStyle w:val="2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4"/>
        <w:gridCol w:w="9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215" w:type="pct"/>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区域</w:t>
            </w:r>
          </w:p>
          <w:p>
            <w:pPr>
              <w:adjustRightInd w:val="0"/>
              <w:snapToGrid w:val="0"/>
              <w:spacing w:line="240" w:lineRule="auto"/>
              <w:jc w:val="center"/>
              <w:rPr>
                <w:rFonts w:cs="Times New Roman"/>
                <w:color w:val="auto"/>
                <w:kern w:val="21"/>
                <w:szCs w:val="24"/>
              </w:rPr>
            </w:pPr>
            <w:r>
              <w:rPr>
                <w:rFonts w:cs="Times New Roman"/>
                <w:color w:val="auto"/>
                <w:kern w:val="21"/>
                <w:szCs w:val="24"/>
              </w:rPr>
              <w:t>环境</w:t>
            </w:r>
          </w:p>
          <w:p>
            <w:pPr>
              <w:adjustRightInd w:val="0"/>
              <w:snapToGrid w:val="0"/>
              <w:spacing w:line="240" w:lineRule="auto"/>
              <w:jc w:val="center"/>
              <w:rPr>
                <w:rFonts w:cs="Times New Roman"/>
                <w:color w:val="auto"/>
                <w:kern w:val="21"/>
                <w:szCs w:val="24"/>
              </w:rPr>
            </w:pPr>
            <w:r>
              <w:rPr>
                <w:rFonts w:cs="Times New Roman"/>
                <w:color w:val="auto"/>
                <w:kern w:val="21"/>
                <w:szCs w:val="24"/>
              </w:rPr>
              <w:t>质量</w:t>
            </w:r>
          </w:p>
          <w:p>
            <w:pPr>
              <w:adjustRightInd w:val="0"/>
              <w:snapToGrid w:val="0"/>
              <w:spacing w:line="240" w:lineRule="auto"/>
              <w:jc w:val="center"/>
              <w:rPr>
                <w:rFonts w:cs="Times New Roman"/>
                <w:color w:val="auto"/>
                <w:kern w:val="21"/>
                <w:szCs w:val="24"/>
              </w:rPr>
            </w:pPr>
            <w:r>
              <w:rPr>
                <w:rFonts w:cs="Times New Roman"/>
                <w:color w:val="auto"/>
                <w:kern w:val="21"/>
                <w:szCs w:val="24"/>
              </w:rPr>
              <w:t>现状</w:t>
            </w:r>
          </w:p>
        </w:tc>
        <w:tc>
          <w:tcPr>
            <w:tcW w:w="4784" w:type="pct"/>
            <w:vAlign w:val="center"/>
          </w:tcPr>
          <w:p>
            <w:pPr>
              <w:tabs>
                <w:tab w:val="right" w:leader="hyphen" w:pos="8190"/>
              </w:tabs>
              <w:adjustRightInd w:val="0"/>
              <w:snapToGrid w:val="0"/>
              <w:ind w:firstLine="482" w:firstLineChars="200"/>
              <w:rPr>
                <w:rFonts w:cs="Times New Roman"/>
                <w:b/>
                <w:bCs/>
                <w:color w:val="auto"/>
              </w:rPr>
            </w:pPr>
            <w:r>
              <w:rPr>
                <w:rFonts w:hint="eastAsia" w:cs="Times New Roman"/>
                <w:b/>
                <w:bCs/>
                <w:color w:val="auto"/>
              </w:rPr>
              <w:t>1、</w:t>
            </w:r>
            <w:r>
              <w:rPr>
                <w:rFonts w:cs="Times New Roman"/>
                <w:b/>
                <w:bCs/>
                <w:color w:val="auto"/>
              </w:rPr>
              <w:t>环境空气质量现状</w:t>
            </w:r>
          </w:p>
          <w:p>
            <w:pPr>
              <w:wordWrap w:val="0"/>
              <w:adjustRightInd w:val="0"/>
              <w:snapToGrid w:val="0"/>
              <w:ind w:firstLine="482" w:firstLineChars="200"/>
              <w:outlineLvl w:val="3"/>
              <w:rPr>
                <w:rFonts w:cs="Times New Roman"/>
                <w:b/>
                <w:bCs/>
                <w:color w:val="auto"/>
              </w:rPr>
            </w:pPr>
            <w:r>
              <w:rPr>
                <w:rFonts w:hint="eastAsia" w:cs="Times New Roman"/>
                <w:b/>
                <w:bCs/>
                <w:color w:val="auto"/>
              </w:rPr>
              <w:t>（1）</w:t>
            </w:r>
            <w:r>
              <w:rPr>
                <w:rFonts w:cs="Times New Roman"/>
                <w:b/>
                <w:bCs/>
                <w:color w:val="auto"/>
              </w:rPr>
              <w:t>基本污染物环境质量现状评价</w:t>
            </w:r>
          </w:p>
          <w:p>
            <w:pPr>
              <w:ind w:firstLine="480" w:firstLineChars="200"/>
              <w:rPr>
                <w:rFonts w:cs="Times New Roman"/>
                <w:b/>
                <w:bCs/>
                <w:color w:val="auto"/>
              </w:rPr>
            </w:pPr>
            <w:r>
              <w:rPr>
                <w:rFonts w:cs="Times New Roman"/>
                <w:color w:val="auto"/>
              </w:rPr>
              <w:t>本项目位于</w:t>
            </w:r>
            <w:r>
              <w:rPr>
                <w:rFonts w:hint="eastAsia" w:cs="Times New Roman"/>
                <w:color w:val="auto"/>
                <w:lang w:eastAsia="zh-CN"/>
              </w:rPr>
              <w:t>西安市周至县富仁镇上三高村</w:t>
            </w:r>
            <w:r>
              <w:rPr>
                <w:rFonts w:cs="Times New Roman"/>
                <w:color w:val="auto"/>
              </w:rPr>
              <w:t>，根据大气功能区划，本项目所在地为二类功能区，环境空气质量标准执行《环境空气质量标准》（GB3095-2012）二级标准要求。根据陕西省生态环境厅办公室2024年1月18日发布的《环保快报》中“2023年陕西省12月及1~12月全省环境空气质量状况”中西安市周至县空气常见污染物监测结果，对区域环境空气质量现状进行分析，具体统计结果见下表。</w:t>
            </w:r>
          </w:p>
          <w:p>
            <w:pPr>
              <w:pStyle w:val="5"/>
              <w:adjustRightInd w:val="0"/>
              <w:snapToGrid w:val="0"/>
              <w:spacing w:line="240" w:lineRule="auto"/>
              <w:ind w:firstLine="0"/>
              <w:jc w:val="center"/>
              <w:rPr>
                <w:rFonts w:cs="Times New Roman"/>
                <w:b/>
                <w:bCs/>
                <w:color w:val="auto"/>
                <w:sz w:val="21"/>
                <w:szCs w:val="21"/>
              </w:rPr>
            </w:pPr>
            <w:r>
              <w:rPr>
                <w:rFonts w:cs="Times New Roman"/>
                <w:b/>
                <w:bCs/>
                <w:color w:val="auto"/>
                <w:sz w:val="21"/>
                <w:szCs w:val="21"/>
              </w:rPr>
              <w:t>表3-1 2023年1~12月西安市周至县环境空气质量状况统计表</w:t>
            </w:r>
          </w:p>
          <w:tbl>
            <w:tblPr>
              <w:tblStyle w:val="22"/>
              <w:tblW w:w="4997" w:type="pct"/>
              <w:tblInd w:w="5"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731"/>
              <w:gridCol w:w="1229"/>
              <w:gridCol w:w="1351"/>
              <w:gridCol w:w="1453"/>
              <w:gridCol w:w="1225"/>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污染物</w:t>
                  </w:r>
                </w:p>
              </w:tc>
              <w:tc>
                <w:tcPr>
                  <w:tcW w:w="1520"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评价指标</w:t>
                  </w:r>
                </w:p>
              </w:tc>
              <w:tc>
                <w:tcPr>
                  <w:tcW w:w="684"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现状浓度/（μg/m³）</w:t>
                  </w:r>
                </w:p>
              </w:tc>
              <w:tc>
                <w:tcPr>
                  <w:tcW w:w="752"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评价标准/（μg/m³）</w:t>
                  </w:r>
                </w:p>
              </w:tc>
              <w:tc>
                <w:tcPr>
                  <w:tcW w:w="809"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占标率/（%）</w:t>
                  </w:r>
                </w:p>
              </w:tc>
              <w:tc>
                <w:tcPr>
                  <w:tcW w:w="683" w:type="pct"/>
                  <w:tcBorders>
                    <w:tl2br w:val="nil"/>
                    <w:tr2bl w:val="nil"/>
                  </w:tcBorders>
                  <w:vAlign w:val="center"/>
                </w:tcPr>
                <w:p>
                  <w:pPr>
                    <w:adjustRightInd w:val="0"/>
                    <w:snapToGrid w:val="0"/>
                    <w:spacing w:line="260" w:lineRule="exact"/>
                    <w:jc w:val="center"/>
                    <w:rPr>
                      <w:rFonts w:cs="Times New Roman"/>
                      <w:b/>
                      <w:color w:val="auto"/>
                      <w:kern w:val="0"/>
                      <w:sz w:val="21"/>
                      <w:szCs w:val="21"/>
                    </w:rPr>
                  </w:pPr>
                  <w:r>
                    <w:rPr>
                      <w:rFonts w:cs="Times New Roman"/>
                      <w:b/>
                      <w:color w:val="auto"/>
                      <w:kern w:val="0"/>
                      <w:sz w:val="21"/>
                      <w:szCs w:val="21"/>
                    </w:rPr>
                    <w:t>达标情况</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PM</w:t>
                  </w:r>
                  <w:r>
                    <w:rPr>
                      <w:rFonts w:cs="Times New Roman"/>
                      <w:color w:val="auto"/>
                      <w:kern w:val="0"/>
                      <w:sz w:val="21"/>
                      <w:szCs w:val="21"/>
                      <w:vertAlign w:val="subscript"/>
                    </w:rPr>
                    <w:t>10</w:t>
                  </w:r>
                </w:p>
              </w:tc>
              <w:tc>
                <w:tcPr>
                  <w:tcW w:w="1520"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83</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70</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118.57%</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不达标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PM</w:t>
                  </w:r>
                  <w:r>
                    <w:rPr>
                      <w:rFonts w:cs="Times New Roman"/>
                      <w:color w:val="auto"/>
                      <w:kern w:val="0"/>
                      <w:sz w:val="21"/>
                      <w:szCs w:val="21"/>
                      <w:vertAlign w:val="subscript"/>
                    </w:rPr>
                    <w:t>2.5</w:t>
                  </w:r>
                </w:p>
              </w:tc>
              <w:tc>
                <w:tcPr>
                  <w:tcW w:w="1520" w:type="pct"/>
                  <w:tcBorders>
                    <w:tl2br w:val="nil"/>
                    <w:tr2bl w:val="nil"/>
                  </w:tcBorders>
                  <w:vAlign w:val="center"/>
                </w:tcPr>
                <w:p>
                  <w:pPr>
                    <w:adjustRightInd w:val="0"/>
                    <w:snapToGrid w:val="0"/>
                    <w:spacing w:line="260" w:lineRule="exact"/>
                    <w:jc w:val="center"/>
                    <w:rPr>
                      <w:rFonts w:cs="Times New Roman"/>
                      <w:color w:val="auto"/>
                      <w:sz w:val="21"/>
                      <w:szCs w:val="21"/>
                    </w:rPr>
                  </w:pPr>
                  <w:r>
                    <w:rPr>
                      <w:rFonts w:cs="Times New Roman"/>
                      <w:color w:val="auto"/>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42</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35</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120.00%</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不达标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SO</w:t>
                  </w:r>
                  <w:r>
                    <w:rPr>
                      <w:rFonts w:cs="Times New Roman"/>
                      <w:color w:val="auto"/>
                      <w:kern w:val="0"/>
                      <w:sz w:val="21"/>
                      <w:szCs w:val="21"/>
                      <w:vertAlign w:val="subscript"/>
                    </w:rPr>
                    <w:t>2</w:t>
                  </w:r>
                </w:p>
              </w:tc>
              <w:tc>
                <w:tcPr>
                  <w:tcW w:w="1520" w:type="pct"/>
                  <w:tcBorders>
                    <w:tl2br w:val="nil"/>
                    <w:tr2bl w:val="nil"/>
                  </w:tcBorders>
                  <w:vAlign w:val="center"/>
                </w:tcPr>
                <w:p>
                  <w:pPr>
                    <w:adjustRightInd w:val="0"/>
                    <w:snapToGrid w:val="0"/>
                    <w:spacing w:line="260" w:lineRule="exact"/>
                    <w:jc w:val="center"/>
                    <w:rPr>
                      <w:rFonts w:cs="Times New Roman"/>
                      <w:color w:val="auto"/>
                      <w:sz w:val="21"/>
                      <w:szCs w:val="21"/>
                    </w:rPr>
                  </w:pPr>
                  <w:r>
                    <w:rPr>
                      <w:rFonts w:cs="Times New Roman"/>
                      <w:color w:val="auto"/>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9</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60</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15.00%</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NO</w:t>
                  </w:r>
                  <w:r>
                    <w:rPr>
                      <w:rFonts w:cs="Times New Roman"/>
                      <w:color w:val="auto"/>
                      <w:kern w:val="0"/>
                      <w:sz w:val="21"/>
                      <w:szCs w:val="21"/>
                      <w:vertAlign w:val="subscript"/>
                    </w:rPr>
                    <w:t>2</w:t>
                  </w:r>
                </w:p>
              </w:tc>
              <w:tc>
                <w:tcPr>
                  <w:tcW w:w="1520" w:type="pct"/>
                  <w:tcBorders>
                    <w:tl2br w:val="nil"/>
                    <w:tr2bl w:val="nil"/>
                  </w:tcBorders>
                  <w:vAlign w:val="center"/>
                </w:tcPr>
                <w:p>
                  <w:pPr>
                    <w:adjustRightInd w:val="0"/>
                    <w:snapToGrid w:val="0"/>
                    <w:spacing w:line="260" w:lineRule="exact"/>
                    <w:jc w:val="center"/>
                    <w:rPr>
                      <w:rFonts w:cs="Times New Roman"/>
                      <w:color w:val="auto"/>
                      <w:sz w:val="21"/>
                      <w:szCs w:val="21"/>
                    </w:rPr>
                  </w:pPr>
                  <w:r>
                    <w:rPr>
                      <w:rFonts w:cs="Times New Roman"/>
                      <w:color w:val="auto"/>
                      <w:kern w:val="0"/>
                      <w:sz w:val="21"/>
                      <w:szCs w:val="21"/>
                    </w:rPr>
                    <w:t>年平均</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27</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40</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67.50%</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CO</w:t>
                  </w:r>
                </w:p>
              </w:tc>
              <w:tc>
                <w:tcPr>
                  <w:tcW w:w="1520" w:type="pct"/>
                  <w:tcBorders>
                    <w:tl2br w:val="nil"/>
                    <w:tr2bl w:val="nil"/>
                  </w:tcBorders>
                  <w:vAlign w:val="center"/>
                </w:tcPr>
                <w:p>
                  <w:pPr>
                    <w:adjustRightInd w:val="0"/>
                    <w:snapToGrid w:val="0"/>
                    <w:spacing w:line="260" w:lineRule="exact"/>
                    <w:jc w:val="center"/>
                    <w:rPr>
                      <w:rFonts w:cs="Times New Roman"/>
                      <w:color w:val="auto"/>
                      <w:kern w:val="0"/>
                      <w:sz w:val="21"/>
                      <w:szCs w:val="21"/>
                      <w:highlight w:val="none"/>
                    </w:rPr>
                  </w:pPr>
                  <w:r>
                    <w:rPr>
                      <w:rFonts w:cs="Times New Roman"/>
                      <w:color w:val="auto"/>
                      <w:kern w:val="0"/>
                      <w:sz w:val="21"/>
                      <w:szCs w:val="21"/>
                      <w:highlight w:val="none"/>
                    </w:rPr>
                    <w:t>第95百分位浓度</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highlight w:val="none"/>
                    </w:rPr>
                  </w:pPr>
                  <w:r>
                    <w:rPr>
                      <w:rFonts w:cs="Times New Roman"/>
                      <w:color w:val="auto"/>
                      <w:kern w:val="0"/>
                      <w:sz w:val="21"/>
                      <w:szCs w:val="21"/>
                      <w:highlight w:val="none"/>
                    </w:rPr>
                    <w:t>1.</w:t>
                  </w:r>
                  <w:r>
                    <w:rPr>
                      <w:rFonts w:hint="eastAsia" w:cs="Times New Roman"/>
                      <w:color w:val="auto"/>
                      <w:kern w:val="0"/>
                      <w:sz w:val="21"/>
                      <w:szCs w:val="21"/>
                      <w:highlight w:val="none"/>
                      <w:lang w:val="en-US" w:eastAsia="zh-CN"/>
                    </w:rPr>
                    <w:t>6</w:t>
                  </w:r>
                  <w:r>
                    <w:rPr>
                      <w:rFonts w:cs="Times New Roman"/>
                      <w:color w:val="auto"/>
                      <w:sz w:val="21"/>
                      <w:szCs w:val="21"/>
                      <w:highlight w:val="none"/>
                    </w:rPr>
                    <w:t>mg/m</w:t>
                  </w:r>
                  <w:r>
                    <w:rPr>
                      <w:rFonts w:cs="Times New Roman"/>
                      <w:color w:val="auto"/>
                      <w:sz w:val="21"/>
                      <w:szCs w:val="21"/>
                      <w:highlight w:val="none"/>
                      <w:vertAlign w:val="superscript"/>
                    </w:rPr>
                    <w:t>3</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4</w:t>
                  </w:r>
                  <w:r>
                    <w:rPr>
                      <w:rFonts w:cs="Times New Roman"/>
                      <w:color w:val="auto"/>
                      <w:sz w:val="21"/>
                      <w:szCs w:val="21"/>
                    </w:rPr>
                    <w:t>mg/m</w:t>
                  </w:r>
                  <w:r>
                    <w:rPr>
                      <w:rFonts w:cs="Times New Roman"/>
                      <w:color w:val="auto"/>
                      <w:sz w:val="21"/>
                      <w:szCs w:val="21"/>
                      <w:vertAlign w:val="superscript"/>
                    </w:rPr>
                    <w:t>3</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40.00%</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达标</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53"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O</w:t>
                  </w:r>
                  <w:r>
                    <w:rPr>
                      <w:rFonts w:cs="Times New Roman"/>
                      <w:color w:val="auto"/>
                      <w:kern w:val="0"/>
                      <w:sz w:val="21"/>
                      <w:szCs w:val="21"/>
                      <w:vertAlign w:val="subscript"/>
                    </w:rPr>
                    <w:t>3</w:t>
                  </w:r>
                </w:p>
              </w:tc>
              <w:tc>
                <w:tcPr>
                  <w:tcW w:w="1520"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第90百分位浓度</w:t>
                  </w:r>
                </w:p>
              </w:tc>
              <w:tc>
                <w:tcPr>
                  <w:tcW w:w="684"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170</w:t>
                  </w:r>
                </w:p>
              </w:tc>
              <w:tc>
                <w:tcPr>
                  <w:tcW w:w="752" w:type="pct"/>
                  <w:tcBorders>
                    <w:tl2br w:val="nil"/>
                    <w:tr2bl w:val="nil"/>
                  </w:tcBorders>
                  <w:vAlign w:val="center"/>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160</w:t>
                  </w:r>
                </w:p>
              </w:tc>
              <w:tc>
                <w:tcPr>
                  <w:tcW w:w="809" w:type="pct"/>
                  <w:tcBorders>
                    <w:tl2br w:val="nil"/>
                    <w:tr2bl w:val="nil"/>
                  </w:tcBorders>
                  <w:vAlign w:val="bottom"/>
                </w:tcPr>
                <w:p>
                  <w:pPr>
                    <w:adjustRightInd w:val="0"/>
                    <w:snapToGrid w:val="0"/>
                    <w:spacing w:line="260" w:lineRule="exact"/>
                    <w:jc w:val="center"/>
                    <w:rPr>
                      <w:rFonts w:cs="Times New Roman"/>
                      <w:color w:val="auto"/>
                      <w:kern w:val="0"/>
                      <w:sz w:val="21"/>
                      <w:szCs w:val="21"/>
                    </w:rPr>
                  </w:pPr>
                  <w:r>
                    <w:rPr>
                      <w:rFonts w:cs="Times New Roman"/>
                      <w:color w:val="auto"/>
                      <w:kern w:val="0"/>
                      <w:sz w:val="21"/>
                      <w:szCs w:val="21"/>
                    </w:rPr>
                    <w:t>106.25%</w:t>
                  </w:r>
                </w:p>
              </w:tc>
              <w:tc>
                <w:tcPr>
                  <w:tcW w:w="683" w:type="pct"/>
                  <w:tcBorders>
                    <w:tl2br w:val="nil"/>
                    <w:tr2bl w:val="nil"/>
                  </w:tcBorders>
                  <w:vAlign w:val="center"/>
                </w:tcPr>
                <w:p>
                  <w:pPr>
                    <w:widowControl/>
                    <w:adjustRightInd w:val="0"/>
                    <w:snapToGrid w:val="0"/>
                    <w:spacing w:line="260" w:lineRule="exact"/>
                    <w:jc w:val="center"/>
                    <w:textAlignment w:val="center"/>
                    <w:rPr>
                      <w:rFonts w:cs="Times New Roman"/>
                      <w:color w:val="auto"/>
                      <w:kern w:val="0"/>
                      <w:sz w:val="21"/>
                      <w:szCs w:val="21"/>
                    </w:rPr>
                  </w:pPr>
                  <w:r>
                    <w:rPr>
                      <w:rFonts w:cs="Times New Roman"/>
                      <w:color w:val="auto"/>
                      <w:kern w:val="0"/>
                      <w:sz w:val="21"/>
                      <w:szCs w:val="21"/>
                      <w:lang w:bidi="ar"/>
                    </w:rPr>
                    <w:t>不达标</w:t>
                  </w:r>
                </w:p>
              </w:tc>
            </w:tr>
          </w:tbl>
          <w:p>
            <w:pPr>
              <w:adjustRightInd w:val="0"/>
              <w:snapToGrid w:val="0"/>
              <w:spacing w:line="240" w:lineRule="auto"/>
              <w:ind w:firstLine="422" w:firstLineChars="200"/>
              <w:rPr>
                <w:rFonts w:cs="Times New Roman"/>
                <w:b/>
                <w:bCs/>
                <w:color w:val="auto"/>
                <w:sz w:val="21"/>
                <w:szCs w:val="21"/>
              </w:rPr>
            </w:pPr>
            <w:r>
              <w:rPr>
                <w:rFonts w:cs="Times New Roman"/>
                <w:b/>
                <w:bCs/>
                <w:color w:val="auto"/>
                <w:sz w:val="21"/>
                <w:szCs w:val="21"/>
              </w:rPr>
              <w:t>注：CO为24小时平均第95百分位数，单位为毫克/立方米；其他五项指标单位为微克/立方米，O</w:t>
            </w:r>
            <w:r>
              <w:rPr>
                <w:rFonts w:cs="Times New Roman"/>
                <w:b/>
                <w:bCs/>
                <w:color w:val="auto"/>
                <w:sz w:val="21"/>
                <w:szCs w:val="21"/>
                <w:vertAlign w:val="subscript"/>
              </w:rPr>
              <w:t>3</w:t>
            </w:r>
            <w:r>
              <w:rPr>
                <w:rFonts w:cs="Times New Roman"/>
                <w:b/>
                <w:bCs/>
                <w:color w:val="auto"/>
                <w:sz w:val="21"/>
                <w:szCs w:val="21"/>
              </w:rPr>
              <w:t>为最大8小时滑动平均值的第90百分位数。</w:t>
            </w:r>
          </w:p>
          <w:p>
            <w:pPr>
              <w:ind w:firstLine="480" w:firstLineChars="200"/>
              <w:rPr>
                <w:rFonts w:cs="Times New Roman"/>
                <w:color w:val="auto"/>
              </w:rPr>
            </w:pPr>
            <w:r>
              <w:rPr>
                <w:rFonts w:cs="Times New Roman"/>
                <w:color w:val="auto"/>
              </w:rPr>
              <w:t>根据以上监测结果可知，周至县SO</w:t>
            </w:r>
            <w:r>
              <w:rPr>
                <w:rFonts w:cs="Times New Roman"/>
                <w:color w:val="auto"/>
                <w:vertAlign w:val="subscript"/>
              </w:rPr>
              <w:t>2</w:t>
            </w:r>
            <w:r>
              <w:rPr>
                <w:rFonts w:cs="Times New Roman"/>
                <w:color w:val="auto"/>
              </w:rPr>
              <w:t>、NO</w:t>
            </w:r>
            <w:r>
              <w:rPr>
                <w:rFonts w:cs="Times New Roman"/>
                <w:color w:val="auto"/>
                <w:vertAlign w:val="subscript"/>
              </w:rPr>
              <w:t>2</w:t>
            </w:r>
            <w:r>
              <w:rPr>
                <w:rFonts w:cs="Times New Roman"/>
                <w:color w:val="auto"/>
              </w:rPr>
              <w:t>的年均浓度值和CO的24小时平均第95百分位浓度值均达到国家环境空气质量二级标准；PM</w:t>
            </w:r>
            <w:r>
              <w:rPr>
                <w:rFonts w:cs="Times New Roman"/>
                <w:color w:val="auto"/>
                <w:vertAlign w:val="subscript"/>
              </w:rPr>
              <w:t>10</w:t>
            </w:r>
            <w:r>
              <w:rPr>
                <w:rFonts w:cs="Times New Roman"/>
                <w:color w:val="auto"/>
              </w:rPr>
              <w:t>、PM</w:t>
            </w:r>
            <w:r>
              <w:rPr>
                <w:rFonts w:cs="Times New Roman"/>
                <w:color w:val="auto"/>
                <w:vertAlign w:val="subscript"/>
              </w:rPr>
              <w:t>2.5</w:t>
            </w:r>
            <w:r>
              <w:rPr>
                <w:rFonts w:cs="Times New Roman"/>
                <w:color w:val="auto"/>
              </w:rPr>
              <w:t>和O</w:t>
            </w:r>
            <w:r>
              <w:rPr>
                <w:rFonts w:cs="Times New Roman"/>
                <w:color w:val="auto"/>
                <w:vertAlign w:val="subscript"/>
              </w:rPr>
              <w:t>3</w:t>
            </w:r>
            <w:r>
              <w:rPr>
                <w:rFonts w:cs="Times New Roman"/>
                <w:color w:val="auto"/>
              </w:rPr>
              <w:t>的第90百分位浓度值均超过国家环境空气质量二级标准。</w:t>
            </w:r>
          </w:p>
          <w:p>
            <w:pPr>
              <w:ind w:firstLine="480" w:firstLineChars="200"/>
              <w:rPr>
                <w:rFonts w:cs="Times New Roman"/>
                <w:color w:val="auto"/>
              </w:rPr>
            </w:pPr>
            <w:r>
              <w:rPr>
                <w:rFonts w:cs="Times New Roman"/>
                <w:color w:val="auto"/>
              </w:rPr>
              <w:t>根据《环境影响评价技术导则 大气环境》（HJ2.2-2018），六项污染物年评价指标全部达标即为城市环境空气质量达标，项目所在区域属于不达标区，本项目配套完善的环保设施，污染物均可达标排放。</w:t>
            </w:r>
          </w:p>
          <w:p>
            <w:pPr>
              <w:wordWrap w:val="0"/>
              <w:adjustRightInd w:val="0"/>
              <w:snapToGrid w:val="0"/>
              <w:ind w:firstLine="482" w:firstLineChars="200"/>
              <w:outlineLvl w:val="3"/>
              <w:rPr>
                <w:rFonts w:cs="Times New Roman"/>
                <w:b/>
                <w:bCs/>
                <w:color w:val="auto"/>
              </w:rPr>
            </w:pPr>
            <w:r>
              <w:rPr>
                <w:rFonts w:hint="eastAsia" w:cs="Times New Roman"/>
                <w:b/>
                <w:bCs/>
                <w:color w:val="auto"/>
              </w:rPr>
              <w:t>（2）</w:t>
            </w:r>
            <w:r>
              <w:rPr>
                <w:rFonts w:cs="Times New Roman"/>
                <w:b/>
                <w:bCs/>
                <w:color w:val="auto"/>
              </w:rPr>
              <w:t>特征污染物环境质量状况</w:t>
            </w:r>
          </w:p>
          <w:p>
            <w:pPr>
              <w:adjustRightInd w:val="0"/>
              <w:spacing w:line="360" w:lineRule="auto"/>
              <w:ind w:firstLine="480" w:firstLineChars="200"/>
              <w:jc w:val="left"/>
              <w:rPr>
                <w:color w:val="auto"/>
                <w:sz w:val="24"/>
              </w:rPr>
            </w:pPr>
            <w:r>
              <w:rPr>
                <w:rFonts w:hint="eastAsia"/>
                <w:color w:val="auto"/>
                <w:sz w:val="24"/>
              </w:rPr>
              <w:t>本项目特征污染物（TSP）引用</w:t>
            </w:r>
            <w:r>
              <w:rPr>
                <w:rFonts w:hint="default" w:cs="Times New Roman"/>
                <w:color w:val="auto"/>
                <w:highlight w:val="none"/>
                <w:lang w:val="en-US" w:eastAsia="zh-CN"/>
              </w:rPr>
              <w:t>陕西博森检测技术有限公司</w:t>
            </w:r>
            <w:r>
              <w:rPr>
                <w:rFonts w:hint="eastAsia" w:cs="Times New Roman"/>
                <w:color w:val="auto"/>
                <w:highlight w:val="none"/>
                <w:lang w:val="en-US" w:eastAsia="zh-CN"/>
              </w:rPr>
              <w:t>出具的《</w:t>
            </w:r>
            <w:r>
              <w:rPr>
                <w:rFonts w:hint="default" w:cs="Times New Roman"/>
                <w:color w:val="auto"/>
                <w:highlight w:val="none"/>
                <w:lang w:val="en-US" w:eastAsia="zh-CN"/>
              </w:rPr>
              <w:t>陕西海山路桥工程有限责任公司</w:t>
            </w:r>
            <w:r>
              <w:rPr>
                <w:rFonts w:hint="eastAsia" w:cs="Times New Roman"/>
                <w:color w:val="auto"/>
                <w:highlight w:val="none"/>
                <w:lang w:val="en-US" w:eastAsia="zh-CN"/>
              </w:rPr>
              <w:t>沥青拌合站提升改造项目环境质量现状监测》报告（博森监（现）字（2021）第12001号）</w:t>
            </w:r>
            <w:r>
              <w:rPr>
                <w:rFonts w:hint="default" w:cs="Times New Roman"/>
                <w:color w:val="auto"/>
                <w:highlight w:val="none"/>
                <w:lang w:val="en-US" w:eastAsia="zh-CN"/>
              </w:rPr>
              <w:t>，监测报告见附件。</w:t>
            </w:r>
            <w:r>
              <w:rPr>
                <w:rFonts w:hint="eastAsia"/>
                <w:color w:val="auto"/>
                <w:sz w:val="24"/>
              </w:rPr>
              <w:t>所引用的监测报告监测时间为</w:t>
            </w:r>
            <w:r>
              <w:rPr>
                <w:rFonts w:hint="eastAsia"/>
                <w:color w:val="auto"/>
              </w:rPr>
              <w:t>2021</w:t>
            </w:r>
            <w:r>
              <w:rPr>
                <w:rFonts w:hint="eastAsia"/>
                <w:color w:val="auto"/>
                <w:lang w:val="en-US" w:eastAsia="zh-CN"/>
              </w:rPr>
              <w:t>年</w:t>
            </w:r>
            <w:r>
              <w:rPr>
                <w:rFonts w:hint="eastAsia"/>
                <w:color w:val="auto"/>
              </w:rPr>
              <w:t>12</w:t>
            </w:r>
            <w:r>
              <w:rPr>
                <w:rFonts w:hint="eastAsia"/>
                <w:color w:val="auto"/>
                <w:lang w:val="en-US" w:eastAsia="zh-CN"/>
              </w:rPr>
              <w:t>月</w:t>
            </w:r>
            <w:r>
              <w:rPr>
                <w:rFonts w:hint="eastAsia"/>
                <w:color w:val="auto"/>
              </w:rPr>
              <w:t>2</w:t>
            </w:r>
            <w:r>
              <w:rPr>
                <w:rFonts w:hint="eastAsia"/>
                <w:color w:val="auto"/>
                <w:lang w:val="en-US" w:eastAsia="zh-CN"/>
              </w:rPr>
              <w:t>日~</w:t>
            </w:r>
            <w:r>
              <w:rPr>
                <w:rFonts w:hint="eastAsia"/>
                <w:color w:val="auto"/>
              </w:rPr>
              <w:t>12</w:t>
            </w:r>
            <w:r>
              <w:rPr>
                <w:rFonts w:hint="eastAsia"/>
                <w:color w:val="auto"/>
                <w:lang w:val="en-US" w:eastAsia="zh-CN"/>
              </w:rPr>
              <w:t>月</w:t>
            </w:r>
            <w:r>
              <w:rPr>
                <w:rFonts w:hint="eastAsia"/>
                <w:color w:val="auto"/>
              </w:rPr>
              <w:t>4</w:t>
            </w:r>
            <w:r>
              <w:rPr>
                <w:rFonts w:hint="eastAsia"/>
                <w:color w:val="auto"/>
                <w:lang w:val="en-US" w:eastAsia="zh-CN"/>
              </w:rPr>
              <w:t>日</w:t>
            </w:r>
            <w:r>
              <w:rPr>
                <w:rFonts w:hint="eastAsia"/>
                <w:color w:val="auto"/>
                <w:sz w:val="24"/>
              </w:rPr>
              <w:t>，</w:t>
            </w:r>
            <w:r>
              <w:rPr>
                <w:rFonts w:hint="eastAsia"/>
                <w:color w:val="auto"/>
                <w:sz w:val="24"/>
                <w:lang w:eastAsia="zh-CN"/>
              </w:rPr>
              <w:t>监测点位</w:t>
            </w:r>
            <w:r>
              <w:rPr>
                <w:rFonts w:hint="eastAsia"/>
                <w:color w:val="auto"/>
                <w:sz w:val="24"/>
              </w:rPr>
              <w:t>于本项目东</w:t>
            </w:r>
            <w:r>
              <w:rPr>
                <w:rFonts w:hint="eastAsia"/>
                <w:color w:val="auto"/>
                <w:sz w:val="24"/>
                <w:lang w:val="en-US" w:eastAsia="zh-CN"/>
              </w:rPr>
              <w:t>北</w:t>
            </w:r>
            <w:r>
              <w:rPr>
                <w:rFonts w:hint="eastAsia"/>
                <w:color w:val="auto"/>
                <w:sz w:val="24"/>
              </w:rPr>
              <w:t>侧（约</w:t>
            </w:r>
            <w:r>
              <w:rPr>
                <w:rFonts w:hint="eastAsia"/>
                <w:color w:val="auto"/>
                <w:sz w:val="24"/>
                <w:lang w:val="en-US" w:eastAsia="zh-CN"/>
              </w:rPr>
              <w:t>3.8</w:t>
            </w:r>
            <w:r>
              <w:rPr>
                <w:rFonts w:hint="eastAsia"/>
                <w:color w:val="auto"/>
                <w:sz w:val="24"/>
              </w:rPr>
              <w:t>km处）的</w:t>
            </w:r>
            <w:r>
              <w:rPr>
                <w:rFonts w:hint="eastAsia"/>
                <w:color w:val="auto"/>
              </w:rPr>
              <w:t>南司竹村</w:t>
            </w:r>
            <w:r>
              <w:rPr>
                <w:rFonts w:hint="eastAsia"/>
                <w:color w:val="auto"/>
                <w:sz w:val="24"/>
              </w:rPr>
              <w:t>。</w:t>
            </w:r>
          </w:p>
          <w:p>
            <w:pPr>
              <w:adjustRightInd w:val="0"/>
              <w:snapToGrid w:val="0"/>
              <w:ind w:firstLine="480" w:firstLineChars="200"/>
              <w:rPr>
                <w:rFonts w:hint="eastAsia"/>
                <w:color w:val="auto"/>
                <w:sz w:val="24"/>
              </w:rPr>
            </w:pPr>
            <w:r>
              <w:rPr>
                <w:rFonts w:hint="default" w:cs="Times New Roman"/>
                <w:color w:val="auto"/>
                <w:lang w:eastAsia="zh-CN"/>
              </w:rPr>
              <w:t>根据《建设项目环境影响报告表编制技术指南（污染影响类）（</w:t>
            </w:r>
            <w:r>
              <w:rPr>
                <w:rFonts w:hint="default" w:cs="Times New Roman"/>
                <w:color w:val="auto"/>
              </w:rPr>
              <w:t>试行</w:t>
            </w:r>
            <w:r>
              <w:rPr>
                <w:rFonts w:hint="default" w:cs="Times New Roman"/>
                <w:color w:val="auto"/>
                <w:lang w:eastAsia="zh-CN"/>
              </w:rPr>
              <w:t>）》要求，</w:t>
            </w:r>
            <w:r>
              <w:rPr>
                <w:rFonts w:hint="eastAsia" w:cs="Times New Roman"/>
                <w:color w:val="auto"/>
                <w:lang w:eastAsia="zh-CN"/>
              </w:rPr>
              <w:t>“</w:t>
            </w:r>
            <w:r>
              <w:rPr>
                <w:rFonts w:hint="default" w:cs="Times New Roman"/>
                <w:color w:val="auto"/>
                <w:lang w:eastAsia="zh-CN"/>
              </w:rPr>
              <w:t>排放国家、地方环境空气质量标准中有标准限值要求的特征污染物时，引用建设项目周边</w:t>
            </w:r>
            <w:r>
              <w:rPr>
                <w:rFonts w:hint="default" w:cs="Times New Roman"/>
                <w:color w:val="auto"/>
                <w:lang w:val="en-US" w:eastAsia="zh-CN"/>
              </w:rPr>
              <w:t>5千米范围内近3年的现有监测数据</w:t>
            </w:r>
            <w:r>
              <w:rPr>
                <w:rFonts w:hint="default" w:cs="Times New Roman"/>
                <w:color w:val="auto"/>
                <w:highlight w:val="none"/>
                <w:lang w:val="en-US" w:eastAsia="zh-CN"/>
              </w:rPr>
              <w:t>。</w:t>
            </w:r>
            <w:r>
              <w:rPr>
                <w:rFonts w:hint="eastAsia" w:cs="Times New Roman"/>
                <w:color w:val="auto"/>
                <w:highlight w:val="none"/>
                <w:lang w:val="en-US" w:eastAsia="zh-CN"/>
              </w:rPr>
              <w:t>”</w:t>
            </w:r>
            <w:r>
              <w:rPr>
                <w:rFonts w:hint="eastAsia"/>
                <w:color w:val="auto"/>
                <w:sz w:val="24"/>
              </w:rPr>
              <w:t>项目引用该监测数据合理可行。</w:t>
            </w:r>
          </w:p>
          <w:p>
            <w:pPr>
              <w:adjustRightInd w:val="0"/>
              <w:snapToGrid w:val="0"/>
              <w:ind w:firstLine="480" w:firstLineChars="200"/>
              <w:rPr>
                <w:rFonts w:hint="default" w:cs="Times New Roman"/>
                <w:color w:val="auto"/>
                <w:highlight w:val="none"/>
                <w:lang w:val="en-US" w:eastAsia="zh-CN"/>
              </w:rPr>
            </w:pPr>
            <w:r>
              <w:rPr>
                <w:rFonts w:hint="eastAsia"/>
                <w:color w:val="auto"/>
                <w:sz w:val="24"/>
              </w:rPr>
              <w:t>监测结果统计如下表：</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default" w:ascii="Times New Roman" w:hAnsi="Times New Roman" w:cs="Times New Roman" w:eastAsiaTheme="minorEastAsia"/>
                <w:b/>
                <w:bCs/>
                <w:color w:val="auto"/>
                <w:kern w:val="2"/>
                <w:sz w:val="21"/>
                <w:szCs w:val="21"/>
                <w:highlight w:val="none"/>
                <w:lang w:val="en-US" w:eastAsia="zh-CN" w:bidi="ar-SA"/>
              </w:rPr>
            </w:pPr>
            <w:r>
              <w:rPr>
                <w:rFonts w:hint="default" w:ascii="Times New Roman" w:hAnsi="Times New Roman" w:cs="Times New Roman" w:eastAsiaTheme="minorEastAsia"/>
                <w:b/>
                <w:bCs/>
                <w:color w:val="auto"/>
                <w:kern w:val="2"/>
                <w:sz w:val="21"/>
                <w:szCs w:val="21"/>
                <w:highlight w:val="none"/>
                <w:lang w:val="en-US" w:eastAsia="zh-CN" w:bidi="ar-SA"/>
              </w:rPr>
              <w:t>表3-</w:t>
            </w:r>
            <w:r>
              <w:rPr>
                <w:rFonts w:hint="eastAsia" w:cs="Times New Roman"/>
                <w:b/>
                <w:bCs/>
                <w:color w:val="auto"/>
                <w:kern w:val="2"/>
                <w:sz w:val="21"/>
                <w:szCs w:val="21"/>
                <w:highlight w:val="none"/>
                <w:lang w:val="en-US" w:eastAsia="zh-CN" w:bidi="ar-SA"/>
              </w:rPr>
              <w:t>2</w:t>
            </w:r>
            <w:r>
              <w:rPr>
                <w:rFonts w:hint="default" w:ascii="Times New Roman" w:hAnsi="Times New Roman" w:cs="Times New Roman" w:eastAsiaTheme="minorEastAsia"/>
                <w:b/>
                <w:bCs/>
                <w:color w:val="auto"/>
                <w:kern w:val="2"/>
                <w:sz w:val="21"/>
                <w:szCs w:val="21"/>
                <w:highlight w:val="none"/>
                <w:lang w:val="en-US" w:eastAsia="zh-CN" w:bidi="ar-SA"/>
              </w:rPr>
              <w:t xml:space="preserve"> TSP监测统计、分析结果</w:t>
            </w:r>
          </w:p>
          <w:tbl>
            <w:tblPr>
              <w:tblStyle w:val="22"/>
              <w:tblpPr w:leftFromText="180" w:rightFromText="180" w:vertAnchor="text" w:horzAnchor="page" w:tblpXSpec="center" w:tblpY="82"/>
              <w:tblOverlap w:val="never"/>
              <w:tblW w:w="5000" w:type="pct"/>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73"/>
              <w:gridCol w:w="68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3"/>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环境空气监测结果（小时值）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5"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监测点位</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厂址下风向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205" w:type="pct"/>
                  <w:gridSpan w:val="2"/>
                  <w:tcBorders>
                    <w:tl2br w:val="single" w:color="auto" w:sz="4" w:space="0"/>
                  </w:tcBorders>
                  <w:noWrap w:val="0"/>
                  <w:vAlign w:val="center"/>
                </w:tcPr>
                <w:p>
                  <w:pPr>
                    <w:adjustRightInd w:val="0"/>
                    <w:snapToGrid w:val="0"/>
                    <w:spacing w:line="260" w:lineRule="exact"/>
                    <w:jc w:val="right"/>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监测项目</w:t>
                  </w:r>
                </w:p>
                <w:p>
                  <w:pPr>
                    <w:adjustRightInd w:val="0"/>
                    <w:snapToGrid w:val="0"/>
                    <w:spacing w:line="260" w:lineRule="exact"/>
                    <w:jc w:val="left"/>
                    <w:rPr>
                      <w:rFonts w:hint="eastAsia"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采样日期</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TSP日均值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205"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2021</w:t>
                  </w:r>
                  <w:r>
                    <w:rPr>
                      <w:rFonts w:hint="eastAsia" w:ascii="Times New Roman" w:hAnsi="Times New Roman" w:cs="Times New Roman"/>
                      <w:color w:val="auto"/>
                      <w:kern w:val="0"/>
                      <w:sz w:val="21"/>
                      <w:szCs w:val="21"/>
                      <w:highlight w:val="none"/>
                      <w:lang w:val="en-US" w:eastAsia="zh-CN"/>
                    </w:rPr>
                    <w:t>年</w:t>
                  </w:r>
                  <w:r>
                    <w:rPr>
                      <w:rFonts w:hint="default" w:ascii="Times New Roman" w:hAnsi="Times New Roman" w:cs="Times New Roman"/>
                      <w:color w:val="auto"/>
                      <w:kern w:val="0"/>
                      <w:sz w:val="21"/>
                      <w:szCs w:val="21"/>
                      <w:highlight w:val="none"/>
                      <w:lang w:val="en-US" w:eastAsia="zh-CN"/>
                    </w:rPr>
                    <w:t>12月2日</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0.126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205"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2021</w:t>
                  </w:r>
                  <w:r>
                    <w:rPr>
                      <w:rFonts w:hint="eastAsia" w:ascii="Times New Roman" w:hAnsi="Times New Roman" w:cs="Times New Roman"/>
                      <w:color w:val="auto"/>
                      <w:kern w:val="0"/>
                      <w:sz w:val="21"/>
                      <w:szCs w:val="21"/>
                      <w:highlight w:val="none"/>
                      <w:lang w:val="en-US" w:eastAsia="zh-CN"/>
                    </w:rPr>
                    <w:t>年</w:t>
                  </w:r>
                  <w:r>
                    <w:rPr>
                      <w:rFonts w:hint="default" w:ascii="Times New Roman" w:hAnsi="Times New Roman" w:cs="Times New Roman"/>
                      <w:color w:val="auto"/>
                      <w:kern w:val="0"/>
                      <w:sz w:val="21"/>
                      <w:szCs w:val="21"/>
                      <w:highlight w:val="none"/>
                      <w:lang w:val="en-US" w:eastAsia="zh-CN"/>
                    </w:rPr>
                    <w:t>12月3日</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205"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2021</w:t>
                  </w:r>
                  <w:r>
                    <w:rPr>
                      <w:rFonts w:hint="eastAsia" w:ascii="Times New Roman" w:hAnsi="Times New Roman" w:cs="Times New Roman"/>
                      <w:color w:val="auto"/>
                      <w:kern w:val="0"/>
                      <w:sz w:val="21"/>
                      <w:szCs w:val="21"/>
                      <w:highlight w:val="none"/>
                      <w:lang w:val="en-US" w:eastAsia="zh-CN"/>
                    </w:rPr>
                    <w:t>年</w:t>
                  </w:r>
                  <w:r>
                    <w:rPr>
                      <w:rFonts w:hint="default" w:ascii="Times New Roman" w:hAnsi="Times New Roman" w:cs="Times New Roman"/>
                      <w:color w:val="auto"/>
                      <w:kern w:val="0"/>
                      <w:sz w:val="21"/>
                      <w:szCs w:val="21"/>
                      <w:highlight w:val="none"/>
                      <w:lang w:val="en-US" w:eastAsia="zh-CN"/>
                    </w:rPr>
                    <w:t>12月4日</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0.137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205"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标准值</w:t>
                  </w:r>
                </w:p>
              </w:tc>
              <w:tc>
                <w:tcPr>
                  <w:tcW w:w="3794"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 w:type="pct"/>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备注</w:t>
                  </w:r>
                </w:p>
              </w:tc>
              <w:tc>
                <w:tcPr>
                  <w:tcW w:w="4558" w:type="pct"/>
                  <w:gridSpan w:val="2"/>
                  <w:tcBorders>
                    <w:tl2br w:val="nil"/>
                    <w:tr2bl w:val="nil"/>
                  </w:tcBorders>
                  <w:noWrap w:val="0"/>
                  <w:vAlign w:val="center"/>
                </w:tcPr>
                <w:p>
                  <w:pPr>
                    <w:adjustRightInd w:val="0"/>
                    <w:snapToGrid w:val="0"/>
                    <w:spacing w:line="260" w:lineRule="exact"/>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“ND”表示未检出。此数据只对本次监测负责。</w:t>
                  </w:r>
                </w:p>
              </w:tc>
            </w:tr>
          </w:tbl>
          <w:p>
            <w:pPr>
              <w:adjustRightInd w:val="0"/>
              <w:snapToGrid w:val="0"/>
              <w:ind w:firstLine="480" w:firstLineChars="200"/>
              <w:rPr>
                <w:rFonts w:hint="default" w:cs="Times New Roman"/>
                <w:color w:val="auto"/>
                <w:highlight w:val="cyan"/>
                <w:lang w:val="en-US" w:eastAsia="zh-CN"/>
              </w:rPr>
            </w:pPr>
            <w:r>
              <w:rPr>
                <w:rFonts w:hint="default" w:cs="Times New Roman"/>
                <w:color w:val="auto"/>
                <w:highlight w:val="none"/>
                <w:lang w:val="en-US" w:eastAsia="zh-CN"/>
              </w:rPr>
              <w:t>由监测结果</w:t>
            </w:r>
            <w:r>
              <w:rPr>
                <w:rFonts w:hint="eastAsia" w:cs="Times New Roman"/>
                <w:color w:val="auto"/>
                <w:highlight w:val="none"/>
                <w:lang w:val="en-US" w:eastAsia="zh-CN"/>
              </w:rPr>
              <w:t>可知</w:t>
            </w:r>
            <w:r>
              <w:rPr>
                <w:rFonts w:hint="default" w:cs="Times New Roman"/>
                <w:color w:val="auto"/>
                <w:highlight w:val="none"/>
                <w:lang w:val="en-US" w:eastAsia="zh-CN"/>
              </w:rPr>
              <w:t>，项目所在地区域环境空气质量连续3个监测日中，TSP的24小时平均浓度值均达到《环境空气质量标准》（GB3095-2012）二级标准要求。</w:t>
            </w:r>
          </w:p>
          <w:p>
            <w:pPr>
              <w:adjustRightInd w:val="0"/>
              <w:snapToGrid w:val="0"/>
              <w:ind w:firstLine="482" w:firstLineChars="200"/>
              <w:rPr>
                <w:rFonts w:cs="Times New Roman"/>
                <w:b/>
                <w:color w:val="auto"/>
              </w:rPr>
            </w:pPr>
            <w:r>
              <w:rPr>
                <w:rFonts w:hint="eastAsia" w:cs="Times New Roman"/>
                <w:b/>
                <w:color w:val="auto"/>
              </w:rPr>
              <w:t>2、</w:t>
            </w:r>
            <w:r>
              <w:rPr>
                <w:rFonts w:cs="Times New Roman"/>
                <w:b/>
                <w:color w:val="auto"/>
              </w:rPr>
              <w:t>声环境现状监测与评价</w:t>
            </w:r>
          </w:p>
          <w:p>
            <w:pPr>
              <w:adjustRightInd w:val="0"/>
              <w:snapToGrid w:val="0"/>
              <w:ind w:firstLine="480" w:firstLineChars="200"/>
              <w:rPr>
                <w:rFonts w:hint="eastAsia" w:cs="Times New Roman"/>
                <w:color w:val="auto"/>
              </w:rPr>
            </w:pPr>
            <w:r>
              <w:rPr>
                <w:rFonts w:hint="eastAsia" w:cs="Times New Roman"/>
                <w:color w:val="auto"/>
              </w:rPr>
              <w:t>本项目位于</w:t>
            </w:r>
            <w:r>
              <w:rPr>
                <w:rFonts w:hint="eastAsia" w:cs="Times New Roman"/>
                <w:color w:val="auto"/>
                <w:lang w:eastAsia="zh-CN"/>
              </w:rPr>
              <w:t>周至县富仁镇上三高村</w:t>
            </w:r>
            <w:r>
              <w:rPr>
                <w:rFonts w:hint="eastAsia" w:cs="Times New Roman"/>
                <w:color w:val="auto"/>
              </w:rPr>
              <w:t>，根据《声环境质量标准》（GB3096-2008）中声环境功能区分类，项目所在地属于2类声环境功能区。</w:t>
            </w:r>
          </w:p>
          <w:p>
            <w:pPr>
              <w:adjustRightInd w:val="0"/>
              <w:snapToGrid w:val="0"/>
              <w:ind w:firstLine="480" w:firstLineChars="200"/>
              <w:rPr>
                <w:rFonts w:cs="Times New Roman"/>
                <w:color w:val="auto"/>
              </w:rPr>
            </w:pPr>
            <w:r>
              <w:rPr>
                <w:rFonts w:cs="Times New Roman"/>
                <w:color w:val="auto"/>
              </w:rPr>
              <w:t>根据《建设项目环境影响报告表编制技术指南（污染影响类）》（试行）中“厂界外周边50米范围内存在</w:t>
            </w:r>
            <w:r>
              <w:rPr>
                <w:rFonts w:cs="Times New Roman"/>
                <w:color w:val="auto"/>
                <w:highlight w:val="none"/>
              </w:rPr>
              <w:t>声环境保护目标的建设项目，应监测保护目标声环境质量现状并评价达标情况”。经过现场踏勘，项目地厂界外50m范围内无声环境保护目标。因此可不</w:t>
            </w:r>
            <w:r>
              <w:rPr>
                <w:rFonts w:cs="Times New Roman"/>
                <w:color w:val="auto"/>
              </w:rPr>
              <w:t>进行声环境质量现状监测。</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cs="Times New Roman" w:eastAsiaTheme="minorEastAsia"/>
                <w:b/>
                <w:color w:val="auto"/>
                <w:sz w:val="24"/>
                <w:szCs w:val="22"/>
              </w:rPr>
            </w:pPr>
            <w:r>
              <w:rPr>
                <w:rFonts w:hint="eastAsia" w:cs="Times New Roman"/>
                <w:b/>
                <w:color w:val="auto"/>
              </w:rPr>
              <w:t>3、</w:t>
            </w:r>
            <w:r>
              <w:rPr>
                <w:rFonts w:hint="eastAsia" w:cs="Times New Roman"/>
                <w:b/>
                <w:color w:val="auto"/>
                <w:sz w:val="24"/>
                <w:szCs w:val="22"/>
                <w:lang w:eastAsia="zh-CN"/>
              </w:rPr>
              <w:t>地表水</w:t>
            </w:r>
            <w:r>
              <w:rPr>
                <w:rFonts w:hint="eastAsia" w:ascii="Times New Roman" w:hAnsi="Times New Roman" w:cs="Times New Roman" w:eastAsiaTheme="minorEastAsia"/>
                <w:b/>
                <w:color w:val="auto"/>
                <w:sz w:val="24"/>
                <w:szCs w:val="22"/>
              </w:rPr>
              <w:t>环境现状监测与评价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color w:val="auto"/>
                <w:sz w:val="24"/>
                <w:szCs w:val="24"/>
                <w:lang w:eastAsia="zh-CN"/>
              </w:rPr>
            </w:pPr>
            <w:r>
              <w:rPr>
                <w:rFonts w:hint="eastAsia"/>
                <w:color w:val="auto"/>
                <w:sz w:val="24"/>
                <w:szCs w:val="24"/>
                <w:lang w:eastAsia="zh-CN"/>
              </w:rPr>
              <w:t>本项目喷淋抑尘用水、生产搅拌用水、养护用水等均在生产活动中使用、损耗，无废水产生；车辆冲洗废水排入沉淀池，沉淀后上清液全部回用于车辆冲洗，不外排；生活污水排入化粪池后定期清运，用作农肥。对地表水环境影响较小。</w:t>
            </w:r>
          </w:p>
          <w:p>
            <w:pPr>
              <w:adjustRightInd w:val="0"/>
              <w:snapToGrid w:val="0"/>
              <w:ind w:firstLine="482" w:firstLineChars="200"/>
              <w:rPr>
                <w:rFonts w:cs="Times New Roman"/>
                <w:b/>
                <w:color w:val="auto"/>
              </w:rPr>
            </w:pPr>
            <w:r>
              <w:rPr>
                <w:rFonts w:hint="eastAsia" w:cs="Times New Roman"/>
                <w:b/>
                <w:color w:val="auto"/>
                <w:lang w:val="en-US" w:eastAsia="zh-CN"/>
              </w:rPr>
              <w:t>4、</w:t>
            </w:r>
            <w:r>
              <w:rPr>
                <w:rFonts w:cs="Times New Roman"/>
                <w:b/>
                <w:color w:val="auto"/>
              </w:rPr>
              <w:t>地下水、土壤环境现状监测与评价</w:t>
            </w:r>
          </w:p>
          <w:p>
            <w:pPr>
              <w:adjustRightInd w:val="0"/>
              <w:snapToGrid w:val="0"/>
              <w:ind w:firstLine="480" w:firstLineChars="200"/>
              <w:rPr>
                <w:rFonts w:hint="eastAsia" w:cs="Times New Roman"/>
                <w:color w:val="auto"/>
                <w:lang w:val="en-US" w:eastAsia="zh-CN"/>
              </w:rPr>
            </w:pPr>
            <w:r>
              <w:rPr>
                <w:rFonts w:hint="eastAsia"/>
                <w:color w:val="auto"/>
                <w:sz w:val="24"/>
                <w:szCs w:val="24"/>
                <w:lang w:val="en-US" w:eastAsia="zh-CN"/>
              </w:rPr>
              <w:t>本项目大气污染物为颗粒物，不属于土壤污染因子，</w:t>
            </w:r>
            <w:r>
              <w:rPr>
                <w:rFonts w:hint="eastAsia" w:cs="Times New Roman"/>
                <w:color w:val="auto"/>
                <w:highlight w:val="none"/>
                <w:lang w:val="en-US" w:eastAsia="zh-CN"/>
              </w:rPr>
              <w:t>项目建成</w:t>
            </w:r>
            <w:r>
              <w:rPr>
                <w:rFonts w:hint="eastAsia" w:cs="Times New Roman"/>
                <w:color w:val="auto"/>
                <w:lang w:val="en-US" w:eastAsia="zh-CN"/>
              </w:rPr>
              <w:t>后厂区地面做全面水泥硬化处理，化粪池为玻璃钢材质，车辆冲洗废水沉淀池以及危废贮存库等区域均采用防渗措施。不会导致污染物的地表漫流及垂直入渗。因此废气、废水和固体废弃物均不存在土壤、地下水污染途径。故可不进行土壤、地下水环境现状监测评价。</w:t>
            </w:r>
          </w:p>
          <w:p>
            <w:pPr>
              <w:adjustRightInd w:val="0"/>
              <w:snapToGrid w:val="0"/>
              <w:ind w:firstLine="480" w:firstLineChars="200"/>
              <w:rPr>
                <w:rFonts w:hint="eastAsia" w:cs="Times New Roman"/>
                <w:color w:val="auto"/>
                <w:lang w:val="en-US" w:eastAsia="zh-CN"/>
              </w:rPr>
            </w:pPr>
          </w:p>
          <w:p>
            <w:pPr>
              <w:adjustRightInd w:val="0"/>
              <w:snapToGrid w:val="0"/>
              <w:ind w:firstLine="480" w:firstLineChars="200"/>
              <w:rPr>
                <w:rFonts w:hint="eastAsia" w:cs="Times New Roman"/>
                <w:color w:val="auto"/>
                <w:lang w:val="en-US" w:eastAsia="zh-CN"/>
              </w:rPr>
            </w:pPr>
          </w:p>
          <w:p>
            <w:pPr>
              <w:adjustRightInd w:val="0"/>
              <w:snapToGrid w:val="0"/>
              <w:ind w:firstLine="480" w:firstLineChars="200"/>
              <w:rPr>
                <w:rFonts w:hint="eastAsia" w:cs="Times New Roman"/>
                <w:color w:val="auto"/>
                <w:lang w:val="en-US" w:eastAsia="zh-CN"/>
              </w:rPr>
            </w:pPr>
          </w:p>
          <w:p>
            <w:pPr>
              <w:adjustRightInd w:val="0"/>
              <w:snapToGrid w:val="0"/>
              <w:ind w:firstLine="480" w:firstLineChars="200"/>
              <w:rPr>
                <w:rFonts w:hint="default" w:cs="Times New Roman"/>
                <w:color w:val="auto"/>
                <w:kern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5" w:hRule="atLeast"/>
          <w:jc w:val="center"/>
        </w:trPr>
        <w:tc>
          <w:tcPr>
            <w:tcW w:w="215" w:type="pct"/>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环境</w:t>
            </w:r>
          </w:p>
          <w:p>
            <w:pPr>
              <w:adjustRightInd w:val="0"/>
              <w:snapToGrid w:val="0"/>
              <w:spacing w:line="240" w:lineRule="auto"/>
              <w:jc w:val="center"/>
              <w:rPr>
                <w:rFonts w:cs="Times New Roman"/>
                <w:color w:val="auto"/>
                <w:kern w:val="21"/>
                <w:szCs w:val="24"/>
              </w:rPr>
            </w:pPr>
            <w:r>
              <w:rPr>
                <w:rFonts w:cs="Times New Roman"/>
                <w:color w:val="auto"/>
                <w:kern w:val="21"/>
                <w:szCs w:val="24"/>
              </w:rPr>
              <w:t>保护</w:t>
            </w:r>
          </w:p>
          <w:p>
            <w:pPr>
              <w:adjustRightInd w:val="0"/>
              <w:snapToGrid w:val="0"/>
              <w:spacing w:line="240" w:lineRule="auto"/>
              <w:jc w:val="center"/>
              <w:rPr>
                <w:rFonts w:cs="Times New Roman"/>
                <w:color w:val="auto"/>
                <w:kern w:val="21"/>
                <w:szCs w:val="24"/>
              </w:rPr>
            </w:pPr>
            <w:r>
              <w:rPr>
                <w:rFonts w:cs="Times New Roman"/>
                <w:color w:val="auto"/>
                <w:kern w:val="21"/>
                <w:szCs w:val="24"/>
              </w:rPr>
              <w:t>目标</w:t>
            </w:r>
          </w:p>
        </w:tc>
        <w:tc>
          <w:tcPr>
            <w:tcW w:w="4784" w:type="pct"/>
            <w:vAlign w:val="center"/>
          </w:tcPr>
          <w:p>
            <w:pPr>
              <w:adjustRightInd w:val="0"/>
              <w:snapToGrid w:val="0"/>
              <w:ind w:firstLine="480" w:firstLineChars="200"/>
              <w:rPr>
                <w:rFonts w:hint="eastAsia" w:ascii="Times New Roman" w:hAnsi="Times New Roman" w:cs="Times New Roman" w:eastAsiaTheme="minorEastAsia"/>
                <w:b w:val="0"/>
                <w:bCs w:val="0"/>
                <w:color w:val="auto"/>
                <w:kern w:val="2"/>
                <w:sz w:val="24"/>
                <w:szCs w:val="22"/>
                <w:highlight w:val="none"/>
                <w:lang w:val="en-US" w:eastAsia="zh-CN" w:bidi="ar-SA"/>
              </w:rPr>
            </w:pPr>
            <w:r>
              <w:rPr>
                <w:rFonts w:hint="default" w:cs="Times New Roman"/>
                <w:color w:val="auto"/>
                <w:lang w:val="en-US" w:eastAsia="zh-CN"/>
              </w:rPr>
              <w:t>根据环境敏感因素的界定原则，经调查，</w:t>
            </w:r>
            <w:r>
              <w:rPr>
                <w:rFonts w:hint="eastAsia" w:cs="Times New Roman"/>
                <w:color w:val="auto"/>
                <w:lang w:val="en-US" w:eastAsia="zh-CN"/>
              </w:rPr>
              <w:t>本项目所在地</w:t>
            </w:r>
            <w:r>
              <w:rPr>
                <w:rFonts w:hint="default" w:cs="Times New Roman"/>
                <w:color w:val="auto"/>
                <w:lang w:val="en-US" w:eastAsia="zh-CN"/>
              </w:rPr>
              <w:t>不属于特殊保护区、社会关注区、生态脆弱区和特殊地貌景观区；经实地调查了解，评价区内也无重点保护文物、古迹、植物、动物及人文景观等</w:t>
            </w:r>
            <w:r>
              <w:rPr>
                <w:rFonts w:hint="default" w:cs="Times New Roman"/>
                <w:color w:val="auto"/>
                <w:highlight w:val="none"/>
                <w:lang w:val="en-US" w:eastAsia="zh-CN"/>
              </w:rPr>
              <w:t>。项目地厂界周边50m范围内无声环境保护目标，500m范围内环境空气保护目标</w:t>
            </w:r>
            <w:r>
              <w:rPr>
                <w:rFonts w:hint="eastAsia" w:cs="Times New Roman"/>
                <w:color w:val="auto"/>
                <w:highlight w:val="none"/>
                <w:lang w:val="en-US" w:eastAsia="zh-CN"/>
              </w:rPr>
              <w:t>为邓家庄</w:t>
            </w:r>
            <w:r>
              <w:rPr>
                <w:rFonts w:hint="default" w:cs="Times New Roman"/>
                <w:color w:val="auto"/>
                <w:highlight w:val="none"/>
                <w:lang w:val="en-US" w:eastAsia="zh-CN"/>
              </w:rPr>
              <w:t>。</w:t>
            </w:r>
            <w:r>
              <w:rPr>
                <w:rFonts w:hint="eastAsia"/>
                <w:color w:val="auto"/>
                <w:sz w:val="24"/>
                <w:lang w:val="en-US" w:eastAsia="zh-CN"/>
              </w:rPr>
              <w:t>距离本项目最近的地表水体为厂区东侧430m的黑河。</w:t>
            </w:r>
            <w:r>
              <w:rPr>
                <w:rFonts w:hint="eastAsia"/>
                <w:b w:val="0"/>
                <w:bCs w:val="0"/>
                <w:color w:val="auto"/>
                <w:sz w:val="24"/>
                <w:lang w:val="en-US" w:eastAsia="zh-CN"/>
              </w:rPr>
              <w:t>项目</w:t>
            </w:r>
            <w:r>
              <w:rPr>
                <w:rFonts w:hint="eastAsia" w:ascii="Times New Roman" w:hAnsi="Times New Roman" w:cs="Times New Roman" w:eastAsiaTheme="minorEastAsia"/>
                <w:b w:val="0"/>
                <w:bCs w:val="0"/>
                <w:color w:val="auto"/>
                <w:kern w:val="2"/>
                <w:sz w:val="24"/>
                <w:szCs w:val="22"/>
                <w:highlight w:val="none"/>
                <w:lang w:val="en-US" w:eastAsia="zh-CN" w:bidi="ar-SA"/>
              </w:rPr>
              <w:t>环境保护目标见表3-3</w:t>
            </w:r>
            <w:r>
              <w:rPr>
                <w:rFonts w:hint="default" w:ascii="Times New Roman" w:hAnsi="Times New Roman" w:cs="Times New Roman" w:eastAsiaTheme="minorEastAsia"/>
                <w:b w:val="0"/>
                <w:bCs w:val="0"/>
                <w:color w:val="auto"/>
                <w:kern w:val="2"/>
                <w:sz w:val="24"/>
                <w:szCs w:val="22"/>
                <w:highlight w:val="none"/>
                <w:lang w:val="en-US" w:eastAsia="zh-CN" w:bidi="ar-SA"/>
              </w:rPr>
              <w:t>。</w:t>
            </w:r>
          </w:p>
          <w:p>
            <w:pPr>
              <w:pStyle w:val="3"/>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color w:val="auto"/>
                <w:kern w:val="2"/>
                <w:sz w:val="21"/>
                <w:szCs w:val="21"/>
                <w:highlight w:val="none"/>
                <w:lang w:val="en-US" w:eastAsia="zh-CN" w:bidi="ar-SA"/>
              </w:rPr>
            </w:pPr>
            <w:r>
              <w:rPr>
                <w:rFonts w:hint="default" w:ascii="Times New Roman" w:hAnsi="Times New Roman" w:cs="Times New Roman" w:eastAsiaTheme="minorEastAsia"/>
                <w:b/>
                <w:bCs/>
                <w:color w:val="auto"/>
                <w:kern w:val="2"/>
                <w:sz w:val="21"/>
                <w:szCs w:val="21"/>
                <w:highlight w:val="none"/>
                <w:lang w:val="en-US" w:eastAsia="zh-CN" w:bidi="ar-SA"/>
              </w:rPr>
              <w:t>表3-</w:t>
            </w:r>
            <w:r>
              <w:rPr>
                <w:rFonts w:hint="eastAsia" w:ascii="Times New Roman" w:hAnsi="Times New Roman" w:cs="Times New Roman" w:eastAsiaTheme="minorEastAsia"/>
                <w:b/>
                <w:bCs/>
                <w:color w:val="auto"/>
                <w:kern w:val="2"/>
                <w:sz w:val="21"/>
                <w:szCs w:val="21"/>
                <w:highlight w:val="none"/>
                <w:lang w:val="en-US" w:eastAsia="zh-CN" w:bidi="ar-SA"/>
              </w:rPr>
              <w:t>3</w:t>
            </w:r>
            <w:r>
              <w:rPr>
                <w:rFonts w:hint="default" w:ascii="Times New Roman" w:hAnsi="Times New Roman" w:cs="Times New Roman" w:eastAsiaTheme="minorEastAsia"/>
                <w:b/>
                <w:bCs/>
                <w:color w:val="auto"/>
                <w:kern w:val="2"/>
                <w:sz w:val="21"/>
                <w:szCs w:val="21"/>
                <w:highlight w:val="none"/>
                <w:lang w:val="en-US" w:eastAsia="zh-CN" w:bidi="ar-SA"/>
              </w:rPr>
              <w:t xml:space="preserve"> 主要环境保护目标一览表</w:t>
            </w:r>
          </w:p>
          <w:tbl>
            <w:tblPr>
              <w:tblStyle w:val="22"/>
              <w:tblW w:w="89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974"/>
              <w:gridCol w:w="975"/>
              <w:gridCol w:w="695"/>
              <w:gridCol w:w="886"/>
              <w:gridCol w:w="2523"/>
              <w:gridCol w:w="724"/>
              <w:gridCol w:w="8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1"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名称</w:t>
                  </w:r>
                </w:p>
              </w:tc>
              <w:tc>
                <w:tcPr>
                  <w:tcW w:w="1083" w:type="pct"/>
                  <w:gridSpan w:val="2"/>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坐标</w:t>
                  </w:r>
                </w:p>
              </w:tc>
              <w:tc>
                <w:tcPr>
                  <w:tcW w:w="386"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保护对象</w:t>
                  </w:r>
                </w:p>
              </w:tc>
              <w:tc>
                <w:tcPr>
                  <w:tcW w:w="492"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保护内容（人）</w:t>
                  </w:r>
                </w:p>
              </w:tc>
              <w:tc>
                <w:tcPr>
                  <w:tcW w:w="1402"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环境功能区</w:t>
                  </w:r>
                </w:p>
              </w:tc>
              <w:tc>
                <w:tcPr>
                  <w:tcW w:w="402"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相对厂址方位</w:t>
                  </w:r>
                </w:p>
              </w:tc>
              <w:tc>
                <w:tcPr>
                  <w:tcW w:w="472" w:type="pct"/>
                  <w:vMerge w:val="restar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相对距离（m）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1"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c>
                <w:tcPr>
                  <w:tcW w:w="541" w:type="pc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经度</w:t>
                  </w:r>
                </w:p>
              </w:tc>
              <w:tc>
                <w:tcPr>
                  <w:tcW w:w="541" w:type="pct"/>
                  <w:noWrap w:val="0"/>
                  <w:vAlign w:val="center"/>
                </w:tcPr>
                <w:p>
                  <w:pPr>
                    <w:adjustRightInd w:val="0"/>
                    <w:snapToGrid w:val="0"/>
                    <w:spacing w:line="240" w:lineRule="auto"/>
                    <w:jc w:val="center"/>
                    <w:rPr>
                      <w:rFonts w:hint="default" w:ascii="Times New Roman" w:hAnsi="Times New Roman" w:cs="Times New Roman"/>
                      <w:b/>
                      <w:bCs/>
                      <w:color w:val="auto"/>
                      <w:kern w:val="0"/>
                      <w:sz w:val="21"/>
                      <w:szCs w:val="21"/>
                      <w:highlight w:val="none"/>
                      <w:lang w:val="en-US" w:eastAsia="zh-CN"/>
                    </w:rPr>
                  </w:pPr>
                  <w:r>
                    <w:rPr>
                      <w:rFonts w:hint="default" w:ascii="Times New Roman" w:hAnsi="Times New Roman" w:cs="Times New Roman"/>
                      <w:b/>
                      <w:bCs/>
                      <w:color w:val="auto"/>
                      <w:kern w:val="0"/>
                      <w:sz w:val="21"/>
                      <w:szCs w:val="21"/>
                      <w:highlight w:val="none"/>
                      <w:lang w:val="en-US" w:eastAsia="zh-CN"/>
                    </w:rPr>
                    <w:t>纬度</w:t>
                  </w:r>
                </w:p>
              </w:tc>
              <w:tc>
                <w:tcPr>
                  <w:tcW w:w="386"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c>
                <w:tcPr>
                  <w:tcW w:w="492"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c>
                <w:tcPr>
                  <w:tcW w:w="1402"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c>
                <w:tcPr>
                  <w:tcW w:w="402"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c>
                <w:tcPr>
                  <w:tcW w:w="472" w:type="pct"/>
                  <w:vMerge w:val="continue"/>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大气环境</w:t>
                  </w:r>
                </w:p>
              </w:tc>
              <w:tc>
                <w:tcPr>
                  <w:tcW w:w="54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108.24953556</w:t>
                  </w:r>
                </w:p>
              </w:tc>
              <w:tc>
                <w:tcPr>
                  <w:tcW w:w="54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34.12595381</w:t>
                  </w:r>
                </w:p>
              </w:tc>
              <w:tc>
                <w:tcPr>
                  <w:tcW w:w="386"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邓家庄</w:t>
                  </w:r>
                </w:p>
              </w:tc>
              <w:tc>
                <w:tcPr>
                  <w:tcW w:w="49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1000</w:t>
                  </w:r>
                </w:p>
              </w:tc>
              <w:tc>
                <w:tcPr>
                  <w:tcW w:w="140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《环境空气质量标准》（GB3095-2012）二级标准</w:t>
                  </w:r>
                </w:p>
              </w:tc>
              <w:tc>
                <w:tcPr>
                  <w:tcW w:w="40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北</w:t>
                  </w:r>
                </w:p>
              </w:tc>
              <w:tc>
                <w:tcPr>
                  <w:tcW w:w="47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cs="Times New Roman"/>
                      <w:color w:val="auto"/>
                      <w:kern w:val="0"/>
                      <w:sz w:val="21"/>
                      <w:szCs w:val="21"/>
                      <w:highlight w:val="none"/>
                      <w:lang w:val="en-US" w:eastAsia="zh-CN"/>
                    </w:rPr>
                    <w:t>地表水环境</w:t>
                  </w:r>
                </w:p>
              </w:tc>
              <w:tc>
                <w:tcPr>
                  <w:tcW w:w="54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108.25332284</w:t>
                  </w:r>
                </w:p>
              </w:tc>
              <w:tc>
                <w:tcPr>
                  <w:tcW w:w="541"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34.11870627</w:t>
                  </w:r>
                </w:p>
              </w:tc>
              <w:tc>
                <w:tcPr>
                  <w:tcW w:w="386"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黑河</w:t>
                  </w:r>
                </w:p>
              </w:tc>
              <w:tc>
                <w:tcPr>
                  <w:tcW w:w="49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w:t>
                  </w:r>
                </w:p>
              </w:tc>
              <w:tc>
                <w:tcPr>
                  <w:tcW w:w="140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default" w:cs="Times New Roman"/>
                      <w:color w:val="auto"/>
                      <w:kern w:val="0"/>
                      <w:sz w:val="21"/>
                      <w:szCs w:val="21"/>
                      <w:highlight w:val="none"/>
                    </w:rPr>
                    <w:t>《地表水环境质量标准》（GB3838-2002）</w:t>
                  </w:r>
                </w:p>
              </w:tc>
              <w:tc>
                <w:tcPr>
                  <w:tcW w:w="40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东</w:t>
                  </w:r>
                </w:p>
              </w:tc>
              <w:tc>
                <w:tcPr>
                  <w:tcW w:w="472" w:type="pct"/>
                  <w:noWrap w:val="0"/>
                  <w:vAlign w:val="center"/>
                </w:tcPr>
                <w:p>
                  <w:pPr>
                    <w:adjustRightInd w:val="0"/>
                    <w:snapToGrid w:val="0"/>
                    <w:spacing w:line="240" w:lineRule="auto"/>
                    <w:jc w:val="center"/>
                    <w:rPr>
                      <w:rFonts w:hint="default"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430</w:t>
                  </w:r>
                </w:p>
              </w:tc>
            </w:tr>
          </w:tbl>
          <w:p>
            <w:pPr>
              <w:pStyle w:val="3"/>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 w:type="pct"/>
            <w:tcMar>
              <w:left w:w="28" w:type="dxa"/>
              <w:right w:w="28" w:type="dxa"/>
            </w:tcMar>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污染</w:t>
            </w:r>
          </w:p>
          <w:p>
            <w:pPr>
              <w:adjustRightInd w:val="0"/>
              <w:snapToGrid w:val="0"/>
              <w:spacing w:line="240" w:lineRule="auto"/>
              <w:jc w:val="center"/>
              <w:rPr>
                <w:rFonts w:cs="Times New Roman"/>
                <w:color w:val="auto"/>
                <w:kern w:val="21"/>
                <w:szCs w:val="24"/>
              </w:rPr>
            </w:pPr>
            <w:r>
              <w:rPr>
                <w:rFonts w:cs="Times New Roman"/>
                <w:color w:val="auto"/>
                <w:kern w:val="21"/>
                <w:szCs w:val="24"/>
              </w:rPr>
              <w:t>物排</w:t>
            </w:r>
          </w:p>
          <w:p>
            <w:pPr>
              <w:adjustRightInd w:val="0"/>
              <w:snapToGrid w:val="0"/>
              <w:spacing w:line="240" w:lineRule="auto"/>
              <w:jc w:val="center"/>
              <w:rPr>
                <w:rFonts w:cs="Times New Roman"/>
                <w:color w:val="auto"/>
                <w:kern w:val="21"/>
                <w:szCs w:val="24"/>
              </w:rPr>
            </w:pPr>
            <w:r>
              <w:rPr>
                <w:rFonts w:cs="Times New Roman"/>
                <w:color w:val="auto"/>
                <w:kern w:val="21"/>
                <w:szCs w:val="24"/>
              </w:rPr>
              <w:t>放控</w:t>
            </w:r>
          </w:p>
          <w:p>
            <w:pPr>
              <w:adjustRightInd w:val="0"/>
              <w:snapToGrid w:val="0"/>
              <w:spacing w:line="240" w:lineRule="auto"/>
              <w:jc w:val="center"/>
              <w:rPr>
                <w:rFonts w:cs="Times New Roman"/>
                <w:color w:val="auto"/>
                <w:kern w:val="21"/>
                <w:szCs w:val="24"/>
              </w:rPr>
            </w:pPr>
            <w:r>
              <w:rPr>
                <w:rFonts w:cs="Times New Roman"/>
                <w:color w:val="auto"/>
                <w:kern w:val="21"/>
                <w:szCs w:val="24"/>
              </w:rPr>
              <w:t>制标</w:t>
            </w:r>
          </w:p>
          <w:p>
            <w:pPr>
              <w:adjustRightInd w:val="0"/>
              <w:snapToGrid w:val="0"/>
              <w:spacing w:line="240" w:lineRule="auto"/>
              <w:jc w:val="center"/>
              <w:rPr>
                <w:rFonts w:cs="Times New Roman"/>
                <w:color w:val="auto"/>
                <w:kern w:val="21"/>
                <w:szCs w:val="24"/>
              </w:rPr>
            </w:pPr>
            <w:r>
              <w:rPr>
                <w:rFonts w:cs="Times New Roman"/>
                <w:color w:val="auto"/>
                <w:kern w:val="21"/>
                <w:szCs w:val="24"/>
              </w:rPr>
              <w:t>准</w:t>
            </w:r>
          </w:p>
        </w:tc>
        <w:tc>
          <w:tcPr>
            <w:tcW w:w="4784" w:type="pct"/>
            <w:vAlign w:val="center"/>
          </w:tcPr>
          <w:p>
            <w:pPr>
              <w:adjustRightInd w:val="0"/>
              <w:snapToGrid w:val="0"/>
              <w:spacing w:before="120" w:beforeLines="50"/>
              <w:ind w:firstLine="482" w:firstLineChars="200"/>
              <w:rPr>
                <w:rFonts w:cs="Times New Roman"/>
                <w:b/>
                <w:color w:val="auto"/>
              </w:rPr>
            </w:pPr>
            <w:r>
              <w:rPr>
                <w:rFonts w:hint="eastAsia" w:cs="Times New Roman"/>
                <w:b/>
                <w:color w:val="auto"/>
              </w:rPr>
              <w:t>1、</w:t>
            </w:r>
            <w:r>
              <w:rPr>
                <w:rFonts w:cs="Times New Roman"/>
                <w:b/>
                <w:color w:val="auto"/>
              </w:rPr>
              <w:t>大气污染物排放标准</w:t>
            </w:r>
          </w:p>
          <w:p>
            <w:pPr>
              <w:adjustRightInd w:val="0"/>
              <w:ind w:firstLine="480" w:firstLineChars="200"/>
              <w:jc w:val="both"/>
              <w:rPr>
                <w:rFonts w:eastAsia="宋体" w:cs="Times New Roman"/>
                <w:color w:val="auto"/>
                <w:szCs w:val="24"/>
              </w:rPr>
            </w:pPr>
            <w:r>
              <w:rPr>
                <w:rFonts w:eastAsia="宋体" w:cs="Times New Roman"/>
                <w:color w:val="auto"/>
                <w:szCs w:val="24"/>
              </w:rPr>
              <w:t>施工期扬尘执行《</w:t>
            </w:r>
            <w:r>
              <w:rPr>
                <w:rFonts w:hint="eastAsia" w:eastAsia="宋体" w:cs="Times New Roman"/>
                <w:color w:val="auto"/>
                <w:szCs w:val="24"/>
                <w:lang w:eastAsia="zh-CN"/>
              </w:rPr>
              <w:t>施工场界扬尘排放限值</w:t>
            </w:r>
            <w:r>
              <w:rPr>
                <w:rFonts w:eastAsia="宋体" w:cs="Times New Roman"/>
                <w:color w:val="auto"/>
                <w:szCs w:val="24"/>
              </w:rPr>
              <w:t>》（DB61/1078-2017）中的要求。</w:t>
            </w:r>
          </w:p>
          <w:p>
            <w:pPr>
              <w:pStyle w:val="28"/>
              <w:keepNext w:val="0"/>
              <w:keepLines w:val="0"/>
              <w:pageBreakBefore w:val="0"/>
              <w:widowControl/>
              <w:kinsoku/>
              <w:wordWrap/>
              <w:overflowPunct/>
              <w:topLinePunct w:val="0"/>
              <w:autoSpaceDE w:val="0"/>
              <w:autoSpaceDN w:val="0"/>
              <w:bidi w:val="0"/>
              <w:adjustRightInd/>
              <w:snapToGrid/>
              <w:spacing w:line="360" w:lineRule="auto"/>
              <w:ind w:firstLine="480" w:firstLineChars="200"/>
              <w:jc w:val="left"/>
              <w:textAlignment w:val="auto"/>
              <w:rPr>
                <w:rFonts w:hint="eastAsia" w:ascii="Times New Roman" w:hAnsi="Times New Roman" w:eastAsia="宋体" w:cs="Times New Roman"/>
                <w:b w:val="0"/>
                <w:color w:val="auto"/>
                <w:kern w:val="2"/>
                <w:sz w:val="24"/>
                <w:szCs w:val="24"/>
                <w:lang w:val="en-US" w:eastAsia="zh-CN" w:bidi="ar-SA"/>
              </w:rPr>
            </w:pPr>
            <w:r>
              <w:rPr>
                <w:rFonts w:hint="eastAsia" w:cs="Times New Roman"/>
                <w:b w:val="0"/>
                <w:color w:val="auto"/>
                <w:kern w:val="2"/>
                <w:sz w:val="24"/>
                <w:szCs w:val="24"/>
                <w:lang w:val="en-US" w:eastAsia="zh-CN" w:bidi="ar-SA"/>
              </w:rPr>
              <w:t>运</w:t>
            </w:r>
            <w:r>
              <w:rPr>
                <w:rFonts w:hint="eastAsia" w:ascii="Times New Roman" w:hAnsi="Times New Roman" w:eastAsia="宋体" w:cs="Times New Roman"/>
                <w:b w:val="0"/>
                <w:color w:val="auto"/>
                <w:kern w:val="2"/>
                <w:sz w:val="24"/>
                <w:szCs w:val="24"/>
                <w:lang w:val="en-US" w:eastAsia="zh-CN" w:bidi="ar-SA"/>
              </w:rPr>
              <w:t>营期无组织颗粒物执行《水泥工业大气污染物排放标准》（GB4915-2013）中</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表3大气污染物无组织排放限值要求</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w:t>
            </w:r>
          </w:p>
          <w:p>
            <w:pPr>
              <w:pStyle w:val="28"/>
              <w:rPr>
                <w:rFonts w:cs="Times New Roman"/>
                <w:color w:val="auto"/>
              </w:rPr>
            </w:pPr>
            <w:r>
              <w:rPr>
                <w:rFonts w:cs="Times New Roman"/>
                <w:color w:val="auto"/>
              </w:rPr>
              <w:t>表</w:t>
            </w:r>
            <w:r>
              <w:rPr>
                <w:rFonts w:cs="Times New Roman"/>
                <w:color w:val="auto"/>
                <w:lang w:val="en-US"/>
              </w:rPr>
              <w:t>3-</w:t>
            </w:r>
            <w:r>
              <w:rPr>
                <w:rFonts w:hint="eastAsia" w:cs="Times New Roman"/>
                <w:color w:val="auto"/>
                <w:lang w:val="en-US" w:eastAsia="zh-CN"/>
              </w:rPr>
              <w:t>4</w:t>
            </w:r>
            <w:r>
              <w:rPr>
                <w:rFonts w:cs="Times New Roman"/>
                <w:color w:val="auto"/>
              </w:rPr>
              <w:t xml:space="preserve"> 本项目大气污染物排放标准一览表</w:t>
            </w:r>
          </w:p>
          <w:tbl>
            <w:tblPr>
              <w:tblStyle w:val="22"/>
              <w:tblW w:w="902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608"/>
              <w:gridCol w:w="931"/>
              <w:gridCol w:w="821"/>
              <w:gridCol w:w="2704"/>
              <w:gridCol w:w="127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3" w:hRule="atLeast"/>
              </w:trPr>
              <w:tc>
                <w:tcPr>
                  <w:tcW w:w="1823" w:type="pct"/>
                  <w:gridSpan w:val="2"/>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rPr>
                  </w:pPr>
                  <w:r>
                    <w:rPr>
                      <w:rFonts w:hint="default" w:ascii="Times New Roman" w:hAnsi="Times New Roman" w:cs="Times New Roman"/>
                      <w:b/>
                      <w:bCs/>
                      <w:color w:val="auto"/>
                      <w:kern w:val="21"/>
                      <w:sz w:val="21"/>
                      <w:szCs w:val="21"/>
                    </w:rPr>
                    <w:t>执行标准</w:t>
                  </w:r>
                </w:p>
              </w:tc>
              <w:tc>
                <w:tcPr>
                  <w:tcW w:w="516"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rPr>
                  </w:pPr>
                  <w:r>
                    <w:rPr>
                      <w:rFonts w:hint="default" w:ascii="Times New Roman" w:hAnsi="Times New Roman" w:cs="Times New Roman"/>
                      <w:b/>
                      <w:bCs/>
                      <w:color w:val="auto"/>
                      <w:kern w:val="21"/>
                      <w:sz w:val="21"/>
                      <w:szCs w:val="21"/>
                    </w:rPr>
                    <w:t>污染物</w:t>
                  </w:r>
                </w:p>
              </w:tc>
              <w:tc>
                <w:tcPr>
                  <w:tcW w:w="2660" w:type="pct"/>
                  <w:gridSpan w:val="3"/>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lang w:val="en-US" w:eastAsia="zh-CN"/>
                    </w:rPr>
                  </w:pPr>
                  <w:r>
                    <w:rPr>
                      <w:rFonts w:hint="eastAsia" w:ascii="Times New Roman" w:hAnsi="Times New Roman" w:cs="Times New Roman"/>
                      <w:b/>
                      <w:bCs/>
                      <w:color w:val="auto"/>
                      <w:kern w:val="21"/>
                      <w:sz w:val="21"/>
                      <w:szCs w:val="21"/>
                      <w:lang w:val="en-US" w:eastAsia="zh-CN"/>
                    </w:rPr>
                    <w:t>标准值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823" w:type="pct"/>
                  <w:gridSpan w:val="2"/>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rPr>
                  </w:pPr>
                </w:p>
              </w:tc>
              <w:tc>
                <w:tcPr>
                  <w:tcW w:w="516" w:type="pct"/>
                  <w:vMerge w:val="continue"/>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rPr>
                  </w:pPr>
                </w:p>
              </w:tc>
              <w:tc>
                <w:tcPr>
                  <w:tcW w:w="1953" w:type="pct"/>
                  <w:gridSpan w:val="2"/>
                  <w:tcBorders>
                    <w:tl2br w:val="nil"/>
                    <w:tr2bl w:val="nil"/>
                  </w:tcBorders>
                  <w:noWrap w:val="0"/>
                  <w:vAlign w:val="center"/>
                </w:tcPr>
                <w:p>
                  <w:pPr>
                    <w:adjustRightInd w:val="0"/>
                    <w:snapToGrid w:val="0"/>
                    <w:spacing w:line="240" w:lineRule="auto"/>
                    <w:jc w:val="center"/>
                    <w:rPr>
                      <w:rFonts w:hint="eastAsia" w:ascii="Times New Roman" w:hAnsi="Times New Roman" w:cs="Times New Roman"/>
                      <w:b/>
                      <w:bCs/>
                      <w:color w:val="auto"/>
                      <w:kern w:val="21"/>
                      <w:sz w:val="21"/>
                      <w:szCs w:val="21"/>
                      <w:lang w:eastAsia="zh-CN"/>
                    </w:rPr>
                  </w:pPr>
                  <w:r>
                    <w:rPr>
                      <w:rFonts w:hint="eastAsia" w:ascii="Times New Roman" w:hAnsi="Times New Roman" w:cs="Times New Roman"/>
                      <w:b/>
                      <w:bCs/>
                      <w:color w:val="auto"/>
                      <w:kern w:val="21"/>
                      <w:sz w:val="21"/>
                      <w:szCs w:val="21"/>
                      <w:lang w:eastAsia="zh-CN"/>
                    </w:rPr>
                    <w:t>监控点</w:t>
                  </w:r>
                </w:p>
              </w:tc>
              <w:tc>
                <w:tcPr>
                  <w:tcW w:w="70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b/>
                      <w:bCs/>
                      <w:color w:val="auto"/>
                      <w:kern w:val="21"/>
                      <w:sz w:val="21"/>
                      <w:szCs w:val="21"/>
                    </w:rPr>
                  </w:pPr>
                  <w:r>
                    <w:rPr>
                      <w:rFonts w:hint="default" w:ascii="Times New Roman" w:hAnsi="Times New Roman" w:cs="Times New Roman"/>
                      <w:b/>
                      <w:bCs/>
                      <w:color w:val="auto"/>
                      <w:kern w:val="21"/>
                      <w:sz w:val="21"/>
                      <w:szCs w:val="21"/>
                    </w:rPr>
                    <w:t>浓度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val="en-US" w:eastAsia="zh-CN"/>
                    </w:rPr>
                  </w:pPr>
                  <w:r>
                    <w:rPr>
                      <w:rFonts w:hint="eastAsia" w:ascii="Times New Roman" w:hAnsi="Times New Roman" w:cs="Times New Roman"/>
                      <w:color w:val="auto"/>
                      <w:kern w:val="21"/>
                      <w:sz w:val="21"/>
                      <w:szCs w:val="21"/>
                      <w:lang w:eastAsia="zh-CN"/>
                    </w:rPr>
                    <w:t>施工期</w:t>
                  </w:r>
                </w:p>
              </w:tc>
              <w:tc>
                <w:tcPr>
                  <w:tcW w:w="1445"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val="en-US" w:eastAsia="zh-CN"/>
                    </w:rPr>
                  </w:pPr>
                  <w:r>
                    <w:rPr>
                      <w:rFonts w:hint="eastAsia" w:ascii="Times New Roman" w:hAnsi="Times New Roman" w:cs="Times New Roman"/>
                      <w:color w:val="auto"/>
                      <w:kern w:val="21"/>
                      <w:sz w:val="21"/>
                      <w:szCs w:val="21"/>
                      <w:lang w:val="en-US" w:eastAsia="zh-CN"/>
                    </w:rPr>
                    <w:t>《施工场界扬尘排放限值》（</w:t>
                  </w:r>
                  <w:r>
                    <w:rPr>
                      <w:rFonts w:hint="default" w:ascii="Times New Roman" w:hAnsi="Times New Roman" w:cs="Times New Roman"/>
                      <w:color w:val="auto"/>
                      <w:kern w:val="21"/>
                      <w:sz w:val="21"/>
                      <w:szCs w:val="21"/>
                      <w:lang w:val="en-US" w:eastAsia="zh-CN"/>
                    </w:rPr>
                    <w:t>DB61/1078-2017</w:t>
                  </w:r>
                  <w:r>
                    <w:rPr>
                      <w:rFonts w:hint="eastAsia" w:ascii="Times New Roman" w:hAnsi="Times New Roman" w:cs="Times New Roman"/>
                      <w:color w:val="auto"/>
                      <w:kern w:val="21"/>
                      <w:sz w:val="21"/>
                      <w:szCs w:val="21"/>
                      <w:lang w:val="en-US" w:eastAsia="zh-CN"/>
                    </w:rPr>
                    <w:t>）</w:t>
                  </w:r>
                </w:p>
              </w:tc>
              <w:tc>
                <w:tcPr>
                  <w:tcW w:w="5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val="en-US" w:eastAsia="zh-CN"/>
                    </w:rPr>
                  </w:pPr>
                  <w:r>
                    <w:rPr>
                      <w:rFonts w:hint="eastAsia" w:ascii="Times New Roman" w:hAnsi="Times New Roman" w:cs="Times New Roman"/>
                      <w:color w:val="auto"/>
                      <w:kern w:val="21"/>
                      <w:sz w:val="21"/>
                      <w:szCs w:val="21"/>
                      <w:lang w:val="en-US" w:eastAsia="zh-CN"/>
                    </w:rPr>
                    <w:t>TSP</w:t>
                  </w:r>
                </w:p>
              </w:tc>
              <w:tc>
                <w:tcPr>
                  <w:tcW w:w="455"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rPr>
                  </w:pPr>
                  <w:r>
                    <w:rPr>
                      <w:rFonts w:hint="default" w:ascii="Times New Roman" w:hAnsi="Times New Roman" w:cs="Times New Roman"/>
                      <w:color w:val="auto"/>
                      <w:kern w:val="21"/>
                      <w:sz w:val="21"/>
                      <w:szCs w:val="21"/>
                      <w:lang w:eastAsia="zh-CN"/>
                    </w:rPr>
                    <w:t>无组织</w:t>
                  </w:r>
                </w:p>
              </w:tc>
              <w:tc>
                <w:tcPr>
                  <w:tcW w:w="1498"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val="en-US" w:eastAsia="zh-CN"/>
                    </w:rPr>
                  </w:pPr>
                  <w:r>
                    <w:rPr>
                      <w:rFonts w:hint="default" w:ascii="Times New Roman" w:hAnsi="Times New Roman" w:cs="Times New Roman"/>
                      <w:color w:val="auto"/>
                      <w:kern w:val="21"/>
                      <w:sz w:val="21"/>
                      <w:szCs w:val="21"/>
                      <w:lang w:val="en-US" w:eastAsia="zh-CN"/>
                    </w:rPr>
                    <w:t>基础、主体结构及装饰工程</w:t>
                  </w:r>
                </w:p>
              </w:tc>
              <w:tc>
                <w:tcPr>
                  <w:tcW w:w="70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rPr>
                  </w:pPr>
                  <w:r>
                    <w:rPr>
                      <w:rFonts w:hint="default" w:ascii="Times New Roman" w:hAnsi="Times New Roman" w:cs="Times New Roman"/>
                      <w:color w:val="auto"/>
                      <w:kern w:val="21"/>
                      <w:sz w:val="21"/>
                      <w:szCs w:val="21"/>
                      <w:lang w:val="en-US" w:eastAsia="zh-CN"/>
                    </w:rPr>
                    <w:t>≤0.7mg/m</w:t>
                  </w:r>
                  <w:r>
                    <w:rPr>
                      <w:rFonts w:hint="default" w:ascii="Times New Roman" w:hAnsi="Times New Roman" w:cs="Times New Roman"/>
                      <w:color w:val="auto"/>
                      <w:kern w:val="21"/>
                      <w:sz w:val="21"/>
                      <w:szCs w:val="21"/>
                      <w:vertAlign w:val="superscript"/>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7"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eastAsia="zh-CN"/>
                    </w:rPr>
                  </w:pPr>
                  <w:r>
                    <w:rPr>
                      <w:rFonts w:hint="eastAsia" w:cs="Times New Roman"/>
                      <w:color w:val="auto"/>
                      <w:kern w:val="21"/>
                      <w:sz w:val="21"/>
                      <w:szCs w:val="21"/>
                      <w:lang w:eastAsia="zh-CN"/>
                    </w:rPr>
                    <w:t>运营期</w:t>
                  </w:r>
                </w:p>
              </w:tc>
              <w:tc>
                <w:tcPr>
                  <w:tcW w:w="1445"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rPr>
                  </w:pPr>
                  <w:r>
                    <w:rPr>
                      <w:rFonts w:hint="eastAsia" w:ascii="Times New Roman" w:hAnsi="Times New Roman" w:cs="Times New Roman"/>
                      <w:color w:val="auto"/>
                      <w:kern w:val="21"/>
                      <w:sz w:val="21"/>
                      <w:szCs w:val="21"/>
                    </w:rPr>
                    <w:t>《水泥工业大气污染物排放标准》（GB4915-2013）</w:t>
                  </w:r>
                </w:p>
              </w:tc>
              <w:tc>
                <w:tcPr>
                  <w:tcW w:w="51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rPr>
                  </w:pPr>
                  <w:r>
                    <w:rPr>
                      <w:rFonts w:hint="default" w:ascii="Times New Roman" w:hAnsi="Times New Roman" w:cs="Times New Roman"/>
                      <w:color w:val="auto"/>
                      <w:kern w:val="21"/>
                      <w:sz w:val="21"/>
                      <w:szCs w:val="21"/>
                    </w:rPr>
                    <w:t>颗粒物</w:t>
                  </w:r>
                </w:p>
              </w:tc>
              <w:tc>
                <w:tcPr>
                  <w:tcW w:w="455" w:type="pct"/>
                  <w:tcBorders>
                    <w:tl2br w:val="nil"/>
                    <w:tr2bl w:val="nil"/>
                  </w:tcBorders>
                  <w:noWrap w:val="0"/>
                  <w:vAlign w:val="center"/>
                </w:tcPr>
                <w:p>
                  <w:pPr>
                    <w:adjustRightInd w:val="0"/>
                    <w:snapToGrid w:val="0"/>
                    <w:spacing w:line="240" w:lineRule="auto"/>
                    <w:jc w:val="center"/>
                    <w:rPr>
                      <w:rFonts w:hint="eastAsia" w:ascii="Times New Roman" w:hAnsi="Times New Roman" w:cs="Times New Roman"/>
                      <w:color w:val="auto"/>
                      <w:kern w:val="21"/>
                      <w:sz w:val="21"/>
                      <w:szCs w:val="21"/>
                      <w:lang w:eastAsia="zh-CN"/>
                    </w:rPr>
                  </w:pPr>
                  <w:r>
                    <w:rPr>
                      <w:rFonts w:hint="eastAsia" w:ascii="Times New Roman" w:hAnsi="Times New Roman" w:cs="Times New Roman"/>
                      <w:color w:val="auto"/>
                      <w:kern w:val="21"/>
                      <w:sz w:val="21"/>
                      <w:szCs w:val="21"/>
                      <w:lang w:eastAsia="zh-CN"/>
                    </w:rPr>
                    <w:t>无组织</w:t>
                  </w:r>
                </w:p>
              </w:tc>
              <w:tc>
                <w:tcPr>
                  <w:tcW w:w="1498"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lang w:val="en-US" w:eastAsia="zh-CN"/>
                    </w:rPr>
                  </w:pPr>
                  <w:r>
                    <w:rPr>
                      <w:rFonts w:hint="eastAsia" w:ascii="Times New Roman" w:hAnsi="Times New Roman" w:cs="Times New Roman"/>
                      <w:color w:val="auto"/>
                      <w:kern w:val="21"/>
                      <w:sz w:val="21"/>
                      <w:szCs w:val="21"/>
                      <w:lang w:val="en-US" w:eastAsia="zh-CN"/>
                    </w:rPr>
                    <w:t>厂界外20m处上风向设参照点，下风向设监控点</w:t>
                  </w:r>
                </w:p>
              </w:tc>
              <w:tc>
                <w:tcPr>
                  <w:tcW w:w="706" w:type="pct"/>
                  <w:tcBorders>
                    <w:tl2br w:val="nil"/>
                    <w:tr2bl w:val="nil"/>
                  </w:tcBorders>
                  <w:noWrap w:val="0"/>
                  <w:vAlign w:val="center"/>
                </w:tcPr>
                <w:p>
                  <w:pPr>
                    <w:adjustRightInd w:val="0"/>
                    <w:snapToGrid w:val="0"/>
                    <w:spacing w:line="240" w:lineRule="auto"/>
                    <w:jc w:val="center"/>
                    <w:rPr>
                      <w:rFonts w:hint="default" w:ascii="Times New Roman" w:hAnsi="Times New Roman" w:cs="Times New Roman"/>
                      <w:color w:val="auto"/>
                      <w:kern w:val="21"/>
                      <w:sz w:val="21"/>
                      <w:szCs w:val="21"/>
                    </w:rPr>
                  </w:pPr>
                  <w:r>
                    <w:rPr>
                      <w:rFonts w:hint="eastAsia" w:ascii="Times New Roman" w:hAnsi="Times New Roman" w:cs="Times New Roman"/>
                      <w:color w:val="auto"/>
                      <w:kern w:val="21"/>
                      <w:sz w:val="21"/>
                      <w:szCs w:val="21"/>
                    </w:rPr>
                    <w:t>0.5</w:t>
                  </w:r>
                  <w:r>
                    <w:rPr>
                      <w:rFonts w:hint="default" w:ascii="Times New Roman" w:hAnsi="Times New Roman" w:cs="Times New Roman"/>
                      <w:color w:val="auto"/>
                      <w:kern w:val="21"/>
                      <w:sz w:val="21"/>
                      <w:szCs w:val="21"/>
                    </w:rPr>
                    <w:t>mg/m</w:t>
                  </w:r>
                  <w:r>
                    <w:rPr>
                      <w:rFonts w:hint="default" w:ascii="Times New Roman" w:hAnsi="Times New Roman" w:cs="Times New Roman"/>
                      <w:color w:val="auto"/>
                      <w:kern w:val="21"/>
                      <w:sz w:val="21"/>
                      <w:szCs w:val="21"/>
                      <w:vertAlign w:val="superscript"/>
                    </w:rPr>
                    <w:t>3</w:t>
                  </w:r>
                </w:p>
              </w:tc>
            </w:tr>
          </w:tbl>
          <w:p>
            <w:pPr>
              <w:adjustRightInd w:val="0"/>
              <w:snapToGrid w:val="0"/>
              <w:spacing w:before="120" w:beforeLines="50"/>
              <w:ind w:firstLine="482" w:firstLineChars="200"/>
              <w:rPr>
                <w:rFonts w:cs="Times New Roman"/>
                <w:b/>
                <w:color w:val="auto"/>
              </w:rPr>
            </w:pPr>
            <w:r>
              <w:rPr>
                <w:rFonts w:hint="eastAsia" w:cs="Times New Roman"/>
                <w:b/>
                <w:color w:val="auto"/>
              </w:rPr>
              <w:t>2、</w:t>
            </w:r>
            <w:r>
              <w:rPr>
                <w:rFonts w:cs="Times New Roman"/>
                <w:b/>
                <w:color w:val="auto"/>
              </w:rPr>
              <w:t>水污染物排放标准</w:t>
            </w:r>
          </w:p>
          <w:p>
            <w:pPr>
              <w:adjustRightInd w:val="0"/>
              <w:snapToGrid w:val="0"/>
              <w:ind w:firstLine="480" w:firstLineChars="200"/>
              <w:rPr>
                <w:rFonts w:cs="Times New Roman"/>
                <w:color w:val="auto"/>
                <w:szCs w:val="24"/>
              </w:rPr>
            </w:pPr>
            <w:r>
              <w:rPr>
                <w:rFonts w:hint="eastAsia" w:cs="Times New Roman"/>
                <w:color w:val="auto"/>
                <w:lang w:val="en-US" w:eastAsia="zh-CN"/>
              </w:rPr>
              <w:t>员工</w:t>
            </w:r>
            <w:r>
              <w:rPr>
                <w:rFonts w:hint="eastAsia" w:cs="Times New Roman"/>
                <w:color w:val="auto"/>
              </w:rPr>
              <w:t>生活污水排入化粪池后定期</w:t>
            </w:r>
            <w:r>
              <w:rPr>
                <w:rFonts w:hint="eastAsia" w:cs="Times New Roman"/>
                <w:color w:val="auto"/>
                <w:lang w:eastAsia="zh-CN"/>
              </w:rPr>
              <w:t>清掏用作肥田，不外排。</w:t>
            </w:r>
            <w:r>
              <w:rPr>
                <w:rFonts w:hint="eastAsia" w:cs="Times New Roman"/>
                <w:color w:val="auto"/>
                <w:lang w:val="en-US" w:eastAsia="zh-CN"/>
              </w:rPr>
              <w:t>本项目</w:t>
            </w:r>
            <w:r>
              <w:rPr>
                <w:rFonts w:cs="Times New Roman"/>
                <w:color w:val="auto"/>
              </w:rPr>
              <w:t>生产过程不产生废水。车辆冲洗废水排入沉淀池中经沉淀处理后循环使用，不外排。</w:t>
            </w:r>
          </w:p>
          <w:p>
            <w:pPr>
              <w:adjustRightInd w:val="0"/>
              <w:snapToGrid w:val="0"/>
              <w:ind w:firstLine="482" w:firstLineChars="200"/>
              <w:rPr>
                <w:rFonts w:cs="Times New Roman"/>
                <w:b/>
                <w:color w:val="auto"/>
              </w:rPr>
            </w:pPr>
            <w:r>
              <w:rPr>
                <w:rFonts w:hint="eastAsia" w:cs="Times New Roman"/>
                <w:b/>
                <w:color w:val="auto"/>
              </w:rPr>
              <w:t>3、</w:t>
            </w:r>
            <w:r>
              <w:rPr>
                <w:rFonts w:cs="Times New Roman"/>
                <w:b/>
                <w:color w:val="auto"/>
              </w:rPr>
              <w:t>噪声排放标准</w:t>
            </w:r>
          </w:p>
          <w:p>
            <w:pPr>
              <w:adjustRightInd w:val="0"/>
              <w:snapToGrid w:val="0"/>
              <w:ind w:firstLine="480" w:firstLineChars="200"/>
              <w:rPr>
                <w:rFonts w:cs="Times New Roman"/>
                <w:color w:val="auto"/>
                <w:highlight w:val="none"/>
              </w:rPr>
            </w:pPr>
            <w:r>
              <w:rPr>
                <w:rFonts w:cs="Times New Roman"/>
                <w:color w:val="auto"/>
              </w:rPr>
              <w:t>施工期噪声执行《建筑施工场界环境噪声排放标准》（GB12523-2011）中的有关要求；运营期噪声排放执行《工业企业厂界环境噪</w:t>
            </w:r>
            <w:r>
              <w:rPr>
                <w:rFonts w:cs="Times New Roman"/>
                <w:color w:val="auto"/>
                <w:highlight w:val="none"/>
              </w:rPr>
              <w:t>声排放标准》（GB12348-2008）中的2类标准具体标准值见下表3-</w:t>
            </w:r>
            <w:r>
              <w:rPr>
                <w:rFonts w:hint="eastAsia" w:cs="Times New Roman"/>
                <w:color w:val="auto"/>
                <w:highlight w:val="none"/>
                <w:lang w:val="en-US" w:eastAsia="zh-CN"/>
              </w:rPr>
              <w:t>5</w:t>
            </w:r>
            <w:r>
              <w:rPr>
                <w:rFonts w:cs="Times New Roman"/>
                <w:color w:val="auto"/>
                <w:highlight w:val="none"/>
              </w:rPr>
              <w:t>。</w:t>
            </w:r>
          </w:p>
          <w:p>
            <w:pPr>
              <w:adjustRightInd w:val="0"/>
              <w:snapToGrid w:val="0"/>
              <w:spacing w:line="240" w:lineRule="auto"/>
              <w:jc w:val="center"/>
              <w:rPr>
                <w:rFonts w:cs="Times New Roman"/>
                <w:b/>
                <w:bCs/>
                <w:color w:val="auto"/>
                <w:sz w:val="21"/>
                <w:szCs w:val="21"/>
                <w:highlight w:val="none"/>
              </w:rPr>
            </w:pPr>
          </w:p>
          <w:p>
            <w:pPr>
              <w:adjustRightInd w:val="0"/>
              <w:snapToGrid w:val="0"/>
              <w:spacing w:line="240" w:lineRule="auto"/>
              <w:jc w:val="center"/>
              <w:rPr>
                <w:rFonts w:cs="Times New Roman"/>
                <w:b/>
                <w:bCs/>
                <w:color w:val="auto"/>
                <w:sz w:val="21"/>
                <w:szCs w:val="21"/>
                <w:highlight w:val="none"/>
              </w:rPr>
            </w:pPr>
            <w:r>
              <w:rPr>
                <w:rFonts w:cs="Times New Roman"/>
                <w:b/>
                <w:bCs/>
                <w:color w:val="auto"/>
                <w:sz w:val="21"/>
                <w:szCs w:val="21"/>
                <w:highlight w:val="none"/>
              </w:rPr>
              <w:t>表3-</w:t>
            </w:r>
            <w:r>
              <w:rPr>
                <w:rFonts w:hint="eastAsia" w:cs="Times New Roman"/>
                <w:b/>
                <w:bCs/>
                <w:color w:val="auto"/>
                <w:sz w:val="21"/>
                <w:szCs w:val="21"/>
                <w:highlight w:val="none"/>
                <w:lang w:val="en-US" w:eastAsia="zh-CN"/>
              </w:rPr>
              <w:t>5</w:t>
            </w:r>
            <w:r>
              <w:rPr>
                <w:rFonts w:cs="Times New Roman"/>
                <w:b/>
                <w:bCs/>
                <w:color w:val="auto"/>
                <w:sz w:val="21"/>
                <w:szCs w:val="21"/>
                <w:highlight w:val="none"/>
              </w:rPr>
              <w:t xml:space="preserve"> 噪声污染物排放标准单位：dB（A）</w:t>
            </w:r>
          </w:p>
          <w:tbl>
            <w:tblPr>
              <w:tblStyle w:val="22"/>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785"/>
              <w:gridCol w:w="747"/>
              <w:gridCol w:w="629"/>
              <w:gridCol w:w="684"/>
              <w:gridCol w:w="492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污染物名称</w:t>
                  </w:r>
                </w:p>
              </w:tc>
              <w:tc>
                <w:tcPr>
                  <w:tcW w:w="437"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监控点</w:t>
                  </w:r>
                </w:p>
              </w:tc>
              <w:tc>
                <w:tcPr>
                  <w:tcW w:w="415"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级别</w:t>
                  </w:r>
                </w:p>
              </w:tc>
              <w:tc>
                <w:tcPr>
                  <w:tcW w:w="731" w:type="pct"/>
                  <w:gridSpan w:val="2"/>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标准值</w:t>
                  </w:r>
                </w:p>
              </w:tc>
              <w:tc>
                <w:tcPr>
                  <w:tcW w:w="2740" w:type="pct"/>
                  <w:vMerge w:val="restar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标准来源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p>
              </w:tc>
              <w:tc>
                <w:tcPr>
                  <w:tcW w:w="437"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p>
              </w:tc>
              <w:tc>
                <w:tcPr>
                  <w:tcW w:w="415"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p>
              </w:tc>
              <w:tc>
                <w:tcPr>
                  <w:tcW w:w="350" w:type="pc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昼间</w:t>
                  </w:r>
                </w:p>
              </w:tc>
              <w:tc>
                <w:tcPr>
                  <w:tcW w:w="380" w:type="pct"/>
                  <w:tcBorders>
                    <w:tl2br w:val="nil"/>
                    <w:tr2bl w:val="nil"/>
                  </w:tcBorders>
                  <w:tcMar>
                    <w:left w:w="0" w:type="dxa"/>
                    <w:right w:w="0" w:type="dxa"/>
                  </w:tcMar>
                  <w:vAlign w:val="center"/>
                </w:tcPr>
                <w:p>
                  <w:pPr>
                    <w:adjustRightInd w:val="0"/>
                    <w:snapToGrid w:val="0"/>
                    <w:spacing w:line="240" w:lineRule="auto"/>
                    <w:jc w:val="center"/>
                    <w:rPr>
                      <w:rFonts w:cs="Times New Roman"/>
                      <w:b/>
                      <w:bCs/>
                      <w:color w:val="auto"/>
                      <w:kern w:val="21"/>
                      <w:sz w:val="21"/>
                      <w:szCs w:val="21"/>
                      <w:highlight w:val="none"/>
                    </w:rPr>
                  </w:pPr>
                  <w:r>
                    <w:rPr>
                      <w:rFonts w:cs="Times New Roman"/>
                      <w:b/>
                      <w:bCs/>
                      <w:color w:val="auto"/>
                      <w:kern w:val="21"/>
                      <w:sz w:val="21"/>
                      <w:szCs w:val="21"/>
                      <w:highlight w:val="none"/>
                    </w:rPr>
                    <w:t>夜间</w:t>
                  </w:r>
                </w:p>
              </w:tc>
              <w:tc>
                <w:tcPr>
                  <w:tcW w:w="2740" w:type="pct"/>
                  <w:vMerge w:val="continue"/>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施工期噪声</w:t>
                  </w:r>
                </w:p>
              </w:tc>
              <w:tc>
                <w:tcPr>
                  <w:tcW w:w="437"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厂界</w:t>
                  </w:r>
                </w:p>
              </w:tc>
              <w:tc>
                <w:tcPr>
                  <w:tcW w:w="415"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w:t>
                  </w:r>
                </w:p>
              </w:tc>
              <w:tc>
                <w:tcPr>
                  <w:tcW w:w="350"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70</w:t>
                  </w:r>
                </w:p>
              </w:tc>
              <w:tc>
                <w:tcPr>
                  <w:tcW w:w="380"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55</w:t>
                  </w:r>
                </w:p>
              </w:tc>
              <w:tc>
                <w:tcPr>
                  <w:tcW w:w="2740"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color w:val="auto"/>
                      <w:kern w:val="21"/>
                      <w:sz w:val="21"/>
                      <w:szCs w:val="21"/>
                      <w:highlight w:val="none"/>
                    </w:rPr>
                  </w:pPr>
                  <w:r>
                    <w:rPr>
                      <w:rFonts w:cs="Times New Roman"/>
                      <w:color w:val="auto"/>
                      <w:kern w:val="21"/>
                      <w:sz w:val="21"/>
                      <w:szCs w:val="21"/>
                      <w:highlight w:val="none"/>
                    </w:rPr>
                    <w:t>《</w:t>
                  </w:r>
                  <w:r>
                    <w:rPr>
                      <w:rFonts w:hint="eastAsia" w:cs="Times New Roman"/>
                      <w:color w:val="auto"/>
                      <w:kern w:val="21"/>
                      <w:sz w:val="21"/>
                      <w:szCs w:val="21"/>
                      <w:highlight w:val="none"/>
                      <w:lang w:eastAsia="zh-CN"/>
                    </w:rPr>
                    <w:t>建筑施工场界环境噪声排放标准</w:t>
                  </w:r>
                  <w:r>
                    <w:rPr>
                      <w:rFonts w:cs="Times New Roman"/>
                      <w:color w:val="auto"/>
                      <w:kern w:val="21"/>
                      <w:sz w:val="21"/>
                      <w:szCs w:val="21"/>
                      <w:highlight w:val="none"/>
                    </w:rPr>
                    <w:t>》（GB12523-2011）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运营期噪声</w:t>
                  </w:r>
                </w:p>
              </w:tc>
              <w:tc>
                <w:tcPr>
                  <w:tcW w:w="437"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厂界</w:t>
                  </w:r>
                </w:p>
              </w:tc>
              <w:tc>
                <w:tcPr>
                  <w:tcW w:w="415"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2类</w:t>
                  </w:r>
                </w:p>
              </w:tc>
              <w:tc>
                <w:tcPr>
                  <w:tcW w:w="350"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color w:val="auto"/>
                      <w:kern w:val="21"/>
                      <w:sz w:val="21"/>
                      <w:szCs w:val="21"/>
                      <w:highlight w:val="none"/>
                    </w:rPr>
                  </w:pPr>
                  <w:r>
                    <w:rPr>
                      <w:rFonts w:cs="Times New Roman"/>
                      <w:color w:val="auto"/>
                      <w:kern w:val="21"/>
                      <w:sz w:val="21"/>
                      <w:szCs w:val="21"/>
                      <w:highlight w:val="none"/>
                    </w:rPr>
                    <w:t>60</w:t>
                  </w:r>
                </w:p>
              </w:tc>
              <w:tc>
                <w:tcPr>
                  <w:tcW w:w="380" w:type="pct"/>
                  <w:tcBorders>
                    <w:tl2br w:val="nil"/>
                    <w:tr2bl w:val="nil"/>
                  </w:tcBorders>
                  <w:tcMar>
                    <w:left w:w="0" w:type="dxa"/>
                    <w:right w:w="0" w:type="dxa"/>
                  </w:tcMar>
                  <w:vAlign w:val="center"/>
                </w:tcPr>
                <w:p>
                  <w:pPr>
                    <w:adjustRightInd w:val="0"/>
                    <w:snapToGrid w:val="0"/>
                    <w:spacing w:line="240" w:lineRule="auto"/>
                    <w:jc w:val="center"/>
                    <w:rPr>
                      <w:rFonts w:eastAsia="宋体" w:cs="Times New Roman"/>
                      <w:color w:val="auto"/>
                      <w:kern w:val="21"/>
                      <w:sz w:val="21"/>
                      <w:szCs w:val="21"/>
                      <w:highlight w:val="none"/>
                    </w:rPr>
                  </w:pPr>
                  <w:r>
                    <w:rPr>
                      <w:rFonts w:cs="Times New Roman"/>
                      <w:color w:val="auto"/>
                      <w:kern w:val="21"/>
                      <w:sz w:val="21"/>
                      <w:szCs w:val="21"/>
                      <w:highlight w:val="none"/>
                    </w:rPr>
                    <w:t>50</w:t>
                  </w:r>
                </w:p>
              </w:tc>
              <w:tc>
                <w:tcPr>
                  <w:tcW w:w="2740" w:type="pct"/>
                  <w:tcBorders>
                    <w:tl2br w:val="nil"/>
                    <w:tr2bl w:val="nil"/>
                  </w:tcBorders>
                  <w:tcMar>
                    <w:left w:w="0" w:type="dxa"/>
                    <w:right w:w="0" w:type="dxa"/>
                  </w:tcMar>
                  <w:vAlign w:val="center"/>
                </w:tcPr>
                <w:p>
                  <w:pPr>
                    <w:adjustRightInd w:val="0"/>
                    <w:snapToGrid w:val="0"/>
                    <w:spacing w:line="240" w:lineRule="auto"/>
                    <w:jc w:val="center"/>
                    <w:rPr>
                      <w:rFonts w:cs="Times New Roman"/>
                      <w:color w:val="auto"/>
                      <w:kern w:val="21"/>
                      <w:sz w:val="21"/>
                      <w:szCs w:val="21"/>
                      <w:highlight w:val="none"/>
                    </w:rPr>
                  </w:pPr>
                  <w:r>
                    <w:rPr>
                      <w:rFonts w:cs="Times New Roman"/>
                      <w:color w:val="auto"/>
                      <w:kern w:val="21"/>
                      <w:sz w:val="21"/>
                      <w:szCs w:val="21"/>
                      <w:highlight w:val="none"/>
                    </w:rPr>
                    <w:t>《工业企业厂界环境噪声排放标准》（GB12348</w:t>
                  </w:r>
                  <w:r>
                    <w:rPr>
                      <w:rFonts w:hint="eastAsia" w:cs="Times New Roman"/>
                      <w:color w:val="auto"/>
                      <w:kern w:val="21"/>
                      <w:sz w:val="21"/>
                      <w:szCs w:val="21"/>
                      <w:highlight w:val="none"/>
                      <w:lang w:val="en-US" w:eastAsia="zh-CN"/>
                    </w:rPr>
                    <w:t>-</w:t>
                  </w:r>
                  <w:r>
                    <w:rPr>
                      <w:rFonts w:cs="Times New Roman"/>
                      <w:color w:val="auto"/>
                      <w:kern w:val="21"/>
                      <w:sz w:val="21"/>
                      <w:szCs w:val="21"/>
                      <w:highlight w:val="none"/>
                    </w:rPr>
                    <w:t>2008）</w:t>
                  </w:r>
                </w:p>
              </w:tc>
            </w:tr>
          </w:tbl>
          <w:p>
            <w:pPr>
              <w:adjustRightInd w:val="0"/>
              <w:snapToGrid w:val="0"/>
              <w:spacing w:before="120" w:beforeLines="50"/>
              <w:ind w:firstLine="482" w:firstLineChars="200"/>
              <w:rPr>
                <w:rFonts w:cs="Times New Roman"/>
                <w:b/>
                <w:color w:val="auto"/>
              </w:rPr>
            </w:pPr>
            <w:r>
              <w:rPr>
                <w:rFonts w:hint="eastAsia" w:cs="Times New Roman"/>
                <w:b/>
                <w:color w:val="auto"/>
              </w:rPr>
              <w:t>4、</w:t>
            </w:r>
            <w:r>
              <w:rPr>
                <w:rFonts w:cs="Times New Roman"/>
                <w:b/>
                <w:color w:val="auto"/>
              </w:rPr>
              <w:t>固体废物处理与处置</w:t>
            </w:r>
          </w:p>
          <w:p>
            <w:pPr>
              <w:adjustRightInd w:val="0"/>
              <w:snapToGrid w:val="0"/>
              <w:ind w:firstLine="480" w:firstLineChars="200"/>
              <w:rPr>
                <w:rFonts w:cs="Times New Roman"/>
                <w:color w:val="auto"/>
                <w:kern w:val="21"/>
                <w:szCs w:val="21"/>
                <w:highlight w:val="yellow"/>
              </w:rPr>
            </w:pPr>
            <w:r>
              <w:rPr>
                <w:rFonts w:cs="Times New Roman"/>
                <w:color w:val="auto"/>
              </w:rPr>
              <w:t>一般固体废物应满足《一般工业固体废物贮存和填埋污染控制标准》（GB 18599-2020）中有关规定；危险废物的贮存与处置执行《危险废物贮存污染控制标准》（GB18597-2023）中有关规定。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45" w:hRule="atLeast"/>
          <w:jc w:val="center"/>
        </w:trPr>
        <w:tc>
          <w:tcPr>
            <w:tcW w:w="215" w:type="pct"/>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总量</w:t>
            </w:r>
          </w:p>
          <w:p>
            <w:pPr>
              <w:adjustRightInd w:val="0"/>
              <w:snapToGrid w:val="0"/>
              <w:spacing w:line="240" w:lineRule="auto"/>
              <w:jc w:val="center"/>
              <w:rPr>
                <w:rFonts w:cs="Times New Roman"/>
                <w:color w:val="auto"/>
                <w:kern w:val="21"/>
                <w:szCs w:val="24"/>
              </w:rPr>
            </w:pPr>
            <w:r>
              <w:rPr>
                <w:rFonts w:cs="Times New Roman"/>
                <w:color w:val="auto"/>
                <w:kern w:val="21"/>
                <w:szCs w:val="24"/>
              </w:rPr>
              <w:t>控制</w:t>
            </w:r>
          </w:p>
          <w:p>
            <w:pPr>
              <w:adjustRightInd w:val="0"/>
              <w:snapToGrid w:val="0"/>
              <w:spacing w:line="240" w:lineRule="auto"/>
              <w:jc w:val="center"/>
              <w:rPr>
                <w:rFonts w:cs="Times New Roman"/>
                <w:color w:val="auto"/>
                <w:kern w:val="21"/>
                <w:szCs w:val="24"/>
              </w:rPr>
            </w:pPr>
            <w:r>
              <w:rPr>
                <w:rFonts w:cs="Times New Roman"/>
                <w:color w:val="auto"/>
                <w:kern w:val="21"/>
                <w:szCs w:val="24"/>
              </w:rPr>
              <w:t>指标</w:t>
            </w:r>
          </w:p>
        </w:tc>
        <w:tc>
          <w:tcPr>
            <w:tcW w:w="4784" w:type="pct"/>
            <w:vAlign w:val="center"/>
          </w:tcPr>
          <w:p>
            <w:pPr>
              <w:ind w:firstLine="499" w:firstLineChars="208"/>
              <w:jc w:val="both"/>
              <w:rPr>
                <w:rFonts w:eastAsia="宋体" w:cs="Times New Roman"/>
                <w:color w:val="auto"/>
                <w:szCs w:val="24"/>
              </w:rPr>
            </w:pPr>
          </w:p>
          <w:p>
            <w:pPr>
              <w:ind w:firstLine="499" w:firstLineChars="208"/>
              <w:jc w:val="both"/>
              <w:rPr>
                <w:rFonts w:eastAsia="宋体" w:cs="Times New Roman"/>
                <w:color w:val="auto"/>
                <w:szCs w:val="24"/>
              </w:rPr>
            </w:pPr>
          </w:p>
          <w:p>
            <w:pPr>
              <w:ind w:firstLine="499" w:firstLineChars="208"/>
              <w:jc w:val="both"/>
              <w:rPr>
                <w:rFonts w:eastAsia="宋体" w:cs="Times New Roman"/>
                <w:color w:val="auto"/>
                <w:szCs w:val="24"/>
              </w:rPr>
            </w:pPr>
          </w:p>
          <w:p>
            <w:pPr>
              <w:ind w:firstLine="499" w:firstLineChars="208"/>
              <w:jc w:val="both"/>
              <w:rPr>
                <w:rFonts w:eastAsia="宋体" w:cs="Times New Roman"/>
                <w:color w:val="auto"/>
                <w:szCs w:val="24"/>
                <w:highlight w:val="none"/>
              </w:rPr>
            </w:pPr>
            <w:r>
              <w:rPr>
                <w:rFonts w:eastAsia="宋体" w:cs="Times New Roman"/>
                <w:color w:val="auto"/>
                <w:szCs w:val="24"/>
                <w:highlight w:val="none"/>
              </w:rPr>
              <w:t>根据国务院关于印发《“十四五”节能减排综合工作方案的通知》，我国“十四五”期间对化学需氧量、氨氮、氮氧化物和挥发性有机物排放总量实行排放总量控制。</w:t>
            </w:r>
          </w:p>
          <w:p>
            <w:pPr>
              <w:ind w:firstLine="499" w:firstLineChars="208"/>
              <w:jc w:val="both"/>
              <w:rPr>
                <w:rFonts w:eastAsia="宋体" w:cs="Times New Roman"/>
                <w:color w:val="auto"/>
                <w:szCs w:val="24"/>
                <w:highlight w:val="none"/>
              </w:rPr>
            </w:pPr>
            <w:r>
              <w:rPr>
                <w:rFonts w:eastAsia="宋体" w:cs="Times New Roman"/>
                <w:color w:val="auto"/>
                <w:szCs w:val="24"/>
                <w:highlight w:val="none"/>
              </w:rPr>
              <w:t>根据国家对污染物排放总量控制的要求及本项目污染物排放特点，本项目无需申请总量控制指标。</w:t>
            </w:r>
          </w:p>
          <w:p>
            <w:pPr>
              <w:ind w:firstLine="499" w:firstLineChars="208"/>
              <w:jc w:val="both"/>
              <w:rPr>
                <w:rFonts w:cs="Times New Roman"/>
                <w:color w:val="auto"/>
                <w:kern w:val="21"/>
              </w:rPr>
            </w:pPr>
          </w:p>
          <w:p>
            <w:pPr>
              <w:ind w:firstLine="499" w:firstLineChars="208"/>
              <w:jc w:val="both"/>
              <w:rPr>
                <w:rFonts w:cs="Times New Roman"/>
                <w:color w:val="auto"/>
                <w:kern w:val="21"/>
              </w:rPr>
            </w:pPr>
          </w:p>
          <w:p>
            <w:pPr>
              <w:ind w:firstLine="499" w:firstLineChars="208"/>
              <w:jc w:val="both"/>
              <w:rPr>
                <w:rFonts w:cs="Times New Roman"/>
                <w:color w:val="auto"/>
                <w:kern w:val="21"/>
              </w:rPr>
            </w:pPr>
          </w:p>
        </w:tc>
      </w:tr>
    </w:tbl>
    <w:p>
      <w:pPr>
        <w:jc w:val="center"/>
        <w:rPr>
          <w:rFonts w:cs="Times New Roman"/>
          <w:b/>
          <w:bCs/>
          <w:color w:val="auto"/>
          <w:sz w:val="28"/>
          <w:szCs w:val="24"/>
        </w:rPr>
      </w:pPr>
      <w:r>
        <w:rPr>
          <w:rFonts w:cs="Times New Roman"/>
          <w:b/>
          <w:bCs/>
          <w:color w:val="auto"/>
          <w:sz w:val="28"/>
          <w:szCs w:val="24"/>
        </w:rPr>
        <w:t>四、主要环境影响和保护措施</w:t>
      </w:r>
    </w:p>
    <w:tbl>
      <w:tblPr>
        <w:tblStyle w:val="22"/>
        <w:tblW w:w="512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7"/>
        <w:gridCol w:w="93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8" w:hRule="atLeast"/>
          <w:jc w:val="center"/>
        </w:trPr>
        <w:tc>
          <w:tcPr>
            <w:tcW w:w="213" w:type="pct"/>
            <w:tcMar>
              <w:left w:w="28" w:type="dxa"/>
              <w:right w:w="28" w:type="dxa"/>
            </w:tcMar>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施工</w:t>
            </w:r>
          </w:p>
          <w:p>
            <w:pPr>
              <w:adjustRightInd w:val="0"/>
              <w:snapToGrid w:val="0"/>
              <w:spacing w:line="240" w:lineRule="auto"/>
              <w:jc w:val="center"/>
              <w:rPr>
                <w:rFonts w:cs="Times New Roman"/>
                <w:color w:val="auto"/>
                <w:kern w:val="21"/>
                <w:szCs w:val="24"/>
              </w:rPr>
            </w:pPr>
            <w:r>
              <w:rPr>
                <w:rFonts w:cs="Times New Roman"/>
                <w:color w:val="auto"/>
                <w:kern w:val="21"/>
                <w:szCs w:val="24"/>
              </w:rPr>
              <w:t>期环</w:t>
            </w:r>
          </w:p>
          <w:p>
            <w:pPr>
              <w:adjustRightInd w:val="0"/>
              <w:snapToGrid w:val="0"/>
              <w:spacing w:line="240" w:lineRule="auto"/>
              <w:jc w:val="center"/>
              <w:rPr>
                <w:rFonts w:cs="Times New Roman"/>
                <w:color w:val="auto"/>
                <w:kern w:val="21"/>
                <w:szCs w:val="24"/>
              </w:rPr>
            </w:pPr>
            <w:r>
              <w:rPr>
                <w:rFonts w:cs="Times New Roman"/>
                <w:color w:val="auto"/>
                <w:kern w:val="21"/>
                <w:szCs w:val="24"/>
              </w:rPr>
              <w:t>境保</w:t>
            </w:r>
          </w:p>
          <w:p>
            <w:pPr>
              <w:adjustRightInd w:val="0"/>
              <w:snapToGrid w:val="0"/>
              <w:spacing w:line="240" w:lineRule="auto"/>
              <w:jc w:val="center"/>
              <w:rPr>
                <w:rFonts w:cs="Times New Roman"/>
                <w:color w:val="auto"/>
                <w:kern w:val="21"/>
                <w:szCs w:val="24"/>
              </w:rPr>
            </w:pPr>
            <w:r>
              <w:rPr>
                <w:rFonts w:cs="Times New Roman"/>
                <w:color w:val="auto"/>
                <w:kern w:val="21"/>
                <w:szCs w:val="24"/>
              </w:rPr>
              <w:t>护措</w:t>
            </w:r>
          </w:p>
          <w:p>
            <w:pPr>
              <w:adjustRightInd w:val="0"/>
              <w:snapToGrid w:val="0"/>
              <w:spacing w:line="240" w:lineRule="auto"/>
              <w:jc w:val="center"/>
              <w:rPr>
                <w:rFonts w:cs="Times New Roman"/>
                <w:color w:val="auto"/>
                <w:kern w:val="21"/>
                <w:szCs w:val="24"/>
              </w:rPr>
            </w:pPr>
            <w:r>
              <w:rPr>
                <w:rFonts w:cs="Times New Roman"/>
                <w:color w:val="auto"/>
                <w:kern w:val="21"/>
                <w:szCs w:val="24"/>
              </w:rPr>
              <w:t>施</w:t>
            </w:r>
          </w:p>
        </w:tc>
        <w:tc>
          <w:tcPr>
            <w:tcW w:w="4786" w:type="pct"/>
            <w:vAlign w:val="center"/>
          </w:tcPr>
          <w:p>
            <w:pPr>
              <w:adjustRightInd w:val="0"/>
              <w:snapToGrid w:val="0"/>
              <w:ind w:firstLine="482" w:firstLineChars="200"/>
              <w:rPr>
                <w:rFonts w:cs="Times New Roman"/>
                <w:b/>
                <w:color w:val="auto"/>
              </w:rPr>
            </w:pPr>
            <w:r>
              <w:rPr>
                <w:rFonts w:hint="eastAsia" w:cs="Times New Roman"/>
                <w:b/>
                <w:color w:val="auto"/>
              </w:rPr>
              <w:t>1、</w:t>
            </w:r>
            <w:r>
              <w:rPr>
                <w:rFonts w:cs="Times New Roman"/>
                <w:b/>
                <w:color w:val="auto"/>
              </w:rPr>
              <w:t>废气</w:t>
            </w:r>
            <w:r>
              <w:rPr>
                <w:rFonts w:cs="Times New Roman"/>
                <w:b/>
                <w:bCs/>
                <w:color w:val="auto"/>
              </w:rPr>
              <w:t>影响保护措施</w:t>
            </w:r>
          </w:p>
          <w:p>
            <w:pPr>
              <w:adjustRightInd w:val="0"/>
              <w:snapToGrid w:val="0"/>
              <w:ind w:firstLine="480" w:firstLineChars="200"/>
              <w:rPr>
                <w:rFonts w:cs="Times New Roman"/>
                <w:color w:val="auto"/>
              </w:rPr>
            </w:pPr>
            <w:r>
              <w:rPr>
                <w:rFonts w:cs="Times New Roman"/>
                <w:color w:val="auto"/>
              </w:rPr>
              <w:t>施工期废气污染主要是施工扬尘，为使施工过程中产生的扬尘对周围环境空气的影响降低到最小程度，根据《陕西省大气污染治理专项行动方案（2023</w:t>
            </w:r>
            <w:r>
              <w:rPr>
                <w:rFonts w:hint="eastAsia" w:cs="Times New Roman"/>
                <w:color w:val="auto"/>
                <w:lang w:eastAsia="zh-CN"/>
              </w:rPr>
              <w:t>—</w:t>
            </w:r>
            <w:r>
              <w:rPr>
                <w:rFonts w:cs="Times New Roman"/>
                <w:color w:val="auto"/>
              </w:rPr>
              <w:t>2027年）</w:t>
            </w:r>
            <w:r>
              <w:rPr>
                <w:rFonts w:hint="eastAsia" w:cs="Times New Roman"/>
                <w:color w:val="auto"/>
                <w:lang w:eastAsia="zh-CN"/>
              </w:rPr>
              <w:t>》《</w:t>
            </w:r>
            <w:r>
              <w:rPr>
                <w:rFonts w:cs="Times New Roman"/>
                <w:color w:val="auto"/>
              </w:rPr>
              <w:t>西安市大气污染治理专项行动方案（2023</w:t>
            </w:r>
            <w:r>
              <w:rPr>
                <w:rFonts w:hint="eastAsia" w:cs="Times New Roman"/>
                <w:color w:val="auto"/>
                <w:lang w:eastAsia="zh-CN"/>
              </w:rPr>
              <w:t>—</w:t>
            </w:r>
            <w:r>
              <w:rPr>
                <w:rFonts w:cs="Times New Roman"/>
                <w:color w:val="auto"/>
              </w:rPr>
              <w:t>2027年）</w:t>
            </w:r>
            <w:r>
              <w:rPr>
                <w:rFonts w:hint="eastAsia" w:cs="Times New Roman"/>
                <w:color w:val="auto"/>
                <w:lang w:eastAsia="zh-CN"/>
              </w:rPr>
              <w:t>》《西安市人民政府办公厅关于印发大气污染治理专项行动2024年工作方案的通知》《</w:t>
            </w:r>
            <w:r>
              <w:rPr>
                <w:rFonts w:cs="Times New Roman"/>
                <w:color w:val="auto"/>
              </w:rPr>
              <w:t>西安市扬尘污染防治条例》（2020年11月26日第二次修正）等文件规定要求，评价提出以下措施和要求：</w:t>
            </w:r>
          </w:p>
          <w:p>
            <w:pPr>
              <w:numPr>
                <w:ilvl w:val="0"/>
                <w:numId w:val="3"/>
              </w:numPr>
              <w:adjustRightInd w:val="0"/>
              <w:snapToGrid w:val="0"/>
              <w:ind w:firstLine="480" w:firstLineChars="200"/>
              <w:rPr>
                <w:rFonts w:cs="Times New Roman"/>
                <w:color w:val="auto"/>
              </w:rPr>
            </w:pPr>
            <w:r>
              <w:rPr>
                <w:rFonts w:cs="Times New Roman"/>
                <w:color w:val="auto"/>
              </w:rPr>
              <w:t>建设单位应当在施工前向工程主管部门、环境保护行政主管部门提交工地扬尘污染防治方案，将扬尘污染防治纳入工程监理范围，所需费用列入工程预算，并在工程承包合同中明确施工单位防治扬尘污染的责任。</w:t>
            </w:r>
          </w:p>
          <w:p>
            <w:pPr>
              <w:numPr>
                <w:ilvl w:val="0"/>
                <w:numId w:val="3"/>
              </w:numPr>
              <w:adjustRightInd w:val="0"/>
              <w:snapToGrid w:val="0"/>
              <w:ind w:firstLine="480" w:firstLineChars="200"/>
              <w:rPr>
                <w:rFonts w:cs="Times New Roman"/>
                <w:color w:val="auto"/>
              </w:rPr>
            </w:pPr>
            <w:r>
              <w:rPr>
                <w:rFonts w:cs="Times New Roman"/>
                <w:color w:val="auto"/>
              </w:rPr>
              <w:t>施工单位应当按照工地扬尘污染防治方案的要求施工，在建设工地必须设置环境保护牌，标明扬尘治理措施、责任人及监督电话、扬尘监管行政主管部门等有关信息，接受社会监督。</w:t>
            </w:r>
          </w:p>
          <w:p>
            <w:pPr>
              <w:numPr>
                <w:ilvl w:val="0"/>
                <w:numId w:val="3"/>
              </w:numPr>
              <w:adjustRightInd w:val="0"/>
              <w:snapToGrid w:val="0"/>
              <w:ind w:firstLine="480" w:firstLineChars="200"/>
              <w:rPr>
                <w:rFonts w:cs="Times New Roman"/>
                <w:color w:val="auto"/>
              </w:rPr>
            </w:pPr>
            <w:r>
              <w:rPr>
                <w:rFonts w:cs="Times New Roman"/>
                <w:color w:val="auto"/>
              </w:rPr>
              <w:t>施工场地内易产生扬尘的物料堆置必须采取封闭式、遮盖、洒水等抑尘措施，减少露天装卸作业。</w:t>
            </w:r>
          </w:p>
          <w:p>
            <w:pPr>
              <w:numPr>
                <w:ilvl w:val="0"/>
                <w:numId w:val="3"/>
              </w:numPr>
              <w:adjustRightInd w:val="0"/>
              <w:snapToGrid w:val="0"/>
              <w:ind w:firstLine="480" w:firstLineChars="200"/>
              <w:rPr>
                <w:rFonts w:cs="Times New Roman"/>
                <w:color w:val="auto"/>
              </w:rPr>
            </w:pPr>
            <w:r>
              <w:rPr>
                <w:rFonts w:cs="Times New Roman"/>
                <w:color w:val="auto"/>
              </w:rPr>
              <w:t>加强施工车辆运输监管，杜绝超速、超高装载、带泥上路、抛洒泄漏等现象。</w:t>
            </w:r>
          </w:p>
          <w:p>
            <w:pPr>
              <w:numPr>
                <w:ilvl w:val="0"/>
                <w:numId w:val="3"/>
              </w:numPr>
              <w:adjustRightInd w:val="0"/>
              <w:snapToGrid w:val="0"/>
              <w:ind w:firstLine="480" w:firstLineChars="200"/>
              <w:rPr>
                <w:rFonts w:cs="Times New Roman"/>
                <w:color w:val="auto"/>
              </w:rPr>
            </w:pPr>
            <w:r>
              <w:rPr>
                <w:rFonts w:cs="Times New Roman"/>
                <w:color w:val="auto"/>
              </w:rPr>
              <w:t>运输车辆加蓬盖、装卸场地在装卸前先冲洗干净，减少车轮、底盘等携带泥土散落路面。</w:t>
            </w:r>
          </w:p>
          <w:p>
            <w:pPr>
              <w:numPr>
                <w:ilvl w:val="0"/>
                <w:numId w:val="3"/>
              </w:numPr>
              <w:adjustRightInd w:val="0"/>
              <w:snapToGrid w:val="0"/>
              <w:ind w:firstLine="480" w:firstLineChars="200"/>
              <w:rPr>
                <w:rFonts w:cs="Times New Roman"/>
                <w:color w:val="auto"/>
              </w:rPr>
            </w:pPr>
            <w:r>
              <w:rPr>
                <w:rFonts w:cs="Times New Roman"/>
                <w:color w:val="auto"/>
              </w:rPr>
              <w:t>定期利用处理后的施工废水对裸露的运输道路和施工场所洒水。</w:t>
            </w:r>
          </w:p>
          <w:p>
            <w:pPr>
              <w:numPr>
                <w:ilvl w:val="0"/>
                <w:numId w:val="3"/>
              </w:numPr>
              <w:adjustRightInd w:val="0"/>
              <w:snapToGrid w:val="0"/>
              <w:ind w:firstLine="480" w:firstLineChars="200"/>
              <w:rPr>
                <w:rFonts w:cs="Times New Roman"/>
                <w:color w:val="auto"/>
              </w:rPr>
            </w:pPr>
            <w:r>
              <w:rPr>
                <w:rFonts w:cs="Times New Roman"/>
                <w:color w:val="auto"/>
              </w:rPr>
              <w:t>施工单位必须选用符合国家卫生防护标准的施工机械和运输工具，确保其废气排放符合国家有关标准。加强对机械设备的养护，减少不必要的空转时间，以控制尾气排放；严禁使用冒黑烟的柴油打桩机。</w:t>
            </w:r>
          </w:p>
          <w:p>
            <w:pPr>
              <w:numPr>
                <w:ilvl w:val="0"/>
                <w:numId w:val="3"/>
              </w:numPr>
              <w:adjustRightInd w:val="0"/>
              <w:snapToGrid w:val="0"/>
              <w:ind w:firstLine="480" w:firstLineChars="200"/>
              <w:rPr>
                <w:rFonts w:cs="Times New Roman"/>
                <w:color w:val="auto"/>
              </w:rPr>
            </w:pPr>
            <w:r>
              <w:rPr>
                <w:rFonts w:cs="Times New Roman"/>
                <w:color w:val="auto"/>
              </w:rPr>
              <w:t>施工工地内的车行道路采取硬化或者铺设礁渣、砾石或其他功能相当的材料，并辅以洒水、喷洒抑尘剂等措施。</w:t>
            </w:r>
          </w:p>
          <w:p>
            <w:pPr>
              <w:numPr>
                <w:ilvl w:val="0"/>
                <w:numId w:val="3"/>
              </w:numPr>
              <w:adjustRightInd w:val="0"/>
              <w:snapToGrid w:val="0"/>
              <w:ind w:firstLine="480" w:firstLineChars="200"/>
              <w:rPr>
                <w:rFonts w:cs="Times New Roman"/>
                <w:color w:val="auto"/>
              </w:rPr>
            </w:pPr>
            <w:r>
              <w:rPr>
                <w:rFonts w:cs="Times New Roman"/>
                <w:color w:val="auto"/>
              </w:rPr>
              <w:t>施工工地出入口内侧安装车辆冲洗设备，车辆冲洗干净后方可驶出。</w:t>
            </w:r>
          </w:p>
          <w:p>
            <w:pPr>
              <w:numPr>
                <w:ilvl w:val="0"/>
                <w:numId w:val="3"/>
              </w:numPr>
              <w:adjustRightInd w:val="0"/>
              <w:snapToGrid w:val="0"/>
              <w:ind w:firstLine="480" w:firstLineChars="200"/>
              <w:rPr>
                <w:rFonts w:cs="Times New Roman"/>
                <w:color w:val="auto"/>
              </w:rPr>
            </w:pPr>
            <w:r>
              <w:rPr>
                <w:rFonts w:cs="Times New Roman"/>
                <w:color w:val="auto"/>
              </w:rPr>
              <w:t>保持施工工地出入口通道及其周边道路的清洁。</w:t>
            </w:r>
          </w:p>
          <w:p>
            <w:pPr>
              <w:numPr>
                <w:ilvl w:val="0"/>
                <w:numId w:val="3"/>
              </w:numPr>
              <w:adjustRightInd w:val="0"/>
              <w:snapToGrid w:val="0"/>
              <w:ind w:firstLine="480" w:firstLineChars="200"/>
              <w:rPr>
                <w:rFonts w:cs="Times New Roman"/>
                <w:color w:val="auto"/>
              </w:rPr>
            </w:pPr>
            <w:r>
              <w:rPr>
                <w:rFonts w:cs="Times New Roman"/>
                <w:color w:val="auto"/>
              </w:rPr>
              <w:t>建筑垃圾和渣土不能及时清运的，完全覆盖防尘布或者防尘网。</w:t>
            </w:r>
          </w:p>
          <w:p>
            <w:pPr>
              <w:numPr>
                <w:ilvl w:val="0"/>
                <w:numId w:val="3"/>
              </w:numPr>
              <w:adjustRightInd w:val="0"/>
              <w:snapToGrid w:val="0"/>
              <w:ind w:firstLine="480" w:firstLineChars="200"/>
              <w:rPr>
                <w:rFonts w:cs="Times New Roman"/>
                <w:color w:val="auto"/>
              </w:rPr>
            </w:pPr>
            <w:r>
              <w:rPr>
                <w:rFonts w:cs="Times New Roman"/>
                <w:color w:val="auto"/>
              </w:rPr>
              <w:t>在工地内堆放砂石、土方及其他易产生扬尘物料的，采取覆盖防尘布或者防尘网、定期喷洒抑尘剂或者洒水等措施。</w:t>
            </w:r>
          </w:p>
          <w:p>
            <w:pPr>
              <w:adjustRightInd w:val="0"/>
              <w:snapToGrid w:val="0"/>
              <w:ind w:firstLine="480" w:firstLineChars="200"/>
              <w:rPr>
                <w:rFonts w:cs="Times New Roman"/>
                <w:color w:val="auto"/>
              </w:rPr>
            </w:pPr>
            <w:r>
              <w:rPr>
                <w:rFonts w:cs="Times New Roman"/>
                <w:color w:val="auto"/>
              </w:rPr>
              <w:t>建设单位施工过程必须达到“六个百分之百”标准要求，即施工工地周边100%围挡、物料堆放100%苫盖、出入车辆100%冲洗、施工现场地面100%覆盖、出入口100%硬化、渣土车辆100%封闭式运输，确保施工场界扬尘满足《施工场界扬尘排放限值》（DB61/1078-2017）排放限值要求，减缓施工扬尘对周围环境的影响。</w:t>
            </w:r>
          </w:p>
          <w:p>
            <w:pPr>
              <w:adjustRightInd w:val="0"/>
              <w:snapToGrid w:val="0"/>
              <w:ind w:firstLine="480" w:firstLineChars="200"/>
              <w:rPr>
                <w:rFonts w:cs="Times New Roman"/>
                <w:color w:val="auto"/>
              </w:rPr>
            </w:pPr>
            <w:r>
              <w:rPr>
                <w:rFonts w:cs="Times New Roman"/>
                <w:color w:val="auto"/>
              </w:rPr>
              <w:t>采取以上废气污染防治措施，施工期扬尘对周围环境的影响很小，措施可行。</w:t>
            </w:r>
          </w:p>
          <w:p>
            <w:pPr>
              <w:adjustRightInd w:val="0"/>
              <w:snapToGrid w:val="0"/>
              <w:ind w:firstLine="482" w:firstLineChars="200"/>
              <w:rPr>
                <w:rFonts w:cs="Times New Roman"/>
                <w:b/>
                <w:color w:val="auto"/>
              </w:rPr>
            </w:pPr>
            <w:r>
              <w:rPr>
                <w:rFonts w:hint="eastAsia" w:cs="Times New Roman"/>
                <w:b/>
                <w:color w:val="auto"/>
              </w:rPr>
              <w:t>2、</w:t>
            </w:r>
            <w:r>
              <w:rPr>
                <w:rFonts w:cs="Times New Roman"/>
                <w:b/>
                <w:color w:val="auto"/>
              </w:rPr>
              <w:t>废水</w:t>
            </w:r>
            <w:r>
              <w:rPr>
                <w:rFonts w:cs="Times New Roman"/>
                <w:b/>
                <w:bCs/>
                <w:color w:val="auto"/>
              </w:rPr>
              <w:t>影响保护措施</w:t>
            </w:r>
          </w:p>
          <w:p>
            <w:pPr>
              <w:numPr>
                <w:ilvl w:val="0"/>
                <w:numId w:val="0"/>
              </w:numPr>
              <w:adjustRightInd w:val="0"/>
              <w:snapToGrid w:val="0"/>
              <w:ind w:firstLine="482" w:firstLineChars="200"/>
              <w:rPr>
                <w:rFonts w:cs="Times New Roman"/>
                <w:b/>
                <w:bCs/>
                <w:color w:val="auto"/>
              </w:rPr>
            </w:pPr>
            <w:r>
              <w:rPr>
                <w:rFonts w:ascii="Times New Roman" w:hAnsi="Times New Roman" w:cs="Times New Roman" w:eastAsiaTheme="minorEastAsia"/>
                <w:b/>
                <w:bCs/>
                <w:color w:val="auto"/>
                <w:kern w:val="2"/>
                <w:sz w:val="24"/>
                <w:szCs w:val="22"/>
                <w:lang w:val="en-US" w:eastAsia="zh-CN" w:bidi="ar-SA"/>
              </w:rPr>
              <w:t>（1）</w:t>
            </w:r>
            <w:r>
              <w:rPr>
                <w:rFonts w:cs="Times New Roman"/>
                <w:b/>
                <w:bCs/>
                <w:color w:val="auto"/>
              </w:rPr>
              <w:t>施工废水</w:t>
            </w:r>
          </w:p>
          <w:p>
            <w:pPr>
              <w:adjustRightInd w:val="0"/>
              <w:snapToGrid w:val="0"/>
              <w:ind w:firstLine="480" w:firstLineChars="200"/>
              <w:rPr>
                <w:rFonts w:cs="Times New Roman"/>
                <w:color w:val="auto"/>
              </w:rPr>
            </w:pPr>
            <w:r>
              <w:rPr>
                <w:rFonts w:cs="Times New Roman"/>
                <w:color w:val="auto"/>
              </w:rPr>
              <w:t>施工废水主要污染物为泥沙，厂内</w:t>
            </w:r>
            <w:r>
              <w:rPr>
                <w:rFonts w:hint="eastAsia" w:cs="Times New Roman"/>
                <w:color w:val="auto"/>
                <w:lang w:eastAsia="zh-CN"/>
              </w:rPr>
              <w:t>有</w:t>
            </w:r>
            <w:r>
              <w:rPr>
                <w:rFonts w:cs="Times New Roman"/>
                <w:color w:val="auto"/>
              </w:rPr>
              <w:t>沉淀池，施工废水经沉淀后回用于车辆冲洗、工地洒水降尘等，不外排，基本不会对水环境造成明显不利影响，措施可行。</w:t>
            </w:r>
          </w:p>
          <w:p>
            <w:pPr>
              <w:numPr>
                <w:ilvl w:val="0"/>
                <w:numId w:val="0"/>
              </w:numPr>
              <w:adjustRightInd w:val="0"/>
              <w:snapToGrid w:val="0"/>
              <w:ind w:firstLine="482" w:firstLineChars="200"/>
              <w:rPr>
                <w:rFonts w:cs="Times New Roman"/>
                <w:b/>
                <w:bCs/>
                <w:color w:val="auto"/>
              </w:rPr>
            </w:pPr>
            <w:r>
              <w:rPr>
                <w:rFonts w:ascii="Times New Roman" w:hAnsi="Times New Roman" w:cs="Times New Roman" w:eastAsiaTheme="minorEastAsia"/>
                <w:b/>
                <w:bCs/>
                <w:color w:val="auto"/>
                <w:kern w:val="2"/>
                <w:sz w:val="24"/>
                <w:szCs w:val="22"/>
                <w:lang w:val="en-US" w:eastAsia="zh-CN" w:bidi="ar-SA"/>
              </w:rPr>
              <w:t>（2）</w:t>
            </w:r>
            <w:r>
              <w:rPr>
                <w:rFonts w:cs="Times New Roman"/>
                <w:b/>
                <w:bCs/>
                <w:color w:val="auto"/>
              </w:rPr>
              <w:t>施工人员生活污水</w:t>
            </w:r>
          </w:p>
          <w:p>
            <w:pPr>
              <w:adjustRightInd w:val="0"/>
              <w:snapToGrid w:val="0"/>
              <w:ind w:firstLine="480" w:firstLineChars="200"/>
              <w:rPr>
                <w:rFonts w:cs="Times New Roman"/>
                <w:color w:val="auto"/>
              </w:rPr>
            </w:pPr>
            <w:r>
              <w:rPr>
                <w:rFonts w:cs="Times New Roman"/>
                <w:color w:val="auto"/>
              </w:rPr>
              <w:t>施工期平均施工人员约</w:t>
            </w:r>
            <w:r>
              <w:rPr>
                <w:rFonts w:hint="eastAsia" w:cs="Times New Roman"/>
                <w:color w:val="auto"/>
                <w:lang w:val="en-US" w:eastAsia="zh-CN"/>
              </w:rPr>
              <w:t>10</w:t>
            </w:r>
            <w:r>
              <w:rPr>
                <w:rFonts w:cs="Times New Roman"/>
                <w:color w:val="auto"/>
              </w:rPr>
              <w:t>人，不在</w:t>
            </w:r>
            <w:r>
              <w:rPr>
                <w:rFonts w:hint="eastAsia" w:cs="Times New Roman"/>
                <w:color w:val="auto"/>
                <w:lang w:val="en-US" w:eastAsia="zh-CN"/>
              </w:rPr>
              <w:t>施工区</w:t>
            </w:r>
            <w:r>
              <w:rPr>
                <w:rFonts w:cs="Times New Roman"/>
                <w:color w:val="auto"/>
              </w:rPr>
              <w:t>内食宿，根据《建筑施工计算手册》临时设施施工，以每人每天用水量0.06m</w:t>
            </w:r>
            <w:r>
              <w:rPr>
                <w:rFonts w:cs="Times New Roman"/>
                <w:color w:val="auto"/>
                <w:vertAlign w:val="superscript"/>
              </w:rPr>
              <w:t>3</w:t>
            </w:r>
            <w:r>
              <w:rPr>
                <w:rFonts w:cs="Times New Roman"/>
                <w:color w:val="auto"/>
              </w:rPr>
              <w:t>计，则施工期施工人员用水量为</w:t>
            </w:r>
            <w:r>
              <w:rPr>
                <w:rFonts w:hint="eastAsia" w:cs="Times New Roman"/>
                <w:color w:val="auto"/>
                <w:lang w:val="en-US" w:eastAsia="zh-CN"/>
              </w:rPr>
              <w:t>0.6</w:t>
            </w:r>
            <w:r>
              <w:rPr>
                <w:rFonts w:cs="Times New Roman"/>
                <w:color w:val="auto"/>
              </w:rPr>
              <w:t>m</w:t>
            </w:r>
            <w:r>
              <w:rPr>
                <w:rFonts w:cs="Times New Roman"/>
                <w:color w:val="auto"/>
                <w:vertAlign w:val="superscript"/>
              </w:rPr>
              <w:t>3</w:t>
            </w:r>
            <w:r>
              <w:rPr>
                <w:rFonts w:cs="Times New Roman"/>
                <w:color w:val="auto"/>
              </w:rPr>
              <w:t>/d，废水产生系数取0.8，施工过程中废水产生量为0.</w:t>
            </w:r>
            <w:r>
              <w:rPr>
                <w:rFonts w:hint="eastAsia" w:cs="Times New Roman"/>
                <w:color w:val="auto"/>
                <w:lang w:val="en-US" w:eastAsia="zh-CN"/>
              </w:rPr>
              <w:t>48</w:t>
            </w:r>
            <w:r>
              <w:rPr>
                <w:rFonts w:cs="Times New Roman"/>
                <w:color w:val="auto"/>
              </w:rPr>
              <w:t>m</w:t>
            </w:r>
            <w:r>
              <w:rPr>
                <w:rFonts w:cs="Times New Roman"/>
                <w:color w:val="auto"/>
                <w:vertAlign w:val="superscript"/>
              </w:rPr>
              <w:t>3</w:t>
            </w:r>
            <w:r>
              <w:rPr>
                <w:rFonts w:cs="Times New Roman"/>
                <w:color w:val="auto"/>
              </w:rPr>
              <w:t>/d，施工人员来自附近村落，</w:t>
            </w:r>
            <w:r>
              <w:rPr>
                <w:rFonts w:hint="eastAsia" w:cs="Times New Roman"/>
                <w:color w:val="auto"/>
                <w:lang w:val="en-US" w:eastAsia="zh-CN"/>
              </w:rPr>
              <w:t>施工场地内拟设置临时防渗旱厕</w:t>
            </w:r>
            <w:r>
              <w:rPr>
                <w:rFonts w:cs="Times New Roman"/>
                <w:color w:val="auto"/>
              </w:rPr>
              <w:t>，定期清掏用作农肥</w:t>
            </w:r>
            <w:r>
              <w:rPr>
                <w:rFonts w:hint="eastAsia" w:cs="Times New Roman"/>
                <w:color w:val="auto"/>
                <w:lang w:eastAsia="zh-CN"/>
              </w:rPr>
              <w:t>，不外排</w:t>
            </w:r>
            <w:r>
              <w:rPr>
                <w:rFonts w:cs="Times New Roman"/>
                <w:color w:val="auto"/>
              </w:rPr>
              <w:t>。少量生活盥洗水收集后作施工场地、道路和绿化洒水，不会对周围地表水环境产生明显不利影响。</w:t>
            </w:r>
          </w:p>
          <w:p>
            <w:pPr>
              <w:adjustRightInd w:val="0"/>
              <w:snapToGrid w:val="0"/>
              <w:ind w:firstLine="482" w:firstLineChars="200"/>
              <w:rPr>
                <w:rFonts w:cs="Times New Roman"/>
                <w:b/>
                <w:color w:val="auto"/>
              </w:rPr>
            </w:pPr>
            <w:r>
              <w:rPr>
                <w:rFonts w:hint="eastAsia" w:cs="Times New Roman"/>
                <w:b/>
                <w:color w:val="auto"/>
              </w:rPr>
              <w:t>3、</w:t>
            </w:r>
            <w:r>
              <w:rPr>
                <w:rFonts w:cs="Times New Roman"/>
                <w:b/>
                <w:color w:val="auto"/>
              </w:rPr>
              <w:t>噪声</w:t>
            </w:r>
            <w:r>
              <w:rPr>
                <w:rFonts w:cs="Times New Roman"/>
                <w:b/>
                <w:bCs/>
                <w:color w:val="auto"/>
              </w:rPr>
              <w:t>影响保护措施</w:t>
            </w:r>
          </w:p>
          <w:p>
            <w:pPr>
              <w:adjustRightInd w:val="0"/>
              <w:snapToGrid w:val="0"/>
              <w:ind w:firstLine="480" w:firstLineChars="200"/>
              <w:rPr>
                <w:rFonts w:hint="default" w:cs="Times New Roman"/>
                <w:color w:val="auto"/>
                <w:lang w:val="en-US" w:eastAsia="zh-CN"/>
              </w:rPr>
            </w:pPr>
            <w:r>
              <w:rPr>
                <w:rFonts w:cs="Times New Roman"/>
                <w:color w:val="auto"/>
              </w:rPr>
              <w:t>根据类比调查及本项目提供的主要设备选型等有关资料分析，设备高达90dB</w:t>
            </w:r>
            <w:r>
              <w:rPr>
                <w:rFonts w:hint="eastAsia" w:cs="Times New Roman"/>
                <w:color w:val="auto"/>
                <w:lang w:eastAsia="zh-CN"/>
              </w:rPr>
              <w:t>（</w:t>
            </w:r>
            <w:r>
              <w:rPr>
                <w:rFonts w:cs="Times New Roman"/>
                <w:color w:val="auto"/>
              </w:rPr>
              <w:t>A</w:t>
            </w:r>
            <w:r>
              <w:rPr>
                <w:rFonts w:hint="eastAsia" w:cs="Times New Roman"/>
                <w:color w:val="auto"/>
                <w:lang w:eastAsia="zh-CN"/>
              </w:rPr>
              <w:t>）</w:t>
            </w:r>
            <w:r>
              <w:rPr>
                <w:rFonts w:cs="Times New Roman"/>
                <w:color w:val="auto"/>
              </w:rPr>
              <w:t>以上的噪声源施工机械主要有挖掘机、振均机、电钻等，仅在昼间施工。</w:t>
            </w:r>
            <w:r>
              <w:rPr>
                <w:rFonts w:hint="eastAsia" w:cs="Times New Roman"/>
                <w:color w:val="auto"/>
                <w:lang w:val="en-US" w:eastAsia="zh-CN"/>
              </w:rPr>
              <w:t>距离本项目最近的敏感点为项目所在地北侧320m处的邓家庄，为了进一步减少施工噪声对敏感点的影响，本次评价要求施工期应采取</w:t>
            </w:r>
            <w:r>
              <w:rPr>
                <w:rFonts w:cs="Times New Roman"/>
                <w:color w:val="auto"/>
              </w:rPr>
              <w:t>以下措施：</w:t>
            </w:r>
          </w:p>
          <w:p>
            <w:pPr>
              <w:adjustRightInd w:val="0"/>
              <w:snapToGrid w:val="0"/>
              <w:ind w:firstLine="480" w:firstLineChars="200"/>
              <w:rPr>
                <w:rFonts w:cs="Times New Roman"/>
                <w:color w:val="auto"/>
              </w:rPr>
            </w:pPr>
            <w:r>
              <w:rPr>
                <w:rFonts w:hint="eastAsia" w:cs="Times New Roman"/>
                <w:color w:val="auto"/>
                <w:lang w:val="en-US" w:eastAsia="zh-CN"/>
              </w:rPr>
              <w:t>①</w:t>
            </w:r>
            <w:r>
              <w:rPr>
                <w:rFonts w:cs="Times New Roman"/>
                <w:color w:val="auto"/>
              </w:rPr>
              <w:t>强化项目施工期间环境管理，提高施工机械化程度，缩短施工工期。严格控制施工车辆运行时段，避免进出场地造成道路堵塞；</w:t>
            </w:r>
            <w:r>
              <w:rPr>
                <w:rFonts w:hint="eastAsia" w:cs="Times New Roman"/>
                <w:color w:val="auto"/>
                <w:lang w:val="en-US" w:eastAsia="zh-CN"/>
              </w:rPr>
              <w:t>行车路线尽量绕开</w:t>
            </w:r>
            <w:r>
              <w:rPr>
                <w:rFonts w:cs="Times New Roman"/>
                <w:color w:val="auto"/>
              </w:rPr>
              <w:t>敏感点时，</w:t>
            </w:r>
            <w:r>
              <w:rPr>
                <w:rFonts w:hint="eastAsia" w:cs="Times New Roman"/>
                <w:color w:val="auto"/>
                <w:lang w:val="en-US" w:eastAsia="zh-CN"/>
              </w:rPr>
              <w:t>在运输途中</w:t>
            </w:r>
            <w:r>
              <w:rPr>
                <w:rFonts w:cs="Times New Roman"/>
                <w:color w:val="auto"/>
              </w:rPr>
              <w:t>车辆应限速行驶、禁鸣喇叭，减少交通噪声对沿途敏感点的影响；</w:t>
            </w:r>
          </w:p>
          <w:p>
            <w:pPr>
              <w:pStyle w:val="46"/>
              <w:rPr>
                <w:color w:val="auto"/>
              </w:rPr>
            </w:pPr>
            <w:r>
              <w:rPr>
                <w:rFonts w:hint="eastAsia"/>
                <w:color w:val="auto"/>
                <w:lang w:val="en-US" w:eastAsia="zh-CN"/>
              </w:rPr>
              <w:t>②</w:t>
            </w:r>
            <w:r>
              <w:rPr>
                <w:color w:val="auto"/>
              </w:rPr>
              <w:t>合理安排运输路线，尽量减少夜间运输量；适当限制大型载重车车速，进入乡村等声敏感区时应限速禁鸣；对运输车辆定期维修、养护。</w:t>
            </w:r>
          </w:p>
          <w:p>
            <w:pPr>
              <w:adjustRightInd w:val="0"/>
              <w:snapToGrid w:val="0"/>
              <w:ind w:firstLine="480" w:firstLineChars="200"/>
              <w:rPr>
                <w:rFonts w:cs="Times New Roman"/>
                <w:color w:val="auto"/>
              </w:rPr>
            </w:pPr>
            <w:r>
              <w:rPr>
                <w:rFonts w:hint="eastAsia" w:cs="Times New Roman"/>
                <w:color w:val="auto"/>
                <w:lang w:val="en-US" w:eastAsia="zh-CN"/>
              </w:rPr>
              <w:t>③</w:t>
            </w:r>
            <w:r>
              <w:rPr>
                <w:rFonts w:cs="Times New Roman"/>
                <w:color w:val="auto"/>
              </w:rPr>
              <w:t>在施工过程中选用低噪声设备和工艺，加强检查、维护和保养机械设备，保持润滑，紧固各部件，减少运行</w:t>
            </w:r>
            <w:r>
              <w:rPr>
                <w:rFonts w:hint="eastAsia" w:cs="Times New Roman"/>
                <w:color w:val="auto"/>
                <w:lang w:eastAsia="zh-CN"/>
              </w:rPr>
              <w:t>振动</w:t>
            </w:r>
            <w:r>
              <w:rPr>
                <w:rFonts w:cs="Times New Roman"/>
                <w:color w:val="auto"/>
              </w:rPr>
              <w:t>噪声。整体设备安放稳固，并与地面保持良好接触，有条件的应使用减振机座，降低噪声。对动力机械设备进行定期维修、养护，避免设备因松动部件的振动或消声器的损坏而增加其工作时的声压级；设备用完或不用时及时关闭。</w:t>
            </w:r>
          </w:p>
          <w:p>
            <w:pPr>
              <w:adjustRightInd w:val="0"/>
              <w:snapToGrid w:val="0"/>
              <w:ind w:firstLine="480" w:firstLineChars="200"/>
              <w:rPr>
                <w:rFonts w:cs="Times New Roman"/>
                <w:color w:val="auto"/>
              </w:rPr>
            </w:pPr>
            <w:r>
              <w:rPr>
                <w:rFonts w:hint="eastAsia" w:cs="Times New Roman"/>
                <w:color w:val="auto"/>
                <w:lang w:val="en-US" w:eastAsia="zh-CN"/>
              </w:rPr>
              <w:t>④</w:t>
            </w:r>
            <w:r>
              <w:rPr>
                <w:rFonts w:cs="Times New Roman"/>
                <w:color w:val="auto"/>
              </w:rPr>
              <w:t>建筑施工过程中使用机械设备，可能产生环境噪声污染的，施工单位应当在工程开工前十五日向工程所在地的环境保护行政主管部门申报该工程的项目名称、施工场所和期限、可能产生的环境噪声值以及所采取的环境噪声污染防治措施的情况。严格操作规程，加强施工机械管理，降低人为噪声影响。</w:t>
            </w:r>
          </w:p>
          <w:p>
            <w:pPr>
              <w:adjustRightInd w:val="0"/>
              <w:snapToGrid w:val="0"/>
              <w:ind w:firstLine="480" w:firstLineChars="200"/>
              <w:rPr>
                <w:rFonts w:cs="Times New Roman"/>
                <w:color w:val="auto"/>
              </w:rPr>
            </w:pPr>
            <w:r>
              <w:rPr>
                <w:rFonts w:hint="eastAsia" w:cs="Times New Roman"/>
                <w:color w:val="auto"/>
                <w:lang w:val="en-US" w:eastAsia="zh-CN"/>
              </w:rPr>
              <w:t>⑤</w:t>
            </w:r>
            <w:r>
              <w:rPr>
                <w:rFonts w:cs="Times New Roman"/>
                <w:color w:val="auto"/>
              </w:rPr>
              <w:t>合理安排施工计划和施工机械设备组合以及施工时间，禁止在夜间（22:00～6:00）施工，避免在同一时间集中使用大量的动力机械设备。</w:t>
            </w:r>
          </w:p>
          <w:p>
            <w:pPr>
              <w:adjustRightInd w:val="0"/>
              <w:snapToGrid w:val="0"/>
              <w:ind w:firstLine="480" w:firstLineChars="200"/>
              <w:rPr>
                <w:rFonts w:cs="Times New Roman"/>
                <w:color w:val="auto"/>
              </w:rPr>
            </w:pPr>
            <w:r>
              <w:rPr>
                <w:rFonts w:hint="eastAsia" w:cs="Times New Roman"/>
                <w:color w:val="auto"/>
                <w:lang w:val="en-US" w:eastAsia="zh-CN"/>
              </w:rPr>
              <w:t>⑥</w:t>
            </w:r>
            <w:r>
              <w:rPr>
                <w:rFonts w:cs="Times New Roman"/>
                <w:color w:val="auto"/>
              </w:rPr>
              <w:t>合理布局施工现场，避免在同一地点安排大量动力机械设备，导致局部噪声级过高；各种高噪声级机械布置在施工场地中央，通过距离衰减和外围建筑阻隔来实现降噪；</w:t>
            </w:r>
          </w:p>
          <w:p>
            <w:pPr>
              <w:pStyle w:val="46"/>
              <w:rPr>
                <w:color w:val="auto"/>
              </w:rPr>
            </w:pPr>
            <w:r>
              <w:rPr>
                <w:color w:val="auto"/>
              </w:rPr>
              <w:t>建设单位应在施工期采取以上严格的保护措施，确保施工期噪声的排放满足《建筑施工场界环境噪声排放标准》（GB12523-2011）中的有关要求。</w:t>
            </w:r>
          </w:p>
          <w:p>
            <w:pPr>
              <w:adjustRightInd w:val="0"/>
              <w:snapToGrid w:val="0"/>
              <w:ind w:firstLine="482" w:firstLineChars="200"/>
              <w:rPr>
                <w:rFonts w:cs="Times New Roman"/>
                <w:b/>
                <w:color w:val="auto"/>
              </w:rPr>
            </w:pPr>
            <w:r>
              <w:rPr>
                <w:rFonts w:hint="eastAsia" w:cs="Times New Roman"/>
                <w:b/>
                <w:color w:val="auto"/>
              </w:rPr>
              <w:t>4、</w:t>
            </w:r>
            <w:r>
              <w:rPr>
                <w:rFonts w:cs="Times New Roman"/>
                <w:b/>
                <w:color w:val="auto"/>
              </w:rPr>
              <w:t>固废</w:t>
            </w:r>
            <w:r>
              <w:rPr>
                <w:rFonts w:cs="Times New Roman"/>
                <w:b/>
                <w:bCs/>
                <w:color w:val="auto"/>
              </w:rPr>
              <w:t>影响保护措施</w:t>
            </w:r>
          </w:p>
          <w:p>
            <w:pPr>
              <w:adjustRightInd w:val="0"/>
              <w:snapToGrid w:val="0"/>
              <w:ind w:firstLine="480" w:firstLineChars="200"/>
              <w:rPr>
                <w:rFonts w:cs="Times New Roman"/>
                <w:color w:val="auto"/>
              </w:rPr>
            </w:pPr>
            <w:r>
              <w:rPr>
                <w:rFonts w:cs="Times New Roman"/>
                <w:color w:val="auto"/>
              </w:rPr>
              <w:t>施工固体废物主要包括施工产生的建筑垃圾和生活垃圾。建筑垃圾主要</w:t>
            </w:r>
            <w:r>
              <w:rPr>
                <w:rFonts w:hint="eastAsia" w:cs="Times New Roman"/>
                <w:color w:val="auto"/>
                <w:lang w:eastAsia="zh-CN"/>
              </w:rPr>
              <w:t>来自</w:t>
            </w:r>
            <w:r>
              <w:rPr>
                <w:rFonts w:cs="Times New Roman"/>
                <w:color w:val="auto"/>
              </w:rPr>
              <w:t>施工作业，包括废弃砂石等废料，上述建筑材料均是按照施工进度计划购置的，一般不会产生剩余弃渣，但在建设过程中会产生废弃的包装材料及砂石等。建筑废弃材料应分类回收，由</w:t>
            </w:r>
            <w:r>
              <w:rPr>
                <w:rFonts w:cs="Times New Roman"/>
                <w:color w:val="auto"/>
                <w:kern w:val="0"/>
              </w:rPr>
              <w:t>垃圾车转运至政府指定的建筑垃圾堆放场，不得随意倾倒。</w:t>
            </w:r>
            <w:r>
              <w:rPr>
                <w:rFonts w:cs="Times New Roman"/>
                <w:color w:val="auto"/>
              </w:rPr>
              <w:t>施工人员不在项目区住宿，生活垃圾分类收集后交环卫部门统一处理。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3" w:type="pct"/>
            <w:tcMar>
              <w:left w:w="28" w:type="dxa"/>
              <w:right w:w="28" w:type="dxa"/>
            </w:tcMar>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运营</w:t>
            </w:r>
          </w:p>
          <w:p>
            <w:pPr>
              <w:adjustRightInd w:val="0"/>
              <w:snapToGrid w:val="0"/>
              <w:spacing w:line="240" w:lineRule="auto"/>
              <w:jc w:val="center"/>
              <w:rPr>
                <w:rFonts w:cs="Times New Roman"/>
                <w:color w:val="auto"/>
                <w:kern w:val="21"/>
                <w:szCs w:val="24"/>
              </w:rPr>
            </w:pPr>
            <w:r>
              <w:rPr>
                <w:rFonts w:cs="Times New Roman"/>
                <w:color w:val="auto"/>
                <w:kern w:val="21"/>
                <w:szCs w:val="24"/>
              </w:rPr>
              <w:t>期环</w:t>
            </w:r>
          </w:p>
          <w:p>
            <w:pPr>
              <w:adjustRightInd w:val="0"/>
              <w:snapToGrid w:val="0"/>
              <w:spacing w:line="240" w:lineRule="auto"/>
              <w:jc w:val="center"/>
              <w:rPr>
                <w:rFonts w:cs="Times New Roman"/>
                <w:color w:val="auto"/>
                <w:kern w:val="21"/>
                <w:szCs w:val="24"/>
              </w:rPr>
            </w:pPr>
            <w:r>
              <w:rPr>
                <w:rFonts w:cs="Times New Roman"/>
                <w:color w:val="auto"/>
                <w:kern w:val="21"/>
                <w:szCs w:val="24"/>
              </w:rPr>
              <w:t>境影</w:t>
            </w:r>
          </w:p>
          <w:p>
            <w:pPr>
              <w:adjustRightInd w:val="0"/>
              <w:snapToGrid w:val="0"/>
              <w:spacing w:line="240" w:lineRule="auto"/>
              <w:jc w:val="center"/>
              <w:rPr>
                <w:rFonts w:cs="Times New Roman"/>
                <w:color w:val="auto"/>
                <w:kern w:val="21"/>
                <w:szCs w:val="24"/>
              </w:rPr>
            </w:pPr>
            <w:r>
              <w:rPr>
                <w:rFonts w:cs="Times New Roman"/>
                <w:color w:val="auto"/>
                <w:kern w:val="21"/>
                <w:szCs w:val="24"/>
              </w:rPr>
              <w:t>响和</w:t>
            </w:r>
          </w:p>
          <w:p>
            <w:pPr>
              <w:adjustRightInd w:val="0"/>
              <w:snapToGrid w:val="0"/>
              <w:spacing w:line="240" w:lineRule="auto"/>
              <w:jc w:val="center"/>
              <w:rPr>
                <w:rFonts w:cs="Times New Roman"/>
                <w:color w:val="auto"/>
                <w:kern w:val="21"/>
                <w:szCs w:val="24"/>
              </w:rPr>
            </w:pPr>
            <w:r>
              <w:rPr>
                <w:rFonts w:cs="Times New Roman"/>
                <w:color w:val="auto"/>
                <w:kern w:val="21"/>
                <w:szCs w:val="24"/>
              </w:rPr>
              <w:t>保护</w:t>
            </w:r>
          </w:p>
          <w:p>
            <w:pPr>
              <w:adjustRightInd w:val="0"/>
              <w:snapToGrid w:val="0"/>
              <w:spacing w:line="240" w:lineRule="auto"/>
              <w:jc w:val="center"/>
              <w:rPr>
                <w:rFonts w:cs="Times New Roman"/>
                <w:color w:val="auto"/>
                <w:kern w:val="21"/>
                <w:szCs w:val="24"/>
              </w:rPr>
            </w:pPr>
            <w:r>
              <w:rPr>
                <w:rFonts w:cs="Times New Roman"/>
                <w:color w:val="auto"/>
                <w:kern w:val="21"/>
                <w:szCs w:val="24"/>
              </w:rPr>
              <w:t>措施</w:t>
            </w:r>
          </w:p>
        </w:tc>
        <w:tc>
          <w:tcPr>
            <w:tcW w:w="4786" w:type="pct"/>
          </w:tcPr>
          <w:p>
            <w:pPr>
              <w:adjustRightInd w:val="0"/>
              <w:snapToGrid w:val="0"/>
              <w:spacing w:before="120" w:beforeLines="50"/>
              <w:ind w:firstLine="482" w:firstLineChars="200"/>
              <w:rPr>
                <w:rFonts w:cs="Times New Roman"/>
                <w:b/>
                <w:color w:val="auto"/>
              </w:rPr>
            </w:pPr>
            <w:r>
              <w:rPr>
                <w:rFonts w:hint="eastAsia" w:cs="Times New Roman"/>
                <w:b/>
                <w:color w:val="auto"/>
              </w:rPr>
              <w:t>1、</w:t>
            </w:r>
            <w:r>
              <w:rPr>
                <w:rFonts w:cs="Times New Roman"/>
                <w:b/>
                <w:color w:val="auto"/>
              </w:rPr>
              <w:t>大气环境影响分析</w:t>
            </w:r>
          </w:p>
          <w:p>
            <w:pPr>
              <w:adjustRightInd w:val="0"/>
              <w:snapToGrid w:val="0"/>
              <w:ind w:firstLine="482" w:firstLineChars="200"/>
              <w:rPr>
                <w:rFonts w:cs="Times New Roman"/>
                <w:b/>
                <w:bCs/>
                <w:color w:val="auto"/>
                <w:highlight w:val="none"/>
              </w:rPr>
            </w:pPr>
            <w:bookmarkStart w:id="4" w:name="_Hlk155190539"/>
            <w:r>
              <w:rPr>
                <w:rFonts w:cs="Times New Roman"/>
                <w:b/>
                <w:bCs/>
                <w:color w:val="auto"/>
                <w:highlight w:val="none"/>
              </w:rPr>
              <w:t>（1）废气</w:t>
            </w:r>
            <w:r>
              <w:rPr>
                <w:rFonts w:hint="eastAsia" w:cs="Times New Roman"/>
                <w:b/>
                <w:bCs/>
                <w:color w:val="auto"/>
                <w:highlight w:val="none"/>
                <w:lang w:eastAsia="zh-CN"/>
              </w:rPr>
              <w:t>污染物源强</w:t>
            </w:r>
            <w:r>
              <w:rPr>
                <w:rFonts w:hint="eastAsia" w:cs="Times New Roman"/>
                <w:b/>
                <w:bCs/>
                <w:color w:val="auto"/>
                <w:highlight w:val="none"/>
              </w:rPr>
              <w:t>核算</w:t>
            </w:r>
          </w:p>
          <w:p>
            <w:pPr>
              <w:adjustRightInd w:val="0"/>
              <w:snapToGrid w:val="0"/>
              <w:ind w:firstLine="480" w:firstLineChars="200"/>
              <w:rPr>
                <w:rFonts w:hint="eastAsia" w:cs="Times New Roman"/>
                <w:color w:val="auto"/>
                <w:highlight w:val="none"/>
                <w:lang w:val="en-US" w:eastAsia="zh-CN"/>
              </w:rPr>
            </w:pPr>
            <w:r>
              <w:rPr>
                <w:rFonts w:hint="eastAsia" w:cs="Times New Roman"/>
                <w:color w:val="auto"/>
                <w:highlight w:val="none"/>
                <w:lang w:val="en-US" w:eastAsia="zh-CN"/>
              </w:rPr>
              <w:t>项目运营期大气污染物主要为原料堆存和装卸、物料输送、搅拌、水泥筒仓、车辆运输等过程产生的粉尘。本项目</w:t>
            </w:r>
            <w:r>
              <w:rPr>
                <w:rFonts w:hint="eastAsia"/>
                <w:color w:val="auto"/>
              </w:rPr>
              <w:t>骨料堆场、上料工序、搅拌</w:t>
            </w:r>
            <w:r>
              <w:rPr>
                <w:rFonts w:hint="eastAsia"/>
                <w:color w:val="auto"/>
                <w:lang w:val="en-US" w:eastAsia="zh-CN"/>
              </w:rPr>
              <w:t>等</w:t>
            </w:r>
            <w:r>
              <w:rPr>
                <w:rFonts w:hint="eastAsia"/>
                <w:color w:val="auto"/>
              </w:rPr>
              <w:t>工序</w:t>
            </w:r>
            <w:r>
              <w:rPr>
                <w:rFonts w:hint="eastAsia" w:cs="Times New Roman"/>
                <w:color w:val="auto"/>
                <w:highlight w:val="none"/>
                <w:lang w:val="en-US" w:eastAsia="zh-CN"/>
              </w:rPr>
              <w:t>均在封闭式厂房内进行，厂房内装配洒水降尘设施。</w:t>
            </w:r>
            <w:r>
              <w:rPr>
                <w:rFonts w:hint="eastAsia"/>
                <w:color w:val="auto"/>
                <w:lang w:val="en-US" w:eastAsia="zh-CN"/>
              </w:rPr>
              <w:t>外购的</w:t>
            </w:r>
            <w:r>
              <w:rPr>
                <w:rFonts w:hint="eastAsia" w:cs="Times New Roman"/>
                <w:color w:val="auto"/>
                <w:highlight w:val="none"/>
                <w:lang w:val="en-US" w:eastAsia="zh-CN"/>
              </w:rPr>
              <w:t>骨料、砂子等原辅材料均采用装载机进行上料；</w:t>
            </w:r>
            <w:r>
              <w:rPr>
                <w:rFonts w:hint="eastAsia"/>
                <w:color w:val="auto"/>
              </w:rPr>
              <w:t>粉状物料均储存于</w:t>
            </w:r>
            <w:r>
              <w:rPr>
                <w:rFonts w:hint="eastAsia" w:cs="Times New Roman"/>
                <w:color w:val="auto"/>
                <w:highlight w:val="none"/>
                <w:lang w:val="en-US" w:eastAsia="zh-CN"/>
              </w:rPr>
              <w:t>全封闭式筒仓内，</w:t>
            </w:r>
            <w:r>
              <w:rPr>
                <w:rFonts w:hint="eastAsia"/>
                <w:color w:val="auto"/>
              </w:rPr>
              <w:t>筒仓顶部配备有脉冲式除尘器</w:t>
            </w:r>
            <w:r>
              <w:rPr>
                <w:rFonts w:hint="eastAsia"/>
                <w:color w:val="auto"/>
                <w:lang w:eastAsia="zh-CN"/>
              </w:rPr>
              <w:t>，</w:t>
            </w:r>
            <w:r>
              <w:rPr>
                <w:rFonts w:hint="eastAsia" w:cs="Times New Roman"/>
                <w:color w:val="auto"/>
                <w:highlight w:val="none"/>
                <w:lang w:val="en-US" w:eastAsia="zh-CN"/>
              </w:rPr>
              <w:t>输送采用螺旋输送机方式输送；</w:t>
            </w:r>
            <w:r>
              <w:rPr>
                <w:rFonts w:hint="eastAsia"/>
                <w:color w:val="auto"/>
              </w:rPr>
              <w:t>搅拌工序配备有袋式除尘器，废气经收集处理后在车间内无组织排放。</w:t>
            </w:r>
            <w:r>
              <w:rPr>
                <w:rFonts w:hint="eastAsia" w:cs="Times New Roman"/>
                <w:color w:val="auto"/>
                <w:highlight w:val="none"/>
                <w:lang w:val="en-US" w:eastAsia="zh-CN"/>
              </w:rPr>
              <w:t>本项目废气治理与排放情况见表4-1。</w:t>
            </w:r>
          </w:p>
          <w:p>
            <w:pPr>
              <w:keepNext w:val="0"/>
              <w:keepLines w:val="0"/>
              <w:pageBreakBefore w:val="0"/>
              <w:widowControl w:val="0"/>
              <w:kinsoku/>
              <w:wordWrap/>
              <w:overflowPunct/>
              <w:topLinePunct w:val="0"/>
              <w:autoSpaceDE/>
              <w:autoSpaceDN/>
              <w:bidi w:val="0"/>
              <w:adjustRightInd w:val="0"/>
              <w:snapToGrid w:val="0"/>
              <w:spacing w:line="240" w:lineRule="auto"/>
              <w:ind w:firstLine="422" w:firstLineChars="200"/>
              <w:jc w:val="center"/>
              <w:textAlignment w:val="auto"/>
              <w:rPr>
                <w:rFonts w:hint="eastAsia" w:cs="Times New Roman"/>
                <w:b/>
                <w:bCs/>
                <w:color w:val="auto"/>
                <w:sz w:val="21"/>
                <w:szCs w:val="21"/>
                <w:highlight w:val="none"/>
              </w:rPr>
            </w:pPr>
            <w:r>
              <w:rPr>
                <w:rFonts w:hint="eastAsia" w:cs="Times New Roman"/>
                <w:b/>
                <w:bCs/>
                <w:color w:val="auto"/>
                <w:sz w:val="21"/>
                <w:szCs w:val="21"/>
                <w:highlight w:val="none"/>
              </w:rPr>
              <w:t>表4-</w:t>
            </w:r>
            <w:r>
              <w:rPr>
                <w:rFonts w:hint="eastAsia" w:cs="Times New Roman"/>
                <w:b/>
                <w:bCs/>
                <w:color w:val="auto"/>
                <w:sz w:val="21"/>
                <w:szCs w:val="21"/>
                <w:highlight w:val="none"/>
                <w:lang w:val="en-US" w:eastAsia="zh-CN"/>
              </w:rPr>
              <w:t>1</w:t>
            </w:r>
            <w:r>
              <w:rPr>
                <w:rFonts w:hint="eastAsia" w:cs="Times New Roman"/>
                <w:b/>
                <w:bCs/>
                <w:color w:val="auto"/>
                <w:sz w:val="21"/>
                <w:szCs w:val="21"/>
                <w:highlight w:val="none"/>
              </w:rPr>
              <w:t>项目废气产生与排放情况</w:t>
            </w:r>
          </w:p>
          <w:tbl>
            <w:tblPr>
              <w:tblStyle w:val="22"/>
              <w:tblW w:w="9294" w:type="dxa"/>
              <w:tblInd w:w="-10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5"/>
              <w:gridCol w:w="681"/>
              <w:gridCol w:w="692"/>
              <w:gridCol w:w="696"/>
              <w:gridCol w:w="685"/>
              <w:gridCol w:w="858"/>
              <w:gridCol w:w="1092"/>
              <w:gridCol w:w="686"/>
              <w:gridCol w:w="1072"/>
              <w:gridCol w:w="814"/>
              <w:gridCol w:w="814"/>
              <w:gridCol w:w="87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lang w:eastAsia="zh-CN"/>
                    </w:rPr>
                  </w:pPr>
                  <w:bookmarkStart w:id="5" w:name="_Hlk68886948"/>
                  <w:r>
                    <w:rPr>
                      <w:rFonts w:hint="default" w:ascii="Times New Roman" w:hAnsi="Times New Roman" w:cs="Times New Roman"/>
                      <w:b/>
                      <w:bCs/>
                      <w:color w:val="auto"/>
                      <w:sz w:val="21"/>
                      <w:szCs w:val="21"/>
                      <w:lang w:eastAsia="zh-CN"/>
                    </w:rPr>
                    <w:t>序号</w:t>
                  </w:r>
                </w:p>
              </w:tc>
              <w:tc>
                <w:tcPr>
                  <w:tcW w:w="366"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产污</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环节</w:t>
                  </w:r>
                </w:p>
              </w:tc>
              <w:tc>
                <w:tcPr>
                  <w:tcW w:w="372"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因子</w:t>
                  </w:r>
                </w:p>
              </w:tc>
              <w:tc>
                <w:tcPr>
                  <w:tcW w:w="374" w:type="pct"/>
                  <w:tcBorders>
                    <w:tl2br w:val="nil"/>
                    <w:tr2bl w:val="nil"/>
                  </w:tcBorders>
                  <w:noWrap w:val="0"/>
                  <w:vAlign w:val="center"/>
                </w:tcPr>
                <w:p>
                  <w:pPr>
                    <w:pStyle w:val="44"/>
                    <w:spacing w:line="240" w:lineRule="auto"/>
                    <w:jc w:val="center"/>
                    <w:rPr>
                      <w:rFonts w:hint="default" w:ascii="Times New Roman" w:hAnsi="Times New Roman" w:cs="Times New Roman"/>
                      <w:b/>
                      <w:bCs/>
                      <w:color w:val="auto"/>
                      <w:sz w:val="21"/>
                      <w:szCs w:val="21"/>
                      <w:lang w:eastAsia="zh-CN"/>
                    </w:rPr>
                  </w:pPr>
                  <w:r>
                    <w:rPr>
                      <w:rFonts w:hint="default" w:ascii="Times New Roman" w:hAnsi="Times New Roman" w:cs="Times New Roman"/>
                      <w:b/>
                      <w:bCs/>
                      <w:color w:val="auto"/>
                      <w:sz w:val="21"/>
                      <w:szCs w:val="21"/>
                      <w:lang w:eastAsia="zh-CN"/>
                    </w:rPr>
                    <w:t>年产</w:t>
                  </w:r>
                </w:p>
                <w:p>
                  <w:pPr>
                    <w:pStyle w:val="44"/>
                    <w:spacing w:line="240" w:lineRule="auto"/>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eastAsia="zh-CN"/>
                    </w:rPr>
                    <w:t>生量</w:t>
                  </w:r>
                  <w:r>
                    <w:rPr>
                      <w:rFonts w:hint="default" w:ascii="Times New Roman" w:hAnsi="Times New Roman" w:eastAsia="宋体" w:cs="Times New Roman"/>
                      <w:b/>
                      <w:bCs/>
                      <w:color w:val="auto"/>
                      <w:sz w:val="21"/>
                      <w:szCs w:val="21"/>
                    </w:rPr>
                    <w:t>t/a</w:t>
                  </w:r>
                </w:p>
              </w:tc>
              <w:tc>
                <w:tcPr>
                  <w:tcW w:w="368" w:type="pct"/>
                  <w:tcBorders>
                    <w:tl2br w:val="nil"/>
                    <w:tr2bl w:val="nil"/>
                  </w:tcBorders>
                  <w:noWrap w:val="0"/>
                  <w:vAlign w:val="center"/>
                </w:tcPr>
                <w:p>
                  <w:pPr>
                    <w:pStyle w:val="44"/>
                    <w:spacing w:line="240" w:lineRule="auto"/>
                    <w:jc w:val="center"/>
                    <w:rPr>
                      <w:rFonts w:hint="default" w:ascii="Times New Roman" w:hAnsi="Times New Roman" w:cs="Times New Roman"/>
                      <w:b/>
                      <w:bCs/>
                      <w:color w:val="auto"/>
                      <w:sz w:val="21"/>
                      <w:szCs w:val="21"/>
                      <w:lang w:eastAsia="zh-CN"/>
                    </w:rPr>
                  </w:pPr>
                  <w:r>
                    <w:rPr>
                      <w:rFonts w:hint="default" w:ascii="Times New Roman" w:hAnsi="Times New Roman" w:eastAsia="宋体" w:cs="Times New Roman"/>
                      <w:b/>
                      <w:bCs/>
                      <w:color w:val="auto"/>
                      <w:sz w:val="21"/>
                      <w:szCs w:val="21"/>
                    </w:rPr>
                    <w:t>排放形式</w:t>
                  </w:r>
                </w:p>
              </w:tc>
              <w:tc>
                <w:tcPr>
                  <w:tcW w:w="461"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治理工艺</w:t>
                  </w:r>
                </w:p>
              </w:tc>
              <w:tc>
                <w:tcPr>
                  <w:tcW w:w="587"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治理措施</w:t>
                  </w:r>
                </w:p>
              </w:tc>
              <w:tc>
                <w:tcPr>
                  <w:tcW w:w="369"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收集效率</w:t>
                  </w:r>
                </w:p>
              </w:tc>
              <w:tc>
                <w:tcPr>
                  <w:tcW w:w="576"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处理</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效率</w:t>
                  </w:r>
                </w:p>
              </w:tc>
              <w:tc>
                <w:tcPr>
                  <w:tcW w:w="437"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年排放量t/a</w:t>
                  </w:r>
                </w:p>
              </w:tc>
              <w:tc>
                <w:tcPr>
                  <w:tcW w:w="437"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浓度</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mg/m</w:t>
                  </w:r>
                  <w:r>
                    <w:rPr>
                      <w:rFonts w:hint="default" w:ascii="Times New Roman" w:hAnsi="Times New Roman" w:eastAsia="宋体" w:cs="Times New Roman"/>
                      <w:b/>
                      <w:bCs/>
                      <w:color w:val="auto"/>
                      <w:sz w:val="21"/>
                      <w:szCs w:val="21"/>
                      <w:vertAlign w:val="superscript"/>
                    </w:rPr>
                    <w:t>3</w:t>
                  </w:r>
                </w:p>
              </w:tc>
              <w:tc>
                <w:tcPr>
                  <w:tcW w:w="472"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w:t>
                  </w:r>
                </w:p>
                <w:p>
                  <w:pPr>
                    <w:pStyle w:val="44"/>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速率kg/h</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cs="Times New Roman"/>
                      <w:b w:val="0"/>
                      <w:color w:val="auto"/>
                      <w:kern w:val="2"/>
                      <w:sz w:val="21"/>
                      <w:szCs w:val="21"/>
                      <w:highlight w:val="none"/>
                      <w:vertAlign w:val="baseline"/>
                      <w:lang w:val="en-US" w:eastAsia="zh-CN" w:bidi="ar-SA"/>
                    </w:rPr>
                    <w:t>1</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堆存装卸粉尘</w:t>
                  </w:r>
                </w:p>
              </w:tc>
              <w:tc>
                <w:tcPr>
                  <w:tcW w:w="372"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val="0"/>
                      <w:bCs w:val="0"/>
                      <w:color w:val="auto"/>
                      <w:sz w:val="21"/>
                      <w:szCs w:val="21"/>
                      <w:lang w:eastAsia="zh-CN"/>
                    </w:rPr>
                    <w:t>颗粒物</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68.3</w:t>
                  </w:r>
                  <w:r>
                    <w:rPr>
                      <w:rFonts w:hint="eastAsia" w:ascii="Times New Roman" w:hAnsi="Times New Roman" w:eastAsia="宋体" w:cs="Times New Roman"/>
                      <w:i w:val="0"/>
                      <w:iCs w:val="0"/>
                      <w:color w:val="auto"/>
                      <w:kern w:val="0"/>
                      <w:sz w:val="21"/>
                      <w:szCs w:val="21"/>
                      <w:u w:val="none"/>
                      <w:lang w:val="en-US" w:eastAsia="zh-CN" w:bidi="ar"/>
                    </w:rPr>
                    <w:t>7</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368" w:type="pct"/>
                  <w:tcBorders>
                    <w:tl2br w:val="nil"/>
                    <w:tr2bl w:val="nil"/>
                  </w:tcBorders>
                  <w:noWrap w:val="0"/>
                  <w:vAlign w:val="center"/>
                </w:tcPr>
                <w:p>
                  <w:pPr>
                    <w:pStyle w:val="44"/>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b w:val="0"/>
                      <w:bCs w:val="0"/>
                      <w:color w:val="auto"/>
                      <w:kern w:val="2"/>
                      <w:sz w:val="21"/>
                      <w:szCs w:val="21"/>
                      <w:lang w:val="en-US" w:eastAsia="zh-CN" w:bidi="ar-SA"/>
                    </w:rPr>
                    <w:t>无组织</w:t>
                  </w:r>
                </w:p>
              </w:tc>
              <w:tc>
                <w:tcPr>
                  <w:tcW w:w="461" w:type="pct"/>
                  <w:tcBorders>
                    <w:tl2br w:val="nil"/>
                    <w:tr2bl w:val="nil"/>
                  </w:tcBorders>
                  <w:noWrap w:val="0"/>
                  <w:vAlign w:val="center"/>
                </w:tcPr>
                <w:p>
                  <w:pPr>
                    <w:pStyle w:val="27"/>
                    <w:rPr>
                      <w:rFonts w:hint="default" w:ascii="Times New Roman" w:hAnsi="Times New Roman" w:eastAsia="宋体" w:cs="Times New Roman"/>
                      <w:b/>
                      <w:bCs/>
                      <w:color w:val="auto"/>
                      <w:sz w:val="21"/>
                      <w:szCs w:val="21"/>
                    </w:rPr>
                  </w:pPr>
                  <w:r>
                    <w:rPr>
                      <w:rFonts w:hint="eastAsia"/>
                      <w:color w:val="auto"/>
                    </w:rPr>
                    <w:t>洗车+密闭+喷淋</w:t>
                  </w:r>
                </w:p>
              </w:tc>
              <w:tc>
                <w:tcPr>
                  <w:tcW w:w="587" w:type="pct"/>
                  <w:tcBorders>
                    <w:tl2br w:val="nil"/>
                    <w:tr2bl w:val="nil"/>
                  </w:tcBorders>
                  <w:noWrap w:val="0"/>
                  <w:vAlign w:val="center"/>
                </w:tcPr>
                <w:p>
                  <w:pPr>
                    <w:pStyle w:val="27"/>
                    <w:rPr>
                      <w:rFonts w:hint="default" w:ascii="Times New Roman" w:hAnsi="Times New Roman" w:eastAsia="宋体" w:cs="Times New Roman"/>
                      <w:b/>
                      <w:bCs/>
                      <w:color w:val="auto"/>
                      <w:sz w:val="21"/>
                      <w:szCs w:val="21"/>
                    </w:rPr>
                  </w:pPr>
                  <w:r>
                    <w:rPr>
                      <w:rFonts w:hint="eastAsia"/>
                      <w:color w:val="auto"/>
                      <w:lang w:val="en-GB"/>
                    </w:rPr>
                    <w:t>车辆冲洗+密闭</w:t>
                  </w:r>
                  <w:r>
                    <w:rPr>
                      <w:color w:val="auto"/>
                      <w:lang w:val="en-GB"/>
                    </w:rPr>
                    <w:t>式</w:t>
                  </w:r>
                  <w:r>
                    <w:rPr>
                      <w:rFonts w:hint="eastAsia"/>
                      <w:color w:val="auto"/>
                      <w:lang w:val="en-GB"/>
                    </w:rPr>
                    <w:t>厂房</w:t>
                  </w:r>
                  <w:r>
                    <w:rPr>
                      <w:color w:val="auto"/>
                    </w:rPr>
                    <w:t>+</w:t>
                  </w:r>
                  <w:r>
                    <w:rPr>
                      <w:rFonts w:hint="eastAsia"/>
                      <w:color w:val="auto"/>
                    </w:rPr>
                    <w:t>喷淋</w:t>
                  </w:r>
                  <w:r>
                    <w:rPr>
                      <w:color w:val="auto"/>
                    </w:rPr>
                    <w:t>设备</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lang w:val="en-US" w:eastAsia="zh-CN"/>
                    </w:rPr>
                    <w:t>/</w:t>
                  </w:r>
                </w:p>
              </w:tc>
              <w:tc>
                <w:tcPr>
                  <w:tcW w:w="576" w:type="pct"/>
                  <w:tcBorders>
                    <w:tl2br w:val="nil"/>
                    <w:tr2bl w:val="nil"/>
                  </w:tcBorders>
                  <w:noWrap w:val="0"/>
                  <w:vAlign w:val="center"/>
                </w:tcPr>
                <w:p>
                  <w:pPr>
                    <w:pStyle w:val="27"/>
                    <w:rPr>
                      <w:color w:val="auto"/>
                    </w:rPr>
                  </w:pPr>
                  <w:r>
                    <w:rPr>
                      <w:rFonts w:hint="eastAsia"/>
                      <w:color w:val="auto"/>
                    </w:rPr>
                    <w:t>洗车</w:t>
                  </w:r>
                  <w:r>
                    <w:rPr>
                      <w:color w:val="auto"/>
                    </w:rPr>
                    <w:t>78%</w:t>
                  </w:r>
                </w:p>
                <w:p>
                  <w:pPr>
                    <w:pStyle w:val="27"/>
                    <w:rPr>
                      <w:color w:val="auto"/>
                    </w:rPr>
                  </w:pPr>
                  <w:r>
                    <w:rPr>
                      <w:color w:val="auto"/>
                    </w:rPr>
                    <w:t>喷淋74%</w:t>
                  </w:r>
                </w:p>
                <w:p>
                  <w:pPr>
                    <w:pStyle w:val="27"/>
                    <w:rPr>
                      <w:rFonts w:hint="default" w:ascii="Times New Roman" w:hAnsi="Times New Roman" w:eastAsia="宋体" w:cs="Times New Roman"/>
                      <w:b/>
                      <w:bCs/>
                      <w:color w:val="auto"/>
                      <w:sz w:val="21"/>
                      <w:szCs w:val="21"/>
                    </w:rPr>
                  </w:pPr>
                  <w:r>
                    <w:rPr>
                      <w:rFonts w:hint="eastAsia"/>
                      <w:color w:val="auto"/>
                    </w:rPr>
                    <w:t>密闭</w:t>
                  </w:r>
                  <w:r>
                    <w:rPr>
                      <w:color w:val="auto"/>
                    </w:rPr>
                    <w:t>99%</w:t>
                  </w:r>
                </w:p>
              </w:tc>
              <w:tc>
                <w:tcPr>
                  <w:tcW w:w="43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0.0391 </w:t>
                  </w:r>
                </w:p>
              </w:tc>
              <w:tc>
                <w:tcPr>
                  <w:tcW w:w="437" w:type="pct"/>
                  <w:tcBorders>
                    <w:tl2br w:val="nil"/>
                    <w:tr2bl w:val="nil"/>
                  </w:tcBorders>
                  <w:noWrap w:val="0"/>
                  <w:vAlign w:val="center"/>
                </w:tcPr>
                <w:p>
                  <w:pPr>
                    <w:pStyle w:val="44"/>
                    <w:spacing w:line="240" w:lineRule="auto"/>
                    <w:jc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kern w:val="2"/>
                      <w:sz w:val="21"/>
                      <w:szCs w:val="21"/>
                      <w:lang w:val="en-US" w:eastAsia="zh-CN" w:bidi="ar-SA"/>
                    </w:rPr>
                    <w:t>/</w:t>
                  </w:r>
                </w:p>
              </w:tc>
              <w:tc>
                <w:tcPr>
                  <w:tcW w:w="879" w:type="dxa"/>
                  <w:tcBorders>
                    <w:tl2br w:val="nil"/>
                    <w:tr2bl w:val="nil"/>
                  </w:tcBorders>
                  <w:noWrap w:val="0"/>
                  <w:vAlign w:val="center"/>
                </w:tcPr>
                <w:p>
                  <w:pPr>
                    <w:pStyle w:val="44"/>
                    <w:spacing w:line="240" w:lineRule="auto"/>
                    <w:jc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kern w:val="2"/>
                      <w:sz w:val="21"/>
                      <w:szCs w:val="21"/>
                      <w:lang w:val="en-US" w:eastAsia="zh-CN" w:bidi="ar-SA"/>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cs="Times New Roman"/>
                      <w:b w:val="0"/>
                      <w:color w:val="auto"/>
                      <w:kern w:val="2"/>
                      <w:sz w:val="21"/>
                      <w:szCs w:val="21"/>
                      <w:highlight w:val="none"/>
                      <w:vertAlign w:val="baseline"/>
                      <w:lang w:val="en-US" w:eastAsia="zh-CN" w:bidi="ar-SA"/>
                    </w:rPr>
                    <w:t>2</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物料输送粉尘</w:t>
                  </w:r>
                </w:p>
              </w:tc>
              <w:tc>
                <w:tcPr>
                  <w:tcW w:w="372"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颗粒物</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5.875 </w:t>
                  </w:r>
                </w:p>
              </w:tc>
              <w:tc>
                <w:tcPr>
                  <w:tcW w:w="368"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无组织</w:t>
                  </w:r>
                </w:p>
              </w:tc>
              <w:tc>
                <w:tcPr>
                  <w:tcW w:w="461" w:type="pct"/>
                  <w:tcBorders>
                    <w:tl2br w:val="nil"/>
                    <w:tr2bl w:val="nil"/>
                  </w:tcBorders>
                  <w:noWrap w:val="0"/>
                  <w:vAlign w:val="center"/>
                </w:tcPr>
                <w:p>
                  <w:pPr>
                    <w:pStyle w:val="27"/>
                    <w:rPr>
                      <w:rFonts w:hint="default" w:ascii="Times New Roman" w:hAnsi="Times New Roman" w:eastAsia="宋体" w:cs="Times New Roman"/>
                      <w:i w:val="0"/>
                      <w:iCs w:val="0"/>
                      <w:color w:val="auto"/>
                      <w:kern w:val="0"/>
                      <w:sz w:val="21"/>
                      <w:szCs w:val="21"/>
                      <w:u w:val="none"/>
                      <w:lang w:val="en-US" w:eastAsia="zh-CN" w:bidi="ar"/>
                    </w:rPr>
                  </w:pPr>
                  <w:r>
                    <w:rPr>
                      <w:rFonts w:hint="eastAsia"/>
                      <w:color w:val="auto"/>
                    </w:rPr>
                    <w:t>密闭+喷淋</w:t>
                  </w:r>
                </w:p>
              </w:tc>
              <w:tc>
                <w:tcPr>
                  <w:tcW w:w="587" w:type="pct"/>
                  <w:tcBorders>
                    <w:tl2br w:val="nil"/>
                    <w:tr2bl w:val="nil"/>
                  </w:tcBorders>
                  <w:noWrap w:val="0"/>
                  <w:vAlign w:val="center"/>
                </w:tcPr>
                <w:p>
                  <w:pPr>
                    <w:pStyle w:val="27"/>
                    <w:rPr>
                      <w:rFonts w:hint="default" w:ascii="Times New Roman" w:hAnsi="Times New Roman" w:eastAsia="宋体" w:cs="Times New Roman"/>
                      <w:i w:val="0"/>
                      <w:iCs w:val="0"/>
                      <w:color w:val="auto"/>
                      <w:kern w:val="0"/>
                      <w:sz w:val="21"/>
                      <w:szCs w:val="21"/>
                      <w:u w:val="none"/>
                      <w:lang w:val="en-GB" w:eastAsia="zh-CN" w:bidi="ar"/>
                    </w:rPr>
                  </w:pPr>
                  <w:r>
                    <w:rPr>
                      <w:rFonts w:hint="eastAsia"/>
                      <w:color w:val="auto"/>
                      <w:lang w:val="en-GB"/>
                    </w:rPr>
                    <w:t>密闭</w:t>
                  </w:r>
                  <w:r>
                    <w:rPr>
                      <w:color w:val="auto"/>
                      <w:lang w:val="en-GB"/>
                    </w:rPr>
                    <w:t>式</w:t>
                  </w:r>
                  <w:r>
                    <w:rPr>
                      <w:rFonts w:hint="eastAsia"/>
                      <w:color w:val="auto"/>
                      <w:lang w:val="en-GB"/>
                    </w:rPr>
                    <w:t>厂房</w:t>
                  </w:r>
                  <w:r>
                    <w:rPr>
                      <w:color w:val="auto"/>
                    </w:rPr>
                    <w:t>+</w:t>
                  </w:r>
                  <w:r>
                    <w:rPr>
                      <w:rFonts w:hint="eastAsia"/>
                      <w:color w:val="auto"/>
                    </w:rPr>
                    <w:t>喷淋</w:t>
                  </w:r>
                  <w:r>
                    <w:rPr>
                      <w:color w:val="auto"/>
                    </w:rPr>
                    <w:t>设备</w:t>
                  </w:r>
                </w:p>
              </w:tc>
              <w:tc>
                <w:tcPr>
                  <w:tcW w:w="369"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576" w:type="pct"/>
                  <w:tcBorders>
                    <w:tl2br w:val="nil"/>
                    <w:tr2bl w:val="nil"/>
                  </w:tcBorders>
                  <w:noWrap w:val="0"/>
                  <w:vAlign w:val="center"/>
                </w:tcPr>
                <w:p>
                  <w:pPr>
                    <w:pStyle w:val="27"/>
                    <w:rPr>
                      <w:color w:val="auto"/>
                    </w:rPr>
                  </w:pPr>
                  <w:r>
                    <w:rPr>
                      <w:color w:val="auto"/>
                    </w:rPr>
                    <w:t>喷淋74%</w:t>
                  </w:r>
                </w:p>
                <w:p>
                  <w:pPr>
                    <w:pStyle w:val="27"/>
                    <w:rPr>
                      <w:rFonts w:hint="default" w:ascii="Times New Roman" w:hAnsi="Times New Roman" w:eastAsia="宋体" w:cs="Times New Roman"/>
                      <w:i w:val="0"/>
                      <w:iCs w:val="0"/>
                      <w:color w:val="auto"/>
                      <w:kern w:val="0"/>
                      <w:sz w:val="21"/>
                      <w:szCs w:val="21"/>
                      <w:u w:val="none"/>
                      <w:lang w:val="en-US" w:eastAsia="zh-CN" w:bidi="ar"/>
                    </w:rPr>
                  </w:pPr>
                  <w:r>
                    <w:rPr>
                      <w:rFonts w:hint="eastAsia"/>
                      <w:color w:val="auto"/>
                    </w:rPr>
                    <w:t>密闭</w:t>
                  </w:r>
                  <w:r>
                    <w:rPr>
                      <w:color w:val="auto"/>
                    </w:rPr>
                    <w:t>99%</w:t>
                  </w:r>
                </w:p>
              </w:tc>
              <w:tc>
                <w:tcPr>
                  <w:tcW w:w="43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0.0153 </w:t>
                  </w:r>
                </w:p>
              </w:tc>
              <w:tc>
                <w:tcPr>
                  <w:tcW w:w="437"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c>
                <w:tcPr>
                  <w:tcW w:w="879"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宋体" w:cs="Times New Roman"/>
                      <w:b w:val="0"/>
                      <w:color w:val="auto"/>
                      <w:kern w:val="2"/>
                      <w:sz w:val="21"/>
                      <w:szCs w:val="21"/>
                      <w:highlight w:val="none"/>
                      <w:vertAlign w:val="baseline"/>
                      <w:lang w:val="en-US" w:eastAsia="zh-CN" w:bidi="ar-SA"/>
                    </w:rPr>
                  </w:pPr>
                  <w:r>
                    <w:rPr>
                      <w:rFonts w:hint="eastAsia" w:cs="Times New Roman"/>
                      <w:b w:val="0"/>
                      <w:color w:val="auto"/>
                      <w:kern w:val="2"/>
                      <w:sz w:val="21"/>
                      <w:szCs w:val="21"/>
                      <w:highlight w:val="none"/>
                      <w:vertAlign w:val="baseline"/>
                      <w:lang w:val="en-US" w:eastAsia="zh-CN" w:bidi="ar-SA"/>
                    </w:rPr>
                    <w:t>3</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水泥筒仓粉尘</w:t>
                  </w:r>
                </w:p>
              </w:tc>
              <w:tc>
                <w:tcPr>
                  <w:tcW w:w="372" w:type="pct"/>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eastAsia="zh-CN"/>
                    </w:rPr>
                    <w:t>颗粒物</w:t>
                  </w:r>
                </w:p>
              </w:tc>
              <w:tc>
                <w:tcPr>
                  <w:tcW w:w="374"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0.575 </w:t>
                  </w:r>
                </w:p>
              </w:tc>
              <w:tc>
                <w:tcPr>
                  <w:tcW w:w="368" w:type="pct"/>
                  <w:tcBorders>
                    <w:tl2br w:val="nil"/>
                    <w:tr2bl w:val="nil"/>
                  </w:tcBorders>
                  <w:noWrap w:val="0"/>
                  <w:vAlign w:val="center"/>
                </w:tcPr>
                <w:p>
                  <w:pPr>
                    <w:pStyle w:val="44"/>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无组织</w:t>
                  </w:r>
                </w:p>
              </w:tc>
              <w:tc>
                <w:tcPr>
                  <w:tcW w:w="461" w:type="pct"/>
                  <w:tcBorders>
                    <w:tl2br w:val="nil"/>
                    <w:tr2bl w:val="nil"/>
                  </w:tcBorders>
                  <w:noWrap w:val="0"/>
                  <w:vAlign w:val="center"/>
                </w:tcPr>
                <w:p>
                  <w:pPr>
                    <w:pStyle w:val="27"/>
                    <w:rPr>
                      <w:rFonts w:hint="default" w:ascii="Times New Roman" w:hAnsi="Times New Roman" w:eastAsia="宋体" w:cs="Times New Roman"/>
                      <w:b/>
                      <w:bCs/>
                      <w:color w:val="auto"/>
                      <w:kern w:val="2"/>
                      <w:sz w:val="21"/>
                      <w:szCs w:val="21"/>
                      <w:lang w:val="en-US" w:eastAsia="zh-CN" w:bidi="ar-SA"/>
                    </w:rPr>
                  </w:pPr>
                  <w:r>
                    <w:rPr>
                      <w:rFonts w:hint="eastAsia"/>
                      <w:color w:val="auto"/>
                    </w:rPr>
                    <w:t>密闭+袋式除尘</w:t>
                  </w:r>
                </w:p>
              </w:tc>
              <w:tc>
                <w:tcPr>
                  <w:tcW w:w="587" w:type="pct"/>
                  <w:tcBorders>
                    <w:tl2br w:val="nil"/>
                    <w:tr2bl w:val="nil"/>
                  </w:tcBorders>
                  <w:noWrap w:val="0"/>
                  <w:vAlign w:val="center"/>
                </w:tcPr>
                <w:p>
                  <w:pPr>
                    <w:pStyle w:val="27"/>
                    <w:rPr>
                      <w:rFonts w:hint="default" w:ascii="Times New Roman" w:hAnsi="Times New Roman" w:eastAsia="宋体" w:cs="Times New Roman"/>
                      <w:b/>
                      <w:bCs/>
                      <w:color w:val="auto"/>
                      <w:kern w:val="2"/>
                      <w:sz w:val="21"/>
                      <w:szCs w:val="21"/>
                      <w:lang w:val="en-GB" w:eastAsia="zh-CN" w:bidi="ar-SA"/>
                    </w:rPr>
                  </w:pPr>
                  <w:r>
                    <w:rPr>
                      <w:rFonts w:hint="eastAsia"/>
                      <w:color w:val="auto"/>
                      <w:lang w:val="en-GB"/>
                    </w:rPr>
                    <w:t>密闭</w:t>
                  </w:r>
                  <w:r>
                    <w:rPr>
                      <w:color w:val="auto"/>
                      <w:lang w:val="en-GB"/>
                    </w:rPr>
                    <w:t>式</w:t>
                  </w:r>
                  <w:r>
                    <w:rPr>
                      <w:rFonts w:hint="eastAsia"/>
                      <w:color w:val="auto"/>
                      <w:lang w:val="en-GB"/>
                    </w:rPr>
                    <w:t>厂房</w:t>
                  </w:r>
                  <w:r>
                    <w:rPr>
                      <w:color w:val="auto"/>
                    </w:rPr>
                    <w:t>+</w:t>
                  </w:r>
                  <w:r>
                    <w:rPr>
                      <w:color w:val="auto"/>
                      <w:lang w:val="en-GB"/>
                    </w:rPr>
                    <w:t>袋式除尘器</w:t>
                  </w:r>
                </w:p>
              </w:tc>
              <w:tc>
                <w:tcPr>
                  <w:tcW w:w="369" w:type="pct"/>
                  <w:tcBorders>
                    <w:tl2br w:val="nil"/>
                    <w:tr2bl w:val="nil"/>
                  </w:tcBorders>
                  <w:noWrap w:val="0"/>
                  <w:vAlign w:val="center"/>
                </w:tcPr>
                <w:p>
                  <w:pPr>
                    <w:keepNext w:val="0"/>
                    <w:keepLines w:val="0"/>
                    <w:widowControl/>
                    <w:suppressLineNumbers w:val="0"/>
                    <w:spacing w:line="240" w:lineRule="auto"/>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100%</w:t>
                  </w:r>
                </w:p>
              </w:tc>
              <w:tc>
                <w:tcPr>
                  <w:tcW w:w="576" w:type="pct"/>
                  <w:tcBorders>
                    <w:tl2br w:val="nil"/>
                    <w:tr2bl w:val="nil"/>
                  </w:tcBorders>
                  <w:noWrap w:val="0"/>
                  <w:vAlign w:val="center"/>
                </w:tcPr>
                <w:p>
                  <w:pPr>
                    <w:pStyle w:val="27"/>
                    <w:rPr>
                      <w:rFonts w:hint="eastAsia" w:ascii="Times New Roman" w:hAnsi="Times New Roman" w:eastAsia="宋体" w:cs="Times New Roman"/>
                      <w:color w:val="auto"/>
                      <w:kern w:val="2"/>
                      <w:sz w:val="21"/>
                      <w:szCs w:val="21"/>
                      <w:lang w:val="en-US" w:eastAsia="zh-CN" w:bidi="ar-SA"/>
                    </w:rPr>
                  </w:pPr>
                  <w:r>
                    <w:rPr>
                      <w:rFonts w:hint="eastAsia"/>
                      <w:color w:val="auto"/>
                    </w:rPr>
                    <w:t>密闭</w:t>
                  </w:r>
                  <w:r>
                    <w:rPr>
                      <w:color w:val="auto"/>
                    </w:rPr>
                    <w:t>99%</w:t>
                  </w:r>
                  <w:r>
                    <w:rPr>
                      <w:rFonts w:hint="eastAsia"/>
                      <w:color w:val="auto"/>
                    </w:rPr>
                    <w:t>除尘</w:t>
                  </w:r>
                  <w:r>
                    <w:rPr>
                      <w:color w:val="auto"/>
                    </w:rPr>
                    <w:t>99.7%</w:t>
                  </w:r>
                </w:p>
              </w:tc>
              <w:tc>
                <w:tcPr>
                  <w:tcW w:w="437" w:type="pct"/>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0.0017 </w:t>
                  </w:r>
                </w:p>
              </w:tc>
              <w:tc>
                <w:tcPr>
                  <w:tcW w:w="437" w:type="pct"/>
                  <w:tcBorders>
                    <w:tl2br w:val="nil"/>
                    <w:tr2bl w:val="nil"/>
                  </w:tcBorders>
                  <w:noWrap w:val="0"/>
                  <w:vAlign w:val="center"/>
                </w:tcPr>
                <w:p>
                  <w:pPr>
                    <w:spacing w:line="240" w:lineRule="auto"/>
                    <w:jc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color w:val="auto"/>
                      <w:kern w:val="2"/>
                      <w:sz w:val="21"/>
                      <w:szCs w:val="21"/>
                      <w:lang w:val="en-US" w:eastAsia="zh-CN" w:bidi="ar-SA"/>
                    </w:rPr>
                    <w:t>/</w:t>
                  </w:r>
                </w:p>
              </w:tc>
              <w:tc>
                <w:tcPr>
                  <w:tcW w:w="879" w:type="dxa"/>
                  <w:tcBorders>
                    <w:tl2br w:val="nil"/>
                    <w:tr2bl w:val="nil"/>
                  </w:tcBorders>
                  <w:noWrap w:val="0"/>
                  <w:vAlign w:val="center"/>
                </w:tcPr>
                <w:p>
                  <w:pPr>
                    <w:spacing w:line="240" w:lineRule="auto"/>
                    <w:jc w:val="center"/>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eastAsia" w:cs="Times New Roman"/>
                      <w:b w:val="0"/>
                      <w:color w:val="auto"/>
                      <w:kern w:val="2"/>
                      <w:sz w:val="21"/>
                      <w:szCs w:val="21"/>
                      <w:highlight w:val="none"/>
                      <w:vertAlign w:val="baseline"/>
                      <w:lang w:val="en-US" w:eastAsia="zh-CN" w:bidi="ar-SA"/>
                    </w:rPr>
                    <w:t>4</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搅拌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粉尘</w:t>
                  </w:r>
                </w:p>
              </w:tc>
              <w:tc>
                <w:tcPr>
                  <w:tcW w:w="372" w:type="pct"/>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颗粒物</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169.975 </w:t>
                  </w:r>
                </w:p>
              </w:tc>
              <w:tc>
                <w:tcPr>
                  <w:tcW w:w="368" w:type="pct"/>
                  <w:tcBorders>
                    <w:tl2br w:val="nil"/>
                    <w:tr2bl w:val="nil"/>
                  </w:tcBorders>
                  <w:noWrap w:val="0"/>
                  <w:vAlign w:val="center"/>
                </w:tcPr>
                <w:p>
                  <w:pPr>
                    <w:pStyle w:val="44"/>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无组织</w:t>
                  </w:r>
                </w:p>
              </w:tc>
              <w:tc>
                <w:tcPr>
                  <w:tcW w:w="461" w:type="pct"/>
                  <w:tcBorders>
                    <w:tl2br w:val="nil"/>
                    <w:tr2bl w:val="nil"/>
                  </w:tcBorders>
                  <w:noWrap w:val="0"/>
                  <w:vAlign w:val="center"/>
                </w:tcPr>
                <w:p>
                  <w:pPr>
                    <w:pStyle w:val="27"/>
                    <w:rPr>
                      <w:rFonts w:hint="default" w:ascii="Times New Roman" w:hAnsi="Times New Roman" w:eastAsia="宋体" w:cs="Times New Roman"/>
                      <w:b/>
                      <w:bCs/>
                      <w:color w:val="auto"/>
                      <w:kern w:val="2"/>
                      <w:sz w:val="21"/>
                      <w:szCs w:val="21"/>
                      <w:lang w:val="en-US" w:eastAsia="zh-CN" w:bidi="ar-SA"/>
                    </w:rPr>
                  </w:pPr>
                  <w:r>
                    <w:rPr>
                      <w:rFonts w:hint="eastAsia"/>
                      <w:color w:val="auto"/>
                    </w:rPr>
                    <w:t>密闭+袋式除尘+喷淋</w:t>
                  </w:r>
                </w:p>
              </w:tc>
              <w:tc>
                <w:tcPr>
                  <w:tcW w:w="587" w:type="pct"/>
                  <w:tcBorders>
                    <w:tl2br w:val="nil"/>
                    <w:tr2bl w:val="nil"/>
                  </w:tcBorders>
                  <w:noWrap w:val="0"/>
                  <w:vAlign w:val="center"/>
                </w:tcPr>
                <w:p>
                  <w:pPr>
                    <w:pStyle w:val="27"/>
                    <w:rPr>
                      <w:rFonts w:hint="default" w:ascii="Times New Roman" w:hAnsi="Times New Roman" w:eastAsia="宋体" w:cs="Times New Roman"/>
                      <w:color w:val="auto"/>
                      <w:kern w:val="2"/>
                      <w:sz w:val="21"/>
                      <w:szCs w:val="21"/>
                      <w:highlight w:val="none"/>
                      <w:lang w:val="en-GB" w:eastAsia="zh-CN" w:bidi="ar-SA"/>
                    </w:rPr>
                  </w:pPr>
                  <w:r>
                    <w:rPr>
                      <w:rFonts w:hint="eastAsia"/>
                      <w:color w:val="auto"/>
                      <w:lang w:val="en-GB"/>
                    </w:rPr>
                    <w:t>密闭</w:t>
                  </w:r>
                  <w:r>
                    <w:rPr>
                      <w:color w:val="auto"/>
                      <w:lang w:val="en-GB"/>
                    </w:rPr>
                    <w:t>式</w:t>
                  </w:r>
                  <w:r>
                    <w:rPr>
                      <w:rFonts w:hint="eastAsia"/>
                      <w:color w:val="auto"/>
                      <w:lang w:val="en-GB"/>
                    </w:rPr>
                    <w:t>厂房</w:t>
                  </w:r>
                  <w:r>
                    <w:rPr>
                      <w:color w:val="auto"/>
                    </w:rPr>
                    <w:t>+</w:t>
                  </w:r>
                  <w:r>
                    <w:rPr>
                      <w:color w:val="auto"/>
                      <w:lang w:val="en-GB"/>
                    </w:rPr>
                    <w:t>袋式除尘器</w:t>
                  </w:r>
                  <w:r>
                    <w:rPr>
                      <w:rFonts w:hint="eastAsia"/>
                      <w:color w:val="auto"/>
                    </w:rPr>
                    <w:t>+喷淋设备</w:t>
                  </w:r>
                </w:p>
              </w:tc>
              <w:tc>
                <w:tcPr>
                  <w:tcW w:w="369"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eastAsia" w:eastAsia="宋体" w:cs="Times New Roman"/>
                      <w:color w:val="auto"/>
                      <w:kern w:val="2"/>
                      <w:sz w:val="21"/>
                      <w:szCs w:val="21"/>
                      <w:highlight w:val="none"/>
                      <w:lang w:val="en-US" w:eastAsia="zh-CN" w:bidi="ar-SA"/>
                    </w:rPr>
                    <w:t>95%</w:t>
                  </w:r>
                </w:p>
              </w:tc>
              <w:tc>
                <w:tcPr>
                  <w:tcW w:w="576" w:type="pct"/>
                  <w:tcBorders>
                    <w:tl2br w:val="nil"/>
                    <w:tr2bl w:val="nil"/>
                  </w:tcBorders>
                  <w:noWrap w:val="0"/>
                  <w:vAlign w:val="center"/>
                </w:tcPr>
                <w:p>
                  <w:pPr>
                    <w:pStyle w:val="27"/>
                    <w:rPr>
                      <w:color w:val="auto"/>
                    </w:rPr>
                  </w:pPr>
                  <w:r>
                    <w:rPr>
                      <w:color w:val="auto"/>
                    </w:rPr>
                    <w:t>喷淋74%</w:t>
                  </w:r>
                </w:p>
                <w:p>
                  <w:pPr>
                    <w:pStyle w:val="27"/>
                    <w:rPr>
                      <w:rFonts w:hint="default" w:ascii="Times New Roman" w:hAnsi="Times New Roman" w:eastAsia="宋体" w:cs="Times New Roman"/>
                      <w:color w:val="auto"/>
                      <w:kern w:val="2"/>
                      <w:sz w:val="21"/>
                      <w:szCs w:val="21"/>
                      <w:highlight w:val="none"/>
                      <w:lang w:val="en-US" w:eastAsia="zh-CN" w:bidi="ar-SA"/>
                    </w:rPr>
                  </w:pPr>
                  <w:r>
                    <w:rPr>
                      <w:rFonts w:hint="eastAsia"/>
                      <w:color w:val="auto"/>
                    </w:rPr>
                    <w:t>密闭</w:t>
                  </w:r>
                  <w:r>
                    <w:rPr>
                      <w:color w:val="auto"/>
                    </w:rPr>
                    <w:t>99%</w:t>
                  </w:r>
                  <w:r>
                    <w:rPr>
                      <w:rFonts w:hint="eastAsia"/>
                      <w:color w:val="auto"/>
                    </w:rPr>
                    <w:t>除尘</w:t>
                  </w:r>
                  <w:r>
                    <w:rPr>
                      <w:color w:val="auto"/>
                    </w:rPr>
                    <w:t>99.7%</w:t>
                  </w:r>
                </w:p>
              </w:tc>
              <w:tc>
                <w:tcPr>
                  <w:tcW w:w="43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0.0234 </w:t>
                  </w:r>
                </w:p>
              </w:tc>
              <w:tc>
                <w:tcPr>
                  <w:tcW w:w="437" w:type="pct"/>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c>
                <w:tcPr>
                  <w:tcW w:w="879" w:type="dxa"/>
                  <w:tcBorders>
                    <w:tl2br w:val="nil"/>
                    <w:tr2bl w:val="nil"/>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eastAsia" w:cs="Times New Roman"/>
                      <w:b w:val="0"/>
                      <w:color w:val="auto"/>
                      <w:kern w:val="2"/>
                      <w:sz w:val="21"/>
                      <w:szCs w:val="21"/>
                      <w:highlight w:val="none"/>
                      <w:vertAlign w:val="baseline"/>
                      <w:lang w:val="en-US" w:eastAsia="zh-CN" w:bidi="ar-SA"/>
                    </w:rPr>
                    <w:t>5</w:t>
                  </w:r>
                </w:p>
              </w:tc>
              <w:tc>
                <w:tcPr>
                  <w:tcW w:w="36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车辆运输扬尘</w:t>
                  </w:r>
                </w:p>
              </w:tc>
              <w:tc>
                <w:tcPr>
                  <w:tcW w:w="372" w:type="pct"/>
                  <w:tcBorders>
                    <w:tl2br w:val="nil"/>
                    <w:tr2bl w:val="nil"/>
                  </w:tcBorders>
                  <w:noWrap w:val="0"/>
                  <w:vAlign w:val="center"/>
                </w:tcPr>
                <w:p>
                  <w:pPr>
                    <w:spacing w:line="240" w:lineRule="auto"/>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eastAsia="zh-CN"/>
                    </w:rPr>
                    <w:t>颗粒物</w:t>
                  </w:r>
                </w:p>
              </w:tc>
              <w:tc>
                <w:tcPr>
                  <w:tcW w:w="37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0.122 </w:t>
                  </w:r>
                </w:p>
              </w:tc>
              <w:tc>
                <w:tcPr>
                  <w:tcW w:w="368" w:type="pct"/>
                  <w:tcBorders>
                    <w:tl2br w:val="nil"/>
                    <w:tr2bl w:val="nil"/>
                  </w:tcBorders>
                  <w:noWrap w:val="0"/>
                  <w:vAlign w:val="center"/>
                </w:tcPr>
                <w:p>
                  <w:pPr>
                    <w:pStyle w:val="44"/>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无组织</w:t>
                  </w:r>
                </w:p>
              </w:tc>
              <w:tc>
                <w:tcPr>
                  <w:tcW w:w="461" w:type="pct"/>
                  <w:tcBorders>
                    <w:tl2br w:val="nil"/>
                    <w:tr2bl w:val="nil"/>
                  </w:tcBorders>
                  <w:noWrap w:val="0"/>
                  <w:vAlign w:val="center"/>
                </w:tcPr>
                <w:p>
                  <w:pPr>
                    <w:pStyle w:val="27"/>
                    <w:rPr>
                      <w:rFonts w:hint="default" w:ascii="Times New Roman" w:hAnsi="Times New Roman" w:eastAsia="宋体" w:cs="Times New Roman"/>
                      <w:b/>
                      <w:bCs/>
                      <w:color w:val="auto"/>
                      <w:kern w:val="2"/>
                      <w:sz w:val="21"/>
                      <w:szCs w:val="21"/>
                      <w:highlight w:val="none"/>
                      <w:lang w:val="en-US" w:eastAsia="zh-CN" w:bidi="ar-SA"/>
                    </w:rPr>
                  </w:pPr>
                  <w:r>
                    <w:rPr>
                      <w:rFonts w:hint="eastAsia"/>
                      <w:color w:val="auto"/>
                    </w:rPr>
                    <w:t>洗车+</w:t>
                  </w:r>
                  <w:r>
                    <w:rPr>
                      <w:color w:val="auto"/>
                    </w:rPr>
                    <w:t>洒水降尘</w:t>
                  </w:r>
                </w:p>
              </w:tc>
              <w:tc>
                <w:tcPr>
                  <w:tcW w:w="587" w:type="pct"/>
                  <w:tcBorders>
                    <w:tl2br w:val="nil"/>
                    <w:tr2bl w:val="nil"/>
                  </w:tcBorders>
                  <w:noWrap w:val="0"/>
                  <w:vAlign w:val="center"/>
                </w:tcPr>
                <w:p>
                  <w:pPr>
                    <w:pStyle w:val="27"/>
                    <w:rPr>
                      <w:rFonts w:hint="default" w:ascii="Times New Roman" w:hAnsi="Times New Roman" w:eastAsia="宋体" w:cs="Times New Roman"/>
                      <w:b/>
                      <w:bCs/>
                      <w:color w:val="auto"/>
                      <w:kern w:val="2"/>
                      <w:sz w:val="21"/>
                      <w:szCs w:val="21"/>
                      <w:highlight w:val="none"/>
                      <w:lang w:val="en-US" w:eastAsia="zh-CN" w:bidi="ar-SA"/>
                    </w:rPr>
                  </w:pPr>
                  <w:r>
                    <w:rPr>
                      <w:color w:val="auto"/>
                      <w:lang w:val="en-GB"/>
                    </w:rPr>
                    <w:t>清洗车辆、路面定期洒水</w:t>
                  </w:r>
                </w:p>
              </w:tc>
              <w:tc>
                <w:tcPr>
                  <w:tcW w:w="36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t>
                  </w:r>
                </w:p>
              </w:tc>
              <w:tc>
                <w:tcPr>
                  <w:tcW w:w="576" w:type="pct"/>
                  <w:tcBorders>
                    <w:tl2br w:val="nil"/>
                    <w:tr2bl w:val="nil"/>
                  </w:tcBorders>
                  <w:noWrap w:val="0"/>
                  <w:vAlign w:val="center"/>
                </w:tcPr>
                <w:p>
                  <w:pPr>
                    <w:pStyle w:val="27"/>
                    <w:rPr>
                      <w:rFonts w:hint="default" w:ascii="Times New Roman" w:hAnsi="Times New Roman" w:eastAsia="宋体" w:cs="Times New Roman"/>
                      <w:color w:val="auto"/>
                      <w:kern w:val="2"/>
                      <w:sz w:val="21"/>
                      <w:szCs w:val="21"/>
                      <w:highlight w:val="none"/>
                      <w:lang w:val="en-US" w:eastAsia="zh-CN" w:bidi="ar-SA"/>
                    </w:rPr>
                  </w:pPr>
                  <w:r>
                    <w:rPr>
                      <w:rFonts w:hint="eastAsia"/>
                      <w:color w:val="auto"/>
                    </w:rPr>
                    <w:t>90</w:t>
                  </w:r>
                  <w:r>
                    <w:rPr>
                      <w:color w:val="auto"/>
                    </w:rPr>
                    <w:t>%</w:t>
                  </w:r>
                </w:p>
              </w:tc>
              <w:tc>
                <w:tcPr>
                  <w:tcW w:w="437"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0.0122 </w:t>
                  </w:r>
                </w:p>
              </w:tc>
              <w:tc>
                <w:tcPr>
                  <w:tcW w:w="437" w:type="pct"/>
                  <w:tcBorders>
                    <w:tl2br w:val="nil"/>
                    <w:tr2bl w:val="nil"/>
                  </w:tcBorders>
                  <w:noWrap w:val="0"/>
                  <w:vAlign w:val="center"/>
                </w:tcPr>
                <w:p>
                  <w:pPr>
                    <w:pStyle w:val="44"/>
                    <w:spacing w:line="240" w:lineRule="auto"/>
                    <w:jc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color w:val="auto"/>
                      <w:kern w:val="2"/>
                      <w:sz w:val="21"/>
                      <w:szCs w:val="21"/>
                      <w:highlight w:val="none"/>
                      <w:lang w:val="en-US" w:eastAsia="zh-CN" w:bidi="ar-SA"/>
                    </w:rPr>
                    <w:t>/</w:t>
                  </w:r>
                </w:p>
              </w:tc>
              <w:tc>
                <w:tcPr>
                  <w:tcW w:w="879"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w:t>
                  </w:r>
                </w:p>
              </w:tc>
            </w:tr>
            <w:bookmarkEnd w:id="5"/>
          </w:tbl>
          <w:p>
            <w:pPr>
              <w:adjustRightInd w:val="0"/>
              <w:snapToGrid w:val="0"/>
              <w:ind w:firstLine="480" w:firstLineChars="200"/>
              <w:rPr>
                <w:rFonts w:hint="eastAsia" w:cs="Times New Roman"/>
                <w:b w:val="0"/>
                <w:bCs w:val="0"/>
                <w:color w:val="auto"/>
                <w:highlight w:val="none"/>
                <w:lang w:val="zh-CN" w:eastAsia="zh-CN"/>
              </w:rPr>
            </w:pPr>
            <w:r>
              <w:rPr>
                <w:rFonts w:hint="eastAsia" w:cs="Times New Roman"/>
                <w:b w:val="0"/>
                <w:bCs w:val="0"/>
                <w:color w:val="auto"/>
                <w:highlight w:val="none"/>
                <w:lang w:val="en-US" w:eastAsia="zh-CN"/>
              </w:rPr>
              <w:t>1）</w:t>
            </w:r>
            <w:r>
              <w:rPr>
                <w:rFonts w:hint="eastAsia" w:cs="Times New Roman"/>
                <w:b w:val="0"/>
                <w:bCs w:val="0"/>
                <w:color w:val="auto"/>
                <w:highlight w:val="none"/>
                <w:lang w:val="zh-CN" w:eastAsia="zh-CN"/>
              </w:rPr>
              <w:t>堆存、装卸粉尘</w:t>
            </w:r>
          </w:p>
          <w:p>
            <w:pPr>
              <w:ind w:firstLine="480" w:firstLineChars="200"/>
              <w:rPr>
                <w:b w:val="0"/>
                <w:bCs w:val="0"/>
                <w:color w:val="auto"/>
              </w:rPr>
            </w:pPr>
            <w:r>
              <w:rPr>
                <w:rFonts w:hint="eastAsia" w:cs="Times New Roman"/>
                <w:b w:val="0"/>
                <w:bCs w:val="0"/>
                <w:color w:val="auto"/>
                <w:highlight w:val="none"/>
              </w:rPr>
              <w:t>本项目拟设置有原料堆场约</w:t>
            </w:r>
            <w:r>
              <w:rPr>
                <w:rFonts w:cs="Times New Roman"/>
                <w:b w:val="0"/>
                <w:bCs w:val="0"/>
                <w:color w:val="auto"/>
                <w:highlight w:val="none"/>
              </w:rPr>
              <w:t>5</w:t>
            </w:r>
            <w:r>
              <w:rPr>
                <w:rFonts w:hint="eastAsia" w:cs="Times New Roman"/>
                <w:b w:val="0"/>
                <w:bCs w:val="0"/>
                <w:color w:val="auto"/>
                <w:highlight w:val="none"/>
                <w:lang w:val="en-US" w:eastAsia="zh-CN"/>
              </w:rPr>
              <w:t>6</w:t>
            </w:r>
            <w:r>
              <w:rPr>
                <w:rFonts w:cs="Times New Roman"/>
                <w:b w:val="0"/>
                <w:bCs w:val="0"/>
                <w:color w:val="auto"/>
                <w:highlight w:val="none"/>
              </w:rPr>
              <w:t>00</w:t>
            </w:r>
            <w:r>
              <w:rPr>
                <w:rFonts w:hint="eastAsia" w:cs="Times New Roman"/>
                <w:b w:val="0"/>
                <w:bCs w:val="0"/>
                <w:color w:val="auto"/>
                <w:highlight w:val="none"/>
              </w:rPr>
              <w:t>m</w:t>
            </w:r>
            <w:r>
              <w:rPr>
                <w:rFonts w:cs="Times New Roman"/>
                <w:b w:val="0"/>
                <w:bCs w:val="0"/>
                <w:color w:val="auto"/>
                <w:highlight w:val="none"/>
                <w:vertAlign w:val="superscript"/>
              </w:rPr>
              <w:t>2</w:t>
            </w:r>
            <w:r>
              <w:rPr>
                <w:rFonts w:hint="eastAsia" w:cs="Times New Roman"/>
                <w:b w:val="0"/>
                <w:bCs w:val="0"/>
                <w:color w:val="auto"/>
                <w:highlight w:val="none"/>
              </w:rPr>
              <w:t>，</w:t>
            </w:r>
            <w:r>
              <w:rPr>
                <w:b w:val="0"/>
                <w:bCs w:val="0"/>
                <w:color w:val="auto"/>
                <w:lang w:val="zh-CN"/>
              </w:rPr>
              <w:t>生产原料暂存于封闭式厂房内，主要是原料砂子中粒径较小的颗粒、渣在风力作用下起动输送，会对下风向大气环境造成污染。</w: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lang w:val="zh-CN"/>
              </w:rPr>
              <w:t>本项目堆存、装卸粉尘</w:t>
            </w:r>
            <w:r>
              <w:rPr>
                <w:rFonts w:cs="Times New Roman"/>
                <w:b w:val="0"/>
                <w:bCs w:val="0"/>
                <w:color w:val="auto"/>
                <w:highlight w:val="none"/>
              </w:rPr>
              <w:t>参照“关于发布《排放源统计调查产排污核算方法和系数手册》的公告（公告2021年 第24号）”中“附表2 《固体物料堆存颗粒物产排污核算系数手册》”进行计算。</w:t>
            </w:r>
          </w:p>
          <w:p>
            <w:pPr>
              <w:adjustRightInd w:val="0"/>
              <w:snapToGrid w:val="0"/>
              <w:ind w:firstLine="480" w:firstLineChars="200"/>
              <w:rPr>
                <w:rFonts w:hint="eastAsia" w:cs="Times New Roman" w:eastAsiaTheme="minorEastAsia"/>
                <w:b w:val="0"/>
                <w:bCs w:val="0"/>
                <w:color w:val="auto"/>
                <w:highlight w:val="none"/>
                <w:lang w:val="en-US" w:eastAsia="zh-CN"/>
              </w:rPr>
            </w:pPr>
            <w:r>
              <w:rPr>
                <w:rFonts w:hint="eastAsia" w:cs="Times New Roman"/>
                <w:b w:val="0"/>
                <w:bCs w:val="0"/>
                <w:color w:val="auto"/>
                <w:highlight w:val="none"/>
              </w:rPr>
              <w:t>①</w:t>
            </w:r>
            <w:r>
              <w:rPr>
                <w:rFonts w:hint="eastAsia" w:cs="Times New Roman"/>
                <w:b w:val="0"/>
                <w:bCs w:val="0"/>
                <w:color w:val="auto"/>
                <w:highlight w:val="none"/>
                <w:lang w:val="en-US" w:eastAsia="zh-CN"/>
              </w:rPr>
              <w:t>颗粒物</w:t>
            </w:r>
            <w:r>
              <w:rPr>
                <w:rFonts w:hint="eastAsia" w:cs="Times New Roman"/>
                <w:b w:val="0"/>
                <w:bCs w:val="0"/>
                <w:color w:val="auto"/>
                <w:highlight w:val="none"/>
              </w:rPr>
              <w:t>产生量</w:t>
            </w:r>
            <w:r>
              <w:rPr>
                <w:rFonts w:hint="eastAsia" w:cs="Times New Roman"/>
                <w:b w:val="0"/>
                <w:bCs w:val="0"/>
                <w:color w:val="auto"/>
                <w:highlight w:val="none"/>
                <w:lang w:val="en-US" w:eastAsia="zh-CN"/>
              </w:rPr>
              <w:t>核算</w: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lang w:val="zh-CN"/>
              </w:rPr>
              <w:t>工业企业固体物料堆存颗粒物包括装卸扬尘和风蚀扬尘，颗粒物产生量核算公式</w:t>
            </w:r>
            <w:r>
              <w:rPr>
                <w:rFonts w:hint="eastAsia" w:cs="Times New Roman"/>
                <w:b w:val="0"/>
                <w:bCs w:val="0"/>
                <w:color w:val="auto"/>
                <w:highlight w:val="none"/>
                <w:lang w:val="zh-CN"/>
              </w:rPr>
              <w:t>为</w:t>
            </w:r>
            <w:r>
              <w:rPr>
                <w:rFonts w:cs="Times New Roman"/>
                <w:b w:val="0"/>
                <w:bCs w:val="0"/>
                <w:color w:val="auto"/>
                <w:highlight w:val="none"/>
                <w:lang w:val="zh-CN"/>
              </w:rPr>
              <w:t>：</w:t>
            </w:r>
          </w:p>
          <w:p>
            <w:pPr>
              <w:adjustRightInd w:val="0"/>
              <w:snapToGrid w:val="0"/>
              <w:ind w:firstLine="0" w:firstLineChars="0"/>
              <w:jc w:val="center"/>
              <w:rPr>
                <w:rFonts w:cs="Times New Roman"/>
                <w:b w:val="0"/>
                <w:bCs w:val="0"/>
                <w:color w:val="auto"/>
                <w:highlight w:val="none"/>
              </w:rPr>
            </w:pPr>
            <w:r>
              <w:rPr>
                <w:rFonts w:cs="Times New Roman"/>
                <w:b w:val="0"/>
                <w:bCs w:val="0"/>
                <w:color w:val="auto"/>
                <w:highlight w:val="none"/>
              </w:rPr>
              <w:object>
                <v:shape id="_x0000_i1025" o:spt="75" type="#_x0000_t75" style="height:20.1pt;width:245.3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rPr>
              <w:t>式中：P——指颗粒物产生量（单位：t）；</w:t>
            </w:r>
          </w:p>
          <w:p>
            <w:pPr>
              <w:adjustRightInd w:val="0"/>
              <w:snapToGrid w:val="0"/>
              <w:ind w:firstLine="1200" w:firstLineChars="500"/>
              <w:rPr>
                <w:rFonts w:cs="Times New Roman"/>
                <w:b w:val="0"/>
                <w:bCs w:val="0"/>
                <w:color w:val="auto"/>
                <w:highlight w:val="none"/>
                <w:lang w:val="en-US"/>
              </w:rPr>
            </w:pPr>
            <w:r>
              <w:rPr>
                <w:rFonts w:cs="Times New Roman"/>
                <w:b w:val="0"/>
                <w:bCs w:val="0"/>
                <w:color w:val="auto"/>
                <w:highlight w:val="none"/>
                <w:lang w:val="en-US"/>
              </w:rPr>
              <w:t>ZC</w:t>
            </w:r>
            <w:r>
              <w:rPr>
                <w:rFonts w:cs="Times New Roman"/>
                <w:b w:val="0"/>
                <w:bCs w:val="0"/>
                <w:color w:val="auto"/>
                <w:highlight w:val="none"/>
                <w:vertAlign w:val="subscript"/>
                <w:lang w:val="en-US"/>
              </w:rPr>
              <w:t>y</w:t>
            </w:r>
            <w:r>
              <w:rPr>
                <w:rFonts w:cs="Times New Roman"/>
                <w:b w:val="0"/>
                <w:bCs w:val="0"/>
                <w:color w:val="auto"/>
                <w:highlight w:val="none"/>
                <w:lang w:val="en-US"/>
              </w:rPr>
              <w:t>——指装卸扬尘产生量（单位：t）；</w:t>
            </w:r>
          </w:p>
          <w:p>
            <w:pPr>
              <w:adjustRightInd w:val="0"/>
              <w:snapToGrid w:val="0"/>
              <w:ind w:firstLine="1200" w:firstLineChars="500"/>
              <w:rPr>
                <w:rFonts w:cs="Times New Roman"/>
                <w:b w:val="0"/>
                <w:bCs w:val="0"/>
                <w:color w:val="auto"/>
                <w:highlight w:val="none"/>
                <w:lang w:val="en-US"/>
              </w:rPr>
            </w:pPr>
            <w:r>
              <w:rPr>
                <w:rFonts w:cs="Times New Roman"/>
                <w:b w:val="0"/>
                <w:bCs w:val="0"/>
                <w:color w:val="auto"/>
                <w:highlight w:val="none"/>
                <w:lang w:val="en-US"/>
              </w:rPr>
              <w:t>FC</w:t>
            </w:r>
            <w:r>
              <w:rPr>
                <w:rFonts w:cs="Times New Roman"/>
                <w:b w:val="0"/>
                <w:bCs w:val="0"/>
                <w:color w:val="auto"/>
                <w:highlight w:val="none"/>
                <w:vertAlign w:val="subscript"/>
                <w:lang w:val="en-US"/>
              </w:rPr>
              <w:t>y</w:t>
            </w:r>
            <w:r>
              <w:rPr>
                <w:rFonts w:cs="Times New Roman"/>
                <w:b w:val="0"/>
                <w:bCs w:val="0"/>
                <w:color w:val="auto"/>
                <w:highlight w:val="none"/>
                <w:lang w:val="en-US"/>
              </w:rPr>
              <w:t>——指风蚀扬尘产生量（单位：t）；</w:t>
            </w:r>
          </w:p>
          <w:p>
            <w:pPr>
              <w:adjustRightInd w:val="0"/>
              <w:snapToGrid w:val="0"/>
              <w:ind w:firstLine="1200" w:firstLineChars="500"/>
              <w:rPr>
                <w:rFonts w:cs="Times New Roman"/>
                <w:b w:val="0"/>
                <w:bCs w:val="0"/>
                <w:color w:val="auto"/>
                <w:highlight w:val="none"/>
              </w:rPr>
            </w:pPr>
            <w:r>
              <w:rPr>
                <w:rFonts w:cs="Times New Roman"/>
                <w:b w:val="0"/>
                <w:bCs w:val="0"/>
                <w:color w:val="auto"/>
                <w:highlight w:val="none"/>
              </w:rPr>
              <w:t>N</w:t>
            </w:r>
            <w:r>
              <w:rPr>
                <w:rFonts w:cs="Times New Roman"/>
                <w:b w:val="0"/>
                <w:bCs w:val="0"/>
                <w:color w:val="auto"/>
                <w:highlight w:val="none"/>
                <w:vertAlign w:val="subscript"/>
              </w:rPr>
              <w:t>c</w:t>
            </w:r>
            <w:r>
              <w:rPr>
                <w:rFonts w:cs="Times New Roman"/>
                <w:b w:val="0"/>
                <w:bCs w:val="0"/>
                <w:color w:val="auto"/>
                <w:highlight w:val="none"/>
              </w:rPr>
              <w:t>——指年物料运载车次（单位：车）；</w:t>
            </w:r>
          </w:p>
          <w:p>
            <w:pPr>
              <w:adjustRightInd w:val="0"/>
              <w:snapToGrid w:val="0"/>
              <w:ind w:firstLine="1200" w:firstLineChars="500"/>
              <w:rPr>
                <w:rFonts w:cs="Times New Roman"/>
                <w:b w:val="0"/>
                <w:bCs w:val="0"/>
                <w:color w:val="auto"/>
                <w:highlight w:val="none"/>
              </w:rPr>
            </w:pPr>
            <w:r>
              <w:rPr>
                <w:rFonts w:cs="Times New Roman"/>
                <w:b w:val="0"/>
                <w:bCs w:val="0"/>
                <w:color w:val="auto"/>
                <w:highlight w:val="none"/>
              </w:rPr>
              <w:t>D——指单车平均运载量（单位：t/车）；</w:t>
            </w:r>
          </w:p>
          <w:p>
            <w:pPr>
              <w:adjustRightInd w:val="0"/>
              <w:snapToGrid w:val="0"/>
              <w:ind w:firstLine="960" w:firstLineChars="400"/>
              <w:rPr>
                <w:rFonts w:cs="Times New Roman"/>
                <w:b w:val="0"/>
                <w:bCs w:val="0"/>
                <w:color w:val="auto"/>
                <w:highlight w:val="none"/>
              </w:rPr>
            </w:pPr>
            <w:r>
              <w:rPr>
                <w:rFonts w:hint="eastAsia" w:ascii="Times New Roman" w:hAnsi="Times New Roman" w:cs="Times New Roman"/>
                <w:b w:val="0"/>
                <w:bCs w:val="0"/>
                <w:color w:val="auto"/>
                <w:highlight w:val="none"/>
                <w:lang w:eastAsia="zh-CN"/>
              </w:rPr>
              <w:t>（</w:t>
            </w:r>
            <w:r>
              <w:rPr>
                <w:rFonts w:hint="eastAsia" w:ascii="Times New Roman" w:hAnsi="Times New Roman" w:cs="Times New Roman"/>
                <w:b w:val="0"/>
                <w:bCs w:val="0"/>
                <w:color w:val="auto"/>
                <w:highlight w:val="none"/>
                <w:lang w:val="en-US" w:eastAsia="zh-CN"/>
              </w:rPr>
              <w:t>a/b</w:t>
            </w:r>
            <w:r>
              <w:rPr>
                <w:rFonts w:hint="eastAsia" w:ascii="Times New Roman" w:hAnsi="Times New Roman" w:cs="Times New Roman"/>
                <w:b w:val="0"/>
                <w:bCs w:val="0"/>
                <w:color w:val="auto"/>
                <w:highlight w:val="none"/>
                <w:lang w:eastAsia="zh-CN"/>
              </w:rPr>
              <w:t>）</w:t>
            </w:r>
            <w:r>
              <w:rPr>
                <w:rFonts w:hint="eastAsia" w:cs="Times New Roman"/>
                <w:b w:val="0"/>
                <w:bCs w:val="0"/>
                <w:color w:val="auto"/>
                <w:highlight w:val="none"/>
                <w:lang w:eastAsia="zh-CN"/>
              </w:rPr>
              <w:t>——</w:t>
            </w:r>
            <w:r>
              <w:rPr>
                <w:rFonts w:ascii="Times New Roman" w:hAnsi="Times New Roman" w:cs="Times New Roman"/>
                <w:b w:val="0"/>
                <w:bCs w:val="0"/>
                <w:color w:val="auto"/>
                <w:highlight w:val="none"/>
              </w:rPr>
              <w:t>扬</w:t>
            </w:r>
            <w:r>
              <w:rPr>
                <w:rFonts w:cs="Times New Roman"/>
                <w:b w:val="0"/>
                <w:bCs w:val="0"/>
                <w:color w:val="auto"/>
                <w:highlight w:val="none"/>
              </w:rPr>
              <w:t>尘概化系数（单位：kg/t），ɑ指各省风速概化系数（陕西省为</w: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rPr>
              <w:t>0.0008），b指物料含水率概化系数（本项目为0.00</w:t>
            </w:r>
            <w:r>
              <w:rPr>
                <w:rFonts w:hint="eastAsia" w:cs="Times New Roman"/>
                <w:b w:val="0"/>
                <w:bCs w:val="0"/>
                <w:color w:val="auto"/>
                <w:highlight w:val="none"/>
              </w:rPr>
              <w:t>84</w:t>
            </w:r>
            <w:r>
              <w:rPr>
                <w:rFonts w:cs="Times New Roman"/>
                <w:b w:val="0"/>
                <w:bCs w:val="0"/>
                <w:color w:val="auto"/>
                <w:highlight w:val="none"/>
              </w:rPr>
              <w:t>）；</w:t>
            </w:r>
          </w:p>
          <w:p>
            <w:pPr>
              <w:adjustRightInd w:val="0"/>
              <w:snapToGrid w:val="0"/>
              <w:ind w:firstLine="1200" w:firstLineChars="500"/>
              <w:rPr>
                <w:rFonts w:cs="Times New Roman"/>
                <w:b w:val="0"/>
                <w:bCs w:val="0"/>
                <w:color w:val="auto"/>
                <w:highlight w:val="none"/>
                <w:lang w:val="en-US"/>
              </w:rPr>
            </w:pPr>
            <w:r>
              <w:rPr>
                <w:rFonts w:cs="Times New Roman"/>
                <w:b w:val="0"/>
                <w:bCs w:val="0"/>
                <w:color w:val="auto"/>
                <w:highlight w:val="none"/>
                <w:lang w:val="en-US"/>
              </w:rPr>
              <w:t>E</w:t>
            </w:r>
            <w:r>
              <w:rPr>
                <w:rFonts w:cs="Times New Roman"/>
                <w:b w:val="0"/>
                <w:bCs w:val="0"/>
                <w:color w:val="auto"/>
                <w:highlight w:val="none"/>
                <w:vertAlign w:val="subscript"/>
                <w:lang w:val="en-US"/>
              </w:rPr>
              <w:t>f</w:t>
            </w:r>
            <w:r>
              <w:rPr>
                <w:rFonts w:cs="Times New Roman"/>
                <w:b w:val="0"/>
                <w:bCs w:val="0"/>
                <w:color w:val="auto"/>
                <w:highlight w:val="none"/>
                <w:lang w:val="en-US"/>
              </w:rPr>
              <w:t>——指堆场风蚀扬尘概化系数（单位：kg/m</w:t>
            </w:r>
            <w:r>
              <w:rPr>
                <w:rFonts w:cs="Times New Roman"/>
                <w:b w:val="0"/>
                <w:bCs w:val="0"/>
                <w:color w:val="auto"/>
                <w:highlight w:val="none"/>
                <w:vertAlign w:val="superscript"/>
                <w:lang w:val="en-US"/>
              </w:rPr>
              <w:t>2</w:t>
            </w:r>
            <w:r>
              <w:rPr>
                <w:rFonts w:cs="Times New Roman"/>
                <w:b w:val="0"/>
                <w:bCs w:val="0"/>
                <w:color w:val="auto"/>
                <w:highlight w:val="none"/>
                <w:lang w:val="en-US"/>
              </w:rPr>
              <w:t>）（本项目为3.6062）；</w:t>
            </w:r>
          </w:p>
          <w:p>
            <w:pPr>
              <w:adjustRightInd w:val="0"/>
              <w:snapToGrid w:val="0"/>
              <w:ind w:firstLine="1200" w:firstLineChars="500"/>
              <w:rPr>
                <w:rFonts w:cs="Times New Roman"/>
                <w:b w:val="0"/>
                <w:bCs w:val="0"/>
                <w:color w:val="auto"/>
                <w:highlight w:val="none"/>
              </w:rPr>
            </w:pPr>
            <w:r>
              <w:rPr>
                <w:rFonts w:cs="Times New Roman"/>
                <w:b w:val="0"/>
                <w:bCs w:val="0"/>
                <w:color w:val="auto"/>
                <w:highlight w:val="none"/>
              </w:rPr>
              <w:t>S——指堆场占地面积（单位：m</w:t>
            </w:r>
            <w:r>
              <w:rPr>
                <w:rFonts w:cs="Times New Roman"/>
                <w:b w:val="0"/>
                <w:bCs w:val="0"/>
                <w:color w:val="auto"/>
                <w:highlight w:val="none"/>
                <w:vertAlign w:val="superscript"/>
              </w:rPr>
              <w:t>2</w:t>
            </w:r>
            <w:r>
              <w:rPr>
                <w:rFonts w:cs="Times New Roman"/>
                <w:b w:val="0"/>
                <w:bCs w:val="0"/>
                <w:color w:val="auto"/>
                <w:highlight w:val="none"/>
              </w:rPr>
              <w:t>）（</w:t>
            </w:r>
            <w:r>
              <w:rPr>
                <w:rFonts w:hint="eastAsia" w:cs="Times New Roman"/>
                <w:b w:val="0"/>
                <w:bCs w:val="0"/>
                <w:color w:val="auto"/>
                <w:highlight w:val="none"/>
              </w:rPr>
              <w:t>全厂堆料场</w:t>
            </w:r>
            <w:r>
              <w:rPr>
                <w:rFonts w:cs="Times New Roman"/>
                <w:b w:val="0"/>
                <w:bCs w:val="0"/>
                <w:color w:val="auto"/>
                <w:highlight w:val="none"/>
              </w:rPr>
              <w:t>占地面积</w:t>
            </w:r>
            <w:r>
              <w:rPr>
                <w:rFonts w:hint="eastAsia" w:cs="Times New Roman"/>
                <w:b w:val="0"/>
                <w:bCs w:val="0"/>
                <w:color w:val="auto"/>
                <w:highlight w:val="none"/>
              </w:rPr>
              <w:t>约</w:t>
            </w:r>
            <w:r>
              <w:rPr>
                <w:rFonts w:cs="Times New Roman"/>
                <w:b w:val="0"/>
                <w:bCs w:val="0"/>
                <w:color w:val="auto"/>
                <w:highlight w:val="none"/>
              </w:rPr>
              <w:t>5</w:t>
            </w:r>
            <w:r>
              <w:rPr>
                <w:rFonts w:hint="eastAsia" w:cs="Times New Roman"/>
                <w:b w:val="0"/>
                <w:bCs w:val="0"/>
                <w:color w:val="auto"/>
                <w:highlight w:val="none"/>
                <w:lang w:val="en-US" w:eastAsia="zh-CN"/>
              </w:rPr>
              <w:t>6</w:t>
            </w:r>
            <w:r>
              <w:rPr>
                <w:rFonts w:cs="Times New Roman"/>
                <w:b w:val="0"/>
                <w:bCs w:val="0"/>
                <w:color w:val="auto"/>
                <w:highlight w:val="none"/>
              </w:rPr>
              <w:t>00m</w:t>
            </w:r>
            <w:r>
              <w:rPr>
                <w:rFonts w:cs="Times New Roman"/>
                <w:b w:val="0"/>
                <w:bCs w:val="0"/>
                <w:color w:val="auto"/>
                <w:highlight w:val="none"/>
                <w:vertAlign w:val="superscript"/>
              </w:rPr>
              <w:t>2</w:t>
            </w:r>
            <w:r>
              <w:rPr>
                <w:rFonts w:cs="Times New Roman"/>
                <w:b w:val="0"/>
                <w:bCs w:val="0"/>
                <w:color w:val="auto"/>
                <w:highlight w:val="none"/>
              </w:rPr>
              <w:t>）</w:t>
            </w:r>
          </w:p>
          <w:p>
            <w:pPr>
              <w:adjustRightInd w:val="0"/>
              <w:snapToGrid w:val="0"/>
              <w:ind w:firstLine="480" w:firstLineChars="200"/>
              <w:rPr>
                <w:rFonts w:cs="Times New Roman"/>
                <w:b w:val="0"/>
                <w:bCs w:val="0"/>
                <w:color w:val="auto"/>
                <w:highlight w:val="none"/>
                <w:lang w:val="en-US"/>
              </w:rPr>
            </w:pPr>
            <w:r>
              <w:rPr>
                <w:rFonts w:hint="eastAsia" w:cs="Times New Roman"/>
                <w:b w:val="0"/>
                <w:bCs w:val="0"/>
                <w:color w:val="auto"/>
                <w:highlight w:val="none"/>
                <w:lang w:val="en-US" w:eastAsia="zh-CN"/>
              </w:rPr>
              <w:t>本项目水稳材料和环保水泥砖所需原材料</w:t>
            </w:r>
            <w:r>
              <w:rPr>
                <w:rFonts w:hint="eastAsia" w:cs="Times New Roman"/>
                <w:b w:val="0"/>
                <w:bCs w:val="0"/>
                <w:color w:val="auto"/>
                <w:highlight w:val="none"/>
                <w:lang w:val="en-US"/>
              </w:rPr>
              <w:t>石子、砂子</w:t>
            </w:r>
            <w:r>
              <w:rPr>
                <w:rFonts w:hint="eastAsia" w:cs="Times New Roman"/>
                <w:b w:val="0"/>
                <w:bCs w:val="0"/>
                <w:color w:val="auto"/>
                <w:highlight w:val="none"/>
                <w:lang w:val="en-US" w:eastAsia="zh-CN"/>
              </w:rPr>
              <w:t>、骨料等</w:t>
            </w:r>
            <w:r>
              <w:rPr>
                <w:rFonts w:hint="eastAsia" w:cs="Times New Roman"/>
                <w:b w:val="0"/>
                <w:bCs w:val="0"/>
                <w:color w:val="auto"/>
                <w:highlight w:val="none"/>
                <w:lang w:val="en-US"/>
              </w:rPr>
              <w:t>在料场进行堆存，其</w:t>
            </w:r>
            <w:r>
              <w:rPr>
                <w:rFonts w:cs="Times New Roman"/>
                <w:b w:val="0"/>
                <w:bCs w:val="0"/>
                <w:color w:val="auto"/>
                <w:highlight w:val="none"/>
                <w:lang w:val="en-US"/>
              </w:rPr>
              <w:t>年卸车量</w:t>
            </w:r>
            <w:r>
              <w:rPr>
                <w:rFonts w:hint="eastAsia" w:cs="Times New Roman"/>
                <w:b w:val="0"/>
                <w:bCs w:val="0"/>
                <w:color w:val="auto"/>
                <w:highlight w:val="none"/>
                <w:lang w:val="en-US"/>
              </w:rPr>
              <w:t>约为</w:t>
            </w:r>
            <w:r>
              <w:rPr>
                <w:rFonts w:hint="eastAsia" w:cs="Times New Roman"/>
                <w:b w:val="0"/>
                <w:bCs w:val="0"/>
                <w:color w:val="auto"/>
                <w:highlight w:val="none"/>
                <w:lang w:val="en-US" w:eastAsia="zh-CN"/>
              </w:rPr>
              <w:t>29.375</w:t>
            </w:r>
            <w:r>
              <w:rPr>
                <w:rFonts w:cs="Times New Roman"/>
                <w:b w:val="0"/>
                <w:bCs w:val="0"/>
                <w:color w:val="auto"/>
                <w:highlight w:val="none"/>
                <w:lang w:val="en-US"/>
              </w:rPr>
              <w:t>万t</w:t>
            </w:r>
            <w:r>
              <w:rPr>
                <w:rFonts w:hint="eastAsia" w:cs="Times New Roman"/>
                <w:b w:val="0"/>
                <w:bCs w:val="0"/>
                <w:color w:val="auto"/>
                <w:highlight w:val="none"/>
                <w:lang w:val="en-US"/>
              </w:rPr>
              <w:t>。单车平均运载量以</w:t>
            </w:r>
            <w:r>
              <w:rPr>
                <w:rFonts w:hint="eastAsia" w:cs="Times New Roman"/>
                <w:b w:val="0"/>
                <w:bCs w:val="0"/>
                <w:color w:val="auto"/>
                <w:highlight w:val="none"/>
                <w:lang w:val="en-US" w:eastAsia="zh-CN"/>
              </w:rPr>
              <w:t>40</w:t>
            </w:r>
            <w:r>
              <w:rPr>
                <w:rFonts w:hint="eastAsia" w:cs="Times New Roman"/>
                <w:b w:val="0"/>
                <w:bCs w:val="0"/>
                <w:color w:val="auto"/>
                <w:highlight w:val="none"/>
                <w:lang w:val="en-US"/>
              </w:rPr>
              <w:t>t/车计，则全厂年</w:t>
            </w:r>
            <w:r>
              <w:rPr>
                <w:rFonts w:cs="Times New Roman"/>
                <w:b w:val="0"/>
                <w:bCs w:val="0"/>
                <w:color w:val="auto"/>
                <w:highlight w:val="none"/>
                <w:lang w:val="en-US"/>
              </w:rPr>
              <w:t>卸车次数</w:t>
            </w:r>
            <w:r>
              <w:rPr>
                <w:rFonts w:hint="eastAsia" w:cs="Times New Roman"/>
                <w:b w:val="0"/>
                <w:bCs w:val="0"/>
                <w:color w:val="auto"/>
                <w:highlight w:val="none"/>
                <w:lang w:val="en-US"/>
              </w:rPr>
              <w:t>约</w:t>
            </w:r>
            <w:r>
              <w:rPr>
                <w:rFonts w:cs="Times New Roman"/>
                <w:b w:val="0"/>
                <w:bCs w:val="0"/>
                <w:color w:val="auto"/>
                <w:highlight w:val="none"/>
                <w:lang w:val="en-US"/>
              </w:rPr>
              <w:t>为</w:t>
            </w:r>
            <w:r>
              <w:rPr>
                <w:rFonts w:hint="eastAsia" w:cs="Times New Roman"/>
                <w:b w:val="0"/>
                <w:bCs w:val="0"/>
                <w:color w:val="auto"/>
                <w:highlight w:val="none"/>
                <w:lang w:val="en-US" w:eastAsia="zh-CN"/>
              </w:rPr>
              <w:t>7344</w:t>
            </w:r>
            <w:r>
              <w:rPr>
                <w:rFonts w:cs="Times New Roman"/>
                <w:b w:val="0"/>
                <w:bCs w:val="0"/>
                <w:color w:val="auto"/>
                <w:highlight w:val="none"/>
                <w:lang w:val="en-US"/>
              </w:rPr>
              <w:t>次</w:t>
            </w:r>
            <w:r>
              <w:rPr>
                <w:rFonts w:hint="eastAsia" w:cs="Times New Roman"/>
                <w:b w:val="0"/>
                <w:bCs w:val="0"/>
                <w:color w:val="auto"/>
                <w:highlight w:val="none"/>
                <w:lang w:val="en-US"/>
              </w:rPr>
              <w:t>。</w:t>
            </w:r>
            <w:r>
              <w:rPr>
                <w:rFonts w:cs="Times New Roman"/>
                <w:b w:val="0"/>
                <w:bCs w:val="0"/>
                <w:color w:val="auto"/>
                <w:highlight w:val="none"/>
                <w:lang w:val="en-US"/>
              </w:rPr>
              <w:t>经计算，堆存、装卸粉尘产生量为</w:t>
            </w:r>
            <w:r>
              <w:rPr>
                <w:rFonts w:hint="eastAsia" w:cs="Times New Roman"/>
                <w:b w:val="0"/>
                <w:bCs w:val="0"/>
                <w:color w:val="auto"/>
                <w:highlight w:val="none"/>
                <w:lang w:val="en-US" w:eastAsia="zh-CN"/>
              </w:rPr>
              <w:t>68.37</w:t>
            </w:r>
            <w:r>
              <w:rPr>
                <w:rFonts w:cs="Times New Roman"/>
                <w:b w:val="0"/>
                <w:bCs w:val="0"/>
                <w:color w:val="auto"/>
                <w:highlight w:val="none"/>
                <w:lang w:val="en-US"/>
              </w:rPr>
              <w:t>t/a。</w:t>
            </w:r>
          </w:p>
          <w:p>
            <w:pPr>
              <w:adjustRightInd w:val="0"/>
              <w:snapToGrid w:val="0"/>
              <w:ind w:firstLine="480" w:firstLineChars="200"/>
              <w:rPr>
                <w:rFonts w:cs="Times New Roman"/>
                <w:b w:val="0"/>
                <w:bCs w:val="0"/>
                <w:color w:val="auto"/>
                <w:highlight w:val="none"/>
                <w:lang w:val="en-US"/>
              </w:rPr>
            </w:pPr>
            <w:r>
              <w:rPr>
                <w:rFonts w:hint="eastAsia" w:cs="Times New Roman"/>
                <w:b w:val="0"/>
                <w:bCs w:val="0"/>
                <w:color w:val="auto"/>
                <w:highlight w:val="none"/>
                <w:lang w:val="en-US"/>
              </w:rPr>
              <w:t>②堆存、装卸粉尘</w:t>
            </w:r>
            <w:r>
              <w:rPr>
                <w:rFonts w:cs="Times New Roman"/>
                <w:b w:val="0"/>
                <w:bCs w:val="0"/>
                <w:color w:val="auto"/>
                <w:highlight w:val="none"/>
                <w:lang w:val="en-US"/>
              </w:rPr>
              <w:t>排放量</w:t>
            </w:r>
          </w:p>
          <w:p>
            <w:pPr>
              <w:adjustRightInd w:val="0"/>
              <w:snapToGrid w:val="0"/>
              <w:ind w:firstLine="480" w:firstLineChars="200"/>
              <w:rPr>
                <w:rFonts w:cs="Times New Roman"/>
                <w:b w:val="0"/>
                <w:bCs w:val="0"/>
                <w:color w:val="auto"/>
                <w:highlight w:val="none"/>
                <w:lang w:val="en-US"/>
              </w:rPr>
            </w:pPr>
            <w:r>
              <w:rPr>
                <w:rFonts w:cs="Times New Roman"/>
                <w:b w:val="0"/>
                <w:bCs w:val="0"/>
                <w:color w:val="auto"/>
                <w:highlight w:val="none"/>
                <w:lang w:val="en-US"/>
              </w:rPr>
              <w:t>工业企业固体物料堆场颗粒物排放量核算公式如下：</w:t>
            </w:r>
          </w:p>
          <w:p>
            <w:pPr>
              <w:adjustRightInd w:val="0"/>
              <w:snapToGrid w:val="0"/>
              <w:ind w:firstLine="0" w:firstLineChars="0"/>
              <w:jc w:val="center"/>
              <w:rPr>
                <w:rFonts w:cs="Times New Roman"/>
                <w:b w:val="0"/>
                <w:bCs w:val="0"/>
                <w:color w:val="auto"/>
                <w:highlight w:val="none"/>
              </w:rPr>
            </w:pPr>
            <w:r>
              <w:rPr>
                <w:rFonts w:cs="Times New Roman"/>
                <w:b w:val="0"/>
                <w:bCs w:val="0"/>
                <w:color w:val="auto"/>
                <w:highlight w:val="none"/>
              </w:rPr>
              <w:object>
                <v:shape id="_x0000_i1026" o:spt="75" type="#_x0000_t75" style="height:18.4pt;width:129.7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p>
          <w:p>
            <w:pPr>
              <w:adjustRightInd w:val="0"/>
              <w:snapToGrid w:val="0"/>
              <w:ind w:firstLine="480" w:firstLineChars="200"/>
              <w:rPr>
                <w:rFonts w:cs="Times New Roman"/>
                <w:b w:val="0"/>
                <w:bCs w:val="0"/>
                <w:color w:val="auto"/>
                <w:highlight w:val="none"/>
                <w:lang w:val="en-US"/>
              </w:rPr>
            </w:pPr>
            <w:r>
              <w:rPr>
                <w:rFonts w:cs="Times New Roman"/>
                <w:b w:val="0"/>
                <w:bCs w:val="0"/>
                <w:color w:val="auto"/>
                <w:highlight w:val="none"/>
                <w:lang w:val="en-US"/>
              </w:rPr>
              <w:t>式中：P——指颗粒物产生量（单位：t）；</w:t>
            </w:r>
          </w:p>
          <w:p>
            <w:pPr>
              <w:adjustRightInd w:val="0"/>
              <w:snapToGrid w:val="0"/>
              <w:ind w:firstLine="1200" w:firstLineChars="500"/>
              <w:rPr>
                <w:rFonts w:cs="Times New Roman"/>
                <w:b w:val="0"/>
                <w:bCs w:val="0"/>
                <w:color w:val="auto"/>
                <w:highlight w:val="none"/>
                <w:lang w:val="en-US"/>
              </w:rPr>
            </w:pPr>
            <w:r>
              <w:rPr>
                <w:rFonts w:cs="Times New Roman"/>
                <w:b w:val="0"/>
                <w:bCs w:val="0"/>
                <w:color w:val="auto"/>
                <w:highlight w:val="none"/>
                <w:lang w:val="en-US"/>
              </w:rPr>
              <w:t>U</w:t>
            </w:r>
            <w:r>
              <w:rPr>
                <w:rFonts w:cs="Times New Roman"/>
                <w:b w:val="0"/>
                <w:bCs w:val="0"/>
                <w:color w:val="auto"/>
                <w:highlight w:val="none"/>
                <w:vertAlign w:val="subscript"/>
                <w:lang w:val="en-US"/>
              </w:rPr>
              <w:t>c</w:t>
            </w:r>
            <w:r>
              <w:rPr>
                <w:rFonts w:cs="Times New Roman"/>
                <w:b w:val="0"/>
                <w:bCs w:val="0"/>
                <w:color w:val="auto"/>
                <w:highlight w:val="none"/>
                <w:lang w:val="en-US"/>
              </w:rPr>
              <w:t>——指颗粒物排放量（单位：t）；</w:t>
            </w:r>
          </w:p>
          <w:p>
            <w:pPr>
              <w:adjustRightInd w:val="0"/>
              <w:snapToGrid w:val="0"/>
              <w:ind w:firstLine="1200" w:firstLineChars="500"/>
              <w:rPr>
                <w:rFonts w:cs="Times New Roman"/>
                <w:b w:val="0"/>
                <w:bCs w:val="0"/>
                <w:color w:val="auto"/>
                <w:highlight w:val="none"/>
              </w:rPr>
            </w:pPr>
            <w:r>
              <w:rPr>
                <w:rFonts w:cs="Times New Roman"/>
                <w:b w:val="0"/>
                <w:bCs w:val="0"/>
                <w:color w:val="auto"/>
                <w:highlight w:val="none"/>
              </w:rPr>
              <w:t>C</w:t>
            </w:r>
            <w:r>
              <w:rPr>
                <w:rFonts w:cs="Times New Roman"/>
                <w:b w:val="0"/>
                <w:bCs w:val="0"/>
                <w:color w:val="auto"/>
                <w:highlight w:val="none"/>
                <w:vertAlign w:val="subscript"/>
              </w:rPr>
              <w:t>m</w:t>
            </w:r>
            <w:r>
              <w:rPr>
                <w:rFonts w:cs="Times New Roman"/>
                <w:b w:val="0"/>
                <w:bCs w:val="0"/>
                <w:color w:val="auto"/>
                <w:highlight w:val="none"/>
              </w:rPr>
              <w:t>——指颗粒物控制措施控制效率（单位：%）（本项目车辆出入进行冲洗，</w: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rPr>
              <w:t>控制效率取78%</w:t>
            </w:r>
            <w:r>
              <w:rPr>
                <w:rFonts w:hint="eastAsia" w:cs="Times New Roman"/>
                <w:b w:val="0"/>
                <w:bCs w:val="0"/>
                <w:color w:val="auto"/>
                <w:highlight w:val="none"/>
              </w:rPr>
              <w:t>；</w:t>
            </w:r>
            <w:r>
              <w:rPr>
                <w:rFonts w:cs="Times New Roman"/>
                <w:b w:val="0"/>
                <w:bCs w:val="0"/>
                <w:color w:val="auto"/>
                <w:highlight w:val="none"/>
              </w:rPr>
              <w:t>封闭式厂房内设有喷淋设施，控制效率取74%）；</w:t>
            </w:r>
          </w:p>
          <w:p>
            <w:pPr>
              <w:adjustRightInd w:val="0"/>
              <w:snapToGrid w:val="0"/>
              <w:ind w:firstLine="1200" w:firstLineChars="500"/>
              <w:rPr>
                <w:rFonts w:cs="Times New Roman"/>
                <w:b w:val="0"/>
                <w:bCs w:val="0"/>
                <w:color w:val="auto"/>
                <w:highlight w:val="none"/>
                <w:lang w:val="en-US"/>
              </w:rPr>
            </w:pPr>
            <w:r>
              <w:rPr>
                <w:rFonts w:cs="Times New Roman"/>
                <w:b w:val="0"/>
                <w:bCs w:val="0"/>
                <w:color w:val="auto"/>
                <w:highlight w:val="none"/>
                <w:lang w:val="en-US"/>
              </w:rPr>
              <w:t>T</w:t>
            </w:r>
            <w:r>
              <w:rPr>
                <w:rFonts w:cs="Times New Roman"/>
                <w:b w:val="0"/>
                <w:bCs w:val="0"/>
                <w:color w:val="auto"/>
                <w:highlight w:val="none"/>
                <w:vertAlign w:val="subscript"/>
                <w:lang w:val="en-US"/>
              </w:rPr>
              <w:t>m</w:t>
            </w:r>
            <w:r>
              <w:rPr>
                <w:rFonts w:cs="Times New Roman"/>
                <w:b w:val="0"/>
                <w:bCs w:val="0"/>
                <w:color w:val="auto"/>
                <w:highlight w:val="none"/>
                <w:lang w:val="en-US"/>
              </w:rPr>
              <w:t>——指堆场类型控制效率（单位：%）（本项目堆存均位于封闭式厂房内，</w:t>
            </w:r>
          </w:p>
          <w:p>
            <w:pPr>
              <w:adjustRightInd w:val="0"/>
              <w:snapToGrid w:val="0"/>
              <w:ind w:firstLine="480" w:firstLineChars="200"/>
              <w:rPr>
                <w:rFonts w:cs="Times New Roman"/>
                <w:b w:val="0"/>
                <w:bCs w:val="0"/>
                <w:color w:val="auto"/>
                <w:highlight w:val="none"/>
                <w:lang w:val="en-US"/>
              </w:rPr>
            </w:pPr>
            <w:r>
              <w:rPr>
                <w:rFonts w:cs="Times New Roman"/>
                <w:b w:val="0"/>
                <w:bCs w:val="0"/>
                <w:color w:val="auto"/>
                <w:highlight w:val="none"/>
                <w:lang w:val="en-US"/>
              </w:rPr>
              <w:t>控制效率取99%）</w:t>
            </w:r>
          </w:p>
          <w:p>
            <w:pPr>
              <w:adjustRightInd w:val="0"/>
              <w:snapToGrid w:val="0"/>
              <w:ind w:firstLine="480" w:firstLineChars="200"/>
              <w:rPr>
                <w:rFonts w:hint="eastAsia" w:cs="Times New Roman" w:eastAsiaTheme="minorEastAsia"/>
                <w:b w:val="0"/>
                <w:bCs w:val="0"/>
                <w:color w:val="auto"/>
                <w:highlight w:val="none"/>
                <w:lang w:val="zh-CN" w:eastAsia="zh-CN"/>
              </w:rPr>
            </w:pPr>
            <w:r>
              <w:rPr>
                <w:rFonts w:cs="Times New Roman"/>
                <w:b w:val="0"/>
                <w:bCs w:val="0"/>
                <w:color w:val="auto"/>
                <w:highlight w:val="none"/>
              </w:rPr>
              <w:t>经计算，所需原</w:t>
            </w:r>
            <w:r>
              <w:rPr>
                <w:rFonts w:cs="Times New Roman"/>
                <w:b w:val="0"/>
                <w:bCs w:val="0"/>
                <w:color w:val="auto"/>
                <w:highlight w:val="none"/>
                <w:lang w:val="zh-CN"/>
              </w:rPr>
              <w:t>料中</w:t>
            </w:r>
            <w:r>
              <w:rPr>
                <w:rFonts w:hint="eastAsia" w:cs="Times New Roman"/>
                <w:b w:val="0"/>
                <w:bCs w:val="0"/>
                <w:color w:val="auto"/>
                <w:highlight w:val="none"/>
                <w:lang w:val="zh-CN"/>
              </w:rPr>
              <w:t>石子、骨料</w:t>
            </w:r>
            <w:r>
              <w:rPr>
                <w:rFonts w:hint="eastAsia" w:cs="Times New Roman"/>
                <w:b w:val="0"/>
                <w:bCs w:val="0"/>
                <w:color w:val="auto"/>
                <w:highlight w:val="none"/>
                <w:lang w:val="en-US" w:eastAsia="zh-CN"/>
              </w:rPr>
              <w:t>和砂子</w:t>
            </w:r>
            <w:r>
              <w:rPr>
                <w:rFonts w:hint="eastAsia" w:cs="Times New Roman"/>
                <w:b w:val="0"/>
                <w:bCs w:val="0"/>
                <w:color w:val="auto"/>
                <w:highlight w:val="none"/>
                <w:lang w:val="zh-CN"/>
              </w:rPr>
              <w:t>等</w:t>
            </w:r>
            <w:r>
              <w:rPr>
                <w:rFonts w:cs="Times New Roman"/>
                <w:b w:val="0"/>
                <w:bCs w:val="0"/>
                <w:color w:val="auto"/>
                <w:highlight w:val="none"/>
                <w:lang w:val="zh-CN"/>
              </w:rPr>
              <w:t>，颗粒较大、密度大、含水高，起尘量相对较少。</w:t>
            </w:r>
            <w:r>
              <w:rPr>
                <w:rFonts w:cs="Times New Roman"/>
                <w:b w:val="0"/>
                <w:bCs w:val="0"/>
                <w:color w:val="auto"/>
                <w:highlight w:val="none"/>
              </w:rPr>
              <w:t>在采取了车辆出入冲洗及封闭式厂房喷淋等措施后，堆存、装卸粉尘无组织排放量为</w:t>
            </w:r>
            <w:r>
              <w:rPr>
                <w:rFonts w:hint="eastAsia" w:cs="Times New Roman"/>
                <w:b w:val="0"/>
                <w:bCs w:val="0"/>
                <w:color w:val="auto"/>
                <w:highlight w:val="none"/>
              </w:rPr>
              <w:t>0.0</w:t>
            </w:r>
            <w:r>
              <w:rPr>
                <w:rFonts w:cs="Times New Roman"/>
                <w:b w:val="0"/>
                <w:bCs w:val="0"/>
                <w:color w:val="auto"/>
                <w:highlight w:val="none"/>
              </w:rPr>
              <w:t>3</w:t>
            </w:r>
            <w:r>
              <w:rPr>
                <w:rFonts w:hint="eastAsia" w:cs="Times New Roman"/>
                <w:b w:val="0"/>
                <w:bCs w:val="0"/>
                <w:color w:val="auto"/>
                <w:highlight w:val="none"/>
                <w:lang w:val="en-US" w:eastAsia="zh-CN"/>
              </w:rPr>
              <w:t>91</w:t>
            </w:r>
            <w:r>
              <w:rPr>
                <w:rFonts w:cs="Times New Roman"/>
                <w:b w:val="0"/>
                <w:bCs w:val="0"/>
                <w:color w:val="auto"/>
                <w:highlight w:val="none"/>
              </w:rPr>
              <w:t>t/a</w:t>
            </w:r>
            <w:r>
              <w:rPr>
                <w:rFonts w:hint="eastAsia" w:cs="Times New Roman"/>
                <w:b w:val="0"/>
                <w:bCs w:val="0"/>
                <w:color w:val="auto"/>
                <w:highlight w:val="none"/>
                <w:lang w:eastAsia="zh-CN"/>
              </w:rPr>
              <w:t>，</w:t>
            </w:r>
            <w:r>
              <w:rPr>
                <w:rFonts w:hint="eastAsia" w:cs="Times New Roman"/>
                <w:b w:val="0"/>
                <w:bCs w:val="0"/>
                <w:color w:val="auto"/>
                <w:highlight w:val="none"/>
                <w:lang w:val="en-US" w:eastAsia="zh-CN"/>
              </w:rPr>
              <w:t>年堆场存放时间为</w:t>
            </w:r>
            <w:r>
              <w:rPr>
                <w:b w:val="0"/>
                <w:bCs w:val="0"/>
                <w:color w:val="auto"/>
              </w:rPr>
              <w:t>8760h</w:t>
            </w:r>
            <w:r>
              <w:rPr>
                <w:rFonts w:hint="eastAsia"/>
                <w:b w:val="0"/>
                <w:bCs w:val="0"/>
                <w:color w:val="auto"/>
              </w:rPr>
              <w:t>（3</w:t>
            </w:r>
            <w:r>
              <w:rPr>
                <w:b w:val="0"/>
                <w:bCs w:val="0"/>
                <w:color w:val="auto"/>
              </w:rPr>
              <w:t>65</w:t>
            </w:r>
            <w:r>
              <w:rPr>
                <w:rFonts w:hint="eastAsia"/>
                <w:b w:val="0"/>
                <w:bCs w:val="0"/>
                <w:color w:val="auto"/>
              </w:rPr>
              <w:t>d，2</w:t>
            </w:r>
            <w:r>
              <w:rPr>
                <w:b w:val="0"/>
                <w:bCs w:val="0"/>
                <w:color w:val="auto"/>
              </w:rPr>
              <w:t>4</w:t>
            </w:r>
            <w:r>
              <w:rPr>
                <w:rFonts w:hint="eastAsia"/>
                <w:b w:val="0"/>
                <w:bCs w:val="0"/>
                <w:color w:val="auto"/>
              </w:rPr>
              <w:t>h）</w:t>
            </w:r>
            <w:r>
              <w:rPr>
                <w:rFonts w:hint="eastAsia" w:cs="Times New Roman"/>
                <w:b w:val="0"/>
                <w:bCs w:val="0"/>
                <w:color w:val="auto"/>
                <w:highlight w:val="none"/>
                <w:lang w:val="en-US" w:eastAsia="zh-CN"/>
              </w:rPr>
              <w:t>。</w:t>
            </w:r>
          </w:p>
          <w:p>
            <w:pPr>
              <w:numPr>
                <w:ilvl w:val="0"/>
                <w:numId w:val="0"/>
              </w:numPr>
              <w:adjustRightInd w:val="0"/>
              <w:snapToGrid w:val="0"/>
              <w:ind w:leftChars="200"/>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2）物料输送粉尘</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eastAsia" w:cs="Times New Roman"/>
                <w:b w:val="0"/>
                <w:bCs w:val="0"/>
                <w:color w:val="auto"/>
                <w:highlight w:val="none"/>
              </w:rPr>
            </w:pPr>
            <w:r>
              <w:rPr>
                <w:rFonts w:hint="eastAsia" w:cs="Times New Roman"/>
                <w:b w:val="0"/>
                <w:bCs w:val="0"/>
                <w:color w:val="auto"/>
                <w:highlight w:val="none"/>
                <w:lang w:val="en-US" w:eastAsia="zh-CN"/>
              </w:rPr>
              <w:t>本项目</w:t>
            </w:r>
            <w:r>
              <w:rPr>
                <w:rFonts w:hint="eastAsia" w:cs="Times New Roman"/>
                <w:b w:val="0"/>
                <w:bCs w:val="0"/>
                <w:color w:val="auto"/>
                <w:highlight w:val="none"/>
              </w:rPr>
              <w:t>外购的石子、砂子</w:t>
            </w:r>
            <w:r>
              <w:rPr>
                <w:rFonts w:hint="eastAsia" w:cs="Times New Roman"/>
                <w:b w:val="0"/>
                <w:bCs w:val="0"/>
                <w:color w:val="auto"/>
                <w:highlight w:val="none"/>
                <w:lang w:eastAsia="zh-CN"/>
              </w:rPr>
              <w:t>、骨料</w:t>
            </w:r>
            <w:r>
              <w:rPr>
                <w:rFonts w:hint="eastAsia" w:cs="Times New Roman"/>
                <w:b w:val="0"/>
                <w:bCs w:val="0"/>
                <w:color w:val="auto"/>
                <w:highlight w:val="none"/>
              </w:rPr>
              <w:t>等均采用装载机进行上料，皮带传送采用密闭传送带方式，在装载机上料过程会产生少量的粉尘。</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default" w:cs="Times New Roman"/>
                <w:b w:val="0"/>
                <w:bCs w:val="0"/>
                <w:color w:val="auto"/>
                <w:lang w:val="en-US" w:eastAsia="zh-CN"/>
              </w:rPr>
            </w:pPr>
            <w:r>
              <w:rPr>
                <w:rFonts w:hint="eastAsia" w:cs="Times New Roman"/>
                <w:b w:val="0"/>
                <w:bCs w:val="0"/>
                <w:color w:val="auto"/>
                <w:highlight w:val="none"/>
              </w:rPr>
              <w:t>年外购的石子、砂子</w:t>
            </w:r>
            <w:r>
              <w:rPr>
                <w:rFonts w:hint="eastAsia" w:cs="Times New Roman"/>
                <w:b w:val="0"/>
                <w:bCs w:val="0"/>
                <w:color w:val="auto"/>
                <w:highlight w:val="none"/>
                <w:lang w:eastAsia="zh-CN"/>
              </w:rPr>
              <w:t>、骨料等</w:t>
            </w:r>
            <w:r>
              <w:rPr>
                <w:rFonts w:hint="eastAsia" w:cs="Times New Roman"/>
                <w:b w:val="0"/>
                <w:bCs w:val="0"/>
                <w:color w:val="auto"/>
                <w:highlight w:val="none"/>
              </w:rPr>
              <w:t>的运载量约为</w:t>
            </w:r>
            <w:r>
              <w:rPr>
                <w:rFonts w:hint="eastAsia" w:cs="Times New Roman"/>
                <w:b w:val="0"/>
                <w:bCs w:val="0"/>
                <w:color w:val="auto"/>
                <w:highlight w:val="none"/>
                <w:lang w:val="en-US" w:eastAsia="zh-CN"/>
              </w:rPr>
              <w:t>29.375</w:t>
            </w:r>
            <w:r>
              <w:rPr>
                <w:rFonts w:hint="eastAsia" w:cs="Times New Roman"/>
                <w:b w:val="0"/>
                <w:bCs w:val="0"/>
                <w:color w:val="auto"/>
                <w:highlight w:val="none"/>
              </w:rPr>
              <w:t>万t/a，</w:t>
            </w:r>
            <w:r>
              <w:rPr>
                <w:rFonts w:hint="eastAsia"/>
                <w:b w:val="0"/>
                <w:bCs w:val="0"/>
                <w:color w:val="auto"/>
                <w:lang w:val="en-US" w:eastAsia="zh-CN"/>
              </w:rPr>
              <w:t>参考《逸散性工业粉尘控制技术》“表22-1 混凝土分批搅拌厂的逸散尘排放因子”中“转运砂和粒料至高架贮仓时粉尘产生系数为0.02kg/t”，则其上料粉尘产生量为5.875t/a。本项目上料系统均在厂</w:t>
            </w:r>
            <w:r>
              <w:rPr>
                <w:rFonts w:hint="default" w:cs="Times New Roman"/>
                <w:b w:val="0"/>
                <w:bCs w:val="0"/>
                <w:color w:val="auto"/>
                <w:lang w:val="en-US" w:eastAsia="zh-CN"/>
              </w:rPr>
              <w:t>房内放置，厂房内设置喷淋系统，无组织排放。项目生产厂房均为全封闭式结构（粉尘控制效率取99%），并设置喷淋设施（粉尘控制效率取74%）。则全厂物料上料过程中无组织粉尘排放量为0.0153t/a。</w:t>
            </w:r>
          </w:p>
          <w:p>
            <w:pPr>
              <w:adjustRightInd w:val="0"/>
              <w:snapToGrid w:val="0"/>
              <w:ind w:firstLine="480" w:firstLineChars="200"/>
              <w:rPr>
                <w:rFonts w:cs="Times New Roman"/>
                <w:b w:val="0"/>
                <w:bCs w:val="0"/>
                <w:color w:val="auto"/>
                <w:highlight w:val="none"/>
              </w:rPr>
            </w:pPr>
            <w:r>
              <w:rPr>
                <w:rFonts w:hint="default" w:ascii="Times New Roman" w:hAnsi="Times New Roman" w:cs="Times New Roman" w:eastAsiaTheme="majorEastAsia"/>
                <w:b w:val="0"/>
                <w:bCs w:val="0"/>
                <w:color w:val="auto"/>
                <w:kern w:val="2"/>
                <w:sz w:val="24"/>
                <w:szCs w:val="32"/>
                <w:lang w:val="en-US" w:eastAsia="zh-CN" w:bidi="ar-SA"/>
              </w:rPr>
              <w:t>3）</w:t>
            </w:r>
            <w:r>
              <w:rPr>
                <w:rFonts w:hint="eastAsia" w:cs="Times New Roman"/>
                <w:b w:val="0"/>
                <w:bCs w:val="0"/>
                <w:color w:val="auto"/>
                <w:highlight w:val="none"/>
                <w:lang w:val="en-US" w:eastAsia="zh-CN"/>
              </w:rPr>
              <w:t>水泥</w:t>
            </w:r>
            <w:r>
              <w:rPr>
                <w:rFonts w:hint="eastAsia" w:cs="Times New Roman"/>
                <w:b w:val="0"/>
                <w:bCs w:val="0"/>
                <w:color w:val="auto"/>
                <w:highlight w:val="none"/>
              </w:rPr>
              <w:t>筒仓粉尘</w:t>
            </w:r>
          </w:p>
          <w:p>
            <w:pPr>
              <w:adjustRightInd w:val="0"/>
              <w:snapToGrid w:val="0"/>
              <w:ind w:firstLine="480" w:firstLineChars="200"/>
              <w:rPr>
                <w:rFonts w:hint="eastAsia" w:cs="Times New Roman"/>
                <w:b w:val="0"/>
                <w:bCs w:val="0"/>
                <w:color w:val="auto"/>
                <w:highlight w:val="none"/>
              </w:rPr>
            </w:pPr>
            <w:r>
              <w:rPr>
                <w:rFonts w:hint="eastAsia" w:cs="Times New Roman"/>
                <w:b w:val="0"/>
                <w:bCs w:val="0"/>
                <w:color w:val="auto"/>
                <w:highlight w:val="none"/>
              </w:rPr>
              <w:t>本项目</w:t>
            </w:r>
            <w:r>
              <w:rPr>
                <w:rFonts w:hint="eastAsia" w:cs="Times New Roman"/>
                <w:b w:val="0"/>
                <w:bCs w:val="0"/>
                <w:color w:val="auto"/>
                <w:highlight w:val="none"/>
                <w:lang w:eastAsia="zh-CN"/>
              </w:rPr>
              <w:t>水稳材料生产线</w:t>
            </w:r>
            <w:r>
              <w:rPr>
                <w:rFonts w:hint="eastAsia" w:cs="Times New Roman"/>
                <w:b w:val="0"/>
                <w:bCs w:val="0"/>
                <w:color w:val="auto"/>
                <w:highlight w:val="none"/>
              </w:rPr>
              <w:t>设有</w:t>
            </w:r>
            <w:r>
              <w:rPr>
                <w:rFonts w:hint="eastAsia" w:cs="Times New Roman"/>
                <w:b w:val="0"/>
                <w:bCs w:val="0"/>
                <w:color w:val="auto"/>
                <w:highlight w:val="none"/>
                <w:lang w:val="en-US" w:eastAsia="zh-CN"/>
              </w:rPr>
              <w:t>2</w:t>
            </w:r>
            <w:r>
              <w:rPr>
                <w:rFonts w:hint="eastAsia" w:cs="Times New Roman"/>
                <w:b w:val="0"/>
                <w:bCs w:val="0"/>
                <w:color w:val="auto"/>
                <w:highlight w:val="none"/>
              </w:rPr>
              <w:t>个100t水泥筒仓</w:t>
            </w:r>
            <w:r>
              <w:rPr>
                <w:rFonts w:hint="eastAsia" w:cs="Times New Roman"/>
                <w:b w:val="0"/>
                <w:bCs w:val="0"/>
                <w:color w:val="auto"/>
                <w:highlight w:val="none"/>
                <w:lang w:eastAsia="zh-CN"/>
              </w:rPr>
              <w:t>，优质水泥砖生产线设有</w:t>
            </w:r>
            <w:r>
              <w:rPr>
                <w:rFonts w:hint="eastAsia" w:cs="Times New Roman"/>
                <w:b w:val="0"/>
                <w:bCs w:val="0"/>
                <w:color w:val="auto"/>
                <w:highlight w:val="none"/>
                <w:lang w:val="en-US" w:eastAsia="zh-CN"/>
              </w:rPr>
              <w:t>1</w:t>
            </w:r>
            <w:r>
              <w:rPr>
                <w:rFonts w:hint="eastAsia" w:cs="Times New Roman"/>
                <w:b w:val="0"/>
                <w:bCs w:val="0"/>
                <w:color w:val="auto"/>
                <w:highlight w:val="none"/>
                <w:lang w:eastAsia="zh-CN"/>
              </w:rPr>
              <w:t>个100t水泥筒仓。</w:t>
            </w:r>
            <w:r>
              <w:rPr>
                <w:rFonts w:hint="eastAsia" w:cs="Times New Roman"/>
                <w:b w:val="0"/>
                <w:bCs w:val="0"/>
                <w:color w:val="auto"/>
                <w:highlight w:val="none"/>
              </w:rPr>
              <w:t>项目水泥均由散装罐车运至厂区，由罐车自带的封闭式气动系统将粉料泵入筒仓内，由于受气流冲击，会产生粉尘。</w:t>
            </w:r>
          </w:p>
          <w:p>
            <w:pPr>
              <w:adjustRightInd w:val="0"/>
              <w:snapToGrid w:val="0"/>
              <w:ind w:firstLine="480" w:firstLineChars="200"/>
              <w:rPr>
                <w:rFonts w:cs="Times New Roman"/>
                <w:b w:val="0"/>
                <w:bCs w:val="0"/>
                <w:color w:val="auto"/>
                <w:highlight w:val="none"/>
              </w:rPr>
            </w:pPr>
            <w:r>
              <w:rPr>
                <w:rFonts w:cs="Times New Roman"/>
                <w:b w:val="0"/>
                <w:bCs w:val="0"/>
                <w:color w:val="auto"/>
                <w:highlight w:val="none"/>
              </w:rPr>
              <w:t>根据《逸散性工业粉尘控制技术》中贮仓排气粉尘产生系数为0.025kg/t</w:t>
            </w:r>
            <w:r>
              <w:rPr>
                <w:rFonts w:hint="eastAsia" w:cs="Times New Roman"/>
                <w:b w:val="0"/>
                <w:bCs w:val="0"/>
                <w:color w:val="auto"/>
                <w:highlight w:val="none"/>
                <w:lang w:eastAsia="zh-CN"/>
              </w:rPr>
              <w:t>。</w:t>
            </w:r>
            <w:r>
              <w:rPr>
                <w:rFonts w:hint="default" w:cs="Times New Roman"/>
                <w:b w:val="0"/>
                <w:bCs w:val="0"/>
                <w:color w:val="auto"/>
                <w:highlight w:val="none"/>
                <w:lang w:val="zh-CN"/>
              </w:rPr>
              <w:t>本项目水泥用量为</w:t>
            </w:r>
            <w:r>
              <w:rPr>
                <w:rFonts w:hint="eastAsia" w:cs="Times New Roman"/>
                <w:b w:val="0"/>
                <w:bCs w:val="0"/>
                <w:color w:val="auto"/>
                <w:highlight w:val="none"/>
                <w:lang w:val="en-US" w:eastAsia="zh-CN"/>
              </w:rPr>
              <w:t>23</w:t>
            </w:r>
            <w:r>
              <w:rPr>
                <w:rFonts w:hint="default" w:cs="Times New Roman"/>
                <w:b w:val="0"/>
                <w:bCs w:val="0"/>
                <w:color w:val="auto"/>
                <w:highlight w:val="none"/>
                <w:lang w:val="en-US" w:eastAsia="zh-CN"/>
              </w:rPr>
              <w:t>000</w:t>
            </w:r>
            <w:r>
              <w:rPr>
                <w:rFonts w:hint="default" w:cs="Times New Roman"/>
                <w:b w:val="0"/>
                <w:bCs w:val="0"/>
                <w:color w:val="auto"/>
                <w:highlight w:val="none"/>
                <w:lang w:val="zh-CN"/>
              </w:rPr>
              <w:t>t/a</w:t>
            </w:r>
            <w:r>
              <w:rPr>
                <w:rFonts w:hint="eastAsia" w:cs="Times New Roman"/>
                <w:b w:val="0"/>
                <w:bCs w:val="0"/>
                <w:color w:val="auto"/>
                <w:highlight w:val="none"/>
                <w:lang w:val="zh-CN"/>
              </w:rPr>
              <w:t>，</w:t>
            </w:r>
            <w:r>
              <w:rPr>
                <w:rFonts w:cs="Times New Roman"/>
                <w:b w:val="0"/>
                <w:bCs w:val="0"/>
                <w:color w:val="auto"/>
                <w:highlight w:val="none"/>
              </w:rPr>
              <w:t>则粉尘年产生量为0.</w:t>
            </w:r>
            <w:r>
              <w:rPr>
                <w:rFonts w:hint="eastAsia" w:cs="Times New Roman"/>
                <w:b w:val="0"/>
                <w:bCs w:val="0"/>
                <w:color w:val="auto"/>
                <w:highlight w:val="none"/>
                <w:lang w:val="en-US" w:eastAsia="zh-CN"/>
              </w:rPr>
              <w:t>575</w:t>
            </w:r>
            <w:r>
              <w:rPr>
                <w:rFonts w:cs="Times New Roman"/>
                <w:b w:val="0"/>
                <w:bCs w:val="0"/>
                <w:color w:val="auto"/>
                <w:highlight w:val="none"/>
              </w:rPr>
              <w:t>t/a，通过</w:t>
            </w:r>
            <w:r>
              <w:rPr>
                <w:rFonts w:hint="eastAsia" w:cs="Times New Roman"/>
                <w:b w:val="0"/>
                <w:bCs w:val="0"/>
                <w:color w:val="auto"/>
                <w:highlight w:val="none"/>
              </w:rPr>
              <w:t>仓顶</w:t>
            </w:r>
            <w:r>
              <w:rPr>
                <w:rFonts w:cs="Times New Roman"/>
                <w:b w:val="0"/>
                <w:bCs w:val="0"/>
                <w:color w:val="auto"/>
                <w:highlight w:val="none"/>
              </w:rPr>
              <w:t>脉冲式布袋除尘器处理</w:t>
            </w:r>
            <w:r>
              <w:rPr>
                <w:rFonts w:hint="eastAsia" w:cs="Times New Roman"/>
                <w:b w:val="0"/>
                <w:bCs w:val="0"/>
                <w:color w:val="auto"/>
                <w:highlight w:val="none"/>
              </w:rPr>
              <w:t>后无组织</w:t>
            </w:r>
            <w:r>
              <w:rPr>
                <w:rFonts w:cs="Times New Roman"/>
                <w:b w:val="0"/>
                <w:bCs w:val="0"/>
                <w:color w:val="auto"/>
                <w:highlight w:val="none"/>
              </w:rPr>
              <w:t>排放。收集效率</w:t>
            </w:r>
            <w:r>
              <w:rPr>
                <w:rFonts w:hint="eastAsia" w:cs="Times New Roman"/>
                <w:b w:val="0"/>
                <w:bCs w:val="0"/>
                <w:color w:val="auto"/>
                <w:highlight w:val="none"/>
              </w:rPr>
              <w:t>以</w:t>
            </w:r>
            <w:r>
              <w:rPr>
                <w:rFonts w:cs="Times New Roman"/>
                <w:b w:val="0"/>
                <w:bCs w:val="0"/>
                <w:color w:val="auto"/>
                <w:highlight w:val="none"/>
              </w:rPr>
              <w:t>100%</w:t>
            </w:r>
            <w:r>
              <w:rPr>
                <w:rFonts w:hint="eastAsia" w:cs="Times New Roman"/>
                <w:b w:val="0"/>
                <w:bCs w:val="0"/>
                <w:color w:val="auto"/>
                <w:highlight w:val="none"/>
              </w:rPr>
              <w:t>计</w:t>
            </w:r>
            <w:r>
              <w:rPr>
                <w:rFonts w:hint="eastAsia" w:cs="Times New Roman"/>
                <w:b w:val="0"/>
                <w:bCs w:val="0"/>
                <w:color w:val="auto"/>
                <w:highlight w:val="none"/>
                <w:lang w:eastAsia="zh-CN"/>
              </w:rPr>
              <w:t>，除尘器净化效率按99.7%计，则经脉冲式布袋除尘器处理后排放的粉尘量为0.00</w:t>
            </w:r>
            <w:r>
              <w:rPr>
                <w:rFonts w:hint="eastAsia" w:cs="Times New Roman"/>
                <w:b w:val="0"/>
                <w:bCs w:val="0"/>
                <w:color w:val="auto"/>
                <w:highlight w:val="none"/>
                <w:lang w:val="en-US" w:eastAsia="zh-CN"/>
              </w:rPr>
              <w:t>17</w:t>
            </w:r>
            <w:r>
              <w:rPr>
                <w:rFonts w:hint="eastAsia" w:cs="Times New Roman"/>
                <w:b w:val="0"/>
                <w:bCs w:val="0"/>
                <w:color w:val="auto"/>
                <w:highlight w:val="none"/>
                <w:lang w:eastAsia="zh-CN"/>
              </w:rPr>
              <w:t>t/a</w:t>
            </w:r>
            <w:r>
              <w:rPr>
                <w:rFonts w:hint="eastAsia" w:cs="Times New Roman"/>
                <w:b w:val="0"/>
                <w:bCs w:val="0"/>
                <w:color w:val="auto"/>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ind w:left="0" w:leftChars="0" w:firstLine="480" w:firstLineChars="200"/>
              <w:textAlignment w:val="auto"/>
              <w:rPr>
                <w:rFonts w:hint="default" w:ascii="Times New Roman" w:hAnsi="Times New Roman" w:cs="Times New Roman"/>
                <w:b w:val="0"/>
                <w:bCs w:val="0"/>
                <w:color w:val="auto"/>
              </w:rPr>
            </w:pPr>
            <w:r>
              <w:rPr>
                <w:rFonts w:hint="eastAsia" w:cs="Times New Roman"/>
                <w:b w:val="0"/>
                <w:bCs w:val="0"/>
                <w:color w:val="auto"/>
                <w:highlight w:val="none"/>
                <w:lang w:val="en-US" w:eastAsia="zh-CN"/>
              </w:rPr>
              <w:t>4）</w:t>
            </w:r>
            <w:r>
              <w:rPr>
                <w:rFonts w:hint="default" w:ascii="Times New Roman" w:hAnsi="Times New Roman" w:cs="Times New Roman"/>
                <w:b w:val="0"/>
                <w:bCs w:val="0"/>
                <w:color w:val="auto"/>
              </w:rPr>
              <w:t>搅拌粉尘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b w:val="0"/>
                <w:bCs w:val="0"/>
                <w:color w:val="auto"/>
              </w:rPr>
            </w:pPr>
            <w:r>
              <w:rPr>
                <w:rFonts w:cs="Times New Roman"/>
                <w:b w:val="0"/>
                <w:bCs w:val="0"/>
                <w:color w:val="auto"/>
              </w:rPr>
              <w:t>项目</w:t>
            </w:r>
            <w:r>
              <w:rPr>
                <w:rFonts w:hint="default" w:cs="Times New Roman"/>
                <w:b w:val="0"/>
                <w:bCs w:val="0"/>
                <w:color w:val="auto"/>
              </w:rPr>
              <w:t>水</w:t>
            </w:r>
            <w:r>
              <w:rPr>
                <w:rFonts w:hint="eastAsia"/>
                <w:b w:val="0"/>
                <w:bCs w:val="0"/>
                <w:color w:val="auto"/>
              </w:rPr>
              <w:t>稳材料生产线</w:t>
            </w:r>
            <w:r>
              <w:rPr>
                <w:rFonts w:hint="eastAsia"/>
                <w:b w:val="0"/>
                <w:bCs w:val="0"/>
                <w:color w:val="auto"/>
                <w:lang w:eastAsia="zh-CN"/>
              </w:rPr>
              <w:t>和</w:t>
            </w:r>
            <w:r>
              <w:rPr>
                <w:rFonts w:hint="eastAsia"/>
                <w:b w:val="0"/>
                <w:bCs w:val="0"/>
                <w:color w:val="auto"/>
                <w:lang w:val="en-US" w:eastAsia="zh-CN"/>
              </w:rPr>
              <w:t>优质环保水泥砖生产线</w:t>
            </w:r>
            <w:r>
              <w:rPr>
                <w:b w:val="0"/>
                <w:bCs w:val="0"/>
                <w:color w:val="auto"/>
              </w:rPr>
              <w:t>经计量后的砂子</w:t>
            </w:r>
            <w:r>
              <w:rPr>
                <w:rFonts w:hint="eastAsia"/>
                <w:b w:val="0"/>
                <w:bCs w:val="0"/>
                <w:color w:val="auto"/>
              </w:rPr>
              <w:t>、石子、</w:t>
            </w:r>
            <w:r>
              <w:rPr>
                <w:rFonts w:hint="eastAsia"/>
                <w:b w:val="0"/>
                <w:bCs w:val="0"/>
                <w:color w:val="auto"/>
                <w:lang w:eastAsia="zh-CN"/>
              </w:rPr>
              <w:t>骨料</w:t>
            </w:r>
            <w:r>
              <w:rPr>
                <w:b w:val="0"/>
                <w:bCs w:val="0"/>
                <w:color w:val="auto"/>
              </w:rPr>
              <w:t>同重力作用下的水泥、水</w:t>
            </w:r>
            <w:r>
              <w:rPr>
                <w:rFonts w:hint="eastAsia"/>
                <w:b w:val="0"/>
                <w:bCs w:val="0"/>
                <w:color w:val="auto"/>
              </w:rPr>
              <w:t>等</w:t>
            </w:r>
            <w:r>
              <w:rPr>
                <w:b w:val="0"/>
                <w:bCs w:val="0"/>
                <w:color w:val="auto"/>
              </w:rPr>
              <w:t>输送入搅拌机内部进行混合搅拌。搅拌过程中粉尘产生量参照“关于发布《排放源统计调查产排污核算方法和系数手册》的公告（公告2021年 第24号）”中“3021 水泥制品制造（含 3022 砼结构构件、3029 其他水泥类似制品制造）行业系数表——物料搅拌”。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jc w:val="center"/>
              <w:textAlignment w:val="auto"/>
              <w:rPr>
                <w:b/>
                <w:bCs/>
                <w:color w:val="auto"/>
                <w:sz w:val="21"/>
                <w:szCs w:val="21"/>
              </w:rPr>
            </w:pPr>
            <w:r>
              <w:rPr>
                <w:b/>
                <w:bCs/>
                <w:color w:val="auto"/>
                <w:sz w:val="21"/>
                <w:szCs w:val="21"/>
              </w:rPr>
              <w:t xml:space="preserve">表4-2 </w:t>
            </w:r>
            <w:r>
              <w:rPr>
                <w:rFonts w:hint="eastAsia"/>
                <w:b/>
                <w:bCs/>
                <w:color w:val="auto"/>
                <w:sz w:val="21"/>
                <w:szCs w:val="21"/>
              </w:rPr>
              <w:t xml:space="preserve"> </w:t>
            </w:r>
            <w:r>
              <w:rPr>
                <w:b/>
                <w:bCs/>
                <w:color w:val="auto"/>
                <w:sz w:val="21"/>
                <w:szCs w:val="21"/>
              </w:rPr>
              <w:t>物料混合搅拌工序产排污系数表（摘录）</w:t>
            </w:r>
          </w:p>
          <w:tbl>
            <w:tblPr>
              <w:tblStyle w:val="23"/>
              <w:tblW w:w="923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418"/>
              <w:gridCol w:w="943"/>
              <w:gridCol w:w="761"/>
              <w:gridCol w:w="985"/>
              <w:gridCol w:w="1009"/>
              <w:gridCol w:w="896"/>
              <w:gridCol w:w="1118"/>
              <w:gridCol w:w="116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产品</w:t>
                  </w:r>
                </w:p>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名称</w:t>
                  </w:r>
                </w:p>
              </w:tc>
              <w:tc>
                <w:tcPr>
                  <w:tcW w:w="767"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原料名称</w:t>
                  </w:r>
                </w:p>
              </w:tc>
              <w:tc>
                <w:tcPr>
                  <w:tcW w:w="510"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工艺</w:t>
                  </w:r>
                </w:p>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名称</w:t>
                  </w:r>
                </w:p>
              </w:tc>
              <w:tc>
                <w:tcPr>
                  <w:tcW w:w="412"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规模等级</w:t>
                  </w:r>
                </w:p>
              </w:tc>
              <w:tc>
                <w:tcPr>
                  <w:tcW w:w="533"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污染物指标</w:t>
                  </w:r>
                </w:p>
              </w:tc>
              <w:tc>
                <w:tcPr>
                  <w:tcW w:w="546"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单位</w:t>
                  </w:r>
                </w:p>
              </w:tc>
              <w:tc>
                <w:tcPr>
                  <w:tcW w:w="485"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产污</w:t>
                  </w:r>
                </w:p>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系数</w:t>
                  </w:r>
                </w:p>
              </w:tc>
              <w:tc>
                <w:tcPr>
                  <w:tcW w:w="605"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末端治理技术名称</w:t>
                  </w:r>
                </w:p>
              </w:tc>
              <w:tc>
                <w:tcPr>
                  <w:tcW w:w="628"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rPr>
                    <w:t>末端治理技术效率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各种水泥制品</w:t>
                  </w:r>
                </w:p>
              </w:tc>
              <w:tc>
                <w:tcPr>
                  <w:tcW w:w="767"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水泥、砂子</w:t>
                  </w:r>
                </w:p>
              </w:tc>
              <w:tc>
                <w:tcPr>
                  <w:tcW w:w="510"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物料混合搅拌</w:t>
                  </w:r>
                </w:p>
              </w:tc>
              <w:tc>
                <w:tcPr>
                  <w:tcW w:w="412"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所有规模</w:t>
                  </w:r>
                </w:p>
              </w:tc>
              <w:tc>
                <w:tcPr>
                  <w:tcW w:w="533"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颗粒物</w:t>
                  </w:r>
                </w:p>
              </w:tc>
              <w:tc>
                <w:tcPr>
                  <w:tcW w:w="546"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千克/吨</w:t>
                  </w:r>
                  <w:r>
                    <w:rPr>
                      <w:rFonts w:hint="eastAsia" w:cs="Times New Roman"/>
                      <w:b w:val="0"/>
                      <w:bCs w:val="0"/>
                      <w:color w:val="auto"/>
                      <w:sz w:val="21"/>
                      <w:szCs w:val="21"/>
                      <w:highlight w:val="none"/>
                      <w:lang w:eastAsia="zh-CN"/>
                    </w:rPr>
                    <w:t>－</w:t>
                  </w:r>
                  <w:r>
                    <w:rPr>
                      <w:rFonts w:hint="eastAsia" w:ascii="Times New Roman" w:hAnsi="Times New Roman" w:cs="Times New Roman"/>
                      <w:b w:val="0"/>
                      <w:bCs w:val="0"/>
                      <w:color w:val="auto"/>
                      <w:sz w:val="21"/>
                      <w:szCs w:val="21"/>
                      <w:highlight w:val="none"/>
                    </w:rPr>
                    <w:t>产品</w:t>
                  </w:r>
                </w:p>
              </w:tc>
              <w:tc>
                <w:tcPr>
                  <w:tcW w:w="485"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5.23×10</w:t>
                  </w:r>
                  <w:r>
                    <w:rPr>
                      <w:rFonts w:hint="eastAsia" w:ascii="Times New Roman" w:hAnsi="Times New Roman" w:cs="Times New Roman"/>
                      <w:b w:val="0"/>
                      <w:bCs w:val="0"/>
                      <w:color w:val="auto"/>
                      <w:sz w:val="21"/>
                      <w:szCs w:val="21"/>
                      <w:highlight w:val="none"/>
                      <w:vertAlign w:val="superscript"/>
                    </w:rPr>
                    <w:t>-1</w:t>
                  </w:r>
                </w:p>
              </w:tc>
              <w:tc>
                <w:tcPr>
                  <w:tcW w:w="605"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袋式除尘</w:t>
                  </w:r>
                </w:p>
              </w:tc>
              <w:tc>
                <w:tcPr>
                  <w:tcW w:w="628" w:type="pct"/>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rPr>
                    <w:t>99.7%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b w:val="0"/>
                <w:bCs w:val="0"/>
                <w:color w:val="auto"/>
              </w:rPr>
            </w:pPr>
            <w:r>
              <w:rPr>
                <w:rFonts w:hint="eastAsia"/>
                <w:b w:val="0"/>
                <w:bCs w:val="0"/>
                <w:color w:val="auto"/>
                <w:lang w:val="zh-CN"/>
              </w:rPr>
              <w:t>本项目水稳材料生产线年产</w:t>
            </w:r>
            <w:r>
              <w:rPr>
                <w:rFonts w:hint="eastAsia"/>
                <w:b w:val="0"/>
                <w:bCs w:val="0"/>
                <w:color w:val="auto"/>
              </w:rPr>
              <w:t>20万吨</w:t>
            </w:r>
            <w:r>
              <w:rPr>
                <w:rFonts w:hint="eastAsia"/>
                <w:b w:val="0"/>
                <w:bCs w:val="0"/>
                <w:color w:val="auto"/>
                <w:lang w:eastAsia="zh-CN"/>
              </w:rPr>
              <w:t>和</w:t>
            </w:r>
            <w:r>
              <w:rPr>
                <w:rFonts w:hint="eastAsia"/>
                <w:b w:val="0"/>
                <w:bCs w:val="0"/>
                <w:color w:val="auto"/>
                <w:lang w:val="en-US" w:eastAsia="zh-CN"/>
              </w:rPr>
              <w:t>优质环保水泥砖5000万块，约12.5万吨</w:t>
            </w:r>
            <w:r>
              <w:rPr>
                <w:rFonts w:hint="eastAsia"/>
                <w:b w:val="0"/>
                <w:bCs w:val="0"/>
                <w:color w:val="auto"/>
              </w:rPr>
              <w:t>，</w:t>
            </w:r>
            <w:r>
              <w:rPr>
                <w:rFonts w:hint="eastAsia"/>
                <w:b w:val="0"/>
                <w:bCs w:val="0"/>
                <w:color w:val="auto"/>
                <w:lang w:eastAsia="zh-CN"/>
              </w:rPr>
              <w:t>共</w:t>
            </w:r>
            <w:r>
              <w:rPr>
                <w:rFonts w:hint="eastAsia"/>
                <w:b w:val="0"/>
                <w:bCs w:val="0"/>
                <w:color w:val="auto"/>
                <w:lang w:val="en-US" w:eastAsia="zh-CN"/>
              </w:rPr>
              <w:t>32.5万吨。</w:t>
            </w:r>
            <w:r>
              <w:rPr>
                <w:rFonts w:hint="eastAsia"/>
                <w:b w:val="0"/>
                <w:bCs w:val="0"/>
                <w:color w:val="auto"/>
                <w:lang w:val="zh-CN"/>
              </w:rPr>
              <w:t>搅拌粉尘产生量为</w:t>
            </w:r>
            <w:r>
              <w:rPr>
                <w:rFonts w:hint="eastAsia"/>
                <w:b w:val="0"/>
                <w:bCs w:val="0"/>
                <w:color w:val="auto"/>
                <w:lang w:val="en-US" w:eastAsia="zh-CN"/>
              </w:rPr>
              <w:t>169.98</w:t>
            </w:r>
            <w:r>
              <w:rPr>
                <w:rFonts w:hint="eastAsia"/>
                <w:b w:val="0"/>
                <w:bCs w:val="0"/>
                <w:color w:val="auto"/>
              </w:rPr>
              <w:t>t/a。</w:t>
            </w:r>
            <w:r>
              <w:rPr>
                <w:b w:val="0"/>
                <w:bCs w:val="0"/>
                <w:color w:val="auto"/>
                <w:lang w:val="zh-CN"/>
              </w:rPr>
              <w:t>环评建议</w:t>
            </w:r>
            <w:r>
              <w:rPr>
                <w:rFonts w:hint="eastAsia"/>
                <w:b w:val="0"/>
                <w:bCs w:val="0"/>
                <w:color w:val="auto"/>
                <w:lang w:val="zh-CN"/>
              </w:rPr>
              <w:t>在</w:t>
            </w:r>
            <w:r>
              <w:rPr>
                <w:b w:val="0"/>
                <w:bCs w:val="0"/>
                <w:color w:val="auto"/>
                <w:lang w:val="zh-CN"/>
              </w:rPr>
              <w:t>搅拌机上方</w:t>
            </w:r>
            <w:r>
              <w:rPr>
                <w:rFonts w:hint="eastAsia"/>
                <w:b w:val="0"/>
                <w:bCs w:val="0"/>
                <w:color w:val="auto"/>
                <w:lang w:val="zh-CN"/>
              </w:rPr>
              <w:t>及周边</w:t>
            </w:r>
            <w:r>
              <w:rPr>
                <w:b w:val="0"/>
                <w:bCs w:val="0"/>
                <w:color w:val="auto"/>
                <w:lang w:val="zh-CN"/>
              </w:rPr>
              <w:t>安装集气罩（收集效率不低于</w:t>
            </w:r>
            <w:r>
              <w:rPr>
                <w:rFonts w:hint="eastAsia"/>
                <w:b w:val="0"/>
                <w:bCs w:val="0"/>
                <w:color w:val="auto"/>
              </w:rPr>
              <w:t>95</w:t>
            </w:r>
            <w:r>
              <w:rPr>
                <w:b w:val="0"/>
                <w:bCs w:val="0"/>
                <w:color w:val="auto"/>
              </w:rPr>
              <w:t>%</w:t>
            </w:r>
            <w:r>
              <w:rPr>
                <w:b w:val="0"/>
                <w:bCs w:val="0"/>
                <w:color w:val="auto"/>
                <w:lang w:val="zh-CN"/>
              </w:rPr>
              <w:t>），粉尘经集气罩收集</w:t>
            </w:r>
            <w:r>
              <w:rPr>
                <w:rFonts w:hint="eastAsia"/>
                <w:b w:val="0"/>
                <w:bCs w:val="0"/>
                <w:color w:val="auto"/>
                <w:lang w:val="zh-CN"/>
              </w:rPr>
              <w:t>至</w:t>
            </w:r>
            <w:r>
              <w:rPr>
                <w:b w:val="0"/>
                <w:bCs w:val="0"/>
                <w:color w:val="auto"/>
                <w:lang w:val="zh-CN"/>
              </w:rPr>
              <w:t>布袋除尘器（处理效率不低于</w:t>
            </w:r>
            <w:r>
              <w:rPr>
                <w:b w:val="0"/>
                <w:bCs w:val="0"/>
                <w:color w:val="auto"/>
              </w:rPr>
              <w:t>99</w:t>
            </w:r>
            <w:r>
              <w:rPr>
                <w:rFonts w:hint="eastAsia"/>
                <w:b w:val="0"/>
                <w:bCs w:val="0"/>
                <w:color w:val="auto"/>
              </w:rPr>
              <w:t>.7</w:t>
            </w:r>
            <w:r>
              <w:rPr>
                <w:b w:val="0"/>
                <w:bCs w:val="0"/>
                <w:color w:val="auto"/>
              </w:rPr>
              <w:t>%</w:t>
            </w:r>
            <w:r>
              <w:rPr>
                <w:b w:val="0"/>
                <w:bCs w:val="0"/>
                <w:color w:val="auto"/>
                <w:lang w:val="zh-CN"/>
              </w:rPr>
              <w:t>）处理</w:t>
            </w:r>
            <w:r>
              <w:rPr>
                <w:rFonts w:hint="eastAsia"/>
                <w:b w:val="0"/>
                <w:bCs w:val="0"/>
                <w:color w:val="auto"/>
                <w:lang w:val="zh-CN"/>
              </w:rPr>
              <w:t>，废气经处理</w:t>
            </w:r>
            <w:r>
              <w:rPr>
                <w:b w:val="0"/>
                <w:bCs w:val="0"/>
                <w:color w:val="auto"/>
                <w:lang w:val="zh-CN"/>
              </w:rPr>
              <w:t>后</w:t>
            </w:r>
            <w:r>
              <w:rPr>
                <w:rFonts w:hint="eastAsia"/>
                <w:b w:val="0"/>
                <w:bCs w:val="0"/>
                <w:color w:val="auto"/>
                <w:lang w:val="zh-CN"/>
              </w:rPr>
              <w:t>在厂房内无组织排放，</w:t>
            </w:r>
            <w:r>
              <w:rPr>
                <w:b w:val="0"/>
                <w:bCs w:val="0"/>
                <w:color w:val="auto"/>
              </w:rPr>
              <w:t>项目</w:t>
            </w:r>
            <w:r>
              <w:rPr>
                <w:rFonts w:hint="eastAsia"/>
                <w:b w:val="0"/>
                <w:bCs w:val="0"/>
                <w:color w:val="auto"/>
              </w:rPr>
              <w:t>生产厂房均</w:t>
            </w:r>
            <w:r>
              <w:rPr>
                <w:b w:val="0"/>
                <w:bCs w:val="0"/>
                <w:color w:val="auto"/>
              </w:rPr>
              <w:t>为全封闭式结构</w:t>
            </w:r>
            <w:r>
              <w:rPr>
                <w:rFonts w:hint="eastAsia"/>
                <w:b w:val="0"/>
                <w:bCs w:val="0"/>
                <w:color w:val="auto"/>
              </w:rPr>
              <w:t>（粉尘控制效率取99%）</w:t>
            </w:r>
            <w:r>
              <w:rPr>
                <w:b w:val="0"/>
                <w:bCs w:val="0"/>
                <w:color w:val="auto"/>
              </w:rPr>
              <w:t>，并设置喷淋设施</w:t>
            </w:r>
            <w:r>
              <w:rPr>
                <w:rFonts w:hint="eastAsia"/>
                <w:b w:val="0"/>
                <w:bCs w:val="0"/>
                <w:color w:val="auto"/>
              </w:rPr>
              <w:t>（粉尘</w:t>
            </w:r>
            <w:r>
              <w:rPr>
                <w:b w:val="0"/>
                <w:bCs w:val="0"/>
                <w:color w:val="auto"/>
              </w:rPr>
              <w:t>控制效率取74%</w:t>
            </w:r>
            <w:r>
              <w:rPr>
                <w:rFonts w:hint="eastAsia"/>
                <w:b w:val="0"/>
                <w:bCs w:val="0"/>
                <w:color w:val="auto"/>
              </w:rPr>
              <w:t>），可有效抑制集气罩未收集到的粉尘与经处理后的粉尘扩散</w:t>
            </w:r>
            <w:r>
              <w:rPr>
                <w:rFonts w:hint="eastAsia"/>
                <w:b w:val="0"/>
                <w:bCs w:val="0"/>
                <w:color w:val="auto"/>
                <w:lang w:val="zh-CN"/>
              </w:rPr>
              <w:t>。</w:t>
            </w:r>
            <w:r>
              <w:rPr>
                <w:rFonts w:hint="eastAsia"/>
                <w:b w:val="0"/>
                <w:bCs w:val="0"/>
                <w:color w:val="auto"/>
              </w:rPr>
              <w:t>则本项目搅拌粉尘</w:t>
            </w:r>
            <w:r>
              <w:rPr>
                <w:rFonts w:hint="eastAsia"/>
                <w:b w:val="0"/>
                <w:bCs w:val="0"/>
                <w:color w:val="auto"/>
                <w:lang w:val="zh-CN"/>
              </w:rPr>
              <w:t>无组织排放量为</w:t>
            </w:r>
            <w:r>
              <w:rPr>
                <w:rFonts w:hint="eastAsia"/>
                <w:b w:val="0"/>
                <w:bCs w:val="0"/>
                <w:color w:val="auto"/>
              </w:rPr>
              <w:t>0.0</w:t>
            </w:r>
            <w:r>
              <w:rPr>
                <w:rFonts w:hint="eastAsia"/>
                <w:b w:val="0"/>
                <w:bCs w:val="0"/>
                <w:color w:val="auto"/>
                <w:lang w:val="en-US" w:eastAsia="zh-CN"/>
              </w:rPr>
              <w:t>234</w:t>
            </w:r>
            <w:r>
              <w:rPr>
                <w:rFonts w:hint="eastAsia"/>
                <w:b w:val="0"/>
                <w:bCs w:val="0"/>
                <w:color w:val="auto"/>
              </w:rPr>
              <w:t>t/a</w:t>
            </w:r>
            <w:r>
              <w:rPr>
                <w:rFonts w:hint="eastAsia"/>
                <w:b w:val="0"/>
                <w:bCs w:val="0"/>
                <w:color w:val="auto"/>
                <w:lang w:val="zh-CN"/>
              </w:rPr>
              <w:t>。</w:t>
            </w:r>
          </w:p>
          <w:p>
            <w:pPr>
              <w:adjustRightInd w:val="0"/>
              <w:snapToGrid w:val="0"/>
              <w:ind w:firstLine="480" w:firstLineChars="200"/>
              <w:rPr>
                <w:rFonts w:hint="eastAsia"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5）车辆运输扬尘</w:t>
            </w:r>
          </w:p>
          <w:p>
            <w:pPr>
              <w:adjustRightInd w:val="0"/>
              <w:snapToGrid w:val="0"/>
              <w:ind w:firstLine="480" w:firstLineChars="200"/>
              <w:rPr>
                <w:rFonts w:cs="Times New Roman"/>
                <w:color w:val="auto"/>
                <w:highlight w:val="none"/>
              </w:rPr>
            </w:pPr>
            <w:r>
              <w:rPr>
                <w:rFonts w:cs="Times New Roman"/>
                <w:b w:val="0"/>
                <w:bCs w:val="0"/>
                <w:color w:val="auto"/>
                <w:highlight w:val="none"/>
              </w:rPr>
              <w:t>车辆运输过程会产生扬尘，</w:t>
            </w:r>
            <w:r>
              <w:rPr>
                <w:rFonts w:hint="eastAsia" w:cs="Times New Roman"/>
                <w:color w:val="auto"/>
                <w:highlight w:val="none"/>
              </w:rPr>
              <w:t>项目建成后全厂场地均采用水泥</w:t>
            </w:r>
            <w:r>
              <w:rPr>
                <w:rFonts w:cs="Times New Roman"/>
                <w:color w:val="auto"/>
                <w:highlight w:val="none"/>
              </w:rPr>
              <w:t>硬化，运输条件较好，工程交通运输起尘采用下述</w:t>
            </w:r>
            <w:r>
              <w:rPr>
                <w:rFonts w:hint="eastAsia" w:cs="Times New Roman"/>
                <w:color w:val="auto"/>
                <w:highlight w:val="none"/>
                <w:lang w:eastAsia="zh-CN"/>
              </w:rPr>
              <w:t>公式</w:t>
            </w:r>
            <w:r>
              <w:rPr>
                <w:rFonts w:cs="Times New Roman"/>
                <w:color w:val="auto"/>
                <w:highlight w:val="none"/>
              </w:rPr>
              <w:t>进行计算：</w:t>
            </w:r>
          </w:p>
          <w:p>
            <w:pPr>
              <w:adjustRightInd w:val="0"/>
              <w:snapToGrid w:val="0"/>
              <w:ind w:firstLine="0" w:firstLineChars="0"/>
              <w:jc w:val="center"/>
              <w:rPr>
                <w:rFonts w:cs="Times New Roman"/>
                <w:color w:val="auto"/>
                <w:highlight w:val="none"/>
              </w:rPr>
            </w:pPr>
            <w:r>
              <w:rPr>
                <w:rFonts w:cs="Times New Roman"/>
                <w:color w:val="auto"/>
                <w:highlight w:val="none"/>
              </w:rPr>
              <w:object>
                <v:shape id="_x0000_i1027" o:spt="75" type="#_x0000_t75" style="height:61.95pt;width:150.7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p>
          <w:p>
            <w:pPr>
              <w:adjustRightInd w:val="0"/>
              <w:snapToGrid w:val="0"/>
              <w:ind w:firstLine="480" w:firstLineChars="200"/>
              <w:rPr>
                <w:rFonts w:cs="Times New Roman"/>
                <w:color w:val="auto"/>
                <w:highlight w:val="none"/>
              </w:rPr>
            </w:pPr>
            <w:r>
              <w:rPr>
                <w:rFonts w:cs="Times New Roman"/>
                <w:color w:val="auto"/>
                <w:highlight w:val="none"/>
              </w:rPr>
              <w:t>式中：Q</w:t>
            </w:r>
            <w:r>
              <w:rPr>
                <w:rFonts w:cs="Times New Roman"/>
                <w:color w:val="auto"/>
                <w:highlight w:val="none"/>
                <w:vertAlign w:val="subscript"/>
              </w:rPr>
              <w:t>y</w:t>
            </w:r>
            <w:r>
              <w:rPr>
                <w:rFonts w:cs="Times New Roman"/>
                <w:color w:val="auto"/>
                <w:highlight w:val="none"/>
              </w:rPr>
              <w:t>——交通运输起尘量，kg/km·辆；</w:t>
            </w:r>
          </w:p>
          <w:p>
            <w:pPr>
              <w:adjustRightInd w:val="0"/>
              <w:snapToGrid w:val="0"/>
              <w:ind w:firstLine="1200" w:firstLineChars="500"/>
              <w:rPr>
                <w:rFonts w:cs="Times New Roman"/>
                <w:color w:val="auto"/>
                <w:highlight w:val="none"/>
              </w:rPr>
            </w:pPr>
            <w:r>
              <w:rPr>
                <w:rFonts w:cs="Times New Roman"/>
                <w:color w:val="auto"/>
                <w:highlight w:val="none"/>
              </w:rPr>
              <w:t>Q</w:t>
            </w:r>
            <w:r>
              <w:rPr>
                <w:rFonts w:cs="Times New Roman"/>
                <w:color w:val="auto"/>
                <w:highlight w:val="none"/>
                <w:vertAlign w:val="subscript"/>
              </w:rPr>
              <w:t>t</w:t>
            </w:r>
            <w:r>
              <w:rPr>
                <w:rFonts w:cs="Times New Roman"/>
                <w:color w:val="auto"/>
                <w:highlight w:val="none"/>
              </w:rPr>
              <w:t>——运输途中起尘量，kg/a；</w:t>
            </w:r>
          </w:p>
          <w:p>
            <w:pPr>
              <w:adjustRightInd w:val="0"/>
              <w:snapToGrid w:val="0"/>
              <w:ind w:firstLine="1200" w:firstLineChars="500"/>
              <w:rPr>
                <w:rFonts w:cs="Times New Roman"/>
                <w:color w:val="auto"/>
                <w:highlight w:val="none"/>
              </w:rPr>
            </w:pPr>
            <w:r>
              <w:rPr>
                <w:rFonts w:cs="Times New Roman"/>
                <w:color w:val="auto"/>
                <w:highlight w:val="none"/>
              </w:rPr>
              <w:t>V——车辆行驶速度，</w:t>
            </w:r>
            <w:r>
              <w:rPr>
                <w:rFonts w:hint="eastAsia" w:cs="Times New Roman"/>
                <w:color w:val="auto"/>
                <w:highlight w:val="none"/>
                <w:lang w:val="en-US" w:eastAsia="zh-CN"/>
              </w:rPr>
              <w:t>5</w:t>
            </w:r>
            <w:r>
              <w:rPr>
                <w:rFonts w:cs="Times New Roman"/>
                <w:color w:val="auto"/>
                <w:highlight w:val="none"/>
              </w:rPr>
              <w:t>km/h；</w:t>
            </w:r>
          </w:p>
          <w:p>
            <w:pPr>
              <w:adjustRightInd w:val="0"/>
              <w:snapToGrid w:val="0"/>
              <w:ind w:firstLine="1200" w:firstLineChars="500"/>
              <w:rPr>
                <w:rFonts w:cs="Times New Roman"/>
                <w:color w:val="auto"/>
                <w:highlight w:val="none"/>
              </w:rPr>
            </w:pPr>
            <w:r>
              <w:rPr>
                <w:rFonts w:cs="Times New Roman"/>
                <w:color w:val="auto"/>
                <w:highlight w:val="none"/>
              </w:rPr>
              <w:t>P——路面状况，以每平方米路面灰尘覆盖率表示，取0.</w:t>
            </w:r>
            <w:r>
              <w:rPr>
                <w:rFonts w:hint="eastAsia" w:cs="Times New Roman"/>
                <w:color w:val="auto"/>
                <w:highlight w:val="none"/>
                <w:lang w:val="en-US" w:eastAsia="zh-CN"/>
              </w:rPr>
              <w:t>0</w:t>
            </w:r>
            <w:r>
              <w:rPr>
                <w:rFonts w:hint="eastAsia" w:cs="Times New Roman"/>
                <w:color w:val="auto"/>
                <w:highlight w:val="none"/>
              </w:rPr>
              <w:t>1</w:t>
            </w:r>
            <w:r>
              <w:rPr>
                <w:rFonts w:cs="Times New Roman"/>
                <w:color w:val="auto"/>
                <w:highlight w:val="none"/>
              </w:rPr>
              <w:t>kg/m</w:t>
            </w:r>
            <w:r>
              <w:rPr>
                <w:rFonts w:cs="Times New Roman"/>
                <w:color w:val="auto"/>
                <w:highlight w:val="none"/>
                <w:vertAlign w:val="superscript"/>
              </w:rPr>
              <w:t>2</w:t>
            </w:r>
            <w:r>
              <w:rPr>
                <w:rFonts w:cs="Times New Roman"/>
                <w:color w:val="auto"/>
                <w:highlight w:val="none"/>
              </w:rPr>
              <w:t>；</w:t>
            </w:r>
          </w:p>
          <w:p>
            <w:pPr>
              <w:adjustRightInd w:val="0"/>
              <w:snapToGrid w:val="0"/>
              <w:ind w:firstLine="1200" w:firstLineChars="500"/>
              <w:rPr>
                <w:rFonts w:cs="Times New Roman"/>
                <w:color w:val="auto"/>
                <w:highlight w:val="none"/>
              </w:rPr>
            </w:pPr>
            <w:r>
              <w:rPr>
                <w:rFonts w:cs="Times New Roman"/>
                <w:color w:val="auto"/>
                <w:highlight w:val="none"/>
              </w:rPr>
              <w:t>M——车辆载重，t/辆；</w:t>
            </w:r>
          </w:p>
          <w:p>
            <w:pPr>
              <w:adjustRightInd w:val="0"/>
              <w:snapToGrid w:val="0"/>
              <w:ind w:firstLine="1200" w:firstLineChars="500"/>
              <w:rPr>
                <w:rFonts w:cs="Times New Roman"/>
                <w:color w:val="auto"/>
                <w:highlight w:val="none"/>
              </w:rPr>
            </w:pPr>
            <w:r>
              <w:rPr>
                <w:rFonts w:cs="Times New Roman"/>
                <w:color w:val="auto"/>
                <w:highlight w:val="none"/>
              </w:rPr>
              <w:t>L——运输距离，取0.</w:t>
            </w:r>
            <w:r>
              <w:rPr>
                <w:rFonts w:hint="eastAsia" w:cs="Times New Roman"/>
                <w:color w:val="auto"/>
                <w:highlight w:val="none"/>
                <w:lang w:val="en-US" w:eastAsia="zh-CN"/>
              </w:rPr>
              <w:t>5</w:t>
            </w:r>
            <w:r>
              <w:rPr>
                <w:rFonts w:cs="Times New Roman"/>
                <w:color w:val="auto"/>
                <w:highlight w:val="none"/>
              </w:rPr>
              <w:t>km；</w:t>
            </w:r>
          </w:p>
          <w:p>
            <w:pPr>
              <w:adjustRightInd w:val="0"/>
              <w:snapToGrid w:val="0"/>
              <w:ind w:firstLine="1200" w:firstLineChars="500"/>
              <w:rPr>
                <w:rFonts w:cs="Times New Roman"/>
                <w:color w:val="auto"/>
                <w:highlight w:val="none"/>
              </w:rPr>
            </w:pPr>
            <w:r>
              <w:rPr>
                <w:rFonts w:cs="Times New Roman"/>
                <w:color w:val="auto"/>
                <w:highlight w:val="none"/>
              </w:rPr>
              <w:t>Q——运输量，t/a；</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default" w:ascii="Times New Roman" w:hAnsi="Times New Roman" w:cs="Times New Roman" w:eastAsiaTheme="minorEastAsia"/>
                <w:b w:val="0"/>
                <w:bCs w:val="0"/>
                <w:color w:val="auto"/>
                <w:kern w:val="2"/>
                <w:sz w:val="24"/>
                <w:szCs w:val="22"/>
                <w:highlight w:val="none"/>
                <w:lang w:val="en-US" w:eastAsia="zh-CN" w:bidi="ar-SA"/>
              </w:rPr>
            </w:pPr>
            <w:r>
              <w:rPr>
                <w:rFonts w:hint="default" w:ascii="Times New Roman" w:hAnsi="Times New Roman" w:cs="Times New Roman" w:eastAsiaTheme="minorEastAsia"/>
                <w:b w:val="0"/>
                <w:bCs w:val="0"/>
                <w:color w:val="auto"/>
                <w:kern w:val="2"/>
                <w:sz w:val="24"/>
                <w:szCs w:val="22"/>
                <w:highlight w:val="none"/>
                <w:lang w:val="en-US" w:eastAsia="zh-CN" w:bidi="ar-SA"/>
              </w:rPr>
              <w:t>本项目运行期间，原辅材料运输量约为</w:t>
            </w:r>
            <w:r>
              <w:rPr>
                <w:rFonts w:hint="eastAsia" w:cs="Times New Roman"/>
                <w:b w:val="0"/>
                <w:bCs w:val="0"/>
                <w:color w:val="auto"/>
                <w:kern w:val="2"/>
                <w:sz w:val="24"/>
                <w:szCs w:val="22"/>
                <w:highlight w:val="none"/>
                <w:lang w:val="en-US" w:eastAsia="zh-CN" w:bidi="ar-SA"/>
              </w:rPr>
              <w:t>29.375</w:t>
            </w:r>
            <w:r>
              <w:rPr>
                <w:rFonts w:hint="default" w:ascii="Times New Roman" w:hAnsi="Times New Roman" w:cs="Times New Roman" w:eastAsiaTheme="minorEastAsia"/>
                <w:b w:val="0"/>
                <w:bCs w:val="0"/>
                <w:color w:val="auto"/>
                <w:kern w:val="2"/>
                <w:sz w:val="24"/>
                <w:szCs w:val="22"/>
                <w:highlight w:val="none"/>
                <w:lang w:val="en-US" w:eastAsia="zh-CN" w:bidi="ar-SA"/>
              </w:rPr>
              <w:t>万t/a</w:t>
            </w:r>
            <w:r>
              <w:rPr>
                <w:rFonts w:hint="eastAsia" w:cs="Times New Roman"/>
                <w:b w:val="0"/>
                <w:bCs w:val="0"/>
                <w:color w:val="auto"/>
                <w:kern w:val="2"/>
                <w:sz w:val="24"/>
                <w:szCs w:val="22"/>
                <w:highlight w:val="none"/>
                <w:lang w:val="en-US" w:eastAsia="zh-CN" w:bidi="ar-SA"/>
              </w:rPr>
              <w:t>（979.17</w:t>
            </w:r>
            <w:r>
              <w:rPr>
                <w:rFonts w:hint="default" w:ascii="Times New Roman" w:hAnsi="Times New Roman" w:cs="Times New Roman" w:eastAsiaTheme="minorEastAsia"/>
                <w:b w:val="0"/>
                <w:bCs w:val="0"/>
                <w:color w:val="auto"/>
                <w:kern w:val="2"/>
                <w:sz w:val="24"/>
                <w:szCs w:val="22"/>
                <w:highlight w:val="none"/>
                <w:lang w:val="en-US" w:eastAsia="zh-CN" w:bidi="ar-SA"/>
              </w:rPr>
              <w:t>t/d</w:t>
            </w:r>
            <w:r>
              <w:rPr>
                <w:rFonts w:hint="eastAsia" w:cs="Times New Roman"/>
                <w:b w:val="0"/>
                <w:bCs w:val="0"/>
                <w:color w:val="auto"/>
                <w:kern w:val="2"/>
                <w:sz w:val="24"/>
                <w:szCs w:val="22"/>
                <w:highlight w:val="none"/>
                <w:lang w:val="en-US" w:eastAsia="zh-CN" w:bidi="ar-SA"/>
              </w:rPr>
              <w:t>）</w:t>
            </w:r>
            <w:r>
              <w:rPr>
                <w:rFonts w:hint="default" w:ascii="Times New Roman" w:hAnsi="Times New Roman" w:cs="Times New Roman" w:eastAsiaTheme="minorEastAsia"/>
                <w:b w:val="0"/>
                <w:bCs w:val="0"/>
                <w:color w:val="auto"/>
                <w:kern w:val="2"/>
                <w:sz w:val="24"/>
                <w:szCs w:val="22"/>
                <w:highlight w:val="none"/>
                <w:lang w:val="en-US" w:eastAsia="zh-CN" w:bidi="ar-SA"/>
              </w:rPr>
              <w:t>，车辆载重以</w:t>
            </w:r>
            <w:r>
              <w:rPr>
                <w:rFonts w:hint="eastAsia" w:cs="Times New Roman"/>
                <w:b w:val="0"/>
                <w:bCs w:val="0"/>
                <w:color w:val="auto"/>
                <w:kern w:val="2"/>
                <w:sz w:val="24"/>
                <w:szCs w:val="22"/>
                <w:highlight w:val="none"/>
                <w:lang w:val="en-US" w:eastAsia="zh-CN" w:bidi="ar-SA"/>
              </w:rPr>
              <w:t>40</w:t>
            </w:r>
            <w:r>
              <w:rPr>
                <w:rFonts w:hint="default" w:ascii="Times New Roman" w:hAnsi="Times New Roman" w:cs="Times New Roman" w:eastAsiaTheme="minorEastAsia"/>
                <w:b w:val="0"/>
                <w:bCs w:val="0"/>
                <w:color w:val="auto"/>
                <w:kern w:val="2"/>
                <w:sz w:val="24"/>
                <w:szCs w:val="22"/>
                <w:highlight w:val="none"/>
                <w:lang w:val="en-US" w:eastAsia="zh-CN" w:bidi="ar-SA"/>
              </w:rPr>
              <w:t>t计，每天运输车辆约为</w:t>
            </w:r>
            <w:r>
              <w:rPr>
                <w:rFonts w:hint="eastAsia" w:cs="Times New Roman"/>
                <w:b w:val="0"/>
                <w:bCs w:val="0"/>
                <w:color w:val="auto"/>
                <w:kern w:val="2"/>
                <w:sz w:val="24"/>
                <w:szCs w:val="22"/>
                <w:highlight w:val="none"/>
                <w:lang w:val="en-US" w:eastAsia="zh-CN" w:bidi="ar-SA"/>
              </w:rPr>
              <w:t>25</w:t>
            </w:r>
            <w:r>
              <w:rPr>
                <w:rFonts w:hint="default" w:ascii="Times New Roman" w:hAnsi="Times New Roman" w:cs="Times New Roman" w:eastAsiaTheme="minorEastAsia"/>
                <w:b w:val="0"/>
                <w:bCs w:val="0"/>
                <w:color w:val="auto"/>
                <w:kern w:val="2"/>
                <w:sz w:val="24"/>
                <w:szCs w:val="22"/>
                <w:highlight w:val="none"/>
                <w:lang w:val="en-US" w:eastAsia="zh-CN" w:bidi="ar-SA"/>
              </w:rPr>
              <w:t>辆次，每天运输时长约4h。经计算，本项目车辆交通运输起尘量为</w:t>
            </w:r>
            <w:r>
              <w:rPr>
                <w:rFonts w:hint="eastAsia" w:cs="Times New Roman"/>
                <w:b w:val="0"/>
                <w:bCs w:val="0"/>
                <w:color w:val="auto"/>
                <w:kern w:val="2"/>
                <w:sz w:val="24"/>
                <w:szCs w:val="22"/>
                <w:highlight w:val="none"/>
                <w:lang w:val="en-US" w:eastAsia="zh-CN" w:bidi="ar-SA"/>
              </w:rPr>
              <w:t>0.033</w:t>
            </w:r>
            <w:r>
              <w:rPr>
                <w:rFonts w:hint="default" w:ascii="Times New Roman" w:hAnsi="Times New Roman" w:cs="Times New Roman" w:eastAsiaTheme="minorEastAsia"/>
                <w:b w:val="0"/>
                <w:bCs w:val="0"/>
                <w:color w:val="auto"/>
                <w:kern w:val="2"/>
                <w:sz w:val="24"/>
                <w:szCs w:val="22"/>
                <w:highlight w:val="none"/>
                <w:lang w:val="en-US" w:eastAsia="zh-CN" w:bidi="ar-SA"/>
              </w:rPr>
              <w:t>kg/km·辆，</w:t>
            </w:r>
            <w:r>
              <w:rPr>
                <w:rFonts w:hint="eastAsia" w:cs="Times New Roman"/>
                <w:b w:val="0"/>
                <w:bCs w:val="0"/>
                <w:color w:val="auto"/>
                <w:kern w:val="2"/>
                <w:sz w:val="24"/>
                <w:szCs w:val="22"/>
                <w:highlight w:val="none"/>
                <w:lang w:val="en-US" w:eastAsia="zh-CN" w:bidi="ar-SA"/>
              </w:rPr>
              <w:t>则年车辆运输途中</w:t>
            </w:r>
            <w:r>
              <w:rPr>
                <w:rFonts w:hint="default" w:ascii="Times New Roman" w:hAnsi="Times New Roman" w:cs="Times New Roman" w:eastAsiaTheme="minorEastAsia"/>
                <w:b w:val="0"/>
                <w:bCs w:val="0"/>
                <w:color w:val="auto"/>
                <w:kern w:val="2"/>
                <w:sz w:val="24"/>
                <w:szCs w:val="22"/>
                <w:highlight w:val="none"/>
                <w:lang w:val="en-US" w:eastAsia="zh-CN" w:bidi="ar-SA"/>
              </w:rPr>
              <w:t>起尘量为</w:t>
            </w:r>
            <w:r>
              <w:rPr>
                <w:rFonts w:hint="eastAsia" w:cs="Times New Roman"/>
                <w:b w:val="0"/>
                <w:bCs w:val="0"/>
                <w:color w:val="auto"/>
                <w:kern w:val="2"/>
                <w:sz w:val="24"/>
                <w:szCs w:val="22"/>
                <w:highlight w:val="none"/>
                <w:lang w:val="en-US" w:eastAsia="zh-CN" w:bidi="ar-SA"/>
              </w:rPr>
              <w:t>0.122</w:t>
            </w:r>
            <w:r>
              <w:rPr>
                <w:rFonts w:hint="default" w:ascii="Times New Roman" w:hAnsi="Times New Roman" w:cs="Times New Roman" w:eastAsiaTheme="minorEastAsia"/>
                <w:b w:val="0"/>
                <w:bCs w:val="0"/>
                <w:color w:val="auto"/>
                <w:kern w:val="2"/>
                <w:sz w:val="24"/>
                <w:szCs w:val="22"/>
                <w:highlight w:val="none"/>
                <w:lang w:val="en-US" w:eastAsia="zh-CN" w:bidi="ar-SA"/>
              </w:rPr>
              <w:t>t/a。</w:t>
            </w:r>
          </w:p>
          <w:p>
            <w:pPr>
              <w:keepNext w:val="0"/>
              <w:keepLines w:val="0"/>
              <w:pageBreakBefore w:val="0"/>
              <w:widowControl w:val="0"/>
              <w:numPr>
                <w:ilvl w:val="0"/>
                <w:numId w:val="0"/>
              </w:numPr>
              <w:kinsoku/>
              <w:wordWrap/>
              <w:overflowPunct/>
              <w:topLinePunct w:val="0"/>
              <w:autoSpaceDE/>
              <w:autoSpaceDN/>
              <w:bidi w:val="0"/>
              <w:adjustRightInd w:val="0"/>
              <w:snapToGrid w:val="0"/>
              <w:ind w:leftChars="0" w:firstLine="480" w:firstLineChars="200"/>
              <w:textAlignment w:val="auto"/>
              <w:rPr>
                <w:rFonts w:hint="default" w:ascii="Times New Roman" w:hAnsi="Times New Roman" w:cs="Times New Roman" w:eastAsiaTheme="minorEastAsia"/>
                <w:b w:val="0"/>
                <w:bCs w:val="0"/>
                <w:color w:val="auto"/>
                <w:kern w:val="2"/>
                <w:sz w:val="24"/>
                <w:szCs w:val="22"/>
                <w:highlight w:val="none"/>
                <w:lang w:val="en-US" w:eastAsia="zh-CN" w:bidi="ar-SA"/>
              </w:rPr>
            </w:pPr>
            <w:r>
              <w:rPr>
                <w:rFonts w:hint="default" w:ascii="Times New Roman" w:hAnsi="Times New Roman" w:cs="Times New Roman" w:eastAsiaTheme="minorEastAsia"/>
                <w:b w:val="0"/>
                <w:bCs w:val="0"/>
                <w:color w:val="auto"/>
                <w:kern w:val="2"/>
                <w:sz w:val="24"/>
                <w:szCs w:val="22"/>
                <w:highlight w:val="none"/>
                <w:lang w:val="en-US" w:eastAsia="zh-CN" w:bidi="ar-SA"/>
              </w:rPr>
              <w:t>通过对进出厂区的运输车提出限速要求、不能超载，厂区地面进行硬化，进行定期清扫和洒水，降低道路含尘量，每辆车在出厂时进行清洗，车辆运输过程中要进行</w:t>
            </w:r>
            <w:r>
              <w:rPr>
                <w:rFonts w:hint="eastAsia" w:cs="Times New Roman"/>
                <w:b w:val="0"/>
                <w:bCs w:val="0"/>
                <w:color w:val="auto"/>
                <w:kern w:val="2"/>
                <w:sz w:val="24"/>
                <w:szCs w:val="22"/>
                <w:highlight w:val="none"/>
                <w:lang w:val="en-US" w:eastAsia="zh-CN" w:bidi="ar-SA"/>
              </w:rPr>
              <w:t>遮蔽</w:t>
            </w:r>
            <w:r>
              <w:rPr>
                <w:rFonts w:hint="default" w:ascii="Times New Roman" w:hAnsi="Times New Roman" w:cs="Times New Roman" w:eastAsiaTheme="minorEastAsia"/>
                <w:b w:val="0"/>
                <w:bCs w:val="0"/>
                <w:color w:val="auto"/>
                <w:kern w:val="2"/>
                <w:sz w:val="24"/>
                <w:szCs w:val="22"/>
                <w:highlight w:val="none"/>
                <w:lang w:val="en-US" w:eastAsia="zh-CN" w:bidi="ar-SA"/>
              </w:rPr>
              <w:t>处理。</w:t>
            </w:r>
            <w:r>
              <w:rPr>
                <w:color w:val="auto"/>
              </w:rPr>
              <w:t>在采取以上措施后，可有效抑尘</w:t>
            </w:r>
            <w:r>
              <w:rPr>
                <w:rFonts w:hint="eastAsia"/>
                <w:color w:val="auto"/>
              </w:rPr>
              <w:t>90</w:t>
            </w:r>
            <w:r>
              <w:rPr>
                <w:color w:val="auto"/>
              </w:rPr>
              <w:t>%，</w:t>
            </w:r>
            <w:r>
              <w:rPr>
                <w:rFonts w:hint="default" w:ascii="Times New Roman" w:hAnsi="Times New Roman" w:cs="Times New Roman" w:eastAsiaTheme="minorEastAsia"/>
                <w:b w:val="0"/>
                <w:bCs w:val="0"/>
                <w:color w:val="auto"/>
                <w:kern w:val="2"/>
                <w:sz w:val="24"/>
                <w:szCs w:val="22"/>
                <w:highlight w:val="none"/>
                <w:lang w:val="en-US" w:eastAsia="zh-CN" w:bidi="ar-SA"/>
              </w:rPr>
              <w:t>则实际运输扬尘排放量为</w:t>
            </w:r>
            <w:r>
              <w:rPr>
                <w:rFonts w:hint="eastAsia" w:cs="Times New Roman"/>
                <w:b w:val="0"/>
                <w:bCs w:val="0"/>
                <w:color w:val="auto"/>
                <w:kern w:val="2"/>
                <w:sz w:val="24"/>
                <w:szCs w:val="22"/>
                <w:highlight w:val="none"/>
                <w:lang w:val="en-US" w:eastAsia="zh-CN" w:bidi="ar-SA"/>
              </w:rPr>
              <w:t>0.0122</w:t>
            </w:r>
            <w:r>
              <w:rPr>
                <w:rFonts w:hint="default" w:ascii="Times New Roman" w:hAnsi="Times New Roman" w:cs="Times New Roman" w:eastAsiaTheme="minorEastAsia"/>
                <w:b w:val="0"/>
                <w:bCs w:val="0"/>
                <w:color w:val="auto"/>
                <w:kern w:val="2"/>
                <w:sz w:val="24"/>
                <w:szCs w:val="22"/>
                <w:highlight w:val="none"/>
                <w:lang w:val="en-US" w:eastAsia="zh-CN" w:bidi="ar-SA"/>
              </w:rPr>
              <w:t>t/a。</w:t>
            </w:r>
          </w:p>
          <w:p>
            <w:pPr>
              <w:numPr>
                <w:ilvl w:val="0"/>
                <w:numId w:val="0"/>
              </w:numPr>
              <w:adjustRightInd w:val="0"/>
              <w:snapToGrid w:val="0"/>
              <w:ind w:leftChars="200"/>
              <w:rPr>
                <w:rFonts w:hint="eastAsia" w:ascii="Times New Roman" w:hAnsi="Times New Roman" w:cs="Times New Roman"/>
                <w:b/>
                <w:color w:val="auto"/>
                <w:highlight w:val="none"/>
                <w:lang w:val="en-US" w:eastAsia="zh-CN"/>
              </w:rPr>
            </w:pPr>
            <w:r>
              <w:rPr>
                <w:rFonts w:hint="eastAsia" w:cs="Times New Roman"/>
                <w:b/>
                <w:color w:val="auto"/>
                <w:highlight w:val="none"/>
                <w:lang w:val="en-US" w:eastAsia="zh-CN"/>
              </w:rPr>
              <w:t>（2）</w:t>
            </w:r>
            <w:r>
              <w:rPr>
                <w:rFonts w:hint="eastAsia" w:ascii="Times New Roman" w:hAnsi="Times New Roman" w:cs="Times New Roman"/>
                <w:b/>
                <w:color w:val="auto"/>
                <w:highlight w:val="none"/>
                <w:lang w:val="en-US" w:eastAsia="zh-CN"/>
              </w:rPr>
              <w:t>废气治理措施可行性分析</w:t>
            </w:r>
          </w:p>
          <w:bookmarkEnd w:id="4"/>
          <w:p>
            <w:pPr>
              <w:pStyle w:val="3"/>
              <w:keepNext/>
              <w:keepLines/>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eastAsiaTheme="minorEastAsia"/>
                <w:b w:val="0"/>
                <w:bCs w:val="0"/>
                <w:color w:val="auto"/>
                <w:kern w:val="2"/>
                <w:sz w:val="24"/>
                <w:szCs w:val="22"/>
                <w:highlight w:val="none"/>
                <w:lang w:val="zh-TW" w:eastAsia="zh-CN" w:bidi="ar-SA"/>
              </w:rPr>
            </w:pPr>
            <w:r>
              <w:rPr>
                <w:rFonts w:hint="eastAsia" w:ascii="Times New Roman" w:hAnsi="Times New Roman" w:cs="Times New Roman" w:eastAsiaTheme="minorEastAsia"/>
                <w:b w:val="0"/>
                <w:bCs w:val="0"/>
                <w:color w:val="auto"/>
                <w:kern w:val="2"/>
                <w:sz w:val="24"/>
                <w:szCs w:val="22"/>
                <w:highlight w:val="none"/>
                <w:lang w:val="zh-TW" w:eastAsia="zh-CN" w:bidi="ar-SA"/>
              </w:rPr>
              <w:t>参照《污染源源强核算技术指南 水泥工业》（HJ886—2018）中“附录 C 水泥工业废气污染防治可行技术”，“无组织排放控制中可通过物料处理、输送、装卸、储存过程应当封闭，对块石、粘湿物料、浆料以及车船装卸料过程也可采取其他有效抑尘措施，控制颗粒物无组织排放”。环评建议，本项目原料运输车辆进出厂区严格控制车速，经洗车台冲洗，对厂区地面进行定期洒水、清扫等，可有效减少道路扬尘；搅拌粉尘</w:t>
            </w:r>
            <w:r>
              <w:rPr>
                <w:rFonts w:hint="eastAsia" w:ascii="Times New Roman" w:hAnsi="Times New Roman" w:cs="Times New Roman" w:eastAsiaTheme="minorEastAsia"/>
                <w:b w:val="0"/>
                <w:bCs w:val="0"/>
                <w:color w:val="auto"/>
                <w:kern w:val="2"/>
                <w:sz w:val="24"/>
                <w:szCs w:val="22"/>
                <w:highlight w:val="none"/>
                <w:lang w:val="en-US" w:eastAsia="zh-CN" w:bidi="ar-SA"/>
              </w:rPr>
              <w:t>同时配备有</w:t>
            </w:r>
            <w:r>
              <w:rPr>
                <w:rFonts w:hint="eastAsia" w:ascii="Times New Roman" w:hAnsi="Times New Roman" w:cs="Times New Roman" w:eastAsiaTheme="minorEastAsia"/>
                <w:b w:val="0"/>
                <w:bCs w:val="0"/>
                <w:color w:val="auto"/>
                <w:kern w:val="2"/>
                <w:sz w:val="24"/>
                <w:szCs w:val="22"/>
                <w:highlight w:val="none"/>
                <w:lang w:val="zh-TW" w:eastAsia="zh-CN" w:bidi="ar-SA"/>
              </w:rPr>
              <w:t>集气罩</w:t>
            </w:r>
            <w:r>
              <w:rPr>
                <w:rFonts w:hint="eastAsia" w:ascii="Times New Roman" w:hAnsi="Times New Roman" w:cs="Times New Roman" w:eastAsiaTheme="minorEastAsia"/>
                <w:b w:val="0"/>
                <w:bCs w:val="0"/>
                <w:color w:val="auto"/>
                <w:kern w:val="2"/>
                <w:sz w:val="24"/>
                <w:szCs w:val="22"/>
                <w:highlight w:val="none"/>
                <w:lang w:val="en-US" w:eastAsia="zh-CN" w:bidi="ar-SA"/>
              </w:rPr>
              <w:t>和</w:t>
            </w:r>
            <w:r>
              <w:rPr>
                <w:rFonts w:hint="eastAsia" w:ascii="Times New Roman" w:hAnsi="Times New Roman" w:cs="Times New Roman" w:eastAsiaTheme="minorEastAsia"/>
                <w:b w:val="0"/>
                <w:bCs w:val="0"/>
                <w:color w:val="auto"/>
                <w:kern w:val="2"/>
                <w:sz w:val="24"/>
                <w:szCs w:val="22"/>
                <w:highlight w:val="none"/>
                <w:lang w:val="zh-TW" w:eastAsia="zh-CN" w:bidi="ar-SA"/>
              </w:rPr>
              <w:t>袋式除尘器处理，</w:t>
            </w:r>
            <w:r>
              <w:rPr>
                <w:rFonts w:hint="eastAsia"/>
                <w:b w:val="0"/>
                <w:bCs w:val="0"/>
                <w:color w:val="auto"/>
              </w:rPr>
              <w:t>水泥筒仓呼吸口配备有袋式除尘器，</w:t>
            </w:r>
            <w:r>
              <w:rPr>
                <w:rFonts w:hint="eastAsia" w:ascii="Times New Roman" w:hAnsi="Times New Roman" w:cs="Times New Roman" w:eastAsiaTheme="minorEastAsia"/>
                <w:b w:val="0"/>
                <w:bCs w:val="0"/>
                <w:color w:val="auto"/>
                <w:kern w:val="2"/>
                <w:sz w:val="24"/>
                <w:szCs w:val="22"/>
                <w:highlight w:val="none"/>
                <w:lang w:val="zh-TW" w:eastAsia="zh-CN" w:bidi="ar-SA"/>
              </w:rPr>
              <w:t>其采用处理技术属于《排放源统计调查产排污核算方法和系数手册》中推荐的末端处理技术。本项目</w:t>
            </w:r>
            <w:r>
              <w:rPr>
                <w:rFonts w:hint="eastAsia" w:ascii="Times New Roman" w:hAnsi="Times New Roman" w:cs="Times New Roman" w:eastAsiaTheme="minorEastAsia"/>
                <w:b w:val="0"/>
                <w:bCs w:val="0"/>
                <w:color w:val="auto"/>
                <w:szCs w:val="22"/>
                <w:highlight w:val="none"/>
                <w:lang w:val="zh-TW"/>
              </w:rPr>
              <w:t>物料堆存区及生产线各设备均布置在生产厂房</w:t>
            </w:r>
            <w:r>
              <w:rPr>
                <w:rFonts w:hint="eastAsia" w:ascii="Times New Roman" w:hAnsi="Times New Roman" w:cs="Times New Roman" w:eastAsiaTheme="minorEastAsia"/>
                <w:b w:val="0"/>
                <w:bCs w:val="0"/>
                <w:color w:val="auto"/>
                <w:szCs w:val="22"/>
                <w:highlight w:val="none"/>
                <w:lang w:val="en-US" w:eastAsia="zh-CN"/>
              </w:rPr>
              <w:t>和原料库</w:t>
            </w:r>
            <w:r>
              <w:rPr>
                <w:rFonts w:hint="eastAsia" w:ascii="Times New Roman" w:hAnsi="Times New Roman" w:cs="Times New Roman" w:eastAsiaTheme="minorEastAsia"/>
                <w:b w:val="0"/>
                <w:bCs w:val="0"/>
                <w:color w:val="auto"/>
                <w:szCs w:val="22"/>
                <w:highlight w:val="none"/>
                <w:lang w:val="zh-TW"/>
              </w:rPr>
              <w:t>内，</w:t>
            </w:r>
            <w:r>
              <w:rPr>
                <w:rFonts w:hint="eastAsia" w:ascii="Times New Roman" w:hAnsi="Times New Roman" w:cs="Times New Roman" w:eastAsiaTheme="minorEastAsia"/>
                <w:b w:val="0"/>
                <w:bCs w:val="0"/>
                <w:color w:val="auto"/>
                <w:kern w:val="2"/>
                <w:sz w:val="24"/>
                <w:szCs w:val="22"/>
                <w:highlight w:val="none"/>
                <w:lang w:val="zh-TW" w:eastAsia="zh-CN" w:bidi="ar-SA"/>
              </w:rPr>
              <w:t>生产厂房和原料库均为封闭式钢结构，内配备喷淋设施。</w:t>
            </w:r>
            <w:r>
              <w:rPr>
                <w:rFonts w:hint="eastAsia"/>
                <w:b w:val="0"/>
                <w:bCs w:val="0"/>
                <w:color w:val="auto"/>
              </w:rPr>
              <w:t>各工序产生的粉尘均在生产厂房内无组织排放。</w:t>
            </w:r>
          </w:p>
          <w:p>
            <w:pPr>
              <w:pStyle w:val="3"/>
              <w:keepNext/>
              <w:keepLines/>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Times New Roman" w:hAnsi="Times New Roman" w:cs="Times New Roman" w:eastAsiaTheme="minorEastAsia"/>
                <w:b w:val="0"/>
                <w:bCs w:val="0"/>
                <w:color w:val="auto"/>
                <w:kern w:val="2"/>
                <w:sz w:val="24"/>
                <w:szCs w:val="22"/>
                <w:highlight w:val="none"/>
                <w:lang w:val="zh-TW" w:eastAsia="zh-CN" w:bidi="ar-SA"/>
              </w:rPr>
            </w:pPr>
            <w:r>
              <w:rPr>
                <w:rFonts w:hint="eastAsia"/>
                <w:b w:val="0"/>
                <w:bCs w:val="0"/>
                <w:color w:val="auto"/>
              </w:rPr>
              <w:t>综上，本项目针对颗粒物采用的处理技术均属于废气处理技术可行。</w:t>
            </w:r>
            <w:r>
              <w:rPr>
                <w:rFonts w:hint="eastAsia" w:ascii="Times New Roman" w:hAnsi="Times New Roman" w:cs="Times New Roman" w:eastAsiaTheme="minorEastAsia"/>
                <w:b w:val="0"/>
                <w:bCs w:val="0"/>
                <w:color w:val="auto"/>
                <w:kern w:val="2"/>
                <w:sz w:val="24"/>
                <w:szCs w:val="22"/>
                <w:highlight w:val="none"/>
                <w:lang w:val="zh-TW" w:eastAsia="zh-CN" w:bidi="ar-SA"/>
              </w:rPr>
              <w:t>无组织排放颗粒物可满足《水泥工业大气污染物排放标准》（GB4915-2013）中表3大气污染物无组织排放限值要求。</w:t>
            </w:r>
          </w:p>
          <w:p>
            <w:pPr>
              <w:numPr>
                <w:ilvl w:val="-1"/>
                <w:numId w:val="0"/>
              </w:numPr>
              <w:adjustRightInd w:val="0"/>
              <w:snapToGrid w:val="0"/>
              <w:ind w:left="480" w:leftChars="200" w:firstLine="0" w:firstLineChars="0"/>
              <w:rPr>
                <w:rFonts w:hint="eastAsia" w:cs="Times New Roman"/>
                <w:b/>
                <w:color w:val="auto"/>
                <w:highlight w:val="none"/>
                <w:lang w:val="zh-TW" w:eastAsia="zh-CN"/>
              </w:rPr>
            </w:pPr>
            <w:r>
              <w:rPr>
                <w:rFonts w:hint="eastAsia" w:cs="Times New Roman"/>
                <w:b/>
                <w:color w:val="auto"/>
                <w:highlight w:val="none"/>
                <w:lang w:val="en-US" w:eastAsia="zh-CN"/>
              </w:rPr>
              <w:t>（3）</w:t>
            </w:r>
            <w:r>
              <w:rPr>
                <w:rFonts w:hint="eastAsia" w:cs="Times New Roman"/>
                <w:b/>
                <w:color w:val="auto"/>
                <w:highlight w:val="none"/>
                <w:lang w:val="zh-TW" w:eastAsia="zh-CN"/>
              </w:rPr>
              <w:t>废气环境监测与管理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auto"/>
                <w:lang w:val="zh-TW" w:eastAsia="zh-CN"/>
              </w:rPr>
            </w:pPr>
            <w:r>
              <w:rPr>
                <w:rFonts w:hint="eastAsia"/>
                <w:color w:val="auto"/>
                <w:lang w:val="zh-TW" w:eastAsia="zh-CN"/>
              </w:rPr>
              <w:t>依据《排污单位自行监测技术指南 总则》（HJ819-2017），</w:t>
            </w:r>
            <w:r>
              <w:rPr>
                <w:rFonts w:hint="eastAsia"/>
                <w:color w:val="auto"/>
                <w:lang w:val="en-US" w:eastAsia="zh-CN"/>
              </w:rPr>
              <w:t>本项目运营期</w:t>
            </w:r>
            <w:r>
              <w:rPr>
                <w:rFonts w:hint="eastAsia"/>
                <w:color w:val="auto"/>
                <w:lang w:val="zh-TW" w:eastAsia="zh-CN"/>
              </w:rPr>
              <w:t>自行监测要求见表4-</w:t>
            </w:r>
            <w:r>
              <w:rPr>
                <w:rFonts w:hint="eastAsia"/>
                <w:color w:val="auto"/>
                <w:lang w:val="en-US" w:eastAsia="zh-CN"/>
              </w:rPr>
              <w:t>3</w:t>
            </w:r>
            <w:r>
              <w:rPr>
                <w:rFonts w:hint="eastAsia"/>
                <w:color w:val="auto"/>
                <w:lang w:val="zh-TW"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42" w:firstLineChars="200"/>
              <w:jc w:val="center"/>
              <w:textAlignment w:val="auto"/>
              <w:rPr>
                <w:rFonts w:hint="eastAsia" w:ascii="Times New Roman" w:hAnsi="Times New Roman" w:cs="Times New Roman" w:eastAsiaTheme="minorEastAsia"/>
                <w:b/>
                <w:bCs/>
                <w:color w:val="auto"/>
                <w:kern w:val="2"/>
                <w:sz w:val="22"/>
                <w:szCs w:val="22"/>
                <w:lang w:val="zh-TW" w:eastAsia="zh-CN" w:bidi="ar-SA"/>
              </w:rPr>
            </w:pPr>
            <w:r>
              <w:rPr>
                <w:rFonts w:hint="eastAsia" w:ascii="Times New Roman" w:hAnsi="Times New Roman" w:cs="Times New Roman" w:eastAsiaTheme="minorEastAsia"/>
                <w:b/>
                <w:bCs/>
                <w:color w:val="auto"/>
                <w:kern w:val="2"/>
                <w:sz w:val="22"/>
                <w:szCs w:val="22"/>
                <w:lang w:val="zh-TW" w:eastAsia="zh-CN" w:bidi="ar-SA"/>
              </w:rPr>
              <w:t>表4-</w:t>
            </w:r>
            <w:r>
              <w:rPr>
                <w:rFonts w:hint="eastAsia" w:cs="Times New Roman"/>
                <w:b/>
                <w:bCs/>
                <w:color w:val="auto"/>
                <w:kern w:val="2"/>
                <w:sz w:val="22"/>
                <w:szCs w:val="22"/>
                <w:lang w:val="en-US" w:eastAsia="zh-CN" w:bidi="ar-SA"/>
              </w:rPr>
              <w:t>3</w:t>
            </w:r>
            <w:r>
              <w:rPr>
                <w:rFonts w:hint="eastAsia" w:ascii="Times New Roman" w:hAnsi="Times New Roman" w:cs="Times New Roman" w:eastAsiaTheme="minorEastAsia"/>
                <w:b/>
                <w:bCs/>
                <w:color w:val="auto"/>
                <w:kern w:val="2"/>
                <w:sz w:val="22"/>
                <w:szCs w:val="22"/>
                <w:lang w:val="zh-TW" w:eastAsia="zh-CN" w:bidi="ar-SA"/>
              </w:rPr>
              <w:t xml:space="preserve"> 环境监测内容及计划</w:t>
            </w:r>
          </w:p>
          <w:tbl>
            <w:tblPr>
              <w:tblStyle w:val="22"/>
              <w:tblW w:w="9249"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0"/>
              <w:gridCol w:w="720"/>
              <w:gridCol w:w="2360"/>
              <w:gridCol w:w="1066"/>
              <w:gridCol w:w="2606"/>
              <w:gridCol w:w="111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类别</w:t>
                  </w:r>
                </w:p>
              </w:tc>
              <w:tc>
                <w:tcPr>
                  <w:tcW w:w="762" w:type="pct"/>
                  <w:gridSpan w:val="2"/>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内容</w:t>
                  </w:r>
                </w:p>
              </w:tc>
              <w:tc>
                <w:tcPr>
                  <w:tcW w:w="1275"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监测点位</w:t>
                  </w:r>
                </w:p>
              </w:tc>
              <w:tc>
                <w:tcPr>
                  <w:tcW w:w="576"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频次</w:t>
                  </w:r>
                </w:p>
              </w:tc>
              <w:tc>
                <w:tcPr>
                  <w:tcW w:w="1408"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执行标准</w:t>
                  </w:r>
                </w:p>
              </w:tc>
              <w:tc>
                <w:tcPr>
                  <w:tcW w:w="603"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浓度限值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eastAsia" w:ascii="Times New Roman" w:hAnsi="Times New Roman" w:eastAsia="宋体" w:cs="Times New Roman"/>
                      <w:color w:val="auto"/>
                      <w:kern w:val="0"/>
                      <w:sz w:val="21"/>
                      <w:szCs w:val="21"/>
                      <w:highlight w:val="none"/>
                      <w:lang w:eastAsia="zh-CN"/>
                    </w:rPr>
                  </w:pPr>
                  <w:r>
                    <w:rPr>
                      <w:rFonts w:hint="eastAsia" w:eastAsia="宋体" w:cs="Times New Roman"/>
                      <w:color w:val="auto"/>
                      <w:kern w:val="0"/>
                      <w:sz w:val="21"/>
                      <w:szCs w:val="21"/>
                      <w:highlight w:val="none"/>
                      <w:lang w:eastAsia="zh-CN"/>
                    </w:rPr>
                    <w:t>废气</w:t>
                  </w:r>
                </w:p>
              </w:tc>
              <w:tc>
                <w:tcPr>
                  <w:tcW w:w="373"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0"/>
                      <w:sz w:val="21"/>
                      <w:szCs w:val="21"/>
                      <w:highlight w:val="none"/>
                      <w:lang w:eastAsia="zh-CN"/>
                    </w:rPr>
                  </w:pPr>
                  <w:r>
                    <w:rPr>
                      <w:rFonts w:hint="eastAsia" w:eastAsia="宋体" w:cs="Times New Roman"/>
                      <w:color w:val="auto"/>
                      <w:kern w:val="0"/>
                      <w:sz w:val="21"/>
                      <w:szCs w:val="21"/>
                      <w:highlight w:val="none"/>
                      <w:lang w:eastAsia="zh-CN"/>
                    </w:rPr>
                    <w:t>颗粒物</w:t>
                  </w:r>
                </w:p>
              </w:tc>
              <w:tc>
                <w:tcPr>
                  <w:tcW w:w="389"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无组织</w:t>
                  </w:r>
                </w:p>
              </w:tc>
              <w:tc>
                <w:tcPr>
                  <w:tcW w:w="1275"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eastAsia="zh-CN"/>
                    </w:rPr>
                    <w:t>项目厂址上风向1个点位，下风向3个点位</w:t>
                  </w:r>
                </w:p>
              </w:tc>
              <w:tc>
                <w:tcPr>
                  <w:tcW w:w="576"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eastAsia="zh-CN"/>
                    </w:rPr>
                    <w:t>1次/</w:t>
                  </w:r>
                  <w:r>
                    <w:rPr>
                      <w:rFonts w:hint="eastAsia" w:cs="Times New Roman"/>
                      <w:color w:val="auto"/>
                      <w:kern w:val="0"/>
                      <w:sz w:val="21"/>
                      <w:szCs w:val="21"/>
                      <w:highlight w:val="none"/>
                      <w:lang w:val="en-US" w:eastAsia="zh-CN"/>
                    </w:rPr>
                    <w:t>年</w:t>
                  </w:r>
                </w:p>
              </w:tc>
              <w:tc>
                <w:tcPr>
                  <w:tcW w:w="1408"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《水泥工业大气污染物排放标准》（GB4915-2013）</w:t>
                  </w:r>
                </w:p>
              </w:tc>
              <w:tc>
                <w:tcPr>
                  <w:tcW w:w="603" w:type="pct"/>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0.5mg/m</w:t>
                  </w:r>
                  <w:r>
                    <w:rPr>
                      <w:rFonts w:hint="default" w:ascii="Times New Roman" w:hAnsi="Times New Roman" w:eastAsia="宋体" w:cs="Times New Roman"/>
                      <w:color w:val="auto"/>
                      <w:kern w:val="0"/>
                      <w:sz w:val="21"/>
                      <w:szCs w:val="21"/>
                      <w:highlight w:val="none"/>
                      <w:vertAlign w:val="superscript"/>
                      <w:lang w:eastAsia="zh-CN"/>
                    </w:rPr>
                    <w:t>3</w:t>
                  </w:r>
                </w:p>
              </w:tc>
            </w:tr>
          </w:tbl>
          <w:p>
            <w:pPr>
              <w:adjustRightInd w:val="0"/>
              <w:snapToGrid w:val="0"/>
              <w:spacing w:before="157" w:beforeLines="50"/>
              <w:ind w:firstLine="482" w:firstLineChars="200"/>
              <w:rPr>
                <w:rFonts w:hint="default" w:ascii="Times New Roman" w:hAnsi="Times New Roman" w:eastAsia="宋体" w:cs="Times New Roman"/>
                <w:b/>
                <w:bCs/>
                <w:color w:val="auto"/>
                <w:szCs w:val="22"/>
                <w:lang w:val="en-US" w:eastAsia="zh-CN"/>
              </w:rPr>
            </w:pPr>
            <w:r>
              <w:rPr>
                <w:rFonts w:hint="eastAsia" w:cs="Times New Roman"/>
                <w:b/>
                <w:color w:val="auto"/>
                <w:highlight w:val="none"/>
                <w:lang w:eastAsia="zh-CN"/>
              </w:rPr>
              <w:t>（</w:t>
            </w:r>
            <w:r>
              <w:rPr>
                <w:rFonts w:hint="eastAsia" w:cs="Times New Roman"/>
                <w:b/>
                <w:color w:val="auto"/>
                <w:highlight w:val="none"/>
                <w:lang w:val="en-US" w:eastAsia="zh-CN"/>
              </w:rPr>
              <w:t>4</w:t>
            </w:r>
            <w:r>
              <w:rPr>
                <w:rFonts w:hint="eastAsia" w:cs="Times New Roman"/>
                <w:b/>
                <w:color w:val="auto"/>
                <w:highlight w:val="none"/>
                <w:lang w:eastAsia="zh-CN"/>
              </w:rPr>
              <w:t>）</w:t>
            </w:r>
            <w:r>
              <w:rPr>
                <w:rFonts w:hint="default" w:ascii="Times New Roman" w:hAnsi="Times New Roman" w:eastAsia="宋体" w:cs="Times New Roman"/>
                <w:b/>
                <w:bCs/>
                <w:color w:val="auto"/>
                <w:szCs w:val="22"/>
                <w:lang w:val="en-US" w:eastAsia="zh-CN"/>
              </w:rPr>
              <w:t>污染物排放量核算</w:t>
            </w:r>
          </w:p>
          <w:p>
            <w:pPr>
              <w:adjustRightInd w:val="0"/>
              <w:snapToGrid w:val="0"/>
              <w:ind w:firstLine="480" w:firstLineChars="200"/>
              <w:rPr>
                <w:rFonts w:hint="eastAsia" w:cs="Times New Roman"/>
                <w:color w:val="auto"/>
              </w:rPr>
            </w:pPr>
            <w:r>
              <w:rPr>
                <w:rFonts w:hint="eastAsia" w:cs="Times New Roman"/>
                <w:color w:val="auto"/>
                <w:lang w:val="en-US" w:eastAsia="zh-CN"/>
              </w:rPr>
              <w:t>根据</w:t>
            </w:r>
            <w:r>
              <w:rPr>
                <w:rFonts w:hint="eastAsia" w:cs="Times New Roman"/>
                <w:color w:val="auto"/>
              </w:rPr>
              <w:t>《陕西省生态环境厅关于解决企业申报污染物许可排放量与环评文件排放量不一致问题的通知》</w:t>
            </w:r>
            <w:r>
              <w:rPr>
                <w:rFonts w:hint="eastAsia" w:cs="Times New Roman"/>
                <w:color w:val="auto"/>
                <w:lang w:eastAsia="zh-CN"/>
              </w:rPr>
              <w:t>（</w:t>
            </w:r>
            <w:r>
              <w:rPr>
                <w:rFonts w:hint="eastAsia" w:cs="Times New Roman"/>
                <w:color w:val="auto"/>
                <w:lang w:val="en-US" w:eastAsia="zh-CN"/>
              </w:rPr>
              <w:t>陕环排管函</w:t>
            </w:r>
            <w:r>
              <w:rPr>
                <w:rFonts w:hint="eastAsia" w:ascii="宋体" w:hAnsi="宋体" w:eastAsia="宋体" w:cs="宋体"/>
                <w:color w:val="auto"/>
                <w:lang w:val="en-US" w:eastAsia="zh-CN"/>
              </w:rPr>
              <w:t>〔</w:t>
            </w:r>
            <w:r>
              <w:rPr>
                <w:rFonts w:hint="eastAsia" w:cs="Times New Roman"/>
                <w:color w:val="auto"/>
                <w:lang w:val="en-US" w:eastAsia="zh-CN"/>
              </w:rPr>
              <w:t>2024</w:t>
            </w:r>
            <w:r>
              <w:rPr>
                <w:rFonts w:hint="eastAsia" w:ascii="宋体" w:hAnsi="宋体" w:eastAsia="宋体" w:cs="宋体"/>
                <w:color w:val="auto"/>
                <w:lang w:val="en-US" w:eastAsia="zh-CN"/>
              </w:rPr>
              <w:t>〕</w:t>
            </w:r>
            <w:r>
              <w:rPr>
                <w:rFonts w:hint="eastAsia" w:cs="Times New Roman"/>
                <w:color w:val="auto"/>
                <w:lang w:val="en-US" w:eastAsia="zh-CN"/>
              </w:rPr>
              <w:t>18号</w:t>
            </w:r>
            <w:r>
              <w:rPr>
                <w:rFonts w:hint="eastAsia" w:cs="Times New Roman"/>
                <w:color w:val="auto"/>
                <w:lang w:eastAsia="zh-CN"/>
              </w:rPr>
              <w:t>）</w:t>
            </w:r>
            <w:r>
              <w:rPr>
                <w:rFonts w:hint="eastAsia" w:cs="Times New Roman"/>
                <w:color w:val="auto"/>
              </w:rPr>
              <w:t>及《固定污染源排污许可分类管理名录》，本项目属于排污登记管理类，不属于</w:t>
            </w:r>
            <w:r>
              <w:rPr>
                <w:rFonts w:hint="eastAsia" w:cs="Times New Roman"/>
                <w:color w:val="auto"/>
                <w:lang w:val="en-US" w:eastAsia="zh-CN"/>
              </w:rPr>
              <w:t>排污许可重点管理类或简化管理类，且非</w:t>
            </w:r>
            <w:r>
              <w:rPr>
                <w:rFonts w:hint="eastAsia" w:cs="Times New Roman"/>
                <w:color w:val="auto"/>
              </w:rPr>
              <w:t>项目性质、规模、生产工艺、原料、环境保护措施变化导致污染物环评文件排放量与实际排放量不一致需重新申领排污许可证的排污单位。</w:t>
            </w:r>
          </w:p>
          <w:p>
            <w:pPr>
              <w:adjustRightInd w:val="0"/>
              <w:snapToGrid w:val="0"/>
              <w:ind w:firstLine="480" w:firstLineChars="200"/>
              <w:rPr>
                <w:rFonts w:hint="default" w:ascii="Times New Roman" w:hAnsi="Times New Roman" w:eastAsia="宋体" w:cs="Times New Roman"/>
                <w:color w:val="auto"/>
                <w:highlight w:val="none"/>
              </w:rPr>
            </w:pPr>
            <w:r>
              <w:rPr>
                <w:rFonts w:hint="eastAsia" w:cs="Times New Roman"/>
                <w:color w:val="auto"/>
                <w:lang w:val="en-US" w:eastAsia="zh-CN"/>
              </w:rPr>
              <w:t>本次环评中各污染物</w:t>
            </w:r>
            <w:r>
              <w:rPr>
                <w:rFonts w:hint="eastAsia" w:cs="Times New Roman"/>
                <w:color w:val="auto"/>
              </w:rPr>
              <w:t>排放量核算均采用系数法及物料衡算法，符合排污许可规范等相关要求。</w:t>
            </w:r>
          </w:p>
          <w:p>
            <w:pPr>
              <w:adjustRightInd w:val="0"/>
              <w:snapToGrid w:val="0"/>
              <w:ind w:firstLine="482" w:firstLineChars="200"/>
              <w:rPr>
                <w:rFonts w:cs="Times New Roman"/>
                <w:b/>
                <w:color w:val="auto"/>
                <w:highlight w:val="none"/>
              </w:rPr>
            </w:pPr>
            <w:r>
              <w:rPr>
                <w:rFonts w:hint="eastAsia" w:cs="Times New Roman"/>
                <w:b/>
                <w:color w:val="auto"/>
                <w:highlight w:val="none"/>
              </w:rPr>
              <w:t>2、</w:t>
            </w:r>
            <w:r>
              <w:rPr>
                <w:rFonts w:cs="Times New Roman"/>
                <w:b/>
                <w:color w:val="auto"/>
                <w:highlight w:val="none"/>
              </w:rPr>
              <w:t>地表水环境影响分析</w:t>
            </w:r>
          </w:p>
          <w:p>
            <w:pPr>
              <w:adjustRightInd w:val="0"/>
              <w:snapToGrid w:val="0"/>
              <w:ind w:firstLine="482" w:firstLineChars="200"/>
              <w:rPr>
                <w:rFonts w:cs="Times New Roman"/>
                <w:b/>
                <w:bCs/>
                <w:color w:val="auto"/>
              </w:rPr>
            </w:pPr>
            <w:r>
              <w:rPr>
                <w:rFonts w:hint="eastAsia" w:cs="Times New Roman"/>
                <w:b/>
                <w:bCs/>
                <w:color w:val="auto"/>
              </w:rPr>
              <w:t>（1）</w:t>
            </w:r>
            <w:r>
              <w:rPr>
                <w:rFonts w:cs="Times New Roman"/>
                <w:b/>
                <w:bCs/>
                <w:color w:val="auto"/>
              </w:rPr>
              <w:t>废水污染物源强核算</w:t>
            </w:r>
          </w:p>
          <w:p>
            <w:pPr>
              <w:adjustRightInd w:val="0"/>
              <w:snapToGrid w:val="0"/>
              <w:ind w:firstLine="480" w:firstLineChars="200"/>
              <w:rPr>
                <w:rFonts w:hint="eastAsia" w:cs="Times New Roman"/>
                <w:color w:val="auto"/>
              </w:rPr>
            </w:pPr>
            <w:r>
              <w:rPr>
                <w:rFonts w:cs="Times New Roman"/>
                <w:color w:val="auto"/>
              </w:rPr>
              <w:t>本项目</w:t>
            </w:r>
            <w:r>
              <w:rPr>
                <w:rFonts w:hint="eastAsia" w:cs="Times New Roman"/>
                <w:color w:val="auto"/>
                <w:lang w:val="en-US" w:eastAsia="zh-CN"/>
              </w:rPr>
              <w:t>拟建</w:t>
            </w:r>
            <w:r>
              <w:rPr>
                <w:rFonts w:cs="Times New Roman"/>
                <w:color w:val="auto"/>
              </w:rPr>
              <w:t>的水稳材料生产线在搅拌过程中需使用水，</w:t>
            </w:r>
            <w:r>
              <w:rPr>
                <w:rFonts w:hint="eastAsia" w:cs="Times New Roman"/>
                <w:color w:val="auto"/>
                <w:lang w:eastAsia="zh-CN"/>
              </w:rPr>
              <w:t>优质环保水泥砖生产线</w:t>
            </w:r>
            <w:r>
              <w:rPr>
                <w:rFonts w:hint="eastAsia" w:cs="Times New Roman"/>
                <w:color w:val="auto"/>
                <w:lang w:val="en-US" w:eastAsia="zh-CN"/>
              </w:rPr>
              <w:t>在搅拌和养护工序均需用水。</w:t>
            </w:r>
            <w:r>
              <w:rPr>
                <w:rFonts w:hint="eastAsia" w:cs="Times New Roman"/>
                <w:color w:val="auto"/>
              </w:rPr>
              <w:t>项目主要用水为职工生活用水、生产配比用水、车辆冲洗用水、喷淋抑尘用水、路面洒水、</w:t>
            </w:r>
            <w:r>
              <w:rPr>
                <w:rFonts w:hint="eastAsia" w:cs="Times New Roman"/>
                <w:color w:val="auto"/>
                <w:lang w:val="en-US" w:eastAsia="zh-CN"/>
              </w:rPr>
              <w:t>水泥砖</w:t>
            </w:r>
            <w:r>
              <w:rPr>
                <w:rFonts w:hint="eastAsia" w:cs="Times New Roman"/>
                <w:color w:val="auto"/>
              </w:rPr>
              <w:t>养护用水。</w:t>
            </w:r>
          </w:p>
          <w:p>
            <w:pPr>
              <w:adjustRightInd w:val="0"/>
              <w:snapToGrid w:val="0"/>
              <w:ind w:firstLine="480" w:firstLineChars="200"/>
              <w:rPr>
                <w:rFonts w:hint="default" w:cs="Times New Roman" w:eastAsiaTheme="minorEastAsia"/>
                <w:color w:val="auto"/>
                <w:lang w:val="en-US" w:eastAsia="zh-CN"/>
              </w:rPr>
            </w:pPr>
            <w:r>
              <w:rPr>
                <w:rFonts w:hint="eastAsia" w:cs="Times New Roman"/>
                <w:color w:val="auto"/>
              </w:rPr>
              <w:t>生产配比用水</w:t>
            </w:r>
            <w:r>
              <w:rPr>
                <w:rFonts w:cs="Times New Roman"/>
                <w:color w:val="auto"/>
              </w:rPr>
              <w:t>直接进入产品</w:t>
            </w:r>
            <w:r>
              <w:rPr>
                <w:rFonts w:hint="eastAsia" w:cs="Times New Roman"/>
                <w:color w:val="auto"/>
                <w:lang w:eastAsia="zh-CN"/>
              </w:rPr>
              <w:t>，</w:t>
            </w:r>
            <w:r>
              <w:rPr>
                <w:rFonts w:hint="eastAsia" w:cs="Times New Roman"/>
                <w:color w:val="auto"/>
                <w:lang w:val="en-US" w:eastAsia="zh-CN"/>
              </w:rPr>
              <w:t>水泥砖</w:t>
            </w:r>
            <w:r>
              <w:rPr>
                <w:rFonts w:hint="eastAsia" w:cs="Times New Roman"/>
                <w:color w:val="auto"/>
              </w:rPr>
              <w:t>养护用水</w:t>
            </w:r>
            <w:r>
              <w:rPr>
                <w:rFonts w:hint="eastAsia" w:cs="Times New Roman"/>
                <w:color w:val="auto"/>
                <w:lang w:val="en-US" w:eastAsia="zh-CN"/>
              </w:rPr>
              <w:t>进入产品或蒸发，</w:t>
            </w:r>
            <w:r>
              <w:rPr>
                <w:rFonts w:cs="Times New Roman"/>
                <w:color w:val="auto"/>
              </w:rPr>
              <w:t>喷淋抑尘用水</w:t>
            </w:r>
            <w:r>
              <w:rPr>
                <w:rFonts w:hint="eastAsia" w:cs="Times New Roman"/>
                <w:color w:val="auto"/>
                <w:lang w:val="en-US" w:eastAsia="zh-CN"/>
              </w:rPr>
              <w:t>和路面洒水</w:t>
            </w:r>
            <w:r>
              <w:rPr>
                <w:rFonts w:cs="Times New Roman"/>
                <w:color w:val="auto"/>
              </w:rPr>
              <w:t>在使用中损耗。车辆冲洗废水</w:t>
            </w:r>
            <w:r>
              <w:rPr>
                <w:rFonts w:hint="eastAsia" w:cs="Times New Roman"/>
                <w:color w:val="auto"/>
                <w:lang w:val="en-US" w:eastAsia="zh-CN"/>
              </w:rPr>
              <w:t>经</w:t>
            </w:r>
            <w:r>
              <w:rPr>
                <w:rFonts w:cs="Times New Roman"/>
                <w:color w:val="auto"/>
              </w:rPr>
              <w:t>沉淀池处理后回用；</w:t>
            </w:r>
            <w:r>
              <w:rPr>
                <w:rFonts w:hint="eastAsia" w:cs="Times New Roman"/>
                <w:color w:val="auto"/>
                <w:lang w:val="en-US" w:eastAsia="zh-CN"/>
              </w:rPr>
              <w:t>职工生活</w:t>
            </w:r>
            <w:r>
              <w:rPr>
                <w:rFonts w:hint="eastAsia" w:cs="Times New Roman"/>
                <w:color w:val="auto"/>
                <w:lang w:eastAsia="zh-CN"/>
              </w:rPr>
              <w:t>污水经化粪池处理后，定期清掏，用作肥田，不外排。</w:t>
            </w:r>
            <w:r>
              <w:rPr>
                <w:rFonts w:hint="eastAsia" w:cs="Times New Roman"/>
                <w:color w:val="auto"/>
                <w:lang w:val="en-US" w:eastAsia="zh-CN"/>
              </w:rPr>
              <w:t>根据前文计算，本项目废水产生情况如下：</w:t>
            </w:r>
          </w:p>
          <w:p>
            <w:pPr>
              <w:adjustRightInd w:val="0"/>
              <w:snapToGrid w:val="0"/>
              <w:ind w:firstLine="480" w:firstLineChars="200"/>
              <w:rPr>
                <w:rFonts w:hint="eastAsia" w:cs="Times New Roman" w:eastAsiaTheme="minorEastAsia"/>
                <w:color w:val="auto"/>
                <w:lang w:eastAsia="zh-CN"/>
              </w:rPr>
            </w:pPr>
            <w:r>
              <w:rPr>
                <w:rFonts w:hint="eastAsia" w:cs="Times New Roman"/>
                <w:color w:val="auto"/>
              </w:rPr>
              <w:t>1）</w:t>
            </w:r>
            <w:r>
              <w:rPr>
                <w:rFonts w:hint="eastAsia" w:cs="Times New Roman"/>
                <w:color w:val="auto"/>
                <w:lang w:eastAsia="zh-CN"/>
              </w:rPr>
              <w:t>生活污水</w:t>
            </w:r>
          </w:p>
          <w:p>
            <w:pPr>
              <w:adjustRightInd w:val="0"/>
              <w:snapToGrid w:val="0"/>
              <w:ind w:firstLine="480" w:firstLineChars="200"/>
              <w:rPr>
                <w:rFonts w:hint="eastAsia" w:cs="Times New Roman"/>
                <w:color w:val="auto"/>
                <w:lang w:eastAsia="zh-CN"/>
              </w:rPr>
            </w:pPr>
            <w:r>
              <w:rPr>
                <w:rFonts w:hint="eastAsia" w:cs="Times New Roman"/>
                <w:color w:val="auto"/>
                <w:lang w:eastAsia="zh-CN"/>
              </w:rPr>
              <w:t>排放量按用水量的80%计算，则项目生活污水产生量为</w:t>
            </w:r>
            <w:r>
              <w:rPr>
                <w:rFonts w:hint="eastAsia" w:cs="Times New Roman"/>
                <w:color w:val="auto"/>
                <w:lang w:val="en-US" w:eastAsia="zh-CN"/>
              </w:rPr>
              <w:t>0.27</w:t>
            </w:r>
            <w:r>
              <w:rPr>
                <w:rFonts w:hint="eastAsia" w:cs="Times New Roman"/>
                <w:color w:val="auto"/>
                <w:lang w:eastAsia="zh-CN"/>
              </w:rPr>
              <w:t>m</w:t>
            </w:r>
            <w:r>
              <w:rPr>
                <w:rFonts w:hint="eastAsia" w:cs="Times New Roman"/>
                <w:color w:val="auto"/>
                <w:vertAlign w:val="superscript"/>
                <w:lang w:eastAsia="zh-CN"/>
              </w:rPr>
              <w:t>3</w:t>
            </w:r>
            <w:r>
              <w:rPr>
                <w:rFonts w:hint="eastAsia" w:cs="Times New Roman"/>
                <w:color w:val="auto"/>
                <w:lang w:eastAsia="zh-CN"/>
              </w:rPr>
              <w:t>/d，</w:t>
            </w:r>
            <w:r>
              <w:rPr>
                <w:rFonts w:hint="eastAsia" w:cs="Times New Roman"/>
                <w:color w:val="auto"/>
                <w:lang w:val="en-US" w:eastAsia="zh-CN"/>
              </w:rPr>
              <w:t>80</w:t>
            </w:r>
            <w:r>
              <w:rPr>
                <w:rFonts w:hint="eastAsia" w:cs="Times New Roman"/>
                <w:color w:val="auto"/>
                <w:lang w:eastAsia="zh-CN"/>
              </w:rPr>
              <w:t>m</w:t>
            </w:r>
            <w:r>
              <w:rPr>
                <w:rFonts w:hint="eastAsia" w:cs="Times New Roman"/>
                <w:color w:val="auto"/>
                <w:vertAlign w:val="superscript"/>
                <w:lang w:eastAsia="zh-CN"/>
              </w:rPr>
              <w:t>3</w:t>
            </w:r>
            <w:r>
              <w:rPr>
                <w:rFonts w:hint="eastAsia" w:cs="Times New Roman"/>
                <w:color w:val="auto"/>
                <w:lang w:eastAsia="zh-CN"/>
              </w:rPr>
              <w:t>/a。生活污水经化粪池处理后，定期清掏用作肥田，不外排。</w:t>
            </w:r>
          </w:p>
          <w:p>
            <w:pPr>
              <w:adjustRightInd w:val="0"/>
              <w:snapToGrid w:val="0"/>
              <w:ind w:firstLine="480" w:firstLineChars="200"/>
              <w:rPr>
                <w:rFonts w:cs="Times New Roman"/>
                <w:color w:val="auto"/>
              </w:rPr>
            </w:pPr>
            <w:r>
              <w:rPr>
                <w:rFonts w:hint="eastAsia" w:cs="Times New Roman"/>
                <w:color w:val="auto"/>
              </w:rPr>
              <w:t>2）</w:t>
            </w:r>
            <w:r>
              <w:rPr>
                <w:rFonts w:eastAsia="宋体" w:cs="Times New Roman"/>
                <w:color w:val="auto"/>
                <w:szCs w:val="24"/>
              </w:rPr>
              <w:t>生产配比用水</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ascii="Times New Roman" w:hAnsi="Times New Roman" w:eastAsia="宋体" w:cs="Times New Roman"/>
                <w:b w:val="0"/>
                <w:bCs w:val="0"/>
                <w:color w:val="auto"/>
                <w:szCs w:val="24"/>
              </w:rPr>
              <w:t>根据企业提供的资料，本项目水稳材料生产线生产规模为20万t/a，搅拌用水量为2000t/a。</w:t>
            </w:r>
            <w:r>
              <w:rPr>
                <w:rFonts w:hint="default" w:ascii="Times New Roman" w:hAnsi="Times New Roman" w:eastAsia="宋体" w:cs="Times New Roman"/>
                <w:b w:val="0"/>
                <w:bCs w:val="0"/>
                <w:color w:val="auto"/>
                <w:kern w:val="2"/>
                <w:sz w:val="24"/>
                <w:szCs w:val="24"/>
                <w:lang w:val="en-US" w:eastAsia="zh-CN" w:bidi="ar-SA"/>
              </w:rPr>
              <w:t>优质环保水泥砖生产线生产规模为5000万块，搅拌用水量为6250m</w:t>
            </w:r>
            <w:r>
              <w:rPr>
                <w:rFonts w:hint="default" w:ascii="Times New Roman" w:hAnsi="Times New Roman" w:eastAsia="宋体" w:cs="Times New Roman"/>
                <w:b w:val="0"/>
                <w:bCs w:val="0"/>
                <w:color w:val="auto"/>
                <w:kern w:val="2"/>
                <w:sz w:val="24"/>
                <w:szCs w:val="24"/>
                <w:vertAlign w:val="superscript"/>
                <w:lang w:val="en-US" w:eastAsia="zh-CN" w:bidi="ar-SA"/>
              </w:rPr>
              <w:t>3</w:t>
            </w:r>
            <w:r>
              <w:rPr>
                <w:rFonts w:hint="default" w:ascii="Times New Roman" w:hAnsi="Times New Roman" w:eastAsia="宋体" w:cs="Times New Roman"/>
                <w:b w:val="0"/>
                <w:bCs w:val="0"/>
                <w:color w:val="auto"/>
                <w:kern w:val="2"/>
                <w:sz w:val="24"/>
                <w:szCs w:val="24"/>
                <w:lang w:val="en-US" w:eastAsia="zh-CN" w:bidi="ar-SA"/>
              </w:rPr>
              <w:t>/a。搅拌用水在使用中部分蒸发损耗，其余全部进入产品。</w:t>
            </w:r>
          </w:p>
          <w:p>
            <w:pPr>
              <w:adjustRightInd w:val="0"/>
              <w:snapToGrid w:val="0"/>
              <w:ind w:firstLine="480" w:firstLineChars="200"/>
              <w:rPr>
                <w:rFonts w:cs="Times New Roman"/>
                <w:color w:val="auto"/>
              </w:rPr>
            </w:pPr>
            <w:r>
              <w:rPr>
                <w:rFonts w:hint="eastAsia" w:cs="Times New Roman"/>
                <w:color w:val="auto"/>
                <w:lang w:val="en-US" w:eastAsia="zh-CN"/>
              </w:rPr>
              <w:t>3</w:t>
            </w:r>
            <w:r>
              <w:rPr>
                <w:rFonts w:hint="eastAsia" w:cs="Times New Roman"/>
                <w:color w:val="auto"/>
              </w:rPr>
              <w:t>）</w:t>
            </w:r>
            <w:r>
              <w:rPr>
                <w:rFonts w:cs="Times New Roman"/>
                <w:color w:val="auto"/>
              </w:rPr>
              <w:t>车辆冲洗水</w:t>
            </w:r>
          </w:p>
          <w:p>
            <w:pPr>
              <w:adjustRightInd w:val="0"/>
              <w:snapToGrid w:val="0"/>
              <w:ind w:firstLine="480" w:firstLineChars="200"/>
              <w:rPr>
                <w:rFonts w:cs="Times New Roman"/>
                <w:color w:val="auto"/>
              </w:rPr>
            </w:pPr>
            <w:r>
              <w:rPr>
                <w:rFonts w:hint="eastAsia" w:cs="Times New Roman"/>
                <w:color w:val="auto"/>
                <w:lang w:eastAsia="zh-CN"/>
              </w:rPr>
              <w:t xml:space="preserve">本项目在进入厂区出入厂道路口设置 </w:t>
            </w:r>
            <w:r>
              <w:rPr>
                <w:rFonts w:hint="eastAsia" w:cs="Times New Roman"/>
                <w:color w:val="auto"/>
                <w:lang w:val="en-US" w:eastAsia="zh-CN"/>
              </w:rPr>
              <w:t>1</w:t>
            </w:r>
            <w:r>
              <w:rPr>
                <w:rFonts w:hint="eastAsia" w:cs="Times New Roman"/>
                <w:color w:val="auto"/>
                <w:lang w:eastAsia="zh-CN"/>
              </w:rPr>
              <w:t>个冲洗平台，对进出厂区的运输车辆进行冲洗，减少车辆运输产生的粉尘，厂区平均每天发车为</w:t>
            </w:r>
            <w:r>
              <w:rPr>
                <w:rFonts w:hint="eastAsia" w:cs="Times New Roman"/>
                <w:color w:val="auto"/>
                <w:lang w:val="en-US" w:eastAsia="zh-CN"/>
              </w:rPr>
              <w:t>25</w:t>
            </w:r>
            <w:r>
              <w:rPr>
                <w:rFonts w:hint="eastAsia" w:cs="Times New Roman"/>
                <w:color w:val="auto"/>
                <w:lang w:eastAsia="zh-CN"/>
              </w:rPr>
              <w:t>辆，每天每辆车运输进出各冲洗一次，根据企业提供资料，每辆车冲洗时间</w:t>
            </w:r>
            <w:r>
              <w:rPr>
                <w:rFonts w:hint="eastAsia" w:cs="Times New Roman"/>
                <w:color w:val="auto"/>
                <w:lang w:val="en-US" w:eastAsia="zh-CN"/>
              </w:rPr>
              <w:t>2~3</w:t>
            </w:r>
            <w:r>
              <w:rPr>
                <w:rFonts w:hint="eastAsia" w:cs="Times New Roman"/>
                <w:color w:val="auto"/>
                <w:lang w:eastAsia="zh-CN"/>
              </w:rPr>
              <w:t>分钟，</w:t>
            </w:r>
            <w:r>
              <w:rPr>
                <w:rFonts w:cs="Times New Roman"/>
                <w:color w:val="auto"/>
              </w:rPr>
              <w:t>冲洗废水产生量为</w:t>
            </w:r>
            <w:r>
              <w:rPr>
                <w:rFonts w:hint="eastAsia" w:cs="Times New Roman"/>
                <w:color w:val="auto"/>
                <w:lang w:val="en-US" w:eastAsia="zh-CN"/>
              </w:rPr>
              <w:t>330</w:t>
            </w:r>
            <w:r>
              <w:rPr>
                <w:rFonts w:cs="Times New Roman"/>
                <w:color w:val="auto"/>
              </w:rPr>
              <w:t>m</w:t>
            </w:r>
            <w:r>
              <w:rPr>
                <w:rFonts w:cs="Times New Roman"/>
                <w:color w:val="auto"/>
                <w:vertAlign w:val="superscript"/>
              </w:rPr>
              <w:t>3</w:t>
            </w:r>
            <w:r>
              <w:rPr>
                <w:rFonts w:cs="Times New Roman"/>
                <w:color w:val="auto"/>
              </w:rPr>
              <w:t>/a（</w:t>
            </w:r>
            <w:r>
              <w:rPr>
                <w:rFonts w:hint="eastAsia" w:cs="Times New Roman"/>
                <w:color w:val="auto"/>
                <w:lang w:val="en-US" w:eastAsia="zh-CN"/>
              </w:rPr>
              <w:t>1.1</w:t>
            </w:r>
            <w:r>
              <w:rPr>
                <w:rFonts w:cs="Times New Roman"/>
                <w:color w:val="auto"/>
              </w:rPr>
              <w:t>m</w:t>
            </w:r>
            <w:r>
              <w:rPr>
                <w:rFonts w:cs="Times New Roman"/>
                <w:color w:val="auto"/>
                <w:vertAlign w:val="superscript"/>
              </w:rPr>
              <w:t>3</w:t>
            </w:r>
            <w:r>
              <w:rPr>
                <w:rFonts w:cs="Times New Roman"/>
                <w:color w:val="auto"/>
              </w:rPr>
              <w:t>/d），洗车废水经洗车台沉淀处理后循环使用。</w:t>
            </w:r>
          </w:p>
          <w:p>
            <w:pPr>
              <w:adjustRightInd w:val="0"/>
              <w:snapToGrid w:val="0"/>
              <w:ind w:firstLine="480" w:firstLineChars="200"/>
              <w:rPr>
                <w:rFonts w:hint="eastAsia" w:cs="Times New Roman"/>
                <w:color w:val="auto"/>
                <w:lang w:val="en-US" w:eastAsia="zh-CN"/>
              </w:rPr>
            </w:pPr>
          </w:p>
          <w:p>
            <w:pPr>
              <w:adjustRightInd w:val="0"/>
              <w:snapToGrid w:val="0"/>
              <w:ind w:firstLine="480" w:firstLineChars="200"/>
              <w:rPr>
                <w:rFonts w:cs="Times New Roman"/>
                <w:color w:val="auto"/>
              </w:rPr>
            </w:pPr>
            <w:r>
              <w:rPr>
                <w:rFonts w:hint="eastAsia" w:cs="Times New Roman"/>
                <w:color w:val="auto"/>
                <w:lang w:val="en-US" w:eastAsia="zh-CN"/>
              </w:rPr>
              <w:t>4</w:t>
            </w:r>
            <w:r>
              <w:rPr>
                <w:rFonts w:hint="eastAsia" w:cs="Times New Roman"/>
                <w:color w:val="auto"/>
              </w:rPr>
              <w:t>）</w:t>
            </w:r>
            <w:r>
              <w:rPr>
                <w:rFonts w:cs="Times New Roman"/>
                <w:color w:val="auto"/>
              </w:rPr>
              <w:t>喷淋用水</w:t>
            </w:r>
          </w:p>
          <w:p>
            <w:pPr>
              <w:adjustRightInd w:val="0"/>
              <w:snapToGrid w:val="0"/>
              <w:ind w:firstLine="480" w:firstLineChars="200"/>
              <w:rPr>
                <w:rFonts w:cs="Times New Roman"/>
                <w:color w:val="auto"/>
              </w:rPr>
            </w:pPr>
            <w:r>
              <w:rPr>
                <w:rFonts w:cs="Times New Roman"/>
                <w:color w:val="auto"/>
              </w:rPr>
              <w:t>本项目密闭车间顶部配备有喷淋抑尘设施，可有效减少无组织粉尘的排放。运营期喷雾装置每天开启6次，每次开启10min。喷淋用水量为180m</w:t>
            </w:r>
            <w:r>
              <w:rPr>
                <w:rFonts w:cs="Times New Roman"/>
                <w:color w:val="auto"/>
                <w:vertAlign w:val="superscript"/>
              </w:rPr>
              <w:t>3</w:t>
            </w:r>
            <w:r>
              <w:rPr>
                <w:rFonts w:cs="Times New Roman"/>
                <w:color w:val="auto"/>
              </w:rPr>
              <w:t>/a（0.6m</w:t>
            </w:r>
            <w:r>
              <w:rPr>
                <w:rFonts w:cs="Times New Roman"/>
                <w:color w:val="auto"/>
                <w:vertAlign w:val="superscript"/>
              </w:rPr>
              <w:t>3</w:t>
            </w:r>
            <w:r>
              <w:rPr>
                <w:rFonts w:cs="Times New Roman"/>
                <w:color w:val="auto"/>
              </w:rPr>
              <w:t>/d）。</w:t>
            </w:r>
          </w:p>
          <w:p>
            <w:pPr>
              <w:adjustRightInd w:val="0"/>
              <w:snapToGrid w:val="0"/>
              <w:ind w:firstLine="480" w:firstLineChars="200"/>
              <w:rPr>
                <w:rFonts w:cs="Times New Roman"/>
                <w:color w:val="auto"/>
              </w:rPr>
            </w:pPr>
            <w:r>
              <w:rPr>
                <w:rFonts w:hint="eastAsia" w:cs="Times New Roman"/>
                <w:color w:val="auto"/>
                <w:lang w:val="en-US" w:eastAsia="zh-CN"/>
              </w:rPr>
              <w:t>5</w:t>
            </w:r>
            <w:r>
              <w:rPr>
                <w:rFonts w:hint="eastAsia" w:cs="Times New Roman"/>
                <w:color w:val="auto"/>
              </w:rPr>
              <w:t>）</w:t>
            </w:r>
            <w:r>
              <w:rPr>
                <w:rFonts w:cs="Times New Roman"/>
                <w:color w:val="auto"/>
              </w:rPr>
              <w:t>路面洒水</w:t>
            </w:r>
          </w:p>
          <w:p>
            <w:pPr>
              <w:adjustRightInd w:val="0"/>
              <w:snapToGrid w:val="0"/>
              <w:ind w:firstLine="480" w:firstLineChars="200"/>
              <w:rPr>
                <w:rFonts w:cs="Times New Roman"/>
                <w:color w:val="auto"/>
                <w:highlight w:val="none"/>
              </w:rPr>
            </w:pPr>
            <w:r>
              <w:rPr>
                <w:rFonts w:cs="Times New Roman"/>
                <w:color w:val="auto"/>
                <w:highlight w:val="none"/>
              </w:rPr>
              <w:t>项目运营期约每3天对道路洒水1次。本项目路面洒水量为</w:t>
            </w:r>
            <w:r>
              <w:rPr>
                <w:rFonts w:hint="eastAsia" w:cs="Times New Roman"/>
                <w:color w:val="auto"/>
                <w:highlight w:val="none"/>
                <w:lang w:val="en-US" w:eastAsia="zh-CN"/>
              </w:rPr>
              <w:t>225</w:t>
            </w:r>
            <w:r>
              <w:rPr>
                <w:rFonts w:cs="Times New Roman"/>
                <w:color w:val="auto"/>
                <w:highlight w:val="none"/>
              </w:rPr>
              <w:t>m</w:t>
            </w:r>
            <w:r>
              <w:rPr>
                <w:rFonts w:cs="Times New Roman"/>
                <w:color w:val="auto"/>
                <w:highlight w:val="none"/>
                <w:vertAlign w:val="superscript"/>
              </w:rPr>
              <w:t>3</w:t>
            </w:r>
            <w:r>
              <w:rPr>
                <w:rFonts w:cs="Times New Roman"/>
                <w:color w:val="auto"/>
                <w:highlight w:val="none"/>
              </w:rPr>
              <w:t>/a</w:t>
            </w:r>
            <w:r>
              <w:rPr>
                <w:rFonts w:hint="eastAsia" w:cs="Times New Roman"/>
                <w:color w:val="auto"/>
                <w:highlight w:val="none"/>
                <w:lang w:eastAsia="zh-CN"/>
              </w:rPr>
              <w:t>（</w:t>
            </w:r>
            <w:r>
              <w:rPr>
                <w:rFonts w:hint="eastAsia" w:cs="Times New Roman"/>
                <w:color w:val="auto"/>
                <w:highlight w:val="none"/>
                <w:lang w:val="en-US" w:eastAsia="zh-CN"/>
              </w:rPr>
              <w:t>0.75m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/d</w:t>
            </w:r>
            <w:r>
              <w:rPr>
                <w:rFonts w:hint="eastAsia" w:cs="Times New Roman"/>
                <w:color w:val="auto"/>
                <w:highlight w:val="none"/>
                <w:lang w:eastAsia="zh-CN"/>
              </w:rPr>
              <w:t>）</w:t>
            </w:r>
            <w:r>
              <w:rPr>
                <w:rFonts w:cs="Times New Roman"/>
                <w:color w:val="auto"/>
                <w:highlight w:val="none"/>
              </w:rPr>
              <w:t>。</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eastAsiaTheme="minorEastAsia"/>
                <w:b w:val="0"/>
                <w:bCs w:val="0"/>
                <w:color w:val="auto"/>
                <w:kern w:val="2"/>
                <w:sz w:val="24"/>
                <w:szCs w:val="22"/>
                <w:highlight w:val="none"/>
                <w:lang w:val="en-US" w:eastAsia="zh-CN" w:bidi="ar-SA"/>
              </w:rPr>
            </w:pPr>
            <w:r>
              <w:rPr>
                <w:rFonts w:hint="eastAsia" w:ascii="Times New Roman" w:hAnsi="Times New Roman" w:cs="Times New Roman" w:eastAsiaTheme="minorEastAsia"/>
                <w:b w:val="0"/>
                <w:bCs w:val="0"/>
                <w:color w:val="auto"/>
                <w:kern w:val="2"/>
                <w:sz w:val="24"/>
                <w:szCs w:val="22"/>
                <w:highlight w:val="none"/>
                <w:lang w:val="en-US" w:eastAsia="zh-CN" w:bidi="ar-SA"/>
              </w:rPr>
              <w:t>6</w:t>
            </w:r>
            <w:r>
              <w:rPr>
                <w:rFonts w:hint="default" w:ascii="Times New Roman" w:hAnsi="Times New Roman" w:cs="Times New Roman" w:eastAsiaTheme="minorEastAsia"/>
                <w:b w:val="0"/>
                <w:bCs w:val="0"/>
                <w:color w:val="auto"/>
                <w:kern w:val="2"/>
                <w:sz w:val="24"/>
                <w:szCs w:val="22"/>
                <w:highlight w:val="none"/>
                <w:lang w:val="en-US" w:eastAsia="zh-CN" w:bidi="ar-SA"/>
              </w:rPr>
              <w:t>）</w:t>
            </w:r>
            <w:r>
              <w:rPr>
                <w:rFonts w:hint="eastAsia" w:ascii="Times New Roman" w:hAnsi="Times New Roman" w:cs="Times New Roman" w:eastAsiaTheme="minorEastAsia"/>
                <w:b w:val="0"/>
                <w:bCs w:val="0"/>
                <w:color w:val="auto"/>
                <w:kern w:val="2"/>
                <w:sz w:val="24"/>
                <w:szCs w:val="22"/>
                <w:highlight w:val="none"/>
                <w:lang w:val="en-US" w:eastAsia="zh-CN" w:bidi="ar-SA"/>
              </w:rPr>
              <w:t>养护</w:t>
            </w:r>
            <w:r>
              <w:rPr>
                <w:rFonts w:hint="default" w:ascii="Times New Roman" w:hAnsi="Times New Roman" w:cs="Times New Roman" w:eastAsiaTheme="minorEastAsia"/>
                <w:b w:val="0"/>
                <w:bCs w:val="0"/>
                <w:color w:val="auto"/>
                <w:kern w:val="2"/>
                <w:sz w:val="24"/>
                <w:szCs w:val="22"/>
                <w:highlight w:val="none"/>
                <w:lang w:val="en-US" w:eastAsia="zh-CN" w:bidi="ar-SA"/>
              </w:rPr>
              <w:t>用水</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cs="Times New Roman" w:eastAsiaTheme="minorEastAsia"/>
                <w:b w:val="0"/>
                <w:bCs w:val="0"/>
                <w:color w:val="auto"/>
                <w:kern w:val="2"/>
                <w:sz w:val="24"/>
                <w:szCs w:val="22"/>
                <w:highlight w:val="none"/>
                <w:lang w:val="en-US" w:eastAsia="zh-CN" w:bidi="ar-SA"/>
              </w:rPr>
            </w:pPr>
            <w:r>
              <w:rPr>
                <w:rFonts w:hint="eastAsia" w:ascii="Times New Roman" w:hAnsi="Times New Roman" w:cs="Times New Roman" w:eastAsiaTheme="minorEastAsia"/>
                <w:b w:val="0"/>
                <w:bCs w:val="0"/>
                <w:color w:val="auto"/>
                <w:kern w:val="2"/>
                <w:sz w:val="24"/>
                <w:szCs w:val="22"/>
                <w:highlight w:val="none"/>
                <w:lang w:val="en-US" w:eastAsia="zh-CN" w:bidi="ar-SA"/>
              </w:rPr>
              <w:t>项目生产产品为环保水泥砖5000万块，约12.5万t/a，水泥砖自然养护过程中加水比例为：产品：水=1:0.01，则年需用水量为1250m</w:t>
            </w:r>
            <w:r>
              <w:rPr>
                <w:rFonts w:hint="eastAsia" w:ascii="Times New Roman" w:hAnsi="Times New Roman" w:cs="Times New Roman" w:eastAsiaTheme="minorEastAsia"/>
                <w:b w:val="0"/>
                <w:bCs w:val="0"/>
                <w:color w:val="auto"/>
                <w:kern w:val="2"/>
                <w:sz w:val="24"/>
                <w:szCs w:val="22"/>
                <w:highlight w:val="none"/>
                <w:vertAlign w:val="superscript"/>
                <w:lang w:val="en-US" w:eastAsia="zh-CN" w:bidi="ar-SA"/>
              </w:rPr>
              <w:t>3</w:t>
            </w:r>
            <w:r>
              <w:rPr>
                <w:rFonts w:hint="eastAsia" w:ascii="Times New Roman" w:hAnsi="Times New Roman" w:cs="Times New Roman" w:eastAsiaTheme="minorEastAsia"/>
                <w:b w:val="0"/>
                <w:bCs w:val="0"/>
                <w:color w:val="auto"/>
                <w:kern w:val="2"/>
                <w:sz w:val="24"/>
                <w:szCs w:val="22"/>
                <w:highlight w:val="none"/>
                <w:lang w:val="en-US" w:eastAsia="zh-CN" w:bidi="ar-SA"/>
              </w:rPr>
              <w:t>/a（4.17m</w:t>
            </w:r>
            <w:r>
              <w:rPr>
                <w:rFonts w:hint="eastAsia" w:ascii="Times New Roman" w:hAnsi="Times New Roman" w:cs="Times New Roman" w:eastAsiaTheme="minorEastAsia"/>
                <w:b w:val="0"/>
                <w:bCs w:val="0"/>
                <w:color w:val="auto"/>
                <w:kern w:val="2"/>
                <w:sz w:val="24"/>
                <w:szCs w:val="22"/>
                <w:highlight w:val="none"/>
                <w:vertAlign w:val="superscript"/>
                <w:lang w:val="en-US" w:eastAsia="zh-CN" w:bidi="ar-SA"/>
              </w:rPr>
              <w:t>3</w:t>
            </w:r>
            <w:r>
              <w:rPr>
                <w:rFonts w:hint="eastAsia" w:ascii="Times New Roman" w:hAnsi="Times New Roman" w:cs="Times New Roman" w:eastAsiaTheme="minorEastAsia"/>
                <w:b w:val="0"/>
                <w:bCs w:val="0"/>
                <w:color w:val="auto"/>
                <w:kern w:val="2"/>
                <w:sz w:val="24"/>
                <w:szCs w:val="22"/>
                <w:highlight w:val="none"/>
                <w:lang w:val="en-US" w:eastAsia="zh-CN" w:bidi="ar-SA"/>
              </w:rPr>
              <w:t>/d）。</w:t>
            </w:r>
          </w:p>
          <w:p>
            <w:pPr>
              <w:pStyle w:val="28"/>
              <w:rPr>
                <w:rFonts w:hint="default" w:cs="Times New Roman"/>
                <w:color w:val="auto"/>
                <w:szCs w:val="21"/>
                <w:lang w:val="en-US" w:eastAsia="zh-CN"/>
              </w:rPr>
            </w:pPr>
            <w:r>
              <w:rPr>
                <w:rFonts w:hint="default" w:cs="Times New Roman"/>
                <w:color w:val="auto"/>
                <w:szCs w:val="21"/>
              </w:rPr>
              <w:t>表4-</w:t>
            </w:r>
            <w:r>
              <w:rPr>
                <w:rFonts w:hint="eastAsia" w:ascii="Times New Roman" w:hAnsi="Times New Roman" w:eastAsia="宋体" w:cs="Times New Roman"/>
                <w:color w:val="auto"/>
                <w:szCs w:val="21"/>
                <w:lang w:val="en-US" w:eastAsia="zh-CN"/>
              </w:rPr>
              <w:t>4</w:t>
            </w:r>
            <w:r>
              <w:rPr>
                <w:rFonts w:hint="default" w:cs="Times New Roman"/>
                <w:color w:val="auto"/>
                <w:szCs w:val="21"/>
                <w:lang w:val="en-US" w:eastAsia="zh-CN"/>
              </w:rPr>
              <w:t xml:space="preserve"> 废水类别、污染物及污染治理设施信息表</w:t>
            </w:r>
          </w:p>
          <w:tbl>
            <w:tblPr>
              <w:tblStyle w:val="22"/>
              <w:tblW w:w="4997" w:type="pct"/>
              <w:tblInd w:w="0" w:type="dxa"/>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325"/>
              <w:gridCol w:w="2231"/>
              <w:gridCol w:w="3122"/>
              <w:gridCol w:w="2462"/>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产污环节</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生活污水</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车辆冲洗废水</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eastAsia"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eastAsia="zh-CN"/>
                    </w:rPr>
                    <w:t>a</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330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污染物种类</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SS</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eastAsia="zh-CN"/>
                    </w:rPr>
                    <w:t>、</w:t>
                  </w:r>
                </w:p>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总氮</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总磷</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SS</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污染物产生浓度mg/L</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污染物产生量t/a</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0.165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5" w:type="pct"/>
                  <w:vMerge w:val="restar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污染治理设施</w:t>
                  </w:r>
                </w:p>
              </w:tc>
              <w:tc>
                <w:tcPr>
                  <w:tcW w:w="1219"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设施编号</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TW001</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TW002</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5" w:type="pct"/>
                  <w:vMerge w:val="continue"/>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p>
              </w:tc>
              <w:tc>
                <w:tcPr>
                  <w:tcW w:w="1219"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设施名称</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化粪池（</w:t>
                  </w:r>
                  <w:r>
                    <w:rPr>
                      <w:rFonts w:hint="default" w:ascii="Times New Roman" w:hAnsi="Times New Roman" w:eastAsia="宋体" w:cs="Times New Roman"/>
                      <w:color w:val="auto"/>
                      <w:sz w:val="21"/>
                      <w:szCs w:val="21"/>
                      <w:lang w:val="en-US" w:eastAsia="zh-CN"/>
                    </w:rPr>
                    <w:t>10m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沉淀池</w:t>
                  </w:r>
                  <w:r>
                    <w:rPr>
                      <w:rFonts w:hint="default"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60</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eastAsia="zh-C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5" w:type="pct"/>
                  <w:vMerge w:val="continue"/>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p>
              </w:tc>
              <w:tc>
                <w:tcPr>
                  <w:tcW w:w="1219"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处理工艺</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5" w:type="pct"/>
                  <w:vMerge w:val="continue"/>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p>
              </w:tc>
              <w:tc>
                <w:tcPr>
                  <w:tcW w:w="1219"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处理效率</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5" w:type="pct"/>
                  <w:vMerge w:val="continue"/>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p>
              </w:tc>
              <w:tc>
                <w:tcPr>
                  <w:tcW w:w="1219"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是否可行</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可行</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可行</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污染物排放浓度</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废水排放量m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/d</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污染物排放量t/a</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945" w:type="pct"/>
                  <w:gridSpan w:val="2"/>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排放去向</w:t>
                  </w:r>
                </w:p>
              </w:tc>
              <w:tc>
                <w:tcPr>
                  <w:tcW w:w="1707"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定期清掏，用作农肥</w:t>
                  </w:r>
                </w:p>
              </w:tc>
              <w:tc>
                <w:tcPr>
                  <w:tcW w:w="1346" w:type="pct"/>
                  <w:tcBorders>
                    <w:tl2br w:val="nil"/>
                    <w:tr2bl w:val="nil"/>
                  </w:tcBorders>
                  <w:noWrap w:val="0"/>
                  <w:vAlign w:val="center"/>
                </w:tcPr>
                <w:p>
                  <w:pPr>
                    <w:pStyle w:val="44"/>
                    <w:keepNext w:val="0"/>
                    <w:keepLines w:val="0"/>
                    <w:pageBreakBefore w:val="0"/>
                    <w:widowControl w:val="0"/>
                    <w:wordWrap/>
                    <w:topLinePunct w:val="0"/>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沉淀后回用于洗车工序</w:t>
                  </w:r>
                </w:p>
              </w:tc>
            </w:tr>
          </w:tbl>
          <w:p>
            <w:pPr>
              <w:adjustRightInd w:val="0"/>
              <w:snapToGrid w:val="0"/>
              <w:ind w:firstLine="482" w:firstLineChars="200"/>
              <w:contextualSpacing/>
              <w:rPr>
                <w:rFonts w:cs="Times New Roman"/>
                <w:b/>
                <w:bCs/>
                <w:color w:val="auto"/>
                <w:kern w:val="0"/>
              </w:rPr>
            </w:pPr>
            <w:r>
              <w:rPr>
                <w:rFonts w:hint="eastAsia" w:cs="Times New Roman"/>
                <w:b/>
                <w:bCs/>
                <w:color w:val="auto"/>
              </w:rPr>
              <w:t>（2）</w:t>
            </w:r>
            <w:r>
              <w:rPr>
                <w:rFonts w:cs="Times New Roman"/>
                <w:b/>
                <w:bCs/>
                <w:color w:val="auto"/>
                <w:kern w:val="0"/>
              </w:rPr>
              <w:t>废水治理措施可行性分析</w:t>
            </w:r>
          </w:p>
          <w:p>
            <w:pPr>
              <w:pStyle w:val="3"/>
              <w:keepNext/>
              <w:keepLines/>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cs="Times New Roman" w:eastAsiaTheme="minorEastAsia"/>
                <w:b w:val="0"/>
                <w:bCs w:val="0"/>
                <w:color w:val="auto"/>
                <w:kern w:val="2"/>
                <w:sz w:val="24"/>
                <w:szCs w:val="22"/>
                <w:lang w:val="en-US" w:eastAsia="zh-CN" w:bidi="ar-SA"/>
              </w:rPr>
            </w:pPr>
            <w:r>
              <w:rPr>
                <w:rFonts w:hint="default" w:cs="Times New Roman"/>
                <w:b w:val="0"/>
                <w:bCs w:val="0"/>
                <w:color w:val="auto"/>
              </w:rPr>
              <w:t>本项目</w:t>
            </w:r>
            <w:r>
              <w:rPr>
                <w:rFonts w:hint="default" w:cs="Times New Roman"/>
                <w:b w:val="0"/>
                <w:bCs w:val="0"/>
                <w:color w:val="auto"/>
                <w:lang w:eastAsia="zh-CN"/>
              </w:rPr>
              <w:t>废水主要为</w:t>
            </w:r>
            <w:r>
              <w:rPr>
                <w:rFonts w:hint="eastAsia" w:cs="Times New Roman"/>
                <w:b w:val="0"/>
                <w:bCs w:val="0"/>
                <w:color w:val="auto"/>
                <w:lang w:eastAsia="zh-CN"/>
              </w:rPr>
              <w:t>职工</w:t>
            </w:r>
            <w:r>
              <w:rPr>
                <w:rFonts w:hint="default" w:cs="Times New Roman"/>
                <w:b w:val="0"/>
                <w:bCs w:val="0"/>
                <w:color w:val="auto"/>
                <w:lang w:eastAsia="zh-CN"/>
              </w:rPr>
              <w:t>生活污水和车辆冲洗</w:t>
            </w:r>
            <w:r>
              <w:rPr>
                <w:rFonts w:hint="default" w:cs="Times New Roman"/>
                <w:b w:val="0"/>
                <w:bCs w:val="0"/>
                <w:color w:val="auto"/>
              </w:rPr>
              <w:t>废水</w:t>
            </w:r>
            <w:r>
              <w:rPr>
                <w:rFonts w:hint="eastAsia" w:cs="Times New Roman"/>
                <w:b w:val="0"/>
                <w:bCs w:val="0"/>
                <w:color w:val="auto"/>
                <w:lang w:eastAsia="zh-CN"/>
              </w:rPr>
              <w:t>。</w:t>
            </w:r>
            <w:r>
              <w:rPr>
                <w:rFonts w:hint="eastAsia" w:ascii="Times New Roman" w:hAnsi="Times New Roman" w:cs="Times New Roman" w:eastAsiaTheme="minorEastAsia"/>
                <w:b w:val="0"/>
                <w:bCs w:val="0"/>
                <w:color w:val="auto"/>
                <w:kern w:val="2"/>
                <w:sz w:val="24"/>
                <w:szCs w:val="22"/>
                <w:lang w:val="en-US" w:eastAsia="zh-CN" w:bidi="ar-SA"/>
              </w:rPr>
              <w:t>生活污水排放量约为0.54m</w:t>
            </w:r>
            <w:r>
              <w:rPr>
                <w:rFonts w:hint="eastAsia" w:ascii="Times New Roman" w:hAnsi="Times New Roman" w:cs="Times New Roman" w:eastAsiaTheme="minorEastAsia"/>
                <w:b w:val="0"/>
                <w:bCs w:val="0"/>
                <w:color w:val="auto"/>
                <w:kern w:val="2"/>
                <w:sz w:val="24"/>
                <w:szCs w:val="22"/>
                <w:vertAlign w:val="superscript"/>
                <w:lang w:val="en-US" w:eastAsia="zh-CN" w:bidi="ar-SA"/>
              </w:rPr>
              <w:t>3</w:t>
            </w:r>
            <w:r>
              <w:rPr>
                <w:rFonts w:hint="eastAsia" w:ascii="Times New Roman" w:hAnsi="Times New Roman" w:cs="Times New Roman" w:eastAsiaTheme="minorEastAsia"/>
                <w:b w:val="0"/>
                <w:bCs w:val="0"/>
                <w:color w:val="auto"/>
                <w:kern w:val="2"/>
                <w:sz w:val="24"/>
                <w:szCs w:val="22"/>
                <w:lang w:val="en-US" w:eastAsia="zh-CN" w:bidi="ar-SA"/>
              </w:rPr>
              <w:t>/d，经过化粪池（10m</w:t>
            </w:r>
            <w:r>
              <w:rPr>
                <w:rFonts w:hint="eastAsia" w:ascii="Times New Roman" w:hAnsi="Times New Roman" w:cs="Times New Roman" w:eastAsiaTheme="minorEastAsia"/>
                <w:b w:val="0"/>
                <w:bCs w:val="0"/>
                <w:color w:val="auto"/>
                <w:kern w:val="2"/>
                <w:sz w:val="24"/>
                <w:szCs w:val="22"/>
                <w:vertAlign w:val="superscript"/>
                <w:lang w:val="en-US" w:eastAsia="zh-CN" w:bidi="ar-SA"/>
              </w:rPr>
              <w:t>3</w:t>
            </w:r>
            <w:r>
              <w:rPr>
                <w:rFonts w:hint="eastAsia" w:ascii="Times New Roman" w:hAnsi="Times New Roman" w:cs="Times New Roman" w:eastAsiaTheme="minorEastAsia"/>
                <w:b w:val="0"/>
                <w:bCs w:val="0"/>
                <w:color w:val="auto"/>
                <w:kern w:val="2"/>
                <w:sz w:val="24"/>
                <w:szCs w:val="22"/>
                <w:lang w:val="en-US" w:eastAsia="zh-CN" w:bidi="ar-SA"/>
              </w:rPr>
              <w:t>）处理后定期清运用作农肥，不外排。</w:t>
            </w:r>
          </w:p>
          <w:p>
            <w:pPr>
              <w:adjustRightInd w:val="0"/>
              <w:snapToGrid w:val="0"/>
              <w:ind w:firstLine="480" w:firstLineChars="200"/>
              <w:rPr>
                <w:rFonts w:hint="default" w:cs="Times New Roman"/>
                <w:color w:val="auto"/>
                <w:lang w:val="en-US" w:eastAsia="zh-CN"/>
              </w:rPr>
            </w:pPr>
            <w:r>
              <w:rPr>
                <w:rFonts w:hint="eastAsia" w:cs="Times New Roman"/>
                <w:color w:val="auto"/>
                <w:lang w:eastAsia="zh-CN"/>
              </w:rPr>
              <w:t>车辆</w:t>
            </w:r>
            <w:r>
              <w:rPr>
                <w:rFonts w:hint="default" w:cs="Times New Roman"/>
                <w:color w:val="auto"/>
                <w:lang w:eastAsia="zh-CN"/>
              </w:rPr>
              <w:t>冲洗废水</w:t>
            </w:r>
            <w:r>
              <w:rPr>
                <w:rFonts w:hint="default" w:cs="Times New Roman"/>
                <w:color w:val="auto"/>
              </w:rPr>
              <w:t>中含有水泥、砂石等物质，悬浮物浓度较高，若未经收集、处理，会对本项目所在地及周边土壤甚至地下水环境造成影响。</w:t>
            </w:r>
            <w:r>
              <w:rPr>
                <w:rFonts w:hint="eastAsia" w:cs="Times New Roman"/>
                <w:color w:val="auto"/>
                <w:lang w:val="en-US" w:eastAsia="zh-CN"/>
              </w:rPr>
              <w:t>本项目拟</w:t>
            </w:r>
            <w:r>
              <w:rPr>
                <w:rFonts w:hint="default" w:cs="Times New Roman"/>
                <w:color w:val="auto"/>
                <w:lang w:eastAsia="zh-CN"/>
              </w:rPr>
              <w:t>在</w:t>
            </w:r>
            <w:r>
              <w:rPr>
                <w:rFonts w:hint="eastAsia" w:cs="Times New Roman"/>
                <w:color w:val="auto"/>
                <w:lang w:val="en-US" w:eastAsia="zh-CN"/>
              </w:rPr>
              <w:t>厂区</w:t>
            </w:r>
            <w:r>
              <w:rPr>
                <w:rFonts w:hint="default" w:cs="Times New Roman"/>
                <w:color w:val="auto"/>
                <w:lang w:eastAsia="zh-CN"/>
              </w:rPr>
              <w:t>进出场通道设有1座洗车台，并配有沉淀池</w:t>
            </w:r>
            <w:r>
              <w:rPr>
                <w:rFonts w:hint="default" w:cs="Times New Roman"/>
                <w:color w:val="auto"/>
                <w:lang w:val="en-US" w:eastAsia="zh-CN"/>
              </w:rPr>
              <w:t>（</w:t>
            </w:r>
            <w:r>
              <w:rPr>
                <w:rFonts w:hint="eastAsia" w:cs="Times New Roman"/>
                <w:color w:val="auto"/>
                <w:lang w:val="en-US" w:eastAsia="zh-CN"/>
              </w:rPr>
              <w:t>60</w:t>
            </w:r>
            <w:r>
              <w:rPr>
                <w:rFonts w:hint="default" w:cs="Times New Roman"/>
                <w:color w:val="auto"/>
                <w:lang w:val="en-US" w:eastAsia="zh-CN"/>
              </w:rPr>
              <w:t>m</w:t>
            </w:r>
            <w:r>
              <w:rPr>
                <w:rFonts w:hint="default" w:cs="Times New Roman"/>
                <w:color w:val="auto"/>
                <w:vertAlign w:val="superscript"/>
                <w:lang w:val="en-US" w:eastAsia="zh-CN"/>
              </w:rPr>
              <w:t>3</w:t>
            </w:r>
            <w:r>
              <w:rPr>
                <w:rFonts w:hint="default" w:cs="Times New Roman"/>
                <w:color w:val="auto"/>
                <w:lang w:val="en-US" w:eastAsia="zh-CN"/>
              </w:rPr>
              <w:t>）收集车辆冲洗废水，可接纳本项目车辆冲洗废水</w:t>
            </w:r>
            <w:r>
              <w:rPr>
                <w:rFonts w:hint="default" w:cs="Times New Roman"/>
                <w:color w:val="auto"/>
                <w:lang w:eastAsia="zh-CN"/>
              </w:rPr>
              <w:t>（</w:t>
            </w:r>
            <w:r>
              <w:rPr>
                <w:rFonts w:hint="eastAsia" w:cs="Times New Roman"/>
                <w:color w:val="auto"/>
                <w:lang w:val="en-US" w:eastAsia="zh-CN"/>
              </w:rPr>
              <w:t>1.1</w:t>
            </w:r>
            <w:r>
              <w:rPr>
                <w:rFonts w:hint="default" w:cs="Times New Roman"/>
                <w:color w:val="auto"/>
                <w:lang w:val="en-US" w:eastAsia="zh-CN"/>
              </w:rPr>
              <w:t>m</w:t>
            </w:r>
            <w:r>
              <w:rPr>
                <w:rFonts w:hint="default" w:cs="Times New Roman"/>
                <w:color w:val="auto"/>
                <w:vertAlign w:val="superscript"/>
                <w:lang w:val="en-US" w:eastAsia="zh-CN"/>
              </w:rPr>
              <w:t>3</w:t>
            </w:r>
            <w:r>
              <w:rPr>
                <w:rFonts w:hint="default" w:cs="Times New Roman"/>
                <w:color w:val="auto"/>
                <w:lang w:val="en-US" w:eastAsia="zh-CN"/>
              </w:rPr>
              <w:t>/d</w:t>
            </w:r>
            <w:r>
              <w:rPr>
                <w:rFonts w:hint="default" w:cs="Times New Roman"/>
                <w:color w:val="auto"/>
                <w:lang w:eastAsia="zh-CN"/>
              </w:rPr>
              <w:t>）</w:t>
            </w:r>
            <w:r>
              <w:rPr>
                <w:rFonts w:hint="default" w:cs="Times New Roman"/>
                <w:color w:val="auto"/>
                <w:lang w:val="en-US" w:eastAsia="zh-CN"/>
              </w:rPr>
              <w:t>，该部分废水经沉淀处理后</w:t>
            </w:r>
            <w:r>
              <w:rPr>
                <w:rFonts w:cs="Times New Roman"/>
                <w:color w:val="auto"/>
              </w:rPr>
              <w:t>上清液</w:t>
            </w:r>
            <w:r>
              <w:rPr>
                <w:rFonts w:hint="default" w:cs="Times New Roman"/>
                <w:color w:val="auto"/>
                <w:lang w:val="en-US" w:eastAsia="zh-CN"/>
              </w:rPr>
              <w:t>回用于车辆清洗</w:t>
            </w:r>
            <w:r>
              <w:rPr>
                <w:rFonts w:hint="eastAsia" w:cs="Times New Roman"/>
                <w:color w:val="auto"/>
                <w:lang w:val="en-US" w:eastAsia="zh-CN"/>
              </w:rPr>
              <w:t>，</w:t>
            </w:r>
            <w:r>
              <w:rPr>
                <w:rFonts w:hint="default" w:cs="Times New Roman"/>
                <w:color w:val="auto"/>
                <w:lang w:val="en-US" w:eastAsia="zh-CN"/>
              </w:rPr>
              <w:t>不外排。</w:t>
            </w:r>
          </w:p>
          <w:p>
            <w:pPr>
              <w:adjustRightInd w:val="0"/>
              <w:snapToGrid w:val="0"/>
              <w:ind w:firstLine="480" w:firstLineChars="200"/>
              <w:rPr>
                <w:rFonts w:hint="eastAsia" w:cs="Times New Roman"/>
                <w:color w:val="auto"/>
                <w:lang w:val="en-US" w:eastAsia="zh-CN"/>
              </w:rPr>
            </w:pPr>
            <w:r>
              <w:rPr>
                <w:rFonts w:hint="default" w:cs="Times New Roman"/>
                <w:color w:val="auto"/>
                <w:lang w:val="en-US" w:eastAsia="zh-CN"/>
              </w:rPr>
              <w:t>综上所述，本项目废水均可得到合理处置，废水处理技术可行。</w:t>
            </w:r>
          </w:p>
          <w:p>
            <w:pPr>
              <w:adjustRightInd w:val="0"/>
              <w:snapToGrid w:val="0"/>
              <w:ind w:firstLine="482" w:firstLineChars="200"/>
              <w:rPr>
                <w:rFonts w:cs="Times New Roman"/>
                <w:b/>
                <w:color w:val="auto"/>
              </w:rPr>
            </w:pPr>
            <w:r>
              <w:rPr>
                <w:rFonts w:hint="eastAsia" w:cs="Times New Roman"/>
                <w:b/>
                <w:color w:val="auto"/>
              </w:rPr>
              <w:t>3、</w:t>
            </w:r>
            <w:r>
              <w:rPr>
                <w:rFonts w:cs="Times New Roman"/>
                <w:b/>
                <w:color w:val="auto"/>
              </w:rPr>
              <w:t>噪声环境影响分析</w:t>
            </w:r>
          </w:p>
          <w:p>
            <w:pPr>
              <w:adjustRightInd w:val="0"/>
              <w:snapToGrid w:val="0"/>
              <w:ind w:firstLine="482" w:firstLineChars="200"/>
              <w:rPr>
                <w:rFonts w:cs="Times New Roman"/>
                <w:b/>
                <w:bCs/>
                <w:color w:val="auto"/>
              </w:rPr>
            </w:pPr>
            <w:r>
              <w:rPr>
                <w:rFonts w:hint="eastAsia" w:cs="Times New Roman"/>
                <w:b/>
                <w:bCs/>
                <w:color w:val="auto"/>
              </w:rPr>
              <w:t>（1）</w:t>
            </w:r>
            <w:r>
              <w:rPr>
                <w:rFonts w:cs="Times New Roman"/>
                <w:b/>
                <w:bCs/>
                <w:color w:val="auto"/>
              </w:rPr>
              <w:t>源强分析</w:t>
            </w:r>
          </w:p>
          <w:p>
            <w:pPr>
              <w:adjustRightInd w:val="0"/>
              <w:snapToGrid w:val="0"/>
              <w:ind w:firstLine="480" w:firstLineChars="200"/>
              <w:rPr>
                <w:rFonts w:cs="Times New Roman"/>
                <w:color w:val="auto"/>
              </w:rPr>
            </w:pPr>
            <w:r>
              <w:rPr>
                <w:rFonts w:cs="Times New Roman"/>
                <w:color w:val="auto"/>
              </w:rPr>
              <w:t>经调查，本项目运营期</w:t>
            </w:r>
            <w:r>
              <w:rPr>
                <w:rFonts w:hint="default" w:ascii="Times New Roman" w:hAnsi="Times New Roman" w:eastAsia="宋体" w:cs="Times New Roman"/>
                <w:bCs/>
                <w:color w:val="auto"/>
                <w:sz w:val="24"/>
                <w:szCs w:val="24"/>
              </w:rPr>
              <w:t>噪声主要来源于</w:t>
            </w:r>
            <w:r>
              <w:rPr>
                <w:rFonts w:hint="eastAsia" w:ascii="Times New Roman" w:hAnsi="Times New Roman" w:eastAsia="宋体" w:cs="Times New Roman"/>
                <w:bCs/>
                <w:color w:val="auto"/>
                <w:sz w:val="24"/>
                <w:szCs w:val="24"/>
                <w:lang w:eastAsia="zh-CN"/>
              </w:rPr>
              <w:t>搅拌</w:t>
            </w:r>
            <w:r>
              <w:rPr>
                <w:rFonts w:hint="eastAsia" w:ascii="Times New Roman" w:hAnsi="Times New Roman" w:eastAsia="宋体" w:cs="Times New Roman"/>
                <w:bCs/>
                <w:color w:val="auto"/>
                <w:sz w:val="24"/>
                <w:szCs w:val="24"/>
                <w:lang w:val="en-US" w:eastAsia="zh-CN"/>
              </w:rPr>
              <w:t>机</w:t>
            </w:r>
            <w:r>
              <w:rPr>
                <w:rFonts w:hint="default"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环保</w:t>
            </w:r>
            <w:r>
              <w:rPr>
                <w:rFonts w:hint="default" w:ascii="Times New Roman" w:hAnsi="Times New Roman" w:eastAsia="宋体" w:cs="Times New Roman"/>
                <w:bCs/>
                <w:color w:val="auto"/>
                <w:sz w:val="24"/>
                <w:szCs w:val="24"/>
              </w:rPr>
              <w:t>风机</w:t>
            </w:r>
            <w:r>
              <w:rPr>
                <w:rFonts w:hint="eastAsia" w:ascii="Times New Roman" w:hAnsi="Times New Roman" w:eastAsia="宋体" w:cs="Times New Roman"/>
                <w:bCs/>
                <w:color w:val="auto"/>
                <w:sz w:val="24"/>
                <w:szCs w:val="24"/>
                <w:lang w:eastAsia="zh-CN"/>
              </w:rPr>
              <w:t>、水泵</w:t>
            </w:r>
            <w:r>
              <w:rPr>
                <w:rFonts w:hint="default" w:ascii="Times New Roman" w:hAnsi="Times New Roman" w:eastAsia="宋体" w:cs="Times New Roman"/>
                <w:bCs/>
                <w:color w:val="auto"/>
                <w:sz w:val="24"/>
                <w:szCs w:val="24"/>
              </w:rPr>
              <w:t xml:space="preserve">等生产设备的机械摩擦、机械振动所产生的机械噪声，以及风机等动力学噪声，噪声值约在 </w:t>
            </w:r>
            <w:r>
              <w:rPr>
                <w:rFonts w:hint="eastAsia" w:ascii="Times New Roman" w:hAnsi="Times New Roman" w:eastAsia="宋体" w:cs="Times New Roman"/>
                <w:bCs/>
                <w:color w:val="auto"/>
                <w:sz w:val="24"/>
                <w:szCs w:val="24"/>
                <w:lang w:val="en-US" w:eastAsia="zh-CN"/>
              </w:rPr>
              <w:t>80</w:t>
            </w:r>
            <w:r>
              <w:rPr>
                <w:rFonts w:hint="default" w:ascii="Times New Roman" w:hAnsi="Times New Roman" w:eastAsia="宋体" w:cs="Times New Roman"/>
                <w:bCs/>
                <w:color w:val="auto"/>
                <w:sz w:val="24"/>
                <w:szCs w:val="24"/>
              </w:rPr>
              <w:t>~9</w:t>
            </w:r>
            <w:r>
              <w:rPr>
                <w:rFonts w:hint="eastAsia"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 xml:space="preserve"> 分贝，企业拟对高噪声设备采取隔声、减振等降噪措施，降低生产噪声对周围环境的影响。</w:t>
            </w:r>
            <w:r>
              <w:rPr>
                <w:rFonts w:hint="eastAsia" w:ascii="Times New Roman" w:hAnsi="Times New Roman" w:eastAsia="宋体" w:cs="Times New Roman"/>
                <w:bCs/>
                <w:color w:val="auto"/>
                <w:sz w:val="24"/>
                <w:szCs w:val="24"/>
                <w:lang w:val="en-US" w:eastAsia="zh-CN"/>
              </w:rPr>
              <w:t>噪声源强调查清单见表4-5。</w:t>
            </w:r>
          </w:p>
          <w:p>
            <w:pPr>
              <w:adjustRightInd w:val="0"/>
              <w:snapToGrid w:val="0"/>
              <w:ind w:firstLine="482" w:firstLineChars="200"/>
              <w:rPr>
                <w:rFonts w:hint="eastAsia" w:cs="Times New Roman"/>
                <w:b/>
                <w:bCs/>
                <w:color w:val="auto"/>
              </w:rPr>
            </w:pPr>
          </w:p>
          <w:p>
            <w:pPr>
              <w:adjustRightInd w:val="0"/>
              <w:snapToGrid w:val="0"/>
              <w:ind w:firstLine="482" w:firstLineChars="200"/>
              <w:rPr>
                <w:rFonts w:cs="Times New Roman"/>
                <w:b/>
                <w:bCs/>
                <w:color w:val="auto"/>
              </w:rPr>
            </w:pPr>
            <w:r>
              <w:rPr>
                <w:rFonts w:hint="eastAsia" w:cs="Times New Roman"/>
                <w:b/>
                <w:bCs/>
                <w:color w:val="auto"/>
              </w:rPr>
              <w:t>（2）</w:t>
            </w:r>
            <w:r>
              <w:rPr>
                <w:rFonts w:cs="Times New Roman"/>
                <w:b/>
                <w:bCs/>
                <w:color w:val="auto"/>
              </w:rPr>
              <w:t>模型预测</w:t>
            </w:r>
            <w:r>
              <w:rPr>
                <w:rFonts w:hint="eastAsia" w:cs="Times New Roman"/>
                <w:b/>
                <w:bCs/>
                <w:color w:val="auto"/>
              </w:rPr>
              <w:t>与分析</w:t>
            </w:r>
          </w:p>
          <w:p>
            <w:pPr>
              <w:adjustRightInd w:val="0"/>
              <w:snapToGrid w:val="0"/>
              <w:ind w:firstLine="380"/>
              <w:rPr>
                <w:rFonts w:cs="Times New Roman"/>
                <w:bCs/>
                <w:color w:val="auto"/>
              </w:rPr>
            </w:pPr>
            <w:r>
              <w:rPr>
                <w:rFonts w:cs="Times New Roman"/>
                <w:bCs/>
                <w:color w:val="auto"/>
              </w:rPr>
              <w:t>根据项目建设内容，本项目高噪声设备均位于室内，本次环评参考《环境影响评价技术导则 声环境》（HJ2.4-2021）附录A和附录B中预测模式对项目声环境影响进行分析，预测模型如下。</w:t>
            </w:r>
          </w:p>
          <w:p>
            <w:pPr>
              <w:ind w:firstLine="482" w:firstLineChars="200"/>
              <w:rPr>
                <w:rFonts w:cs="Times New Roman"/>
                <w:b/>
                <w:bCs/>
                <w:color w:val="auto"/>
              </w:rPr>
            </w:pPr>
            <w:r>
              <w:rPr>
                <w:rFonts w:cs="Times New Roman"/>
                <w:b/>
                <w:bCs/>
                <w:color w:val="auto"/>
              </w:rPr>
              <w:t>1）附录B.1.3室内声源等效室外声源声功率级计算方法</w:t>
            </w:r>
          </w:p>
          <w:p>
            <w:pPr>
              <w:ind w:firstLine="480" w:firstLineChars="200"/>
              <w:rPr>
                <w:rFonts w:cs="Times New Roman"/>
                <w:color w:val="auto"/>
              </w:rPr>
            </w:pPr>
            <w:r>
              <w:rPr>
                <w:rFonts w:cs="Times New Roman"/>
                <w:color w:val="auto"/>
              </w:rPr>
              <w:t>声源位于室内，室内声源可采用等效室外声源声功率级法进行计算。设靠近开口处（或窗户）室内、室外某倍频带的声压级或A声级分别为L</w:t>
            </w:r>
            <w:r>
              <w:rPr>
                <w:rFonts w:cs="Times New Roman"/>
                <w:color w:val="auto"/>
                <w:vertAlign w:val="subscript"/>
              </w:rPr>
              <w:t>p1</w:t>
            </w:r>
            <w:r>
              <w:rPr>
                <w:rFonts w:cs="Times New Roman"/>
                <w:color w:val="auto"/>
              </w:rPr>
              <w:t>和L</w:t>
            </w:r>
            <w:r>
              <w:rPr>
                <w:rFonts w:cs="Times New Roman"/>
                <w:color w:val="auto"/>
                <w:vertAlign w:val="subscript"/>
              </w:rPr>
              <w:t>p2</w:t>
            </w:r>
            <w:r>
              <w:rPr>
                <w:rFonts w:cs="Times New Roman"/>
                <w:color w:val="auto"/>
              </w:rPr>
              <w:t>。若声源所在室内声场为近似扩散声场，则室外的倍频带声压级可按式（B.1）近似求出：</w:t>
            </w:r>
          </w:p>
          <w:p>
            <w:pPr>
              <w:jc w:val="right"/>
              <w:rPr>
                <w:rFonts w:cs="Times New Roman"/>
                <w:color w:val="auto"/>
              </w:rPr>
            </w:pPr>
            <w:r>
              <w:rPr>
                <w:rFonts w:cs="Times New Roman"/>
                <w:color w:val="auto"/>
                <w:position w:val="-14"/>
              </w:rPr>
              <w:object>
                <v:shape id="_x0000_i1028" o:spt="75" type="#_x0000_t75" style="height:21.75pt;width:93.75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cs="Times New Roman"/>
                <w:color w:val="auto"/>
              </w:rPr>
              <w:t xml:space="preserve">                      （B.1）</w:t>
            </w:r>
          </w:p>
          <w:p>
            <w:pPr>
              <w:ind w:firstLine="480" w:firstLineChars="200"/>
              <w:rPr>
                <w:rFonts w:cs="Times New Roman"/>
                <w:color w:val="auto"/>
              </w:rPr>
            </w:pPr>
            <w:r>
              <w:rPr>
                <w:rFonts w:cs="Times New Roman"/>
                <w:color w:val="auto"/>
              </w:rPr>
              <w:t>式中：</w:t>
            </w:r>
            <w:r>
              <w:rPr>
                <w:rFonts w:cs="Times New Roman"/>
                <w:color w:val="auto"/>
                <w:position w:val="-14"/>
              </w:rPr>
              <w:object>
                <v:shape id="_x0000_i1029" o:spt="75" type="#_x0000_t75" style="height:21.75pt;width:21.7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29" r:id="rId23">
                  <o:LockedField>false</o:LockedField>
                </o:OLEObject>
              </w:object>
            </w:r>
            <w:r>
              <w:rPr>
                <w:rFonts w:cs="Times New Roman"/>
                <w:color w:val="auto"/>
              </w:rPr>
              <w:t>——靠近开口处（或窗户）室内某倍频带的声压级或A声级，dB；</w:t>
            </w:r>
          </w:p>
          <w:p>
            <w:pPr>
              <w:ind w:firstLine="1200" w:firstLineChars="500"/>
              <w:rPr>
                <w:rFonts w:cs="Times New Roman"/>
                <w:color w:val="auto"/>
              </w:rPr>
            </w:pPr>
            <w:r>
              <w:rPr>
                <w:rFonts w:cs="Times New Roman"/>
                <w:color w:val="auto"/>
                <w:position w:val="-14"/>
              </w:rPr>
              <w:object>
                <v:shape id="_x0000_i1030" o:spt="75" type="#_x0000_t75" style="height:21.75pt;width:21.7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25">
                  <o:LockedField>false</o:LockedField>
                </o:OLEObject>
              </w:object>
            </w:r>
            <w:r>
              <w:rPr>
                <w:rFonts w:cs="Times New Roman"/>
                <w:color w:val="auto"/>
              </w:rPr>
              <w:t>——靠近开口处（或窗户）室外某倍频带的声压级或A声级，dB；</w:t>
            </w:r>
          </w:p>
          <w:p>
            <w:pPr>
              <w:ind w:firstLine="1200" w:firstLineChars="500"/>
              <w:rPr>
                <w:rFonts w:cs="Times New Roman"/>
                <w:color w:val="auto"/>
              </w:rPr>
            </w:pPr>
            <w:r>
              <w:rPr>
                <w:rFonts w:cs="Times New Roman"/>
                <w:color w:val="auto"/>
              </w:rPr>
              <w:t>TL——隔墙（或窗户）倍频带或A声级的隔声量，dB。</w:t>
            </w:r>
          </w:p>
          <w:p>
            <w:pPr>
              <w:ind w:firstLine="480" w:firstLineChars="200"/>
              <w:rPr>
                <w:rFonts w:cs="Times New Roman"/>
                <w:color w:val="auto"/>
              </w:rPr>
            </w:pPr>
            <w:r>
              <w:rPr>
                <w:rFonts w:cs="Times New Roman"/>
                <w:color w:val="auto"/>
              </w:rPr>
              <w:t>也可按式（B.2）计算某一室内声源靠近围护结构处产生的倍频带声压级或A声级：</w:t>
            </w:r>
          </w:p>
          <w:p>
            <w:pPr>
              <w:ind w:firstLine="480" w:firstLineChars="200"/>
              <w:jc w:val="right"/>
              <w:rPr>
                <w:rFonts w:cs="Times New Roman"/>
                <w:color w:val="auto"/>
              </w:rPr>
            </w:pPr>
            <w:r>
              <w:rPr>
                <w:rFonts w:cs="Times New Roman"/>
                <w:color w:val="auto"/>
                <w:position w:val="-28"/>
              </w:rPr>
              <w:object>
                <v:shape id="_x0000_i1031" o:spt="75" type="#_x0000_t75" style="height:36pt;width:129.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r>
              <w:rPr>
                <w:rFonts w:cs="Times New Roman"/>
                <w:color w:val="auto"/>
              </w:rPr>
              <w:t xml:space="preserve">                  （B.2）</w:t>
            </w:r>
          </w:p>
          <w:p>
            <w:pPr>
              <w:ind w:firstLine="480" w:firstLineChars="200"/>
              <w:rPr>
                <w:rFonts w:cs="Times New Roman"/>
                <w:color w:val="auto"/>
              </w:rPr>
            </w:pPr>
            <w:r>
              <w:rPr>
                <w:rFonts w:cs="Times New Roman"/>
                <w:color w:val="auto"/>
              </w:rPr>
              <w:t>式中：</w:t>
            </w:r>
            <w:r>
              <w:rPr>
                <w:rFonts w:cs="Times New Roman"/>
                <w:color w:val="auto"/>
                <w:position w:val="-14"/>
              </w:rPr>
              <w:object>
                <v:shape id="_x0000_i1032" o:spt="75" type="#_x0000_t75" style="height:21.75pt;width:21.75pt;" o:ole="t" filled="f" o:preferrelative="t" stroked="f" coordsize="21600,21600">
                  <v:path/>
                  <v:fill on="f" focussize="0,0"/>
                  <v:stroke on="f" joinstyle="miter"/>
                  <v:imagedata r:id="rId24" o:title=""/>
                  <o:lock v:ext="edit" aspectratio="t"/>
                  <w10:wrap type="none"/>
                  <w10:anchorlock/>
                </v:shape>
                <o:OLEObject Type="Embed" ProgID="Equation.3" ShapeID="_x0000_i1032" DrawAspect="Content" ObjectID="_1468075732" r:id="rId29">
                  <o:LockedField>false</o:LockedField>
                </o:OLEObject>
              </w:object>
            </w:r>
            <w:r>
              <w:rPr>
                <w:rFonts w:cs="Times New Roman"/>
                <w:color w:val="auto"/>
              </w:rPr>
              <w:t>——靠近开口处（或窗户）室内某倍频带的声压级或A声级，dB；</w:t>
            </w:r>
          </w:p>
          <w:p>
            <w:pPr>
              <w:ind w:firstLine="1200" w:firstLineChars="500"/>
              <w:rPr>
                <w:rFonts w:cs="Times New Roman"/>
                <w:color w:val="auto"/>
              </w:rPr>
            </w:pPr>
            <w:r>
              <w:rPr>
                <w:rFonts w:cs="Times New Roman"/>
                <w:color w:val="auto"/>
                <w:position w:val="-12"/>
              </w:rPr>
              <w:object>
                <v:shape id="_x0000_i1033" o:spt="75" type="#_x0000_t75" style="height:21.75pt;width:14.25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cs="Times New Roman"/>
                <w:color w:val="auto"/>
              </w:rPr>
              <w:t>——点声源声功率级（A计权或倍频带），dB；</w:t>
            </w:r>
          </w:p>
          <w:p>
            <w:pPr>
              <w:ind w:firstLine="1200" w:firstLineChars="500"/>
              <w:rPr>
                <w:rFonts w:cs="Times New Roman"/>
                <w:color w:val="auto"/>
              </w:rPr>
            </w:pPr>
            <w:r>
              <w:rPr>
                <w:rFonts w:cs="Times New Roman"/>
                <w:color w:val="auto"/>
                <w:position w:val="-10"/>
              </w:rPr>
              <w:object>
                <v:shape id="_x0000_i1034" o:spt="75" type="#_x0000_t75" style="height:14.25pt;width:14.2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cs="Times New Roman"/>
                <w:color w:val="auto"/>
              </w:rPr>
              <w:t>——指向性因数；通常对无指向性声源，当声源放在房间中心时，</w:t>
            </w:r>
            <w:r>
              <w:rPr>
                <w:rFonts w:cs="Times New Roman"/>
                <w:color w:val="auto"/>
                <w:position w:val="-10"/>
              </w:rPr>
              <w:object>
                <v:shape id="_x0000_i1035" o:spt="75" type="#_x0000_t75" style="height:14.25pt;width:28.45pt;" o:ole="t" filled="f" o:preferrelative="t" stroked="f" coordsize="21600,21600">
                  <v:path/>
                  <v:fill on="f" focussize="0,0"/>
                  <v:stroke on="f" joinstyle="miter"/>
                  <v:imagedata r:id="rId35" o:title=""/>
                  <o:lock v:ext="edit" aspectratio="t"/>
                  <w10:wrap type="none"/>
                  <w10:anchorlock/>
                </v:shape>
                <o:OLEObject Type="Embed" ProgID="Equation.3" ShapeID="_x0000_i1035" DrawAspect="Content" ObjectID="_1468075735" r:id="rId34">
                  <o:LockedField>false</o:LockedField>
                </o:OLEObject>
              </w:object>
            </w:r>
            <w:r>
              <w:rPr>
                <w:rFonts w:cs="Times New Roman"/>
                <w:color w:val="auto"/>
              </w:rPr>
              <w:t>；当放在一面墙的中心时，</w:t>
            </w:r>
            <w:r>
              <w:rPr>
                <w:rFonts w:cs="Times New Roman"/>
                <w:color w:val="auto"/>
                <w:position w:val="-10"/>
              </w:rPr>
              <w:object>
                <v:shape id="_x0000_i1036" o:spt="75" type="#_x0000_t75" style="height:14.25pt;width:28.45pt;" o:ole="t" filled="f" o:preferrelative="t" stroked="f" coordsize="21600,21600">
                  <v:path/>
                  <v:fill on="f" focussize="0,0"/>
                  <v:stroke on="f" joinstyle="miter"/>
                  <v:imagedata r:id="rId37" o:title=""/>
                  <o:lock v:ext="edit" aspectratio="t"/>
                  <w10:wrap type="none"/>
                  <w10:anchorlock/>
                </v:shape>
                <o:OLEObject Type="Embed" ProgID="Equation.3" ShapeID="_x0000_i1036" DrawAspect="Content" ObjectID="_1468075736" r:id="rId36">
                  <o:LockedField>false</o:LockedField>
                </o:OLEObject>
              </w:object>
            </w:r>
            <w:r>
              <w:rPr>
                <w:rFonts w:cs="Times New Roman"/>
                <w:color w:val="auto"/>
              </w:rPr>
              <w:t>；当放在两面墙夹角处时，</w:t>
            </w:r>
            <w:r>
              <w:rPr>
                <w:rFonts w:cs="Times New Roman"/>
                <w:color w:val="auto"/>
                <w:position w:val="-10"/>
              </w:rPr>
              <w:object>
                <v:shape id="_x0000_i1037" o:spt="75" type="#_x0000_t75" style="height:14.25pt;width:28.45pt;" o:ole="t" filled="f" o:preferrelative="t" stroked="f" coordsize="21600,21600">
                  <v:path/>
                  <v:fill on="f" focussize="0,0"/>
                  <v:stroke on="f" joinstyle="miter"/>
                  <v:imagedata r:id="rId39" o:title=""/>
                  <o:lock v:ext="edit" aspectratio="t"/>
                  <w10:wrap type="none"/>
                  <w10:anchorlock/>
                </v:shape>
                <o:OLEObject Type="Embed" ProgID="Equation.3" ShapeID="_x0000_i1037" DrawAspect="Content" ObjectID="_1468075737" r:id="rId38">
                  <o:LockedField>false</o:LockedField>
                </o:OLEObject>
              </w:object>
            </w:r>
            <w:r>
              <w:rPr>
                <w:rFonts w:cs="Times New Roman"/>
                <w:color w:val="auto"/>
              </w:rPr>
              <w:t>；当放在三面墙夹角处时，</w:t>
            </w:r>
            <w:r>
              <w:rPr>
                <w:rFonts w:cs="Times New Roman"/>
                <w:color w:val="auto"/>
                <w:position w:val="-10"/>
              </w:rPr>
              <w:object>
                <v:shape id="_x0000_i1038" o:spt="75" type="#_x0000_t75" style="height:14.25pt;width:28.45pt;" o:ole="t" filled="f" o:preferrelative="t" stroked="f" coordsize="21600,21600">
                  <v:path/>
                  <v:fill on="f" focussize="0,0"/>
                  <v:stroke on="f" joinstyle="miter"/>
                  <v:imagedata r:id="rId41" o:title=""/>
                  <o:lock v:ext="edit" aspectratio="t"/>
                  <w10:wrap type="none"/>
                  <w10:anchorlock/>
                </v:shape>
                <o:OLEObject Type="Embed" ProgID="Equation.3" ShapeID="_x0000_i1038" DrawAspect="Content" ObjectID="_1468075738" r:id="rId40">
                  <o:LockedField>false</o:LockedField>
                </o:OLEObject>
              </w:object>
            </w:r>
            <w:r>
              <w:rPr>
                <w:rFonts w:cs="Times New Roman"/>
                <w:color w:val="auto"/>
              </w:rPr>
              <w:t>；</w:t>
            </w:r>
          </w:p>
          <w:p>
            <w:pPr>
              <w:ind w:firstLine="1200" w:firstLineChars="500"/>
              <w:rPr>
                <w:rFonts w:cs="Times New Roman"/>
                <w:color w:val="auto"/>
              </w:rPr>
            </w:pPr>
            <w:r>
              <w:rPr>
                <w:rFonts w:cs="Times New Roman"/>
                <w:color w:val="auto"/>
                <w:position w:val="-4"/>
              </w:rPr>
              <w:object>
                <v:shape id="_x0000_i1039" o:spt="75" type="#_x0000_t75" style="height:14.25pt;width:14.25pt;" o:ole="t" filled="f" o:preferrelative="t" stroked="f" coordsize="21600,21600">
                  <v:path/>
                  <v:fill on="f" focussize="0,0"/>
                  <v:stroke on="f" joinstyle="miter"/>
                  <v:imagedata r:id="rId43" o:title=""/>
                  <o:lock v:ext="edit" aspectratio="t"/>
                  <w10:wrap type="none"/>
                  <w10:anchorlock/>
                </v:shape>
                <o:OLEObject Type="Embed" ProgID="Equation.3" ShapeID="_x0000_i1039" DrawAspect="Content" ObjectID="_1468075739" r:id="rId42">
                  <o:LockedField>false</o:LockedField>
                </o:OLEObject>
              </w:object>
            </w:r>
            <w:r>
              <w:rPr>
                <w:rFonts w:cs="Times New Roman"/>
                <w:color w:val="auto"/>
              </w:rPr>
              <w:t>——房间常数；</w:t>
            </w:r>
            <w:r>
              <w:rPr>
                <w:rFonts w:cs="Times New Roman"/>
                <w:color w:val="auto"/>
                <w:position w:val="-10"/>
              </w:rPr>
              <w:object>
                <v:shape id="_x0000_i1040" o:spt="75" type="#_x0000_t75" style="height:21.75pt;width:72pt;" o:ole="t" filled="f" o:preferrelative="t" stroked="f" coordsize="21600,21600">
                  <v:path/>
                  <v:fill on="f" focussize="0,0"/>
                  <v:stroke on="f" joinstyle="miter"/>
                  <v:imagedata r:id="rId45" o:title=""/>
                  <o:lock v:ext="edit" aspectratio="t"/>
                  <w10:wrap type="none"/>
                  <w10:anchorlock/>
                </v:shape>
                <o:OLEObject Type="Embed" ProgID="Equation.3" ShapeID="_x0000_i1040" DrawAspect="Content" ObjectID="_1468075740" r:id="rId44">
                  <o:LockedField>false</o:LockedField>
                </o:OLEObject>
              </w:object>
            </w:r>
            <w:r>
              <w:rPr>
                <w:rFonts w:cs="Times New Roman"/>
                <w:color w:val="auto"/>
              </w:rPr>
              <w:t>，</w:t>
            </w:r>
            <w:r>
              <w:rPr>
                <w:rFonts w:cs="Times New Roman"/>
                <w:color w:val="auto"/>
                <w:position w:val="-6"/>
              </w:rPr>
              <w:object>
                <v:shape id="_x0000_i1041" o:spt="75" type="#_x0000_t75" style="height:14.25pt;width:14.25pt;" o:ole="t" filled="f" o:preferrelative="t" stroked="f" coordsize="21600,21600">
                  <v:path/>
                  <v:fill on="f" focussize="0,0"/>
                  <v:stroke on="f" joinstyle="miter"/>
                  <v:imagedata r:id="rId47" o:title=""/>
                  <o:lock v:ext="edit" aspectratio="t"/>
                  <w10:wrap type="none"/>
                  <w10:anchorlock/>
                </v:shape>
                <o:OLEObject Type="Embed" ProgID="Equation.3" ShapeID="_x0000_i1041" DrawAspect="Content" ObjectID="_1468075741" r:id="rId46">
                  <o:LockedField>false</o:LockedField>
                </o:OLEObject>
              </w:object>
            </w:r>
            <w:r>
              <w:rPr>
                <w:rFonts w:cs="Times New Roman"/>
                <w:color w:val="auto"/>
              </w:rPr>
              <w:t>为房间内表面面积，</w:t>
            </w:r>
            <w:r>
              <w:rPr>
                <w:rFonts w:cs="Times New Roman"/>
                <w:color w:val="auto"/>
                <w:position w:val="-6"/>
              </w:rPr>
              <w:object>
                <v:shape id="_x0000_i1042" o:spt="75" type="#_x0000_t75" style="height:14.25pt;width:21.75pt;" o:ole="t" filled="f" o:preferrelative="t" stroked="f" coordsize="21600,21600">
                  <v:path/>
                  <v:fill on="f" focussize="0,0"/>
                  <v:stroke on="f" joinstyle="miter"/>
                  <v:imagedata r:id="rId49" o:title=""/>
                  <o:lock v:ext="edit" aspectratio="t"/>
                  <w10:wrap type="none"/>
                  <w10:anchorlock/>
                </v:shape>
                <o:OLEObject Type="Embed" ProgID="Equation.3" ShapeID="_x0000_i1042" DrawAspect="Content" ObjectID="_1468075742" r:id="rId48">
                  <o:LockedField>false</o:LockedField>
                </o:OLEObject>
              </w:object>
            </w:r>
            <w:r>
              <w:rPr>
                <w:rFonts w:cs="Times New Roman"/>
                <w:color w:val="auto"/>
              </w:rPr>
              <w:t>；</w:t>
            </w:r>
            <w:r>
              <w:rPr>
                <w:rFonts w:cs="Times New Roman"/>
                <w:color w:val="auto"/>
                <w:position w:val="-6"/>
              </w:rPr>
              <w:object>
                <v:shape id="_x0000_i1043" o:spt="75" type="#_x0000_t75" style="height:14.25pt;width:14.25pt;" o:ole="t" filled="f" o:preferrelative="t" stroked="f" coordsize="21600,21600">
                  <v:path/>
                  <v:fill on="f" focussize="0,0"/>
                  <v:stroke on="f" joinstyle="miter"/>
                  <v:imagedata r:id="rId51" o:title=""/>
                  <o:lock v:ext="edit" aspectratio="t"/>
                  <w10:wrap type="none"/>
                  <w10:anchorlock/>
                </v:shape>
                <o:OLEObject Type="Embed" ProgID="Equation.3" ShapeID="_x0000_i1043" DrawAspect="Content" ObjectID="_1468075743" r:id="rId50">
                  <o:LockedField>false</o:LockedField>
                </o:OLEObject>
              </w:object>
            </w:r>
            <w:r>
              <w:rPr>
                <w:rFonts w:cs="Times New Roman"/>
                <w:color w:val="auto"/>
              </w:rPr>
              <w:t>为平均吸声系数；</w:t>
            </w:r>
          </w:p>
          <w:p>
            <w:pPr>
              <w:ind w:firstLine="1200" w:firstLineChars="500"/>
              <w:rPr>
                <w:rFonts w:cs="Times New Roman"/>
                <w:color w:val="auto"/>
              </w:rPr>
            </w:pPr>
            <w:r>
              <w:rPr>
                <w:rFonts w:cs="Times New Roman"/>
                <w:color w:val="auto"/>
                <w:position w:val="-4"/>
              </w:rPr>
              <w:object>
                <v:shape id="_x0000_i1044" o:spt="75" type="#_x0000_t75" style="height:6.7pt;width:6.7pt;" o:ole="t" filled="f" o:preferrelative="t" stroked="f" coordsize="21600,21600">
                  <v:path/>
                  <v:fill on="f" focussize="0,0"/>
                  <v:stroke on="f" joinstyle="miter"/>
                  <v:imagedata r:id="rId53" o:title=""/>
                  <o:lock v:ext="edit" aspectratio="t"/>
                  <w10:wrap type="none"/>
                  <w10:anchorlock/>
                </v:shape>
                <o:OLEObject Type="Embed" ProgID="Equation.3" ShapeID="_x0000_i1044" DrawAspect="Content" ObjectID="_1468075744" r:id="rId52">
                  <o:LockedField>false</o:LockedField>
                </o:OLEObject>
              </w:object>
            </w:r>
            <w:r>
              <w:rPr>
                <w:rFonts w:cs="Times New Roman"/>
                <w:color w:val="auto"/>
              </w:rPr>
              <w:t>——声源到靠近围护结构某点处的距离，m。</w:t>
            </w:r>
          </w:p>
          <w:p>
            <w:pPr>
              <w:ind w:firstLine="480" w:firstLineChars="200"/>
              <w:rPr>
                <w:rFonts w:cs="Times New Roman"/>
                <w:color w:val="auto"/>
              </w:rPr>
            </w:pPr>
            <w:r>
              <w:rPr>
                <w:rFonts w:cs="Times New Roman"/>
                <w:color w:val="auto"/>
              </w:rPr>
              <w:t>然后按式（B.3）计算出所有室内声源在围护结构处产生的</w:t>
            </w:r>
            <w:r>
              <w:rPr>
                <w:rFonts w:cs="Times New Roman"/>
                <w:color w:val="auto"/>
                <w:position w:val="-6"/>
              </w:rPr>
              <w:object>
                <v:shape id="_x0000_i1045"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45" DrawAspect="Content" ObjectID="_1468075745" r:id="rId54">
                  <o:LockedField>false</o:LockedField>
                </o:OLEObject>
              </w:object>
            </w:r>
            <w:r>
              <w:rPr>
                <w:rFonts w:cs="Times New Roman"/>
                <w:color w:val="auto"/>
              </w:rPr>
              <w:t>倍频带叠加声压级：</w:t>
            </w:r>
          </w:p>
          <w:p>
            <w:pPr>
              <w:ind w:firstLine="480" w:firstLineChars="200"/>
              <w:jc w:val="right"/>
              <w:rPr>
                <w:rFonts w:cs="Times New Roman"/>
                <w:color w:val="auto"/>
              </w:rPr>
            </w:pPr>
            <w:r>
              <w:rPr>
                <w:rFonts w:cs="Times New Roman"/>
                <w:color w:val="auto"/>
                <w:position w:val="-34"/>
              </w:rPr>
              <w:object>
                <v:shape id="_x0000_i1046" o:spt="75" type="#_x0000_t75" style="height:36pt;width:129.75pt;" o:ole="t" filled="f" o:preferrelative="t" stroked="f" coordsize="21600,21600">
                  <v:path/>
                  <v:fill on="f" focussize="0,0"/>
                  <v:stroke on="f" joinstyle="miter"/>
                  <v:imagedata r:id="rId57" o:title=""/>
                  <o:lock v:ext="edit" aspectratio="t"/>
                  <w10:wrap type="none"/>
                  <w10:anchorlock/>
                </v:shape>
                <o:OLEObject Type="Embed" ProgID="Equation.3" ShapeID="_x0000_i1046" DrawAspect="Content" ObjectID="_1468075746" r:id="rId56">
                  <o:LockedField>false</o:LockedField>
                </o:OLEObject>
              </w:object>
            </w:r>
            <w:r>
              <w:rPr>
                <w:rFonts w:cs="Times New Roman"/>
                <w:color w:val="auto"/>
              </w:rPr>
              <w:t xml:space="preserve">               （B.3）</w:t>
            </w:r>
          </w:p>
          <w:p>
            <w:pPr>
              <w:ind w:firstLine="480" w:firstLineChars="200"/>
              <w:rPr>
                <w:rFonts w:cs="Times New Roman"/>
                <w:color w:val="auto"/>
              </w:rPr>
            </w:pPr>
            <w:r>
              <w:rPr>
                <w:rFonts w:cs="Times New Roman"/>
                <w:color w:val="auto"/>
              </w:rPr>
              <w:t>式中：</w:t>
            </w:r>
            <w:r>
              <w:rPr>
                <w:rFonts w:cs="Times New Roman"/>
                <w:color w:val="auto"/>
                <w:position w:val="-14"/>
              </w:rPr>
              <w:object>
                <v:shape id="_x0000_i1047" o:spt="75" type="#_x0000_t75" style="height:21.75pt;width:36pt;" o:ole="t" filled="f" o:preferrelative="t" stroked="f" coordsize="21600,21600">
                  <v:path/>
                  <v:fill on="f" focussize="0,0"/>
                  <v:stroke on="f" joinstyle="miter"/>
                  <v:imagedata r:id="rId59" o:title=""/>
                  <o:lock v:ext="edit" aspectratio="t"/>
                  <w10:wrap type="none"/>
                  <w10:anchorlock/>
                </v:shape>
                <o:OLEObject Type="Embed" ProgID="Equation.3" ShapeID="_x0000_i1047" DrawAspect="Content" ObjectID="_1468075747" r:id="rId58">
                  <o:LockedField>false</o:LockedField>
                </o:OLEObject>
              </w:object>
            </w:r>
            <w:r>
              <w:rPr>
                <w:rFonts w:cs="Times New Roman"/>
                <w:color w:val="auto"/>
              </w:rPr>
              <w:t>——靠近围护结构处室内</w:t>
            </w:r>
            <w:r>
              <w:rPr>
                <w:rFonts w:cs="Times New Roman"/>
                <w:color w:val="auto"/>
                <w:position w:val="-6"/>
              </w:rPr>
              <w:object>
                <v:shape id="_x0000_i1048" o:spt="75" type="#_x0000_t75" style="height:14.25pt;width:14.25pt;" o:ole="t" filled="f" o:preferrelative="t" stroked="f" coordsize="21600,21600">
                  <v:path/>
                  <v:fill on="f" focussize="0,0"/>
                  <v:stroke on="f" joinstyle="miter"/>
                  <v:imagedata r:id="rId61" o:title=""/>
                  <o:lock v:ext="edit" aspectratio="t"/>
                  <w10:wrap type="none"/>
                  <w10:anchorlock/>
                </v:shape>
                <o:OLEObject Type="Embed" ProgID="Equation.3" ShapeID="_x0000_i1048" DrawAspect="Content" ObjectID="_1468075748" r:id="rId60">
                  <o:LockedField>false</o:LockedField>
                </o:OLEObject>
              </w:object>
            </w:r>
            <w:r>
              <w:rPr>
                <w:rFonts w:cs="Times New Roman"/>
                <w:color w:val="auto"/>
              </w:rPr>
              <w:t>个声源</w:t>
            </w:r>
            <w:r>
              <w:rPr>
                <w:rFonts w:cs="Times New Roman"/>
                <w:color w:val="auto"/>
                <w:position w:val="-6"/>
              </w:rPr>
              <w:object>
                <v:shape id="_x0000_i1049"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49" DrawAspect="Content" ObjectID="_1468075749" r:id="rId62">
                  <o:LockedField>false</o:LockedField>
                </o:OLEObject>
              </w:object>
            </w:r>
            <w:r>
              <w:rPr>
                <w:rFonts w:cs="Times New Roman"/>
                <w:color w:val="auto"/>
              </w:rPr>
              <w:t>倍频带的叠加声压级，dB；</w:t>
            </w:r>
          </w:p>
          <w:p>
            <w:pPr>
              <w:ind w:firstLine="1200" w:firstLineChars="500"/>
              <w:rPr>
                <w:rFonts w:cs="Times New Roman"/>
                <w:color w:val="auto"/>
              </w:rPr>
            </w:pPr>
            <w:r>
              <w:rPr>
                <w:rFonts w:cs="Times New Roman"/>
                <w:color w:val="auto"/>
                <w:position w:val="-14"/>
              </w:rPr>
              <w:object>
                <v:shape id="_x0000_i1050" o:spt="75" type="#_x0000_t75" style="height:21.75pt;width:21.75pt;" o:ole="t" filled="f" o:preferrelative="t" stroked="f" coordsize="21600,21600">
                  <v:path/>
                  <v:fill on="f" focussize="0,0"/>
                  <v:stroke on="f" joinstyle="miter"/>
                  <v:imagedata r:id="rId64" o:title=""/>
                  <o:lock v:ext="edit" aspectratio="t"/>
                  <w10:wrap type="none"/>
                  <w10:anchorlock/>
                </v:shape>
                <o:OLEObject Type="Embed" ProgID="Equation.3" ShapeID="_x0000_i1050" DrawAspect="Content" ObjectID="_1468075750" r:id="rId63">
                  <o:LockedField>false</o:LockedField>
                </o:OLEObject>
              </w:object>
            </w:r>
            <w:r>
              <w:rPr>
                <w:rFonts w:cs="Times New Roman"/>
                <w:color w:val="auto"/>
              </w:rPr>
              <w:t>——室内</w:t>
            </w:r>
            <w:r>
              <w:rPr>
                <w:rFonts w:cs="Times New Roman"/>
                <w:color w:val="auto"/>
                <w:position w:val="-10"/>
              </w:rPr>
              <w:object>
                <v:shape id="_x0000_i1051" o:spt="75" type="#_x0000_t75" style="height:14.25pt;width:6.7pt;" o:ole="t" filled="f" o:preferrelative="t" stroked="f" coordsize="21600,21600">
                  <v:path/>
                  <v:fill on="f" focussize="0,0"/>
                  <v:stroke on="f" joinstyle="miter"/>
                  <v:imagedata r:id="rId66" o:title=""/>
                  <o:lock v:ext="edit" aspectratio="t"/>
                  <w10:wrap type="none"/>
                  <w10:anchorlock/>
                </v:shape>
                <o:OLEObject Type="Embed" ProgID="Equation.3" ShapeID="_x0000_i1051" DrawAspect="Content" ObjectID="_1468075751" r:id="rId65">
                  <o:LockedField>false</o:LockedField>
                </o:OLEObject>
              </w:object>
            </w:r>
            <w:r>
              <w:rPr>
                <w:rFonts w:cs="Times New Roman"/>
                <w:color w:val="auto"/>
              </w:rPr>
              <w:t>声源</w:t>
            </w:r>
            <w:r>
              <w:rPr>
                <w:rFonts w:cs="Times New Roman"/>
                <w:color w:val="auto"/>
                <w:position w:val="-6"/>
              </w:rPr>
              <w:object>
                <v:shape id="_x0000_i1052"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52" DrawAspect="Content" ObjectID="_1468075752" r:id="rId67">
                  <o:LockedField>false</o:LockedField>
                </o:OLEObject>
              </w:object>
            </w:r>
            <w:r>
              <w:rPr>
                <w:rFonts w:cs="Times New Roman"/>
                <w:color w:val="auto"/>
              </w:rPr>
              <w:t>倍频带的声压级，dB；</w:t>
            </w:r>
          </w:p>
          <w:p>
            <w:pPr>
              <w:ind w:firstLine="1200" w:firstLineChars="500"/>
              <w:rPr>
                <w:rFonts w:cs="Times New Roman"/>
                <w:color w:val="auto"/>
              </w:rPr>
            </w:pPr>
            <w:r>
              <w:rPr>
                <w:rFonts w:cs="Times New Roman"/>
                <w:color w:val="auto"/>
                <w:position w:val="-6"/>
              </w:rPr>
              <w:object>
                <v:shape id="_x0000_i1053" o:spt="75" type="#_x0000_t75" style="height:14.25pt;width:14.25pt;" o:ole="t" filled="f" o:preferrelative="t" stroked="f" coordsize="21600,21600">
                  <v:path/>
                  <v:fill on="f" focussize="0,0"/>
                  <v:stroke on="f" joinstyle="miter"/>
                  <v:imagedata r:id="rId61" o:title=""/>
                  <o:lock v:ext="edit" aspectratio="t"/>
                  <w10:wrap type="none"/>
                  <w10:anchorlock/>
                </v:shape>
                <o:OLEObject Type="Embed" ProgID="Equation.3" ShapeID="_x0000_i1053" DrawAspect="Content" ObjectID="_1468075753" r:id="rId68">
                  <o:LockedField>false</o:LockedField>
                </o:OLEObject>
              </w:object>
            </w:r>
            <w:r>
              <w:rPr>
                <w:rFonts w:cs="Times New Roman"/>
                <w:color w:val="auto"/>
              </w:rPr>
              <w:t>——室内声源总数。</w:t>
            </w:r>
          </w:p>
          <w:p>
            <w:pPr>
              <w:ind w:firstLine="480" w:firstLineChars="200"/>
              <w:jc w:val="right"/>
              <w:rPr>
                <w:rFonts w:cs="Times New Roman"/>
                <w:color w:val="auto"/>
              </w:rPr>
            </w:pPr>
            <w:r>
              <w:rPr>
                <w:rFonts w:cs="Times New Roman"/>
                <w:color w:val="auto"/>
              </w:rPr>
              <w:t>在室内近似为扩散声场时，按式（B.4）计算出靠近室外围护结构处的声压级：</w:t>
            </w:r>
            <w:r>
              <w:rPr>
                <w:rFonts w:cs="Times New Roman"/>
                <w:color w:val="auto"/>
                <w:position w:val="-14"/>
              </w:rPr>
              <w:object>
                <v:shape id="_x0000_i1054" o:spt="75" type="#_x0000_t75" style="height:21.75pt;width:129.75pt;" o:ole="t" filled="f" o:preferrelative="t" stroked="f" coordsize="21600,21600">
                  <v:path/>
                  <v:fill on="f" focussize="0,0"/>
                  <v:stroke on="f" joinstyle="miter"/>
                  <v:imagedata r:id="rId70" o:title=""/>
                  <o:lock v:ext="edit" aspectratio="t"/>
                  <w10:wrap type="none"/>
                  <w10:anchorlock/>
                </v:shape>
                <o:OLEObject Type="Embed" ProgID="Equation.3" ShapeID="_x0000_i1054" DrawAspect="Content" ObjectID="_1468075754" r:id="rId69">
                  <o:LockedField>false</o:LockedField>
                </o:OLEObject>
              </w:object>
            </w:r>
            <w:r>
              <w:rPr>
                <w:rFonts w:cs="Times New Roman"/>
                <w:color w:val="auto"/>
              </w:rPr>
              <w:t xml:space="preserve">              （B.4）</w:t>
            </w:r>
          </w:p>
          <w:p>
            <w:pPr>
              <w:ind w:left="1267" w:leftChars="228" w:hanging="720" w:hangingChars="300"/>
              <w:rPr>
                <w:rFonts w:cs="Times New Roman"/>
                <w:color w:val="auto"/>
              </w:rPr>
            </w:pPr>
            <w:r>
              <w:rPr>
                <w:rFonts w:cs="Times New Roman"/>
                <w:color w:val="auto"/>
              </w:rPr>
              <w:t>式中：</w:t>
            </w:r>
            <w:r>
              <w:rPr>
                <w:rFonts w:cs="Times New Roman"/>
                <w:color w:val="auto"/>
                <w:position w:val="-14"/>
              </w:rPr>
              <w:object>
                <v:shape id="_x0000_i1055" o:spt="75" type="#_x0000_t75" style="height:21.75pt;width:36pt;" o:ole="t" filled="f" o:preferrelative="t" stroked="f" coordsize="21600,21600">
                  <v:path/>
                  <v:fill on="f" focussize="0,0"/>
                  <v:stroke on="f" joinstyle="miter"/>
                  <v:imagedata r:id="rId72" o:title=""/>
                  <o:lock v:ext="edit" aspectratio="t"/>
                  <w10:wrap type="none"/>
                  <w10:anchorlock/>
                </v:shape>
                <o:OLEObject Type="Embed" ProgID="Equation.3" ShapeID="_x0000_i1055" DrawAspect="Content" ObjectID="_1468075755" r:id="rId71">
                  <o:LockedField>false</o:LockedField>
                </o:OLEObject>
              </w:object>
            </w:r>
            <w:r>
              <w:rPr>
                <w:rFonts w:cs="Times New Roman"/>
                <w:color w:val="auto"/>
              </w:rPr>
              <w:t>——靠近围护结构处室外</w:t>
            </w:r>
            <w:r>
              <w:rPr>
                <w:rFonts w:cs="Times New Roman"/>
                <w:color w:val="auto"/>
                <w:position w:val="-6"/>
              </w:rPr>
              <w:object>
                <v:shape id="_x0000_i1056" o:spt="75" type="#_x0000_t75" style="height:14.25pt;width:14.25pt;" o:ole="t" filled="f" o:preferrelative="t" stroked="f" coordsize="21600,21600">
                  <v:path/>
                  <v:fill on="f" focussize="0,0"/>
                  <v:stroke on="f" joinstyle="miter"/>
                  <v:imagedata r:id="rId61" o:title=""/>
                  <o:lock v:ext="edit" aspectratio="t"/>
                  <w10:wrap type="none"/>
                  <w10:anchorlock/>
                </v:shape>
                <o:OLEObject Type="Embed" ProgID="Equation.3" ShapeID="_x0000_i1056" DrawAspect="Content" ObjectID="_1468075756" r:id="rId73">
                  <o:LockedField>false</o:LockedField>
                </o:OLEObject>
              </w:object>
            </w:r>
            <w:r>
              <w:rPr>
                <w:rFonts w:cs="Times New Roman"/>
                <w:color w:val="auto"/>
              </w:rPr>
              <w:t>个声源</w:t>
            </w:r>
            <w:r>
              <w:rPr>
                <w:rFonts w:cs="Times New Roman"/>
                <w:color w:val="auto"/>
                <w:position w:val="-6"/>
              </w:rPr>
              <w:object>
                <v:shape id="_x0000_i1057"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57" DrawAspect="Content" ObjectID="_1468075757" r:id="rId74">
                  <o:LockedField>false</o:LockedField>
                </o:OLEObject>
              </w:object>
            </w:r>
            <w:r>
              <w:rPr>
                <w:rFonts w:cs="Times New Roman"/>
                <w:color w:val="auto"/>
              </w:rPr>
              <w:t>倍频带的叠加声压级，dB；</w:t>
            </w:r>
            <w:r>
              <w:rPr>
                <w:rFonts w:cs="Times New Roman"/>
                <w:color w:val="auto"/>
                <w:position w:val="-14"/>
              </w:rPr>
              <w:object>
                <v:shape id="_x0000_i1058" o:spt="75" type="#_x0000_t75" style="height:21.75pt;width:36pt;" o:ole="t" filled="f" o:preferrelative="t" stroked="f" coordsize="21600,21600">
                  <v:path/>
                  <v:fill on="f" focussize="0,0"/>
                  <v:stroke on="f" joinstyle="miter"/>
                  <v:imagedata r:id="rId76" o:title=""/>
                  <o:lock v:ext="edit" aspectratio="t"/>
                  <w10:wrap type="none"/>
                  <w10:anchorlock/>
                </v:shape>
                <o:OLEObject Type="Embed" ProgID="Equation.3" ShapeID="_x0000_i1058" DrawAspect="Content" ObjectID="_1468075758" r:id="rId75">
                  <o:LockedField>false</o:LockedField>
                </o:OLEObject>
              </w:object>
            </w:r>
            <w:r>
              <w:rPr>
                <w:rFonts w:cs="Times New Roman"/>
                <w:color w:val="auto"/>
              </w:rPr>
              <w:t>——靠近围护结构处室内</w:t>
            </w:r>
            <w:r>
              <w:rPr>
                <w:rFonts w:cs="Times New Roman"/>
                <w:color w:val="auto"/>
                <w:position w:val="-6"/>
              </w:rPr>
              <w:object>
                <v:shape id="_x0000_i1059" o:spt="75" type="#_x0000_t75" style="height:14.25pt;width:14.25pt;" o:ole="t" filled="f" o:preferrelative="t" stroked="f" coordsize="21600,21600">
                  <v:path/>
                  <v:fill on="f" focussize="0,0"/>
                  <v:stroke on="f" joinstyle="miter"/>
                  <v:imagedata r:id="rId61" o:title=""/>
                  <o:lock v:ext="edit" aspectratio="t"/>
                  <w10:wrap type="none"/>
                  <w10:anchorlock/>
                </v:shape>
                <o:OLEObject Type="Embed" ProgID="Equation.3" ShapeID="_x0000_i1059" DrawAspect="Content" ObjectID="_1468075759" r:id="rId77">
                  <o:LockedField>false</o:LockedField>
                </o:OLEObject>
              </w:object>
            </w:r>
            <w:r>
              <w:rPr>
                <w:rFonts w:cs="Times New Roman"/>
                <w:color w:val="auto"/>
              </w:rPr>
              <w:t>个声源</w:t>
            </w:r>
            <w:r>
              <w:rPr>
                <w:rFonts w:cs="Times New Roman"/>
                <w:color w:val="auto"/>
                <w:position w:val="-6"/>
              </w:rPr>
              <w:object>
                <v:shape id="_x0000_i1060"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60" DrawAspect="Content" ObjectID="_1468075760" r:id="rId78">
                  <o:LockedField>false</o:LockedField>
                </o:OLEObject>
              </w:object>
            </w:r>
            <w:r>
              <w:rPr>
                <w:rFonts w:cs="Times New Roman"/>
                <w:color w:val="auto"/>
              </w:rPr>
              <w:t>倍频带的叠加声压级，dB；</w:t>
            </w:r>
          </w:p>
          <w:p>
            <w:pPr>
              <w:ind w:firstLine="1200" w:firstLineChars="500"/>
              <w:rPr>
                <w:rFonts w:cs="Times New Roman"/>
                <w:color w:val="auto"/>
              </w:rPr>
            </w:pPr>
            <w:r>
              <w:rPr>
                <w:rFonts w:cs="Times New Roman"/>
                <w:color w:val="auto"/>
                <w:position w:val="-12"/>
              </w:rPr>
              <w:object>
                <v:shape id="_x0000_i1061" o:spt="75" type="#_x0000_t75" style="height:21.75pt;width:21.75pt;" o:ole="t" filled="f" o:preferrelative="t" stroked="f" coordsize="21600,21600">
                  <v:path/>
                  <v:fill on="f" focussize="0,0"/>
                  <v:stroke on="f" joinstyle="miter"/>
                  <v:imagedata r:id="rId80" o:title=""/>
                  <o:lock v:ext="edit" aspectratio="t"/>
                  <w10:wrap type="none"/>
                  <w10:anchorlock/>
                </v:shape>
                <o:OLEObject Type="Embed" ProgID="Equation.3" ShapeID="_x0000_i1061" DrawAspect="Content" ObjectID="_1468075761" r:id="rId79">
                  <o:LockedField>false</o:LockedField>
                </o:OLEObject>
              </w:object>
            </w:r>
            <w:r>
              <w:rPr>
                <w:rFonts w:cs="Times New Roman"/>
                <w:color w:val="auto"/>
              </w:rPr>
              <w:t>——围护结构</w:t>
            </w:r>
            <w:r>
              <w:rPr>
                <w:rFonts w:cs="Times New Roman"/>
                <w:color w:val="auto"/>
                <w:position w:val="-6"/>
              </w:rPr>
              <w:object>
                <v:shape id="_x0000_i1062" o:spt="75" type="#_x0000_t75" style="height:14.25pt;width:6.7pt;" o:ole="t" filled="f" o:preferrelative="t" stroked="f" coordsize="21600,21600">
                  <v:path/>
                  <v:fill on="f" focussize="0,0"/>
                  <v:stroke on="f" joinstyle="miter"/>
                  <v:imagedata r:id="rId55" o:title=""/>
                  <o:lock v:ext="edit" aspectratio="t"/>
                  <w10:wrap type="none"/>
                  <w10:anchorlock/>
                </v:shape>
                <o:OLEObject Type="Embed" ProgID="Equation.3" ShapeID="_x0000_i1062" DrawAspect="Content" ObjectID="_1468075762" r:id="rId81">
                  <o:LockedField>false</o:LockedField>
                </o:OLEObject>
              </w:object>
            </w:r>
            <w:r>
              <w:rPr>
                <w:rFonts w:cs="Times New Roman"/>
                <w:color w:val="auto"/>
              </w:rPr>
              <w:t>倍频带的隔声量，dB。</w:t>
            </w:r>
          </w:p>
          <w:p>
            <w:pPr>
              <w:ind w:firstLine="480" w:firstLineChars="200"/>
              <w:rPr>
                <w:rFonts w:cs="Times New Roman"/>
                <w:color w:val="auto"/>
              </w:rPr>
            </w:pPr>
            <w:r>
              <w:rPr>
                <w:rFonts w:cs="Times New Roman"/>
                <w:color w:val="auto"/>
              </w:rPr>
              <w:t>然后按式（B.5）将室外声源的声压级和透过面积换算成等效的室外声源，计算出中心位置位于透声面积（</w:t>
            </w:r>
            <w:r>
              <w:rPr>
                <w:rFonts w:cs="Times New Roman"/>
                <w:color w:val="auto"/>
                <w:position w:val="-6"/>
              </w:rPr>
              <w:object>
                <v:shape id="_x0000_i1063" o:spt="75" type="#_x0000_t75" style="height:14.25pt;width:14.25pt;" o:ole="t" filled="f" o:preferrelative="t" stroked="f" coordsize="21600,21600">
                  <v:path/>
                  <v:fill on="f" focussize="0,0"/>
                  <v:stroke on="f" joinstyle="miter"/>
                  <v:imagedata r:id="rId83" o:title=""/>
                  <o:lock v:ext="edit" aspectratio="t"/>
                  <w10:wrap type="none"/>
                  <w10:anchorlock/>
                </v:shape>
                <o:OLEObject Type="Embed" ProgID="Equation.3" ShapeID="_x0000_i1063" DrawAspect="Content" ObjectID="_1468075763" r:id="rId82">
                  <o:LockedField>false</o:LockedField>
                </o:OLEObject>
              </w:object>
            </w:r>
            <w:r>
              <w:rPr>
                <w:rFonts w:cs="Times New Roman"/>
                <w:color w:val="auto"/>
              </w:rPr>
              <w:t>）处的等效声源的倍频带声功率级。</w:t>
            </w:r>
          </w:p>
          <w:p>
            <w:pPr>
              <w:ind w:firstLine="480" w:firstLineChars="200"/>
              <w:jc w:val="right"/>
              <w:rPr>
                <w:rFonts w:cs="Times New Roman"/>
                <w:color w:val="auto"/>
              </w:rPr>
            </w:pPr>
            <w:r>
              <w:rPr>
                <w:rFonts w:cs="Times New Roman"/>
                <w:color w:val="auto"/>
                <w:position w:val="-14"/>
              </w:rPr>
              <w:object>
                <v:shape id="_x0000_i1064" o:spt="75" type="#_x0000_t75" style="height:21.75pt;width:100.45pt;" o:ole="t" filled="f" o:preferrelative="t" stroked="f" coordsize="21600,21600">
                  <v:path/>
                  <v:fill on="f" focussize="0,0"/>
                  <v:stroke on="f" joinstyle="miter"/>
                  <v:imagedata r:id="rId85" o:title=""/>
                  <o:lock v:ext="edit" aspectratio="t"/>
                  <w10:wrap type="none"/>
                  <w10:anchorlock/>
                </v:shape>
                <o:OLEObject Type="Embed" ProgID="Equation.3" ShapeID="_x0000_i1064" DrawAspect="Content" ObjectID="_1468075764" r:id="rId84">
                  <o:LockedField>false</o:LockedField>
                </o:OLEObject>
              </w:object>
            </w:r>
            <w:r>
              <w:rPr>
                <w:rFonts w:cs="Times New Roman"/>
                <w:color w:val="auto"/>
              </w:rPr>
              <w:t xml:space="preserve">  </w:t>
            </w:r>
            <w:r>
              <w:rPr>
                <w:rFonts w:hint="eastAsia" w:cs="Times New Roman"/>
                <w:color w:val="auto"/>
                <w:lang w:val="en-US" w:eastAsia="zh-CN"/>
              </w:rPr>
              <w:t xml:space="preserve">   </w:t>
            </w:r>
            <w:r>
              <w:rPr>
                <w:rFonts w:cs="Times New Roman"/>
                <w:color w:val="auto"/>
              </w:rPr>
              <w:t xml:space="preserve">                  （B.5）</w:t>
            </w:r>
          </w:p>
          <w:p>
            <w:pPr>
              <w:ind w:firstLine="480" w:firstLineChars="200"/>
              <w:rPr>
                <w:rFonts w:cs="Times New Roman"/>
                <w:color w:val="auto"/>
              </w:rPr>
            </w:pPr>
            <w:r>
              <w:rPr>
                <w:rFonts w:cs="Times New Roman"/>
                <w:color w:val="auto"/>
              </w:rPr>
              <w:t>式中：</w:t>
            </w:r>
            <w:r>
              <w:rPr>
                <w:rFonts w:cs="Times New Roman"/>
                <w:color w:val="auto"/>
                <w:position w:val="-12"/>
              </w:rPr>
              <w:object>
                <v:shape id="_x0000_i1065" o:spt="75" type="#_x0000_t75" style="height:21.75pt;width:14.25pt;" o:ole="t" filled="f" o:preferrelative="t" stroked="f" coordsize="21600,21600">
                  <v:path/>
                  <v:fill on="f" focussize="0,0"/>
                  <v:stroke on="f" joinstyle="miter"/>
                  <v:imagedata r:id="rId87" o:title=""/>
                  <o:lock v:ext="edit" aspectratio="t"/>
                  <w10:wrap type="none"/>
                  <w10:anchorlock/>
                </v:shape>
                <o:OLEObject Type="Embed" ProgID="Equation.3" ShapeID="_x0000_i1065" DrawAspect="Content" ObjectID="_1468075765" r:id="rId86">
                  <o:LockedField>false</o:LockedField>
                </o:OLEObject>
              </w:object>
            </w:r>
            <w:r>
              <w:rPr>
                <w:rFonts w:cs="Times New Roman"/>
                <w:color w:val="auto"/>
              </w:rPr>
              <w:t>——中心位置位于透声面积（</w:t>
            </w:r>
            <w:r>
              <w:rPr>
                <w:rFonts w:cs="Times New Roman"/>
                <w:color w:val="auto"/>
                <w:position w:val="-6"/>
              </w:rPr>
              <w:object>
                <v:shape id="_x0000_i1066" o:spt="75" type="#_x0000_t75" style="height:14.25pt;width:14.25pt;" o:ole="t" filled="f" o:preferrelative="t" stroked="f" coordsize="21600,21600">
                  <v:path/>
                  <v:fill on="f" focussize="0,0"/>
                  <v:stroke on="f" joinstyle="miter"/>
                  <v:imagedata r:id="rId83" o:title=""/>
                  <o:lock v:ext="edit" aspectratio="t"/>
                  <w10:wrap type="none"/>
                  <w10:anchorlock/>
                </v:shape>
                <o:OLEObject Type="Embed" ProgID="Equation.3" ShapeID="_x0000_i1066" DrawAspect="Content" ObjectID="_1468075766" r:id="rId88">
                  <o:LockedField>false</o:LockedField>
                </o:OLEObject>
              </w:object>
            </w:r>
            <w:r>
              <w:rPr>
                <w:rFonts w:cs="Times New Roman"/>
                <w:color w:val="auto"/>
              </w:rPr>
              <w:t>）处的等效声源的倍频带声功率级，dB；</w:t>
            </w:r>
          </w:p>
          <w:p>
            <w:pPr>
              <w:ind w:firstLine="1200" w:firstLineChars="500"/>
              <w:rPr>
                <w:rFonts w:cs="Times New Roman"/>
                <w:color w:val="auto"/>
              </w:rPr>
            </w:pPr>
            <w:r>
              <w:rPr>
                <w:rFonts w:cs="Times New Roman"/>
                <w:color w:val="auto"/>
                <w:position w:val="-14"/>
              </w:rPr>
              <w:object>
                <v:shape id="_x0000_i1067" o:spt="75" type="#_x0000_t75" style="height:21.75pt;width:36pt;" o:ole="t" filled="f" o:preferrelative="t" stroked="f" coordsize="21600,21600">
                  <v:path/>
                  <v:fill on="f" focussize="0,0"/>
                  <v:stroke on="f" joinstyle="miter"/>
                  <v:imagedata r:id="rId90" o:title=""/>
                  <o:lock v:ext="edit" aspectratio="t"/>
                  <w10:wrap type="none"/>
                  <w10:anchorlock/>
                </v:shape>
                <o:OLEObject Type="Embed" ProgID="Equation.3" ShapeID="_x0000_i1067" DrawAspect="Content" ObjectID="_1468075767" r:id="rId89">
                  <o:LockedField>false</o:LockedField>
                </o:OLEObject>
              </w:object>
            </w:r>
            <w:r>
              <w:rPr>
                <w:rFonts w:cs="Times New Roman"/>
                <w:color w:val="auto"/>
              </w:rPr>
              <w:t>——靠近围护结构处室外声源的声压级，dB；</w:t>
            </w:r>
          </w:p>
          <w:p>
            <w:pPr>
              <w:ind w:firstLine="1200" w:firstLineChars="500"/>
              <w:rPr>
                <w:rFonts w:cs="Times New Roman"/>
                <w:color w:val="auto"/>
              </w:rPr>
            </w:pPr>
            <w:r>
              <w:rPr>
                <w:rFonts w:cs="Times New Roman"/>
                <w:color w:val="auto"/>
                <w:position w:val="-6"/>
              </w:rPr>
              <w:object>
                <v:shape id="_x0000_i1068" o:spt="75" type="#_x0000_t75" style="height:14.25pt;width:14.25pt;" o:ole="t" filled="f" o:preferrelative="t" stroked="f" coordsize="21600,21600">
                  <v:path/>
                  <v:fill on="f" focussize="0,0"/>
                  <v:stroke on="f" joinstyle="miter"/>
                  <v:imagedata r:id="rId83" o:title=""/>
                  <o:lock v:ext="edit" aspectratio="t"/>
                  <w10:wrap type="none"/>
                  <w10:anchorlock/>
                </v:shape>
                <o:OLEObject Type="Embed" ProgID="Equation.3" ShapeID="_x0000_i1068" DrawAspect="Content" ObjectID="_1468075768" r:id="rId91">
                  <o:LockedField>false</o:LockedField>
                </o:OLEObject>
              </w:object>
            </w:r>
            <w:r>
              <w:rPr>
                <w:rFonts w:cs="Times New Roman"/>
                <w:color w:val="auto"/>
              </w:rPr>
              <w:t>——透声面积，</w:t>
            </w:r>
            <w:r>
              <w:rPr>
                <w:rFonts w:cs="Times New Roman"/>
                <w:color w:val="auto"/>
                <w:position w:val="-6"/>
              </w:rPr>
              <w:object>
                <v:shape id="_x0000_i1069" o:spt="75" type="#_x0000_t75" style="height:14.25pt;width:21.75pt;" o:ole="t" filled="f" o:preferrelative="t" stroked="f" coordsize="21600,21600">
                  <v:path/>
                  <v:fill on="f" focussize="0,0"/>
                  <v:stroke on="f" joinstyle="miter"/>
                  <v:imagedata r:id="rId49" o:title=""/>
                  <o:lock v:ext="edit" aspectratio="t"/>
                  <w10:wrap type="none"/>
                  <w10:anchorlock/>
                </v:shape>
                <o:OLEObject Type="Embed" ProgID="Equation.3" ShapeID="_x0000_i1069" DrawAspect="Content" ObjectID="_1468075769" r:id="rId92">
                  <o:LockedField>false</o:LockedField>
                </o:OLEObject>
              </w:object>
            </w:r>
            <w:r>
              <w:rPr>
                <w:rFonts w:cs="Times New Roman"/>
                <w:color w:val="auto"/>
              </w:rPr>
              <w:t>。</w:t>
            </w:r>
          </w:p>
          <w:p>
            <w:pPr>
              <w:ind w:firstLine="480" w:firstLineChars="200"/>
              <w:rPr>
                <w:rFonts w:cs="Times New Roman"/>
                <w:color w:val="auto"/>
              </w:rPr>
            </w:pPr>
            <w:r>
              <w:rPr>
                <w:rFonts w:cs="Times New Roman"/>
                <w:color w:val="auto"/>
              </w:rPr>
              <w:t>然后按室外声源预测方法计算预测点处的A声级。</w:t>
            </w:r>
          </w:p>
          <w:p>
            <w:pPr>
              <w:ind w:firstLine="482" w:firstLineChars="200"/>
              <w:rPr>
                <w:rFonts w:cs="Times New Roman"/>
                <w:b/>
                <w:bCs/>
                <w:color w:val="auto"/>
              </w:rPr>
            </w:pPr>
            <w:r>
              <w:rPr>
                <w:rFonts w:cs="Times New Roman"/>
                <w:b/>
                <w:bCs/>
                <w:color w:val="auto"/>
              </w:rPr>
              <w:t>2）附录A.3.1.3面声源的几何发散衰减</w:t>
            </w:r>
          </w:p>
          <w:p>
            <w:pPr>
              <w:ind w:firstLine="480" w:firstLineChars="200"/>
              <w:rPr>
                <w:rFonts w:cs="Times New Roman"/>
                <w:color w:val="auto"/>
              </w:rPr>
            </w:pPr>
            <w:r>
              <w:rPr>
                <w:rFonts w:cs="Times New Roman"/>
                <w:color w:val="auto"/>
              </w:rPr>
              <w:t>一个大型机器设备的振动表面，车间透声的墙壁，均可以认为是面声源。如果已知面声源单位面积的声功率为W，各面积元噪声的位相是随机的，面声源可</w:t>
            </w:r>
            <w:r>
              <w:rPr>
                <w:rFonts w:hint="eastAsia" w:cs="Times New Roman"/>
                <w:color w:val="auto"/>
                <w:lang w:eastAsia="zh-CN"/>
              </w:rPr>
              <w:t>看作</w:t>
            </w:r>
            <w:r>
              <w:rPr>
                <w:rFonts w:cs="Times New Roman"/>
                <w:color w:val="auto"/>
              </w:rPr>
              <w:t>由无数点声源连续分布组合而成，其合成声级可按能量叠加法求出。</w:t>
            </w:r>
          </w:p>
          <w:p>
            <w:pPr>
              <w:ind w:firstLine="480" w:firstLineChars="200"/>
              <w:rPr>
                <w:rFonts w:cs="Times New Roman"/>
                <w:color w:val="auto"/>
              </w:rPr>
            </w:pPr>
            <w:r>
              <w:rPr>
                <w:rFonts w:cs="Times New Roman"/>
                <w:color w:val="auto"/>
              </w:rPr>
              <w:t>当预测点和面声源中心距离r处于以下条件时，可按下述方法近似计算：</w:t>
            </w:r>
          </w:p>
          <w:p>
            <w:pPr>
              <w:ind w:firstLine="480" w:firstLineChars="200"/>
              <w:rPr>
                <w:rFonts w:cs="Times New Roman"/>
                <w:color w:val="auto"/>
              </w:rPr>
            </w:pPr>
            <w:r>
              <w:rPr>
                <w:rFonts w:hint="eastAsia" w:ascii="宋体" w:hAnsi="宋体" w:eastAsia="宋体" w:cs="宋体"/>
                <w:color w:val="auto"/>
              </w:rPr>
              <w:t>①</w:t>
            </w:r>
            <w:r>
              <w:rPr>
                <w:rFonts w:cs="Times New Roman"/>
                <w:color w:val="auto"/>
                <w:position w:val="-6"/>
              </w:rPr>
              <w:object>
                <v:shape id="_x0000_i1070" o:spt="75" type="#_x0000_t75" style="height:14.25pt;width:43.55pt;" o:ole="t" filled="f" o:preferrelative="t" stroked="f" coordsize="21600,21600">
                  <v:path/>
                  <v:fill on="f" focussize="0,0"/>
                  <v:stroke on="f" joinstyle="miter"/>
                  <v:imagedata r:id="rId94" o:title=""/>
                  <o:lock v:ext="edit" aspectratio="t"/>
                  <w10:wrap type="none"/>
                  <w10:anchorlock/>
                </v:shape>
                <o:OLEObject Type="Embed" ProgID="Equation.3" ShapeID="_x0000_i1070" DrawAspect="Content" ObjectID="_1468075770" r:id="rId93">
                  <o:LockedField>false</o:LockedField>
                </o:OLEObject>
              </w:object>
            </w:r>
            <w:r>
              <w:rPr>
                <w:rFonts w:cs="Times New Roman"/>
                <w:color w:val="auto"/>
              </w:rPr>
              <w:t>时，几乎不衰减（</w:t>
            </w:r>
            <w:r>
              <w:rPr>
                <w:rFonts w:cs="Times New Roman"/>
                <w:color w:val="auto"/>
                <w:position w:val="-12"/>
              </w:rPr>
              <w:object>
                <v:shape id="_x0000_i1071" o:spt="75" type="#_x0000_t75" style="height:21.75pt;width:36pt;" o:ole="t" filled="f" o:preferrelative="t" stroked="f" coordsize="21600,21600">
                  <v:path/>
                  <v:fill on="f" focussize="0,0"/>
                  <v:stroke on="f" joinstyle="miter"/>
                  <v:imagedata r:id="rId96" o:title=""/>
                  <o:lock v:ext="edit" aspectratio="t"/>
                  <w10:wrap type="none"/>
                  <w10:anchorlock/>
                </v:shape>
                <o:OLEObject Type="Embed" ProgID="Equation.3" ShapeID="_x0000_i1071" DrawAspect="Content" ObjectID="_1468075771" r:id="rId95">
                  <o:LockedField>false</o:LockedField>
                </o:OLEObject>
              </w:object>
            </w:r>
            <w:r>
              <w:rPr>
                <w:rFonts w:cs="Times New Roman"/>
                <w:color w:val="auto"/>
              </w:rPr>
              <w:t>）；</w:t>
            </w:r>
          </w:p>
          <w:p>
            <w:pPr>
              <w:ind w:firstLine="480" w:firstLineChars="200"/>
              <w:rPr>
                <w:rFonts w:cs="Times New Roman"/>
                <w:color w:val="auto"/>
              </w:rPr>
            </w:pPr>
            <w:r>
              <w:rPr>
                <w:rFonts w:hint="eastAsia" w:ascii="宋体" w:hAnsi="宋体" w:eastAsia="宋体" w:cs="宋体"/>
                <w:color w:val="auto"/>
              </w:rPr>
              <w:t>②</w:t>
            </w:r>
            <w:r>
              <w:rPr>
                <w:rFonts w:cs="Times New Roman"/>
                <w:color w:val="auto"/>
                <w:position w:val="-6"/>
              </w:rPr>
              <w:object>
                <v:shape id="_x0000_i1072" o:spt="75" type="#_x0000_t75" style="height:14.25pt;width:72pt;" o:ole="t" filled="f" o:preferrelative="t" stroked="f" coordsize="21600,21600">
                  <v:path/>
                  <v:fill on="f" focussize="0,0"/>
                  <v:stroke on="f" joinstyle="miter"/>
                  <v:imagedata r:id="rId98" o:title=""/>
                  <o:lock v:ext="edit" aspectratio="t"/>
                  <w10:wrap type="none"/>
                  <w10:anchorlock/>
                </v:shape>
                <o:OLEObject Type="Embed" ProgID="Equation.3" ShapeID="_x0000_i1072" DrawAspect="Content" ObjectID="_1468075772" r:id="rId97">
                  <o:LockedField>false</o:LockedField>
                </o:OLEObject>
              </w:object>
            </w:r>
            <w:r>
              <w:rPr>
                <w:rFonts w:cs="Times New Roman"/>
                <w:color w:val="auto"/>
              </w:rPr>
              <w:t>，距离加倍衰减3dB左右，类似线声源衰减特性</w:t>
            </w:r>
            <w:r>
              <w:rPr>
                <w:rFonts w:cs="Times New Roman"/>
                <w:color w:val="auto"/>
                <w:position w:val="-12"/>
              </w:rPr>
              <w:object>
                <v:shape id="_x0000_i1073" o:spt="75" type="#_x0000_t75" style="height:21.75pt;width:86.25pt;" o:ole="t" filled="f" o:preferrelative="t" stroked="f" coordsize="21600,21600">
                  <v:path/>
                  <v:fill on="f" focussize="0,0"/>
                  <v:stroke on="f" joinstyle="miter"/>
                  <v:imagedata r:id="rId100" o:title=""/>
                  <o:lock v:ext="edit" aspectratio="t"/>
                  <w10:wrap type="none"/>
                  <w10:anchorlock/>
                </v:shape>
                <o:OLEObject Type="Embed" ProgID="Equation.3" ShapeID="_x0000_i1073" DrawAspect="Content" ObjectID="_1468075773" r:id="rId99">
                  <o:LockedField>false</o:LockedField>
                </o:OLEObject>
              </w:object>
            </w:r>
            <w:r>
              <w:rPr>
                <w:rFonts w:cs="Times New Roman"/>
                <w:color w:val="auto"/>
              </w:rPr>
              <w:t>；</w:t>
            </w:r>
          </w:p>
          <w:p>
            <w:pPr>
              <w:ind w:firstLine="480" w:firstLineChars="200"/>
              <w:rPr>
                <w:rFonts w:cs="Times New Roman"/>
                <w:color w:val="auto"/>
              </w:rPr>
            </w:pPr>
            <w:r>
              <w:rPr>
                <w:rFonts w:hint="eastAsia" w:ascii="宋体" w:hAnsi="宋体" w:eastAsia="宋体" w:cs="宋体"/>
                <w:color w:val="auto"/>
              </w:rPr>
              <w:t>③</w:t>
            </w:r>
            <w:r>
              <w:rPr>
                <w:rFonts w:cs="Times New Roman"/>
                <w:color w:val="auto"/>
                <w:position w:val="-6"/>
              </w:rPr>
              <w:object>
                <v:shape id="_x0000_i1074" o:spt="75" type="#_x0000_t75" style="height:14.25pt;width:43.55pt;" o:ole="t" filled="f" o:preferrelative="t" stroked="f" coordsize="21600,21600">
                  <v:path/>
                  <v:fill on="f" focussize="0,0"/>
                  <v:stroke on="f" joinstyle="miter"/>
                  <v:imagedata r:id="rId102" o:title=""/>
                  <o:lock v:ext="edit" aspectratio="t"/>
                  <w10:wrap type="none"/>
                  <w10:anchorlock/>
                </v:shape>
                <o:OLEObject Type="Embed" ProgID="Equation.3" ShapeID="_x0000_i1074" DrawAspect="Content" ObjectID="_1468075774" r:id="rId101">
                  <o:LockedField>false</o:LockedField>
                </o:OLEObject>
              </w:object>
            </w:r>
            <w:r>
              <w:rPr>
                <w:rFonts w:cs="Times New Roman"/>
                <w:color w:val="auto"/>
              </w:rPr>
              <w:t>时，距离加倍衰减趋近于6dB，类似点声源衰减特性</w:t>
            </w:r>
            <w:r>
              <w:rPr>
                <w:rFonts w:cs="Times New Roman"/>
                <w:color w:val="auto"/>
                <w:position w:val="-12"/>
              </w:rPr>
              <w:object>
                <v:shape id="_x0000_i1075" o:spt="75" type="#_x0000_t75" style="height:21.75pt;width:86.25pt;" o:ole="t" filled="f" o:preferrelative="t" stroked="f" coordsize="21600,21600">
                  <v:path/>
                  <v:fill on="f" focussize="0,0"/>
                  <v:stroke on="f" joinstyle="miter"/>
                  <v:imagedata r:id="rId104" o:title=""/>
                  <o:lock v:ext="edit" aspectratio="t"/>
                  <w10:wrap type="none"/>
                  <w10:anchorlock/>
                </v:shape>
                <o:OLEObject Type="Embed" ProgID="Equation.3" ShapeID="_x0000_i1075" DrawAspect="Content" ObjectID="_1468075775" r:id="rId103">
                  <o:LockedField>false</o:LockedField>
                </o:OLEObject>
              </w:object>
            </w:r>
            <w:r>
              <w:rPr>
                <w:rFonts w:cs="Times New Roman"/>
                <w:color w:val="auto"/>
              </w:rPr>
              <w:t>。其中面声源的</w:t>
            </w:r>
            <w:r>
              <w:rPr>
                <w:rFonts w:cs="Times New Roman"/>
                <w:color w:val="auto"/>
                <w:position w:val="-6"/>
              </w:rPr>
              <w:object>
                <v:shape id="_x0000_i1076" o:spt="75" type="#_x0000_t75" style="height:14.25pt;width:28.45pt;" o:ole="t" filled="f" o:preferrelative="t" stroked="f" coordsize="21600,21600">
                  <v:path/>
                  <v:fill on="f" focussize="0,0"/>
                  <v:stroke on="f" joinstyle="miter"/>
                  <v:imagedata r:id="rId106" o:title=""/>
                  <o:lock v:ext="edit" aspectratio="t"/>
                  <w10:wrap type="none"/>
                  <w10:anchorlock/>
                </v:shape>
                <o:OLEObject Type="Embed" ProgID="Equation.3" ShapeID="_x0000_i1076" DrawAspect="Content" ObjectID="_1468075776" r:id="rId105">
                  <o:LockedField>false</o:LockedField>
                </o:OLEObject>
              </w:object>
            </w:r>
            <w:r>
              <w:rPr>
                <w:rFonts w:cs="Times New Roman"/>
                <w:color w:val="auto"/>
              </w:rPr>
              <w:t>。</w:t>
            </w:r>
          </w:p>
          <w:p>
            <w:pPr>
              <w:ind w:firstLine="480" w:firstLineChars="200"/>
              <w:rPr>
                <w:rFonts w:hint="eastAsia" w:cs="Times New Roman"/>
                <w:color w:val="auto"/>
                <w:lang w:val="en-US" w:eastAsia="zh-CN"/>
              </w:rPr>
            </w:pPr>
            <w:r>
              <w:rPr>
                <w:rFonts w:cs="Times New Roman"/>
                <w:color w:val="auto"/>
              </w:rPr>
              <w:t>经</w:t>
            </w:r>
            <w:r>
              <w:rPr>
                <w:rFonts w:hint="eastAsia" w:cs="Times New Roman"/>
                <w:color w:val="auto"/>
                <w:lang w:val="en-US" w:eastAsia="zh-CN"/>
              </w:rPr>
              <w:t>计算</w:t>
            </w:r>
            <w:r>
              <w:rPr>
                <w:rFonts w:cs="Times New Roman"/>
                <w:color w:val="auto"/>
              </w:rPr>
              <w:t>，本项目厂界噪声预测结果</w:t>
            </w:r>
            <w:r>
              <w:rPr>
                <w:rFonts w:hint="eastAsia" w:cs="Times New Roman"/>
                <w:color w:val="auto"/>
                <w:lang w:val="en-US" w:eastAsia="zh-CN"/>
              </w:rPr>
              <w:t>及达标情况分析</w:t>
            </w:r>
            <w:r>
              <w:rPr>
                <w:rFonts w:cs="Times New Roman"/>
                <w:color w:val="auto"/>
              </w:rPr>
              <w:t>见表</w:t>
            </w:r>
            <w:r>
              <w:rPr>
                <w:rFonts w:hint="eastAsia" w:cs="Times New Roman"/>
                <w:color w:val="auto"/>
                <w:lang w:val="en-US" w:eastAsia="zh-CN"/>
              </w:rPr>
              <w:t>4-6。</w:t>
            </w:r>
          </w:p>
          <w:p>
            <w:pPr>
              <w:ind w:firstLine="480" w:firstLineChars="200"/>
              <w:rPr>
                <w:rFonts w:hint="eastAsia" w:cs="Times New Roman"/>
                <w:color w:val="auto"/>
                <w:lang w:val="en-US" w:eastAsia="zh-CN"/>
              </w:rPr>
            </w:pPr>
          </w:p>
          <w:p>
            <w:pPr>
              <w:ind w:firstLine="480" w:firstLineChars="200"/>
              <w:rPr>
                <w:rFonts w:hint="eastAsia" w:cs="Times New Roman" w:eastAsiaTheme="minorEastAsia"/>
                <w:color w:val="auto"/>
                <w:lang w:val="en-US" w:eastAsia="zh-CN"/>
              </w:rPr>
            </w:pPr>
          </w:p>
          <w:p>
            <w:pPr>
              <w:rPr>
                <w:rFonts w:cs="Times New Roman"/>
                <w:color w:val="auto"/>
              </w:rPr>
            </w:pPr>
          </w:p>
        </w:tc>
      </w:tr>
    </w:tbl>
    <w:p>
      <w:pPr>
        <w:rPr>
          <w:rFonts w:cs="Times New Roman"/>
          <w:color w:val="auto"/>
        </w:rPr>
        <w:sectPr>
          <w:pgSz w:w="11907" w:h="16840"/>
          <w:pgMar w:top="1440" w:right="1253" w:bottom="1440" w:left="1253" w:header="850" w:footer="851" w:gutter="0"/>
          <w:pgBorders>
            <w:top w:val="none" w:sz="0" w:space="0"/>
            <w:left w:val="none" w:sz="0" w:space="0"/>
            <w:bottom w:val="none" w:sz="0" w:space="0"/>
            <w:right w:val="none" w:sz="0" w:space="0"/>
          </w:pgBorders>
          <w:pgNumType w:fmt="numberInDash"/>
          <w:cols w:space="720" w:num="1"/>
          <w:docGrid w:linePitch="312" w:charSpace="0"/>
        </w:sectPr>
      </w:pPr>
    </w:p>
    <w:tbl>
      <w:tblPr>
        <w:tblStyle w:val="22"/>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6"/>
        <w:gridCol w:w="138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36" w:hRule="atLeast"/>
          <w:jc w:val="center"/>
        </w:trPr>
        <w:tc>
          <w:tcPr>
            <w:tcW w:w="125" w:type="pct"/>
            <w:tcMar>
              <w:left w:w="28" w:type="dxa"/>
              <w:right w:w="28" w:type="dxa"/>
            </w:tcMar>
            <w:vAlign w:val="center"/>
          </w:tcPr>
          <w:p>
            <w:pPr>
              <w:adjustRightInd w:val="0"/>
              <w:snapToGrid w:val="0"/>
              <w:spacing w:line="240" w:lineRule="auto"/>
              <w:jc w:val="center"/>
              <w:rPr>
                <w:rFonts w:cs="Times New Roman"/>
                <w:color w:val="auto"/>
                <w:kern w:val="21"/>
                <w:szCs w:val="24"/>
              </w:rPr>
            </w:pPr>
            <w:r>
              <w:rPr>
                <w:rFonts w:cs="Times New Roman"/>
                <w:color w:val="auto"/>
                <w:kern w:val="21"/>
                <w:szCs w:val="24"/>
              </w:rPr>
              <w:t>运营</w:t>
            </w:r>
          </w:p>
          <w:p>
            <w:pPr>
              <w:adjustRightInd w:val="0"/>
              <w:snapToGrid w:val="0"/>
              <w:spacing w:line="240" w:lineRule="auto"/>
              <w:jc w:val="center"/>
              <w:rPr>
                <w:rFonts w:cs="Times New Roman"/>
                <w:color w:val="auto"/>
                <w:kern w:val="21"/>
                <w:szCs w:val="24"/>
              </w:rPr>
            </w:pPr>
            <w:r>
              <w:rPr>
                <w:rFonts w:cs="Times New Roman"/>
                <w:color w:val="auto"/>
                <w:kern w:val="21"/>
                <w:szCs w:val="24"/>
              </w:rPr>
              <w:t>期环</w:t>
            </w:r>
          </w:p>
          <w:p>
            <w:pPr>
              <w:adjustRightInd w:val="0"/>
              <w:snapToGrid w:val="0"/>
              <w:spacing w:line="240" w:lineRule="auto"/>
              <w:jc w:val="center"/>
              <w:rPr>
                <w:rFonts w:cs="Times New Roman"/>
                <w:color w:val="auto"/>
                <w:kern w:val="21"/>
                <w:szCs w:val="24"/>
              </w:rPr>
            </w:pPr>
            <w:r>
              <w:rPr>
                <w:rFonts w:cs="Times New Roman"/>
                <w:color w:val="auto"/>
                <w:kern w:val="21"/>
                <w:szCs w:val="24"/>
              </w:rPr>
              <w:t>境影</w:t>
            </w:r>
          </w:p>
          <w:p>
            <w:pPr>
              <w:adjustRightInd w:val="0"/>
              <w:snapToGrid w:val="0"/>
              <w:spacing w:line="240" w:lineRule="auto"/>
              <w:jc w:val="center"/>
              <w:rPr>
                <w:rFonts w:cs="Times New Roman"/>
                <w:color w:val="auto"/>
                <w:kern w:val="21"/>
                <w:szCs w:val="24"/>
              </w:rPr>
            </w:pPr>
            <w:r>
              <w:rPr>
                <w:rFonts w:cs="Times New Roman"/>
                <w:color w:val="auto"/>
                <w:kern w:val="21"/>
                <w:szCs w:val="24"/>
              </w:rPr>
              <w:t>响和</w:t>
            </w:r>
          </w:p>
          <w:p>
            <w:pPr>
              <w:adjustRightInd w:val="0"/>
              <w:snapToGrid w:val="0"/>
              <w:spacing w:line="240" w:lineRule="auto"/>
              <w:jc w:val="center"/>
              <w:rPr>
                <w:rFonts w:cs="Times New Roman"/>
                <w:color w:val="auto"/>
                <w:kern w:val="21"/>
                <w:szCs w:val="24"/>
              </w:rPr>
            </w:pPr>
            <w:r>
              <w:rPr>
                <w:rFonts w:cs="Times New Roman"/>
                <w:color w:val="auto"/>
                <w:kern w:val="21"/>
                <w:szCs w:val="24"/>
              </w:rPr>
              <w:t>保护</w:t>
            </w:r>
          </w:p>
          <w:p>
            <w:pPr>
              <w:adjustRightInd w:val="0"/>
              <w:snapToGrid w:val="0"/>
              <w:spacing w:line="240" w:lineRule="auto"/>
              <w:jc w:val="center"/>
              <w:rPr>
                <w:rFonts w:cs="Times New Roman"/>
                <w:b/>
                <w:color w:val="auto"/>
              </w:rPr>
            </w:pPr>
            <w:r>
              <w:rPr>
                <w:rFonts w:cs="Times New Roman"/>
                <w:color w:val="auto"/>
                <w:kern w:val="21"/>
                <w:szCs w:val="24"/>
              </w:rPr>
              <w:t>措施</w:t>
            </w:r>
          </w:p>
        </w:tc>
        <w:tc>
          <w:tcPr>
            <w:tcW w:w="4874" w:type="pct"/>
            <w:shd w:val="clear" w:color="auto" w:fill="auto"/>
          </w:tcPr>
          <w:p>
            <w:pPr>
              <w:pStyle w:val="47"/>
              <w:keepNext w:val="0"/>
              <w:keepLines w:val="0"/>
              <w:pageBreakBefore w:val="0"/>
              <w:widowControl w:val="0"/>
              <w:kinsoku/>
              <w:wordWrap/>
              <w:overflowPunct/>
              <w:topLinePunct w:val="0"/>
              <w:autoSpaceDE/>
              <w:autoSpaceDN/>
              <w:bidi w:val="0"/>
              <w:adjustRightInd/>
              <w:snapToGrid/>
              <w:spacing w:after="0"/>
              <w:textAlignment w:val="auto"/>
              <w:rPr>
                <w:rFonts w:cs="Times New Roman"/>
                <w:color w:val="auto"/>
                <w:highlight w:val="none"/>
                <w:vertAlign w:val="baseline"/>
              </w:rPr>
            </w:pPr>
            <w:r>
              <w:rPr>
                <w:rFonts w:cs="Times New Roman"/>
                <w:color w:val="auto"/>
                <w:highlight w:val="none"/>
              </w:rPr>
              <w:t>表4</w:t>
            </w:r>
            <w:r>
              <w:rPr>
                <w:rFonts w:hint="eastAsia" w:cs="Times New Roman"/>
                <w:color w:val="auto"/>
                <w:highlight w:val="none"/>
                <w:lang w:val="en-US" w:eastAsia="zh-CN"/>
              </w:rPr>
              <w:t xml:space="preserve">-5 </w:t>
            </w:r>
            <w:r>
              <w:rPr>
                <w:rFonts w:cs="Times New Roman"/>
                <w:color w:val="auto"/>
                <w:highlight w:val="none"/>
              </w:rPr>
              <w:t>工业企业噪声源强调查清单（室内）</w:t>
            </w:r>
          </w:p>
          <w:tbl>
            <w:tblPr>
              <w:tblStyle w:val="23"/>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1"/>
              <w:gridCol w:w="716"/>
              <w:gridCol w:w="1162"/>
              <w:gridCol w:w="1138"/>
              <w:gridCol w:w="737"/>
              <w:gridCol w:w="666"/>
              <w:gridCol w:w="846"/>
              <w:gridCol w:w="708"/>
              <w:gridCol w:w="922"/>
              <w:gridCol w:w="922"/>
              <w:gridCol w:w="922"/>
              <w:gridCol w:w="947"/>
              <w:gridCol w:w="847"/>
              <w:gridCol w:w="847"/>
              <w:gridCol w:w="847"/>
              <w:gridCol w:w="86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序号</w:t>
                  </w:r>
                </w:p>
              </w:tc>
              <w:tc>
                <w:tcPr>
                  <w:tcW w:w="263"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建筑物名称</w:t>
                  </w:r>
                </w:p>
              </w:tc>
              <w:tc>
                <w:tcPr>
                  <w:tcW w:w="427"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声源名称</w:t>
                  </w:r>
                </w:p>
              </w:tc>
              <w:tc>
                <w:tcPr>
                  <w:tcW w:w="418"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lang w:eastAsia="zh-CN"/>
                    </w:rPr>
                    <w:t>声</w:t>
                  </w:r>
                  <w:r>
                    <w:rPr>
                      <w:rFonts w:hint="eastAsia" w:ascii="Times New Roman" w:hAnsi="Times New Roman" w:eastAsia="宋体" w:cs="Times New Roman"/>
                      <w:b/>
                      <w:bCs w:val="0"/>
                      <w:color w:val="auto"/>
                      <w:sz w:val="21"/>
                      <w:szCs w:val="21"/>
                      <w:lang w:eastAsia="zh-CN"/>
                    </w:rPr>
                    <w:t>源源</w:t>
                  </w:r>
                  <w:r>
                    <w:rPr>
                      <w:rFonts w:hint="default" w:ascii="Times New Roman" w:hAnsi="Times New Roman" w:eastAsia="宋体" w:cs="Times New Roman"/>
                      <w:b/>
                      <w:bCs w:val="0"/>
                      <w:color w:val="auto"/>
                      <w:sz w:val="21"/>
                      <w:szCs w:val="21"/>
                      <w:lang w:eastAsia="zh-CN"/>
                    </w:rPr>
                    <w:t>强</w:t>
                  </w:r>
                </w:p>
              </w:tc>
              <w:tc>
                <w:tcPr>
                  <w:tcW w:w="271"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声源控制措施</w:t>
                  </w:r>
                </w:p>
              </w:tc>
              <w:tc>
                <w:tcPr>
                  <w:tcW w:w="816"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空间相对位置/m</w:t>
                  </w:r>
                </w:p>
              </w:tc>
              <w:tc>
                <w:tcPr>
                  <w:tcW w:w="1365"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距室内边界距离/m</w:t>
                  </w:r>
                </w:p>
              </w:tc>
              <w:tc>
                <w:tcPr>
                  <w:tcW w:w="1253"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室内边界声级/dB(A)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27"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18"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声功率级/dB(A)</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X</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Y</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Z</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东</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南</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西</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北</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东</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南</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西</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263"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lang w:eastAsia="zh-CN"/>
                    </w:rPr>
                  </w:pPr>
                  <w:r>
                    <w:rPr>
                      <w:rFonts w:hint="default" w:ascii="Times New Roman" w:hAnsi="Times New Roman" w:eastAsia="宋体" w:cs="Times New Roman"/>
                      <w:b w:val="0"/>
                      <w:bCs/>
                      <w:color w:val="auto"/>
                      <w:sz w:val="21"/>
                      <w:szCs w:val="21"/>
                      <w:lang w:val="en-US" w:eastAsia="zh-CN"/>
                    </w:rPr>
                    <w:t>生产车间</w:t>
                  </w: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搅拌机1#</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88</w:t>
                  </w:r>
                </w:p>
              </w:tc>
              <w:tc>
                <w:tcPr>
                  <w:tcW w:w="271"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val="0"/>
                      <w:bCs/>
                      <w:color w:val="auto"/>
                      <w:sz w:val="21"/>
                      <w:szCs w:val="21"/>
                    </w:rPr>
                    <w:t>基础减振、厂房隔声</w:t>
                  </w: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75.1</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106.8</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112.0</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34.1</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9.1</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搅拌机2#</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88</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-19</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95.4</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106.1</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133.4</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33.0</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7.6</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风机1#</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90</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63</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77.4</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108.6</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4.8</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5.7</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71.3</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风机2#</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90</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7.2</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83.3</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77.5</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129.8</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4.5</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12.3</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71.4</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70.2</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水泵1#</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85</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-24.7</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71.2</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104.4</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108.7</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31.8</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5.8</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65.9</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水泵2#</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85</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-17.8</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91.5</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103.8</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130.1</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30.8</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11.1</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65.3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空压机1#</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87</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69.5</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99.4</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108.5</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26.8</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5.6</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68.0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w:t>
                  </w:r>
                </w:p>
              </w:tc>
              <w:tc>
                <w:tcPr>
                  <w:tcW w:w="26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空压机2#</w:t>
                  </w:r>
                </w:p>
              </w:tc>
              <w:tc>
                <w:tcPr>
                  <w:tcW w:w="4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87</w:t>
                  </w:r>
                </w:p>
              </w:tc>
              <w:tc>
                <w:tcPr>
                  <w:tcW w:w="27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24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-13.1</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89.7</w:t>
                  </w:r>
                </w:p>
              </w:tc>
              <w:tc>
                <w:tcPr>
                  <w:tcW w:w="26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98.8</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129.8</w:t>
                  </w:r>
                </w:p>
              </w:tc>
              <w:tc>
                <w:tcPr>
                  <w:tcW w:w="3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25.8</w:t>
                  </w:r>
                </w:p>
              </w:tc>
              <w:tc>
                <w:tcPr>
                  <w:tcW w:w="34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11.5</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67.0</w:t>
                  </w:r>
                </w:p>
              </w:tc>
              <w:tc>
                <w:tcPr>
                  <w:tcW w:w="31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67.2</w:t>
                  </w:r>
                </w:p>
              </w:tc>
            </w:tr>
          </w:tbl>
          <w:p>
            <w:pPr>
              <w:pStyle w:val="47"/>
              <w:keepNext w:val="0"/>
              <w:keepLines w:val="0"/>
              <w:pageBreakBefore w:val="0"/>
              <w:widowControl w:val="0"/>
              <w:kinsoku/>
              <w:wordWrap/>
              <w:overflowPunct/>
              <w:topLinePunct w:val="0"/>
              <w:autoSpaceDE/>
              <w:autoSpaceDN/>
              <w:bidi w:val="0"/>
              <w:adjustRightInd/>
              <w:snapToGrid/>
              <w:spacing w:before="164" w:beforeLines="50" w:after="0"/>
              <w:textAlignment w:val="auto"/>
              <w:rPr>
                <w:rFonts w:hint="eastAsia" w:cs="Times New Roman" w:eastAsiaTheme="minorEastAsia"/>
                <w:color w:val="auto"/>
                <w:highlight w:val="none"/>
                <w:vertAlign w:val="baseline"/>
                <w:lang w:val="en-US" w:eastAsia="zh-CN"/>
              </w:rPr>
            </w:pPr>
            <w:r>
              <w:rPr>
                <w:rFonts w:hint="eastAsia" w:cs="Times New Roman"/>
                <w:color w:val="auto"/>
                <w:highlight w:val="none"/>
                <w:lang w:val="en-US" w:eastAsia="zh-CN"/>
              </w:rPr>
              <w:t>续</w:t>
            </w:r>
            <w:r>
              <w:rPr>
                <w:rFonts w:cs="Times New Roman"/>
                <w:color w:val="auto"/>
                <w:highlight w:val="none"/>
              </w:rPr>
              <w:t>表4</w:t>
            </w:r>
            <w:r>
              <w:rPr>
                <w:rFonts w:hint="eastAsia" w:cs="Times New Roman"/>
                <w:color w:val="auto"/>
                <w:highlight w:val="none"/>
                <w:lang w:val="en-US" w:eastAsia="zh-CN"/>
              </w:rPr>
              <w:t xml:space="preserve">-5 </w:t>
            </w:r>
            <w:r>
              <w:rPr>
                <w:rFonts w:cs="Times New Roman"/>
                <w:color w:val="auto"/>
                <w:highlight w:val="none"/>
              </w:rPr>
              <w:t>工业企业噪声源强调查清单（室内）</w:t>
            </w:r>
          </w:p>
          <w:tbl>
            <w:tblPr>
              <w:tblStyle w:val="23"/>
              <w:tblW w:w="4998"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83"/>
              <w:gridCol w:w="1107"/>
              <w:gridCol w:w="835"/>
              <w:gridCol w:w="1142"/>
              <w:gridCol w:w="1142"/>
              <w:gridCol w:w="1142"/>
              <w:gridCol w:w="1148"/>
              <w:gridCol w:w="956"/>
              <w:gridCol w:w="956"/>
              <w:gridCol w:w="956"/>
              <w:gridCol w:w="957"/>
              <w:gridCol w:w="158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序号</w:t>
                  </w:r>
                </w:p>
              </w:tc>
              <w:tc>
                <w:tcPr>
                  <w:tcW w:w="361"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建筑物名称</w:t>
                  </w:r>
                </w:p>
              </w:tc>
              <w:tc>
                <w:tcPr>
                  <w:tcW w:w="407"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r>
                    <w:rPr>
                      <w:rFonts w:hint="default" w:ascii="Times New Roman" w:hAnsi="Times New Roman" w:eastAsia="宋体" w:cs="Times New Roman"/>
                      <w:b/>
                      <w:bCs w:val="0"/>
                      <w:color w:val="auto"/>
                      <w:sz w:val="21"/>
                      <w:szCs w:val="21"/>
                    </w:rPr>
                    <w:t>声源名称</w:t>
                  </w:r>
                </w:p>
              </w:tc>
              <w:tc>
                <w:tcPr>
                  <w:tcW w:w="30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运行时段</w:t>
                  </w:r>
                </w:p>
              </w:tc>
              <w:tc>
                <w:tcPr>
                  <w:tcW w:w="1682"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建筑物插入损失 / dB(A)</w:t>
                  </w:r>
                </w:p>
              </w:tc>
              <w:tc>
                <w:tcPr>
                  <w:tcW w:w="1991" w:type="pct"/>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建筑物外噪声声压级/dB(A)</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07"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30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东</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南</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西</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北</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东</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南</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西</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val="en-US" w:eastAsia="zh-CN"/>
                    </w:rPr>
                    <w:t>北</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rPr>
                    <w:t>建筑物外距离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361"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lang w:eastAsia="zh-CN"/>
                    </w:rPr>
                  </w:pPr>
                  <w:r>
                    <w:rPr>
                      <w:rFonts w:hint="default" w:ascii="Times New Roman" w:hAnsi="Times New Roman" w:eastAsia="宋体" w:cs="Times New Roman"/>
                      <w:b w:val="0"/>
                      <w:bCs/>
                      <w:color w:val="auto"/>
                      <w:sz w:val="21"/>
                      <w:szCs w:val="21"/>
                      <w:lang w:val="en-US" w:eastAsia="zh-CN"/>
                    </w:rPr>
                    <w:t>生产车间</w:t>
                  </w: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搅拌机1#</w:t>
                  </w:r>
                </w:p>
              </w:tc>
              <w:tc>
                <w:tcPr>
                  <w:tcW w:w="307" w:type="pct"/>
                  <w:tcBorders>
                    <w:tl2br w:val="nil"/>
                    <w:tr2bl w:val="nil"/>
                  </w:tcBorders>
                  <w:vAlign w:val="center"/>
                </w:tcPr>
                <w:p>
                  <w:pPr>
                    <w:pStyle w:val="47"/>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42.4</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搅拌机2#</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42.6</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风机1#</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45.3</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44.9</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风机2#</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45.4</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44.2</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水泵1#</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39.9</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val="0"/>
                      <w:bCs/>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水泵2#</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39.3</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空压机1#</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42.0</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w:t>
                  </w:r>
                </w:p>
              </w:tc>
              <w:tc>
                <w:tcPr>
                  <w:tcW w:w="361"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宋体" w:cs="Times New Roman"/>
                      <w:b/>
                      <w:bCs w:val="0"/>
                      <w:color w:val="auto"/>
                      <w:highlight w:val="none"/>
                      <w:vertAlign w:val="baseline"/>
                    </w:rPr>
                  </w:pPr>
                </w:p>
              </w:tc>
              <w:tc>
                <w:tcPr>
                  <w:tcW w:w="4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空压机2#</w:t>
                  </w:r>
                </w:p>
              </w:tc>
              <w:tc>
                <w:tcPr>
                  <w:tcW w:w="307" w:type="pct"/>
                  <w:tcBorders>
                    <w:tl2br w:val="nil"/>
                    <w:tr2bl w:val="nil"/>
                  </w:tcBorders>
                  <w:vAlign w:val="center"/>
                </w:tcPr>
                <w:p>
                  <w:pPr>
                    <w:spacing w:line="240" w:lineRule="auto"/>
                    <w:jc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昼间</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42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26.0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41.0</w:t>
                  </w:r>
                </w:p>
              </w:tc>
              <w:tc>
                <w:tcPr>
                  <w:tcW w:w="35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41.2</w:t>
                  </w:r>
                </w:p>
              </w:tc>
              <w:tc>
                <w:tcPr>
                  <w:tcW w:w="5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r>
          </w:tbl>
          <w:p>
            <w:pPr>
              <w:pStyle w:val="47"/>
              <w:jc w:val="left"/>
              <w:rPr>
                <w:rFonts w:cs="Times New Roman"/>
                <w:color w:val="auto"/>
                <w:highlight w:val="none"/>
              </w:rPr>
            </w:pPr>
            <w:r>
              <w:rPr>
                <w:rFonts w:cs="Times New Roman"/>
                <w:color w:val="auto"/>
                <w:highlight w:val="none"/>
              </w:rPr>
              <w:t>注：表中坐标以厂界中心（</w:t>
            </w:r>
            <w:r>
              <w:rPr>
                <w:rFonts w:hint="eastAsia" w:cs="Times New Roman"/>
                <w:color w:val="auto"/>
                <w:highlight w:val="none"/>
              </w:rPr>
              <w:t>108.242462,34.123374</w:t>
            </w:r>
            <w:r>
              <w:rPr>
                <w:rFonts w:cs="Times New Roman"/>
                <w:color w:val="auto"/>
                <w:highlight w:val="none"/>
              </w:rPr>
              <w:t>）为坐标原点，正东向为X轴正方向，正北向为Y轴正方向。</w:t>
            </w:r>
          </w:p>
          <w:p>
            <w:pPr>
              <w:spacing w:before="120" w:beforeLines="50"/>
              <w:ind w:firstLine="480" w:firstLineChars="200"/>
              <w:rPr>
                <w:rFonts w:cs="Times New Roman"/>
                <w:color w:val="auto"/>
              </w:rPr>
            </w:pPr>
            <w:r>
              <w:rPr>
                <w:rFonts w:cs="Times New Roman"/>
                <w:color w:val="auto"/>
                <w:position w:val="-6"/>
                <w:highlight w:val="none"/>
              </w:rPr>
              <w:t>本次厂界噪声贡献值采用《环保小智》软件中“噪声助手系统”进行预测，通过预测模型计算，项目厂界噪声预测结果与达标分析见表4-</w:t>
            </w:r>
            <w:r>
              <w:rPr>
                <w:rFonts w:hint="eastAsia" w:cs="Times New Roman"/>
                <w:color w:val="auto"/>
                <w:position w:val="-6"/>
                <w:highlight w:val="none"/>
                <w:lang w:val="en-US" w:eastAsia="zh-CN"/>
              </w:rPr>
              <w:t>7</w:t>
            </w:r>
            <w:r>
              <w:rPr>
                <w:rFonts w:cs="Times New Roman"/>
                <w:color w:val="auto"/>
                <w:position w:val="-6"/>
                <w:highlight w:val="none"/>
              </w:rPr>
              <w:t>。</w:t>
            </w:r>
          </w:p>
        </w:tc>
      </w:tr>
    </w:tbl>
    <w:p>
      <w:pPr>
        <w:pStyle w:val="18"/>
        <w:jc w:val="both"/>
        <w:outlineLvl w:val="0"/>
        <w:rPr>
          <w:rFonts w:ascii="Times New Roman" w:hAnsi="Times New Roman" w:cs="Times New Roman"/>
          <w:color w:val="auto"/>
          <w:kern w:val="2"/>
          <w:szCs w:val="24"/>
        </w:rPr>
        <w:sectPr>
          <w:pgSz w:w="16838" w:h="11906" w:orient="landscape"/>
          <w:pgMar w:top="1080" w:right="1440" w:bottom="1080" w:left="1440" w:header="850" w:footer="851" w:gutter="0"/>
          <w:pgBorders>
            <w:top w:val="none" w:sz="0" w:space="0"/>
            <w:left w:val="none" w:sz="0" w:space="0"/>
            <w:bottom w:val="none" w:sz="0" w:space="0"/>
            <w:right w:val="none" w:sz="0" w:space="0"/>
          </w:pgBorders>
          <w:pgNumType w:fmt="numberInDash"/>
          <w:cols w:space="720" w:num="1"/>
          <w:docGrid w:linePitch="326" w:charSpace="0"/>
        </w:sect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504" w:type="dxa"/>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21"/>
                <w:szCs w:val="24"/>
              </w:rPr>
            </w:pPr>
            <w:r>
              <w:rPr>
                <w:rFonts w:hint="default" w:ascii="Times New Roman" w:hAnsi="Times New Roman" w:eastAsia="宋体" w:cs="Times New Roman"/>
                <w:color w:val="auto"/>
                <w:kern w:val="21"/>
                <w:szCs w:val="24"/>
              </w:rPr>
              <w:t>运营</w:t>
            </w:r>
          </w:p>
          <w:p>
            <w:pPr>
              <w:adjustRightInd w:val="0"/>
              <w:snapToGrid w:val="0"/>
              <w:spacing w:line="240" w:lineRule="auto"/>
              <w:jc w:val="center"/>
              <w:rPr>
                <w:rFonts w:hint="default" w:ascii="Times New Roman" w:hAnsi="Times New Roman" w:eastAsia="宋体" w:cs="Times New Roman"/>
                <w:color w:val="auto"/>
                <w:kern w:val="21"/>
                <w:szCs w:val="24"/>
              </w:rPr>
            </w:pPr>
            <w:r>
              <w:rPr>
                <w:rFonts w:hint="default" w:ascii="Times New Roman" w:hAnsi="Times New Roman" w:eastAsia="宋体" w:cs="Times New Roman"/>
                <w:color w:val="auto"/>
                <w:kern w:val="21"/>
                <w:szCs w:val="24"/>
              </w:rPr>
              <w:t>期环</w:t>
            </w:r>
          </w:p>
          <w:p>
            <w:pPr>
              <w:adjustRightInd w:val="0"/>
              <w:snapToGrid w:val="0"/>
              <w:spacing w:line="240" w:lineRule="auto"/>
              <w:jc w:val="center"/>
              <w:rPr>
                <w:rFonts w:hint="default" w:ascii="Times New Roman" w:hAnsi="Times New Roman" w:eastAsia="宋体" w:cs="Times New Roman"/>
                <w:color w:val="auto"/>
                <w:kern w:val="21"/>
                <w:szCs w:val="24"/>
              </w:rPr>
            </w:pPr>
            <w:r>
              <w:rPr>
                <w:rFonts w:hint="default" w:ascii="Times New Roman" w:hAnsi="Times New Roman" w:eastAsia="宋体" w:cs="Times New Roman"/>
                <w:color w:val="auto"/>
                <w:kern w:val="21"/>
                <w:szCs w:val="24"/>
              </w:rPr>
              <w:t>境影</w:t>
            </w:r>
          </w:p>
          <w:p>
            <w:pPr>
              <w:adjustRightInd w:val="0"/>
              <w:snapToGrid w:val="0"/>
              <w:spacing w:line="240" w:lineRule="auto"/>
              <w:jc w:val="center"/>
              <w:rPr>
                <w:rFonts w:hint="default" w:ascii="Times New Roman" w:hAnsi="Times New Roman" w:eastAsia="宋体" w:cs="Times New Roman"/>
                <w:color w:val="auto"/>
                <w:kern w:val="21"/>
                <w:szCs w:val="24"/>
              </w:rPr>
            </w:pPr>
            <w:r>
              <w:rPr>
                <w:rFonts w:hint="default" w:ascii="Times New Roman" w:hAnsi="Times New Roman" w:eastAsia="宋体" w:cs="Times New Roman"/>
                <w:color w:val="auto"/>
                <w:kern w:val="21"/>
                <w:szCs w:val="24"/>
              </w:rPr>
              <w:t>响和</w:t>
            </w:r>
          </w:p>
          <w:p>
            <w:pPr>
              <w:adjustRightInd w:val="0"/>
              <w:snapToGrid w:val="0"/>
              <w:spacing w:line="240" w:lineRule="auto"/>
              <w:jc w:val="center"/>
              <w:rPr>
                <w:rFonts w:hint="default" w:ascii="Times New Roman" w:hAnsi="Times New Roman" w:eastAsia="宋体" w:cs="Times New Roman"/>
                <w:color w:val="auto"/>
                <w:kern w:val="21"/>
                <w:szCs w:val="24"/>
              </w:rPr>
            </w:pPr>
            <w:r>
              <w:rPr>
                <w:rFonts w:hint="default" w:ascii="Times New Roman" w:hAnsi="Times New Roman" w:eastAsia="宋体" w:cs="Times New Roman"/>
                <w:color w:val="auto"/>
                <w:kern w:val="21"/>
                <w:szCs w:val="24"/>
              </w:rPr>
              <w:t>保护</w:t>
            </w:r>
          </w:p>
          <w:p>
            <w:pPr>
              <w:adjustRightInd w:val="0"/>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kern w:val="21"/>
                <w:szCs w:val="24"/>
              </w:rPr>
              <w:t>措施</w:t>
            </w:r>
          </w:p>
        </w:tc>
        <w:tc>
          <w:tcPr>
            <w:tcW w:w="9458" w:type="dxa"/>
            <w:shd w:val="clear" w:color="auto" w:fill="auto"/>
          </w:tcPr>
          <w:p>
            <w:pPr>
              <w:pStyle w:val="47"/>
              <w:keepNext w:val="0"/>
              <w:keepLines w:val="0"/>
              <w:pageBreakBefore w:val="0"/>
              <w:widowControl w:val="0"/>
              <w:kinsoku/>
              <w:wordWrap/>
              <w:overflowPunct/>
              <w:topLinePunct w:val="0"/>
              <w:autoSpaceDE/>
              <w:autoSpaceDN/>
              <w:bidi w:val="0"/>
              <w:adjustRightInd/>
              <w:snapToGrid/>
              <w:spacing w:before="157" w:beforeLines="50" w:after="0"/>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表4</w:t>
            </w:r>
            <w:r>
              <w:rPr>
                <w:rFonts w:hint="default" w:ascii="Times New Roman" w:hAnsi="Times New Roman" w:eastAsia="宋体" w:cs="Times New Roman"/>
                <w:color w:val="auto"/>
                <w:highlight w:val="none"/>
                <w:lang w:val="en-US" w:eastAsia="zh-CN"/>
              </w:rPr>
              <w:t>-</w:t>
            </w:r>
            <w:r>
              <w:rPr>
                <w:rFonts w:hint="eastAsia" w:eastAsia="宋体" w:cs="Times New Roman"/>
                <w:color w:val="auto"/>
                <w:highlight w:val="none"/>
                <w:lang w:val="en-US" w:eastAsia="zh-CN"/>
              </w:rPr>
              <w:t>6</w:t>
            </w:r>
            <w:r>
              <w:rPr>
                <w:rFonts w:hint="default" w:ascii="Times New Roman" w:hAnsi="Times New Roman" w:eastAsia="宋体" w:cs="Times New Roman"/>
                <w:color w:val="auto"/>
                <w:highlight w:val="none"/>
              </w:rPr>
              <w:t xml:space="preserve"> 厂界噪声预测结果与达标分析表</w:t>
            </w:r>
          </w:p>
          <w:tbl>
            <w:tblPr>
              <w:tblStyle w:val="22"/>
              <w:tblW w:w="4998"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3"/>
              <w:gridCol w:w="869"/>
              <w:gridCol w:w="869"/>
              <w:gridCol w:w="873"/>
              <w:gridCol w:w="1076"/>
              <w:gridCol w:w="1535"/>
              <w:gridCol w:w="1537"/>
              <w:gridCol w:w="128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exact"/>
                <w:jc w:val="center"/>
              </w:trPr>
              <w:tc>
                <w:tcPr>
                  <w:tcW w:w="645"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预测方位</w:t>
                  </w:r>
                </w:p>
              </w:tc>
              <w:tc>
                <w:tcPr>
                  <w:tcW w:w="1412" w:type="pct"/>
                  <w:gridSpan w:val="3"/>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val="en-US" w:eastAsia="zh-CN"/>
                    </w:rPr>
                    <w:t>最大值点</w:t>
                  </w:r>
                  <w:r>
                    <w:rPr>
                      <w:rFonts w:hint="default" w:ascii="Times New Roman" w:hAnsi="Times New Roman" w:eastAsia="宋体" w:cs="Times New Roman"/>
                      <w:b/>
                      <w:color w:val="auto"/>
                      <w:sz w:val="21"/>
                      <w:szCs w:val="21"/>
                    </w:rPr>
                    <w:t>空间相对位置/m</w:t>
                  </w:r>
                </w:p>
              </w:tc>
              <w:tc>
                <w:tcPr>
                  <w:tcW w:w="582"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时段</w:t>
                  </w:r>
                </w:p>
              </w:tc>
              <w:tc>
                <w:tcPr>
                  <w:tcW w:w="830"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贡献值（dB(A)）</w:t>
                  </w:r>
                </w:p>
              </w:tc>
              <w:tc>
                <w:tcPr>
                  <w:tcW w:w="831"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标准限值（dB(A)）</w:t>
                  </w:r>
                </w:p>
              </w:tc>
              <w:tc>
                <w:tcPr>
                  <w:tcW w:w="696"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达标情况</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45"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p>
              </w:tc>
              <w:tc>
                <w:tcPr>
                  <w:tcW w:w="470" w:type="pc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X</w:t>
                  </w:r>
                </w:p>
              </w:tc>
              <w:tc>
                <w:tcPr>
                  <w:tcW w:w="470" w:type="pc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w:t>
                  </w:r>
                </w:p>
              </w:tc>
              <w:tc>
                <w:tcPr>
                  <w:tcW w:w="471" w:type="pc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Z</w:t>
                  </w:r>
                </w:p>
              </w:tc>
              <w:tc>
                <w:tcPr>
                  <w:tcW w:w="582"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p>
              </w:tc>
              <w:tc>
                <w:tcPr>
                  <w:tcW w:w="830"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p>
              </w:tc>
              <w:tc>
                <w:tcPr>
                  <w:tcW w:w="831"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p>
              </w:tc>
              <w:tc>
                <w:tcPr>
                  <w:tcW w:w="696"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东侧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78</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41.3</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昼间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38.9</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60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东侧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78</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41.3</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夜间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38.9</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50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南侧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-32.9</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-90.4</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昼间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28.1</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60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南侧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-32.9</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-90.4</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夜间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28.1</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50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西侧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-41.7</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78.5</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昼间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46.4</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60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西侧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-41.7</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78.5</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夜间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46.4</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50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restart"/>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北侧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-9.2</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102.8</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昼间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49.1</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60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645" w:type="pct"/>
                  <w:vMerge w:val="continue"/>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北侧</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-9.2</w:t>
                  </w:r>
                </w:p>
              </w:tc>
              <w:tc>
                <w:tcPr>
                  <w:tcW w:w="1276"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102.8</w:t>
                  </w:r>
                </w:p>
              </w:tc>
              <w:tc>
                <w:tcPr>
                  <w:tcW w:w="1282"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1.2</w:t>
                  </w:r>
                </w:p>
              </w:tc>
              <w:tc>
                <w:tcPr>
                  <w:tcW w:w="158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夜间</w:t>
                  </w:r>
                </w:p>
              </w:tc>
              <w:tc>
                <w:tcPr>
                  <w:tcW w:w="2254"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49.1</w:t>
                  </w:r>
                </w:p>
              </w:tc>
              <w:tc>
                <w:tcPr>
                  <w:tcW w:w="2257"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50</w:t>
                  </w:r>
                </w:p>
              </w:tc>
              <w:tc>
                <w:tcPr>
                  <w:tcW w:w="1890" w:type="dxa"/>
                  <w:tcBorders>
                    <w:tl2br w:val="nil"/>
                    <w:tr2bl w:val="nil"/>
                  </w:tcBorders>
                  <w:shd w:val="clear" w:color="auto" w:fill="auto"/>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sz w:val="20"/>
                    </w:rPr>
                    <w:t>达标</w:t>
                  </w:r>
                </w:p>
              </w:tc>
            </w:tr>
          </w:tbl>
          <w:p>
            <w:pPr>
              <w:pStyle w:val="47"/>
              <w:jc w:val="left"/>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注：表中坐标以厂界中心（108.242462,34.123374）为坐标原点，正东向为X轴正方向，正北向为Y轴正方向。</w:t>
            </w:r>
          </w:p>
          <w:p>
            <w:pPr>
              <w:adjustRightInd w:val="0"/>
              <w:snapToGrid w:val="0"/>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根据以上预测结果可以看出，</w:t>
            </w:r>
            <w:r>
              <w:rPr>
                <w:rFonts w:hint="default" w:ascii="Times New Roman" w:hAnsi="Times New Roman" w:eastAsia="宋体" w:cs="Times New Roman"/>
                <w:color w:val="auto"/>
                <w:highlight w:val="none"/>
                <w:lang w:val="en-US" w:eastAsia="zh-CN"/>
              </w:rPr>
              <w:t>本项目</w:t>
            </w:r>
            <w:r>
              <w:rPr>
                <w:rFonts w:hint="default" w:ascii="Times New Roman" w:hAnsi="Times New Roman" w:eastAsia="宋体" w:cs="Times New Roman"/>
                <w:color w:val="auto"/>
                <w:highlight w:val="none"/>
              </w:rPr>
              <w:t>主要噪声源通过采取基础减振、厂房隔声以及合理的布置产噪设备等措施后，本项目的各生产设备在正常工况运行状态下，厂界四周噪声值能够满足《工业企业厂界环境噪声排放标准》（GB12348-2008）2类标准要求。</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（3）噪声环境影响保护措施</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针对噪声特点，为进一步减少项目生产噪声对周边环境的影响，要求企业生产过程中落实以下措施：</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1）加强生产设备与环保设备的保养与维护，确保设备处于良好的运转状态，杜绝设备不正常运行产生高噪声的现象。</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2）从声源上控制，应选择符合国家噪声标准的生产设备及设施。</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3）优化平面布局，高噪声设备尽量布置在厂房中部区域，以确保噪声达标排放</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4）必须选用符合国家有关噪声控制标准的机具，尽可能选用低噪声施工机械或工艺，从源头上降低噪声源强。</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5）合理安排运输路线与时段，尽量避开居民集中区，且通过居民集中区时应减速缓行，并禁止鸣笛。</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（4）噪声环境监测与管理</w:t>
            </w:r>
          </w:p>
          <w:p>
            <w:pPr>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根据本项目运营期的噪声环境污染特点，企业应自觉接受当地环保部门的监督与管理。根据《排污单位自行监测技术指南 总则》（HJ819-2017）</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本项目应针对厂界噪声排放情况开展监测计划。本项目监测计划见下表4-</w:t>
            </w:r>
            <w:r>
              <w:rPr>
                <w:rFonts w:hint="eastAsia" w:eastAsia="宋体" w:cs="Times New Roman"/>
                <w:color w:val="auto"/>
                <w:lang w:val="en-US" w:eastAsia="zh-CN"/>
              </w:rPr>
              <w:t>7</w:t>
            </w:r>
            <w:r>
              <w:rPr>
                <w:rFonts w:hint="default" w:ascii="Times New Roman" w:hAnsi="Times New Roman" w:eastAsia="宋体" w:cs="Times New Roman"/>
                <w:color w:val="auto"/>
              </w:rPr>
              <w:t>。</w:t>
            </w:r>
          </w:p>
          <w:p>
            <w:pPr>
              <w:pStyle w:val="47"/>
              <w:rPr>
                <w:rFonts w:hint="default" w:ascii="Times New Roman" w:hAnsi="Times New Roman" w:eastAsia="宋体" w:cs="Times New Roman"/>
                <w:color w:val="auto"/>
              </w:rPr>
            </w:pPr>
            <w:r>
              <w:rPr>
                <w:rFonts w:hint="default" w:ascii="Times New Roman" w:hAnsi="Times New Roman" w:eastAsia="宋体" w:cs="Times New Roman"/>
                <w:color w:val="auto"/>
              </w:rPr>
              <w:t>表4-</w:t>
            </w:r>
            <w:r>
              <w:rPr>
                <w:rFonts w:hint="eastAsia" w:eastAsia="宋体" w:cs="Times New Roman"/>
                <w:color w:val="auto"/>
                <w:lang w:val="en-US" w:eastAsia="zh-CN"/>
              </w:rPr>
              <w:t>7</w:t>
            </w:r>
            <w:r>
              <w:rPr>
                <w:rFonts w:hint="default" w:ascii="Times New Roman" w:hAnsi="Times New Roman" w:eastAsia="宋体" w:cs="Times New Roman"/>
                <w:color w:val="auto"/>
              </w:rPr>
              <w:t xml:space="preserve"> 本项目噪声监测计划一览表</w:t>
            </w:r>
          </w:p>
          <w:tbl>
            <w:tblPr>
              <w:tblStyle w:val="23"/>
              <w:tblW w:w="5000"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2"/>
              <w:gridCol w:w="1097"/>
              <w:gridCol w:w="1068"/>
              <w:gridCol w:w="2139"/>
              <w:gridCol w:w="311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601"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w:t>
                  </w:r>
                </w:p>
              </w:tc>
              <w:tc>
                <w:tcPr>
                  <w:tcW w:w="593"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污染因子</w:t>
                  </w:r>
                </w:p>
              </w:tc>
              <w:tc>
                <w:tcPr>
                  <w:tcW w:w="577"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w:t>
                  </w:r>
                </w:p>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频次</w:t>
                  </w:r>
                </w:p>
              </w:tc>
              <w:tc>
                <w:tcPr>
                  <w:tcW w:w="1157"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标准限值</w:t>
                  </w:r>
                </w:p>
              </w:tc>
              <w:tc>
                <w:tcPr>
                  <w:tcW w:w="1684" w:type="pct"/>
                  <w:tcBorders>
                    <w:tl2br w:val="nil"/>
                    <w:tr2bl w:val="nil"/>
                  </w:tcBorders>
                  <w:vAlign w:val="center"/>
                </w:tcPr>
                <w:p>
                  <w:pPr>
                    <w:pStyle w:val="27"/>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5" w:type="pct"/>
                  <w:tcBorders>
                    <w:tl2br w:val="nil"/>
                    <w:tr2bl w:val="nil"/>
                  </w:tcBorders>
                  <w:vAlign w:val="center"/>
                </w:tcPr>
                <w:p>
                  <w:pPr>
                    <w:pStyle w:val="27"/>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rPr>
                    <w:t>噪声</w:t>
                  </w:r>
                </w:p>
              </w:tc>
              <w:tc>
                <w:tcPr>
                  <w:tcW w:w="601" w:type="pct"/>
                  <w:tcBorders>
                    <w:tl2br w:val="nil"/>
                    <w:tr2bl w:val="nil"/>
                  </w:tcBorders>
                  <w:vAlign w:val="center"/>
                </w:tcPr>
                <w:p>
                  <w:pPr>
                    <w:pStyle w:val="27"/>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等效连续A声级</w:t>
                  </w:r>
                </w:p>
              </w:tc>
              <w:tc>
                <w:tcPr>
                  <w:tcW w:w="593" w:type="pct"/>
                  <w:tcBorders>
                    <w:tl2br w:val="nil"/>
                    <w:tr2bl w:val="nil"/>
                  </w:tcBorders>
                  <w:vAlign w:val="center"/>
                </w:tcPr>
                <w:p>
                  <w:pPr>
                    <w:pStyle w:val="27"/>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rPr>
                    <w:t>厂界四周</w:t>
                  </w:r>
                </w:p>
              </w:tc>
              <w:tc>
                <w:tcPr>
                  <w:tcW w:w="577" w:type="pct"/>
                  <w:tcBorders>
                    <w:tl2br w:val="nil"/>
                    <w:tr2bl w:val="nil"/>
                  </w:tcBorders>
                  <w:vAlign w:val="center"/>
                </w:tcPr>
                <w:p>
                  <w:pPr>
                    <w:pStyle w:val="27"/>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z w:val="21"/>
                      <w:szCs w:val="21"/>
                      <w:highlight w:val="none"/>
                      <w:lang w:bidi="ar"/>
                    </w:rPr>
                    <w:t>1次/季度</w:t>
                  </w:r>
                </w:p>
              </w:tc>
              <w:tc>
                <w:tcPr>
                  <w:tcW w:w="1157" w:type="pct"/>
                  <w:tcBorders>
                    <w:tl2br w:val="nil"/>
                    <w:tr2bl w:val="nil"/>
                  </w:tcBorders>
                  <w:vAlign w:val="center"/>
                </w:tcPr>
                <w:p>
                  <w:pPr>
                    <w:pStyle w:val="27"/>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昼间：60dB（A）</w:t>
                  </w:r>
                </w:p>
              </w:tc>
              <w:tc>
                <w:tcPr>
                  <w:tcW w:w="1684" w:type="pct"/>
                  <w:tcBorders>
                    <w:tl2br w:val="nil"/>
                    <w:tr2bl w:val="nil"/>
                  </w:tcBorders>
                  <w:vAlign w:val="center"/>
                </w:tcPr>
                <w:p>
                  <w:pPr>
                    <w:pStyle w:val="27"/>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z w:val="21"/>
                      <w:szCs w:val="21"/>
                      <w:highlight w:val="none"/>
                    </w:rPr>
                    <w:t>《工业企业厂界环境噪声排放标准》（GB12348-2008）2类</w:t>
                  </w:r>
                </w:p>
              </w:tc>
            </w:tr>
          </w:tbl>
          <w:p>
            <w:pPr>
              <w:keepNext w:val="0"/>
              <w:keepLines w:val="0"/>
              <w:pageBreakBefore w:val="0"/>
              <w:widowControl w:val="0"/>
              <w:kinsoku/>
              <w:wordWrap/>
              <w:overflowPunct/>
              <w:topLinePunct w:val="0"/>
              <w:autoSpaceDE/>
              <w:autoSpaceDN/>
              <w:bidi w:val="0"/>
              <w:adjustRightInd w:val="0"/>
              <w:snapToGrid w:val="0"/>
              <w:spacing w:before="157" w:beforeLines="50"/>
              <w:ind w:firstLine="482" w:firstLineChars="200"/>
              <w:textAlignment w:val="auto"/>
              <w:rPr>
                <w:rFonts w:hint="default" w:ascii="Times New Roman" w:hAnsi="Times New Roman" w:eastAsia="宋体" w:cs="Times New Roman"/>
                <w:b/>
                <w:color w:val="auto"/>
              </w:rPr>
            </w:pPr>
            <w:r>
              <w:rPr>
                <w:rFonts w:hint="default" w:ascii="Times New Roman" w:hAnsi="Times New Roman" w:eastAsia="宋体" w:cs="Times New Roman"/>
                <w:b/>
                <w:color w:val="auto"/>
              </w:rPr>
              <w:t>4、固体废物影响分析</w:t>
            </w:r>
          </w:p>
          <w:p>
            <w:pPr>
              <w:adjustRightInd w:val="0"/>
              <w:snapToGrid w:val="0"/>
              <w:ind w:firstLine="482" w:firstLineChars="200"/>
              <w:rPr>
                <w:rFonts w:hint="default" w:ascii="Times New Roman" w:hAnsi="Times New Roman" w:eastAsia="宋体" w:cs="Times New Roman"/>
                <w:bCs/>
                <w:color w:val="auto"/>
              </w:rPr>
            </w:pPr>
            <w:r>
              <w:rPr>
                <w:rFonts w:hint="default" w:ascii="Times New Roman" w:hAnsi="Times New Roman" w:eastAsia="宋体" w:cs="Times New Roman"/>
                <w:b/>
                <w:bCs/>
                <w:color w:val="auto"/>
              </w:rPr>
              <w:t>（1）固体废物排放量计算</w:t>
            </w:r>
          </w:p>
          <w:p>
            <w:pPr>
              <w:adjustRightInd w:val="0"/>
              <w:snapToGrid w:val="0"/>
              <w:ind w:firstLine="480" w:firstLineChars="200"/>
              <w:rPr>
                <w:rFonts w:hint="default" w:ascii="Times New Roman" w:hAnsi="Times New Roman" w:eastAsia="宋体" w:cs="Times New Roman"/>
                <w:bCs/>
                <w:color w:val="auto"/>
                <w:lang w:val="en-US" w:eastAsia="zh-CN"/>
              </w:rPr>
            </w:pPr>
            <w:r>
              <w:rPr>
                <w:rFonts w:hint="default" w:ascii="Times New Roman" w:hAnsi="Times New Roman" w:eastAsia="宋体" w:cs="Times New Roman"/>
                <w:bCs/>
                <w:color w:val="auto"/>
              </w:rPr>
              <w:t>本项目新增固体废物产生情况详见下表4</w:t>
            </w:r>
            <w:r>
              <w:rPr>
                <w:rFonts w:hint="eastAsia" w:eastAsia="宋体" w:cs="Times New Roman"/>
                <w:bCs/>
                <w:color w:val="auto"/>
                <w:lang w:val="en-US" w:eastAsia="zh-CN"/>
              </w:rPr>
              <w:t>-8</w:t>
            </w:r>
            <w:r>
              <w:rPr>
                <w:rFonts w:hint="default" w:ascii="Times New Roman" w:hAnsi="Times New Roman" w:eastAsia="宋体" w:cs="Times New Roman"/>
                <w:bCs/>
                <w:color w:val="auto"/>
              </w:rPr>
              <w:t>。</w:t>
            </w:r>
            <w:r>
              <w:rPr>
                <w:rFonts w:hint="default" w:ascii="Times New Roman" w:hAnsi="Times New Roman" w:eastAsia="宋体" w:cs="Times New Roman"/>
                <w:bCs/>
                <w:color w:val="auto"/>
                <w:lang w:val="en-US" w:eastAsia="zh-CN"/>
              </w:rPr>
              <w:t xml:space="preserve">                                                                                                                                                                                                                                                                                                                                                                                                                                                                                                                                                                                  </w:t>
            </w:r>
          </w:p>
          <w:p>
            <w:pPr>
              <w:adjustRightInd w:val="0"/>
              <w:snapToGrid w:val="0"/>
              <w:spacing w:line="240" w:lineRule="auto"/>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表4-</w:t>
            </w:r>
            <w:r>
              <w:rPr>
                <w:rFonts w:hint="eastAsia" w:eastAsia="宋体" w:cs="Times New Roman"/>
                <w:b/>
                <w:color w:val="auto"/>
                <w:sz w:val="21"/>
                <w:szCs w:val="21"/>
                <w:lang w:val="en-US" w:eastAsia="zh-CN"/>
              </w:rPr>
              <w:t>8</w:t>
            </w:r>
            <w:r>
              <w:rPr>
                <w:rFonts w:hint="default" w:ascii="Times New Roman" w:hAnsi="Times New Roman" w:eastAsia="宋体" w:cs="Times New Roman"/>
                <w:b/>
                <w:color w:val="auto"/>
                <w:sz w:val="21"/>
                <w:szCs w:val="21"/>
              </w:rPr>
              <w:t xml:space="preserve"> 项目运营期固体废物产生情况一览表</w:t>
            </w:r>
          </w:p>
          <w:tbl>
            <w:tblPr>
              <w:tblStyle w:val="22"/>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279"/>
              <w:gridCol w:w="1396"/>
              <w:gridCol w:w="694"/>
              <w:gridCol w:w="1331"/>
              <w:gridCol w:w="657"/>
              <w:gridCol w:w="750"/>
              <w:gridCol w:w="1125"/>
              <w:gridCol w:w="15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序号</w:t>
                  </w:r>
                </w:p>
              </w:tc>
              <w:tc>
                <w:tcPr>
                  <w:tcW w:w="691"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固体废物</w:t>
                  </w:r>
                </w:p>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名称</w:t>
                  </w:r>
                </w:p>
              </w:tc>
              <w:tc>
                <w:tcPr>
                  <w:tcW w:w="755"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产生环节</w:t>
                  </w:r>
                </w:p>
              </w:tc>
              <w:tc>
                <w:tcPr>
                  <w:tcW w:w="375"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固废</w:t>
                  </w:r>
                </w:p>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属性</w:t>
                  </w:r>
                </w:p>
              </w:tc>
              <w:tc>
                <w:tcPr>
                  <w:tcW w:w="720"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废物类别</w:t>
                  </w:r>
                </w:p>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及代码</w:t>
                  </w:r>
                </w:p>
              </w:tc>
              <w:tc>
                <w:tcPr>
                  <w:tcW w:w="355"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危险</w:t>
                  </w:r>
                </w:p>
                <w:p>
                  <w:pPr>
                    <w:adjustRightInd w:val="0"/>
                    <w:snapToGrid w:val="0"/>
                    <w:spacing w:line="240" w:lineRule="auto"/>
                    <w:jc w:val="center"/>
                    <w:rPr>
                      <w:rFonts w:hint="default" w:ascii="Times New Roman" w:hAnsi="Times New Roman" w:eastAsia="宋体" w:cs="Times New Roman"/>
                      <w:b/>
                      <w:bCs/>
                      <w:color w:val="auto"/>
                      <w:spacing w:val="-1"/>
                      <w:kern w:val="0"/>
                      <w:sz w:val="21"/>
                      <w:szCs w:val="21"/>
                      <w:highlight w:val="none"/>
                    </w:rPr>
                  </w:pPr>
                  <w:r>
                    <w:rPr>
                      <w:rFonts w:hint="default" w:ascii="Times New Roman" w:hAnsi="Times New Roman" w:eastAsia="宋体" w:cs="Times New Roman"/>
                      <w:b/>
                      <w:bCs/>
                      <w:color w:val="auto"/>
                      <w:spacing w:val="-1"/>
                      <w:kern w:val="0"/>
                      <w:sz w:val="21"/>
                      <w:szCs w:val="21"/>
                      <w:highlight w:val="none"/>
                    </w:rPr>
                    <w:t>特性</w:t>
                  </w:r>
                </w:p>
              </w:tc>
              <w:tc>
                <w:tcPr>
                  <w:tcW w:w="405"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物理</w:t>
                  </w:r>
                </w:p>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性状</w:t>
                  </w:r>
                </w:p>
              </w:tc>
              <w:tc>
                <w:tcPr>
                  <w:tcW w:w="608"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产生量</w:t>
                  </w:r>
                </w:p>
              </w:tc>
              <w:tc>
                <w:tcPr>
                  <w:tcW w:w="850"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spacing w:val="-1"/>
                      <w:kern w:val="0"/>
                      <w:sz w:val="21"/>
                      <w:szCs w:val="21"/>
                    </w:rPr>
                  </w:pPr>
                  <w:r>
                    <w:rPr>
                      <w:rFonts w:hint="default" w:ascii="Times New Roman" w:hAnsi="Times New Roman" w:eastAsia="宋体" w:cs="Times New Roman"/>
                      <w:b/>
                      <w:bCs/>
                      <w:color w:val="auto"/>
                      <w:spacing w:val="-1"/>
                      <w:kern w:val="0"/>
                      <w:sz w:val="21"/>
                      <w:szCs w:val="21"/>
                    </w:rPr>
                    <w:t>处置措施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rPr>
                    <w:t>1</w:t>
                  </w:r>
                </w:p>
              </w:tc>
              <w:tc>
                <w:tcPr>
                  <w:tcW w:w="691"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1"/>
                      <w:sz w:val="21"/>
                      <w:szCs w:val="21"/>
                      <w:lang w:val="en-US" w:eastAsia="zh-CN"/>
                    </w:rPr>
                    <w:t>生活垃圾</w:t>
                  </w:r>
                </w:p>
              </w:tc>
              <w:tc>
                <w:tcPr>
                  <w:tcW w:w="755"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val="en-US" w:eastAsia="zh-CN"/>
                    </w:rPr>
                    <w:t>办公生活</w:t>
                  </w:r>
                </w:p>
              </w:tc>
              <w:tc>
                <w:tcPr>
                  <w:tcW w:w="375"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b w:val="0"/>
                      <w:bCs w:val="0"/>
                      <w:color w:val="auto"/>
                      <w:spacing w:val="-1"/>
                      <w:kern w:val="0"/>
                      <w:sz w:val="21"/>
                      <w:szCs w:val="21"/>
                      <w:lang w:val="en-US" w:eastAsia="zh-CN" w:bidi="ar-SA"/>
                    </w:rPr>
                    <w:t>/</w:t>
                  </w:r>
                </w:p>
              </w:tc>
              <w:tc>
                <w:tcPr>
                  <w:tcW w:w="720" w:type="pct"/>
                  <w:shd w:val="clear" w:color="auto" w:fill="auto"/>
                  <w:vAlign w:val="center"/>
                </w:tcPr>
                <w:p>
                  <w:pPr>
                    <w:pStyle w:val="41"/>
                    <w:keepNext w:val="0"/>
                    <w:keepLines w:val="0"/>
                    <w:pageBreakBefore w:val="0"/>
                    <w:widowControl/>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highlight w:val="none"/>
                      <w:lang w:val="en-US"/>
                    </w:rPr>
                  </w:pPr>
                  <w:r>
                    <w:rPr>
                      <w:rFonts w:hint="default" w:ascii="Times New Roman" w:hAnsi="Times New Roman" w:eastAsia="宋体" w:cs="Times New Roman"/>
                      <w:color w:val="auto"/>
                      <w:spacing w:val="-1"/>
                      <w:sz w:val="21"/>
                      <w:szCs w:val="21"/>
                      <w:highlight w:val="none"/>
                      <w:lang w:val="en-US" w:eastAsia="zh-CN"/>
                    </w:rPr>
                    <w:t>/</w:t>
                  </w:r>
                </w:p>
              </w:tc>
              <w:tc>
                <w:tcPr>
                  <w:tcW w:w="355"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val="en-US" w:eastAsia="zh-CN"/>
                    </w:rPr>
                    <w:t>/</w:t>
                  </w:r>
                </w:p>
              </w:tc>
              <w:tc>
                <w:tcPr>
                  <w:tcW w:w="405"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val="en-US" w:eastAsia="zh-CN"/>
                    </w:rPr>
                    <w:t>固态</w:t>
                  </w:r>
                </w:p>
              </w:tc>
              <w:tc>
                <w:tcPr>
                  <w:tcW w:w="608"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val="en-US" w:eastAsia="zh-CN"/>
                    </w:rPr>
                    <w:t>1.5</w:t>
                  </w:r>
                  <w:r>
                    <w:rPr>
                      <w:rFonts w:hint="default" w:ascii="Times New Roman" w:hAnsi="Times New Roman" w:eastAsia="宋体" w:cs="Times New Roman"/>
                      <w:color w:val="auto"/>
                      <w:spacing w:val="-1"/>
                      <w:sz w:val="21"/>
                      <w:szCs w:val="21"/>
                      <w:lang w:val="en-US"/>
                    </w:rPr>
                    <w:t>t/a</w:t>
                  </w:r>
                </w:p>
              </w:tc>
              <w:tc>
                <w:tcPr>
                  <w:tcW w:w="850" w:type="pct"/>
                  <w:shd w:val="clear" w:color="auto" w:fill="auto"/>
                  <w:vAlign w:val="center"/>
                </w:tcPr>
                <w:p>
                  <w:pPr>
                    <w:pStyle w:val="41"/>
                    <w:keepNext w:val="0"/>
                    <w:keepLines w:val="0"/>
                    <w:pageBreakBefore w:val="0"/>
                    <w:widowControl w:val="0"/>
                    <w:suppressLineNumbers w:val="0"/>
                    <w:kinsoku w:val="0"/>
                    <w:wordWrap/>
                    <w:overflowPunct w:val="0"/>
                    <w:topLinePunct w:val="0"/>
                    <w:autoSpaceDE/>
                    <w:autoSpaceDN/>
                    <w:bidi w:val="0"/>
                    <w:adjustRightInd w:val="0"/>
                    <w:snapToGrid w:val="0"/>
                    <w:spacing w:before="0" w:beforeAutospacing="0" w:after="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eastAsia="zh-CN"/>
                    </w:rPr>
                    <w:t>分类</w:t>
                  </w:r>
                  <w:r>
                    <w:rPr>
                      <w:rFonts w:hint="default" w:ascii="Times New Roman" w:hAnsi="Times New Roman" w:eastAsia="宋体" w:cs="Times New Roman"/>
                      <w:color w:val="auto"/>
                      <w:spacing w:val="-1"/>
                      <w:sz w:val="21"/>
                      <w:szCs w:val="21"/>
                    </w:rPr>
                    <w:t>收集</w:t>
                  </w:r>
                  <w:r>
                    <w:rPr>
                      <w:rFonts w:hint="default" w:ascii="Times New Roman" w:hAnsi="Times New Roman" w:eastAsia="宋体" w:cs="Times New Roman"/>
                      <w:color w:val="auto"/>
                      <w:spacing w:val="-1"/>
                      <w:sz w:val="21"/>
                      <w:szCs w:val="21"/>
                      <w:lang w:eastAsia="zh-CN"/>
                    </w:rPr>
                    <w:t>，</w:t>
                  </w:r>
                  <w:r>
                    <w:rPr>
                      <w:rFonts w:hint="default" w:ascii="Times New Roman" w:hAnsi="Times New Roman" w:eastAsia="宋体" w:cs="Times New Roman"/>
                      <w:color w:val="auto"/>
                      <w:spacing w:val="-1"/>
                      <w:sz w:val="21"/>
                      <w:szCs w:val="21"/>
                    </w:rPr>
                    <w:t>环卫部门外运处置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2</w:t>
                  </w:r>
                </w:p>
              </w:tc>
              <w:tc>
                <w:tcPr>
                  <w:tcW w:w="69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不合格产品</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lang w:eastAsia="zh-CN"/>
                    </w:rPr>
                    <w:t>水泥砖生产</w:t>
                  </w:r>
                </w:p>
              </w:tc>
              <w:tc>
                <w:tcPr>
                  <w:tcW w:w="375" w:type="pct"/>
                  <w:vMerge w:val="restar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一般固废</w:t>
                  </w:r>
                </w:p>
              </w:tc>
              <w:tc>
                <w:tcPr>
                  <w:tcW w:w="720" w:type="pct"/>
                  <w:shd w:val="clear" w:color="auto" w:fill="auto"/>
                  <w:vAlign w:val="center"/>
                </w:tcPr>
                <w:p>
                  <w:pPr>
                    <w:pStyle w:val="41"/>
                    <w:keepNext w:val="0"/>
                    <w:keepLines w:val="0"/>
                    <w:widowControl/>
                    <w:suppressLineNumbers w:val="0"/>
                    <w:kinsoku w:val="0"/>
                    <w:overflowPunct w:val="0"/>
                    <w:adjustRightInd w:val="0"/>
                    <w:snapToGrid w:val="0"/>
                    <w:spacing w:line="240" w:lineRule="auto"/>
                    <w:contextualSpacing/>
                    <w:jc w:val="center"/>
                    <w:rPr>
                      <w:rFonts w:hint="default" w:ascii="Times New Roman" w:hAnsi="Times New Roman" w:eastAsia="宋体" w:cs="Times New Roman"/>
                      <w:color w:val="auto"/>
                      <w:spacing w:val="-1"/>
                      <w:kern w:val="2"/>
                      <w:sz w:val="21"/>
                      <w:szCs w:val="21"/>
                      <w:highlight w:val="none"/>
                      <w:lang w:val="en-US" w:eastAsia="zh-CN" w:bidi="ar"/>
                    </w:rPr>
                  </w:pPr>
                  <w:r>
                    <w:rPr>
                      <w:rFonts w:hint="default" w:ascii="Times New Roman" w:hAnsi="Times New Roman" w:eastAsia="宋体" w:cs="Times New Roman"/>
                      <w:color w:val="auto"/>
                      <w:spacing w:val="-1"/>
                      <w:kern w:val="2"/>
                      <w:sz w:val="21"/>
                      <w:szCs w:val="21"/>
                      <w:highlight w:val="none"/>
                      <w:lang w:val="en-US" w:eastAsia="zh-CN" w:bidi="ar"/>
                    </w:rPr>
                    <w:t>SW59</w:t>
                  </w:r>
                </w:p>
                <w:p>
                  <w:pPr>
                    <w:pStyle w:val="41"/>
                    <w:keepNext w:val="0"/>
                    <w:keepLines w:val="0"/>
                    <w:widowControl/>
                    <w:suppressLineNumbers w:val="0"/>
                    <w:kinsoku w:val="0"/>
                    <w:overflowPunct w:val="0"/>
                    <w:adjustRightInd w:val="0"/>
                    <w:snapToGrid w:val="0"/>
                    <w:spacing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kern w:val="2"/>
                      <w:sz w:val="21"/>
                      <w:szCs w:val="21"/>
                      <w:highlight w:val="none"/>
                      <w:lang w:val="en-US" w:eastAsia="zh-CN" w:bidi="ar"/>
                    </w:rPr>
                    <w:t>900-099-S59</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lang w:val="en-US" w:eastAsia="zh-CN"/>
                    </w:rPr>
                    <w:t>半固态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lang w:val="en-US" w:eastAsia="zh-CN"/>
                    </w:rPr>
                  </w:pPr>
                  <w:r>
                    <w:rPr>
                      <w:rFonts w:hint="default" w:ascii="Times New Roman" w:hAnsi="Times New Roman" w:eastAsia="宋体" w:cs="Times New Roman"/>
                      <w:color w:val="auto"/>
                      <w:spacing w:val="-1"/>
                      <w:sz w:val="21"/>
                      <w:szCs w:val="21"/>
                      <w:highlight w:val="none"/>
                      <w:lang w:val="en-US" w:eastAsia="zh-CN"/>
                    </w:rPr>
                    <w:t>12.5</w:t>
                  </w:r>
                  <w:r>
                    <w:rPr>
                      <w:rFonts w:hint="default" w:ascii="Times New Roman" w:hAnsi="Times New Roman" w:eastAsia="宋体" w:cs="Times New Roman"/>
                      <w:color w:val="auto"/>
                      <w:spacing w:val="-1"/>
                      <w:sz w:val="21"/>
                      <w:szCs w:val="21"/>
                      <w:lang w:val="en-US"/>
                    </w:rPr>
                    <w:t>t/a</w:t>
                  </w:r>
                </w:p>
              </w:tc>
              <w:tc>
                <w:tcPr>
                  <w:tcW w:w="850"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lang w:val="en-US" w:eastAsia="zh-CN"/>
                    </w:rPr>
                    <w:t>回用于生产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lang w:val="zh-CN" w:eastAsia="zh-CN" w:bidi="zh-CN"/>
                    </w:rPr>
                  </w:pPr>
                  <w:r>
                    <w:rPr>
                      <w:rFonts w:hint="default" w:ascii="Times New Roman" w:hAnsi="Times New Roman" w:eastAsia="宋体" w:cs="Times New Roman"/>
                      <w:color w:val="auto"/>
                      <w:spacing w:val="-1"/>
                      <w:sz w:val="21"/>
                      <w:szCs w:val="21"/>
                      <w:lang w:val="en-US"/>
                    </w:rPr>
                    <w:t>3</w:t>
                  </w:r>
                </w:p>
              </w:tc>
              <w:tc>
                <w:tcPr>
                  <w:tcW w:w="69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pacing w:val="-1"/>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除尘装置收集的粉尘</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zh-CN" w:eastAsia="zh-CN" w:bidi="zh-CN"/>
                    </w:rPr>
                  </w:pPr>
                  <w:r>
                    <w:rPr>
                      <w:rFonts w:hint="default" w:ascii="Times New Roman" w:hAnsi="Times New Roman" w:eastAsia="宋体" w:cs="Times New Roman"/>
                      <w:color w:val="auto"/>
                      <w:spacing w:val="-1"/>
                      <w:sz w:val="21"/>
                      <w:szCs w:val="21"/>
                      <w:highlight w:val="none"/>
                    </w:rPr>
                    <w:t>搅拌工序及筒仓顶部除尘器收集</w:t>
                  </w:r>
                </w:p>
              </w:tc>
              <w:tc>
                <w:tcPr>
                  <w:tcW w:w="375"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zh-CN" w:eastAsia="zh-CN" w:bidi="zh-CN"/>
                    </w:rPr>
                  </w:pPr>
                </w:p>
              </w:tc>
              <w:tc>
                <w:tcPr>
                  <w:tcW w:w="720" w:type="pct"/>
                  <w:shd w:val="clear" w:color="auto" w:fill="auto"/>
                  <w:vAlign w:val="center"/>
                </w:tcPr>
                <w:p>
                  <w:pPr>
                    <w:pStyle w:val="41"/>
                    <w:keepNext w:val="0"/>
                    <w:keepLines w:val="0"/>
                    <w:widowControl/>
                    <w:suppressLineNumbers w:val="0"/>
                    <w:kinsoku w:val="0"/>
                    <w:overflowPunct w:val="0"/>
                    <w:adjustRightInd w:val="0"/>
                    <w:snapToGrid w:val="0"/>
                    <w:spacing w:line="240" w:lineRule="auto"/>
                    <w:contextualSpacing/>
                    <w:jc w:val="center"/>
                    <w:rPr>
                      <w:rFonts w:hint="default" w:ascii="Times New Roman" w:hAnsi="Times New Roman" w:eastAsia="宋体" w:cs="Times New Roman"/>
                      <w:color w:val="auto"/>
                      <w:spacing w:val="-1"/>
                      <w:kern w:val="2"/>
                      <w:sz w:val="21"/>
                      <w:szCs w:val="21"/>
                      <w:highlight w:val="none"/>
                      <w:lang w:val="en-US" w:eastAsia="zh-CN" w:bidi="ar"/>
                    </w:rPr>
                  </w:pPr>
                  <w:r>
                    <w:rPr>
                      <w:rFonts w:hint="default" w:ascii="Times New Roman" w:hAnsi="Times New Roman" w:eastAsia="宋体" w:cs="Times New Roman"/>
                      <w:color w:val="auto"/>
                      <w:spacing w:val="-1"/>
                      <w:kern w:val="2"/>
                      <w:sz w:val="21"/>
                      <w:szCs w:val="21"/>
                      <w:highlight w:val="none"/>
                      <w:lang w:val="en-US" w:eastAsia="zh-CN" w:bidi="ar"/>
                    </w:rPr>
                    <w:t>SW59</w:t>
                  </w:r>
                </w:p>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zh-CN" w:eastAsia="zh-CN" w:bidi="zh-CN"/>
                    </w:rPr>
                  </w:pPr>
                  <w:r>
                    <w:rPr>
                      <w:rFonts w:hint="default" w:ascii="Times New Roman" w:hAnsi="Times New Roman" w:eastAsia="宋体" w:cs="Times New Roman"/>
                      <w:color w:val="auto"/>
                      <w:spacing w:val="-1"/>
                      <w:kern w:val="2"/>
                      <w:sz w:val="21"/>
                      <w:szCs w:val="21"/>
                      <w:highlight w:val="none"/>
                      <w:lang w:val="en-US" w:eastAsia="zh-CN" w:bidi="ar"/>
                    </w:rPr>
                    <w:t>900-099-S59</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zh-CN" w:eastAsia="zh-CN" w:bidi="zh-CN"/>
                    </w:rPr>
                  </w:pPr>
                  <w:r>
                    <w:rPr>
                      <w:rFonts w:hint="default" w:ascii="Times New Roman" w:hAnsi="Times New Roman" w:eastAsia="宋体" w:cs="Times New Roman"/>
                      <w:color w:val="auto"/>
                      <w:spacing w:val="-1"/>
                      <w:sz w:val="21"/>
                      <w:szCs w:val="21"/>
                      <w:highlight w:val="none"/>
                    </w:rPr>
                    <w:t>/</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zh-CN" w:eastAsia="zh-CN" w:bidi="zh-CN"/>
                    </w:rPr>
                  </w:pPr>
                  <w:r>
                    <w:rPr>
                      <w:rFonts w:hint="default" w:ascii="Times New Roman" w:hAnsi="Times New Roman" w:eastAsia="宋体" w:cs="Times New Roman"/>
                      <w:color w:val="auto"/>
                      <w:spacing w:val="-1"/>
                      <w:sz w:val="21"/>
                      <w:szCs w:val="21"/>
                      <w:highlight w:val="none"/>
                    </w:rPr>
                    <w:t>固态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en-US" w:eastAsia="zh-CN" w:bidi="zh-CN"/>
                    </w:rPr>
                  </w:pPr>
                  <w:r>
                    <w:rPr>
                      <w:rFonts w:hint="default" w:ascii="Times New Roman" w:hAnsi="Times New Roman" w:eastAsia="宋体" w:cs="Times New Roman"/>
                      <w:color w:val="auto"/>
                      <w:spacing w:val="-1"/>
                      <w:sz w:val="21"/>
                      <w:szCs w:val="21"/>
                      <w:highlight w:val="none"/>
                      <w:lang w:val="en-US" w:eastAsia="zh-CN"/>
                    </w:rPr>
                    <w:t>161.565</w:t>
                  </w:r>
                  <w:r>
                    <w:rPr>
                      <w:rFonts w:hint="default" w:ascii="Times New Roman" w:hAnsi="Times New Roman" w:eastAsia="宋体" w:cs="Times New Roman"/>
                      <w:color w:val="auto"/>
                      <w:spacing w:val="-1"/>
                      <w:sz w:val="21"/>
                      <w:szCs w:val="21"/>
                      <w:highlight w:val="none"/>
                    </w:rPr>
                    <w:t>t/a</w:t>
                  </w:r>
                </w:p>
              </w:tc>
              <w:tc>
                <w:tcPr>
                  <w:tcW w:w="850" w:type="pct"/>
                  <w:vMerge w:val="restar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经收集后回用于生产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lang w:val="zh-CN" w:eastAsia="zh-CN" w:bidi="zh-CN"/>
                    </w:rPr>
                  </w:pPr>
                  <w:r>
                    <w:rPr>
                      <w:rFonts w:hint="default" w:ascii="Times New Roman" w:hAnsi="Times New Roman" w:eastAsia="宋体" w:cs="Times New Roman"/>
                      <w:color w:val="auto"/>
                      <w:spacing w:val="-1"/>
                      <w:sz w:val="21"/>
                      <w:szCs w:val="21"/>
                      <w:lang w:val="en-US"/>
                    </w:rPr>
                    <w:t>4</w:t>
                  </w:r>
                </w:p>
              </w:tc>
              <w:tc>
                <w:tcPr>
                  <w:tcW w:w="69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z w:val="21"/>
                      <w:szCs w:val="21"/>
                    </w:rPr>
                    <w:t>沉淀池沉渣</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rPr>
                    <w:t>车辆冲洗</w:t>
                  </w:r>
                </w:p>
              </w:tc>
              <w:tc>
                <w:tcPr>
                  <w:tcW w:w="375"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p>
              </w:tc>
              <w:tc>
                <w:tcPr>
                  <w:tcW w:w="720"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color w:val="auto"/>
                      <w:spacing w:val="-1"/>
                      <w:sz w:val="21"/>
                      <w:szCs w:val="21"/>
                      <w:lang w:val="en-US" w:eastAsia="zh-CN"/>
                    </w:rPr>
                    <w:t>SW07</w:t>
                  </w:r>
                </w:p>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color w:val="auto"/>
                      <w:spacing w:val="-1"/>
                      <w:sz w:val="21"/>
                      <w:szCs w:val="21"/>
                      <w:lang w:val="en-US" w:eastAsia="zh-CN"/>
                    </w:rPr>
                    <w:t>900-099-S07</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rPr>
                    <w:t>/</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rPr>
                    <w:t>半固态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r>
                    <w:rPr>
                      <w:rFonts w:hint="default" w:ascii="Times New Roman" w:hAnsi="Times New Roman" w:eastAsia="宋体" w:cs="Times New Roman"/>
                      <w:color w:val="auto"/>
                      <w:spacing w:val="-1"/>
                      <w:sz w:val="21"/>
                      <w:szCs w:val="21"/>
                      <w:lang w:val="en-US" w:eastAsia="zh-CN"/>
                    </w:rPr>
                    <w:t>2</w:t>
                  </w:r>
                  <w:r>
                    <w:rPr>
                      <w:rFonts w:hint="default" w:ascii="Times New Roman" w:hAnsi="Times New Roman" w:eastAsia="宋体" w:cs="Times New Roman"/>
                      <w:color w:val="auto"/>
                      <w:spacing w:val="-1"/>
                      <w:sz w:val="21"/>
                      <w:szCs w:val="21"/>
                    </w:rPr>
                    <w:t>.0t/a</w:t>
                  </w:r>
                </w:p>
              </w:tc>
              <w:tc>
                <w:tcPr>
                  <w:tcW w:w="850"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lang w:val="en-US" w:eastAsia="zh-CN" w:bidi="zh-CN"/>
                    </w:rPr>
                  </w:pPr>
                  <w:r>
                    <w:rPr>
                      <w:rFonts w:hint="default" w:ascii="Times New Roman" w:hAnsi="Times New Roman" w:eastAsia="宋体" w:cs="Times New Roman"/>
                      <w:color w:val="auto"/>
                      <w:spacing w:val="-1"/>
                      <w:sz w:val="21"/>
                      <w:szCs w:val="21"/>
                      <w:lang w:val="en-US"/>
                    </w:rPr>
                    <w:t>5</w:t>
                  </w:r>
                </w:p>
              </w:tc>
              <w:tc>
                <w:tcPr>
                  <w:tcW w:w="691"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废机油</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设备运维</w:t>
                  </w:r>
                </w:p>
              </w:tc>
              <w:tc>
                <w:tcPr>
                  <w:tcW w:w="375" w:type="pct"/>
                  <w:vMerge w:val="restar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危险废物</w:t>
                  </w:r>
                </w:p>
              </w:tc>
              <w:tc>
                <w:tcPr>
                  <w:tcW w:w="720"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HW08 900-214-08</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T，I</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液态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0.36t/a</w:t>
                  </w:r>
                </w:p>
              </w:tc>
              <w:tc>
                <w:tcPr>
                  <w:tcW w:w="850" w:type="pct"/>
                  <w:vMerge w:val="restar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highlight w:val="none"/>
                    </w:rPr>
                  </w:pPr>
                  <w:r>
                    <w:rPr>
                      <w:rFonts w:hint="default" w:ascii="Times New Roman" w:hAnsi="Times New Roman" w:eastAsia="宋体" w:cs="Times New Roman"/>
                      <w:color w:val="auto"/>
                      <w:spacing w:val="-1"/>
                      <w:sz w:val="21"/>
                      <w:szCs w:val="21"/>
                      <w:highlight w:val="none"/>
                    </w:rPr>
                    <w:t>危险废物委托有</w:t>
                  </w:r>
                  <w:r>
                    <w:rPr>
                      <w:rFonts w:hint="default" w:ascii="Times New Roman" w:hAnsi="Times New Roman" w:eastAsia="宋体" w:cs="Times New Roman"/>
                      <w:color w:val="auto"/>
                      <w:spacing w:val="-1"/>
                      <w:sz w:val="21"/>
                      <w:szCs w:val="21"/>
                      <w:highlight w:val="none"/>
                      <w:lang w:eastAsia="zh-CN"/>
                    </w:rPr>
                    <w:t>危废资质单位进行</w:t>
                  </w:r>
                  <w:r>
                    <w:rPr>
                      <w:rFonts w:hint="default" w:ascii="Times New Roman" w:hAnsi="Times New Roman" w:eastAsia="宋体" w:cs="Times New Roman"/>
                      <w:color w:val="auto"/>
                      <w:spacing w:val="-1"/>
                      <w:sz w:val="21"/>
                      <w:szCs w:val="21"/>
                      <w:highlight w:val="none"/>
                    </w:rPr>
                    <w:t>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lang w:val="en-US" w:eastAsia="zh-CN" w:bidi="zh-CN"/>
                    </w:rPr>
                  </w:pPr>
                  <w:r>
                    <w:rPr>
                      <w:rFonts w:hint="default" w:ascii="Times New Roman" w:hAnsi="Times New Roman" w:eastAsia="宋体" w:cs="Times New Roman"/>
                      <w:color w:val="auto"/>
                      <w:spacing w:val="-1"/>
                      <w:sz w:val="21"/>
                      <w:szCs w:val="21"/>
                      <w:lang w:val="en-US" w:eastAsia="zh-CN"/>
                    </w:rPr>
                    <w:t>6</w:t>
                  </w:r>
                </w:p>
              </w:tc>
              <w:tc>
                <w:tcPr>
                  <w:tcW w:w="691"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废机油桶</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设备运维</w:t>
                  </w:r>
                </w:p>
              </w:tc>
              <w:tc>
                <w:tcPr>
                  <w:tcW w:w="375"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p>
              </w:tc>
              <w:tc>
                <w:tcPr>
                  <w:tcW w:w="720"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HW49 900-041-49</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T/In</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固态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0.02t/a</w:t>
                  </w:r>
                </w:p>
              </w:tc>
              <w:tc>
                <w:tcPr>
                  <w:tcW w:w="850"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6"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eastAsia="zh-CN"/>
                    </w:rPr>
                  </w:pPr>
                  <w:r>
                    <w:rPr>
                      <w:rFonts w:hint="default" w:ascii="Times New Roman" w:hAnsi="Times New Roman" w:eastAsia="宋体" w:cs="Times New Roman"/>
                      <w:color w:val="auto"/>
                      <w:spacing w:val="-1"/>
                      <w:sz w:val="21"/>
                      <w:szCs w:val="21"/>
                      <w:lang w:val="en-US" w:eastAsia="zh-CN"/>
                    </w:rPr>
                    <w:t>7</w:t>
                  </w:r>
                </w:p>
              </w:tc>
              <w:tc>
                <w:tcPr>
                  <w:tcW w:w="691"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废油手套</w:t>
                  </w:r>
                </w:p>
              </w:tc>
              <w:tc>
                <w:tcPr>
                  <w:tcW w:w="7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设备运维</w:t>
                  </w:r>
                </w:p>
              </w:tc>
              <w:tc>
                <w:tcPr>
                  <w:tcW w:w="375"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p>
              </w:tc>
              <w:tc>
                <w:tcPr>
                  <w:tcW w:w="720"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HW49 900-041-49</w:t>
                  </w:r>
                </w:p>
              </w:tc>
              <w:tc>
                <w:tcPr>
                  <w:tcW w:w="35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T/In</w:t>
                  </w:r>
                </w:p>
              </w:tc>
              <w:tc>
                <w:tcPr>
                  <w:tcW w:w="405"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rPr>
                    <w:t>固态</w:t>
                  </w:r>
                </w:p>
              </w:tc>
              <w:tc>
                <w:tcPr>
                  <w:tcW w:w="608" w:type="pct"/>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r>
                    <w:rPr>
                      <w:rFonts w:hint="default" w:ascii="Times New Roman" w:hAnsi="Times New Roman" w:eastAsia="宋体" w:cs="Times New Roman"/>
                      <w:color w:val="auto"/>
                      <w:spacing w:val="-1"/>
                      <w:sz w:val="21"/>
                      <w:szCs w:val="21"/>
                      <w:lang w:val="en-US"/>
                    </w:rPr>
                    <w:t>0.01t/a</w:t>
                  </w:r>
                </w:p>
              </w:tc>
              <w:tc>
                <w:tcPr>
                  <w:tcW w:w="850" w:type="pct"/>
                  <w:vMerge w:val="continue"/>
                  <w:shd w:val="clear" w:color="auto" w:fill="auto"/>
                  <w:vAlign w:val="center"/>
                </w:tcPr>
                <w:p>
                  <w:pPr>
                    <w:pStyle w:val="41"/>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sz w:val="21"/>
                      <w:szCs w:val="21"/>
                      <w:lang w:val="en-US"/>
                    </w:rPr>
                  </w:pPr>
                </w:p>
              </w:tc>
            </w:tr>
          </w:tbl>
          <w:p>
            <w:pPr>
              <w:keepNext w:val="0"/>
              <w:keepLines w:val="0"/>
              <w:pageBreakBefore w:val="0"/>
              <w:widowControl w:val="0"/>
              <w:kinsoku/>
              <w:wordWrap/>
              <w:overflowPunct/>
              <w:topLinePunct w:val="0"/>
              <w:autoSpaceDE/>
              <w:autoSpaceDN/>
              <w:bidi w:val="0"/>
              <w:adjustRightInd w:val="0"/>
              <w:snapToGrid w:val="0"/>
              <w:spacing w:before="157" w:beforeLines="50"/>
              <w:ind w:firstLine="482" w:firstLineChars="200"/>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1）一般工业固体废物</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①</w:t>
            </w:r>
            <w:r>
              <w:rPr>
                <w:rFonts w:hint="default" w:ascii="Times New Roman" w:hAnsi="Times New Roman" w:eastAsia="宋体" w:cs="Times New Roman"/>
                <w:color w:val="auto"/>
              </w:rPr>
              <w:t>生活垃圾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项目员工</w:t>
            </w:r>
            <w:r>
              <w:rPr>
                <w:rFonts w:hint="eastAsia" w:ascii="Times New Roman" w:hAnsi="Times New Roman" w:eastAsia="宋体" w:cs="Times New Roman"/>
                <w:color w:val="auto"/>
                <w:lang w:val="en-US" w:eastAsia="zh-CN"/>
              </w:rPr>
              <w:t>10</w:t>
            </w:r>
            <w:r>
              <w:rPr>
                <w:rFonts w:hint="default" w:ascii="Times New Roman" w:hAnsi="Times New Roman" w:eastAsia="宋体" w:cs="Times New Roman"/>
                <w:color w:val="auto"/>
              </w:rPr>
              <w:t>人，在厂区</w:t>
            </w:r>
            <w:r>
              <w:rPr>
                <w:rFonts w:hint="default" w:ascii="Times New Roman" w:hAnsi="Times New Roman" w:eastAsia="宋体" w:cs="Times New Roman"/>
                <w:color w:val="auto"/>
                <w:lang w:eastAsia="zh-CN"/>
              </w:rPr>
              <w:t>不安排</w:t>
            </w:r>
            <w:r>
              <w:rPr>
                <w:rFonts w:hint="default" w:ascii="Times New Roman" w:hAnsi="Times New Roman" w:eastAsia="宋体" w:cs="Times New Roman"/>
                <w:color w:val="auto"/>
              </w:rPr>
              <w:t>食宿，根据《第一次全国污染源普查 城镇生活源产排污系数手册</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社会区域类环境影响评价》（中国环境科学出版社），本项目生活垃圾按0.5kg/人·d计算；</w:t>
            </w:r>
            <w:r>
              <w:rPr>
                <w:rFonts w:hint="default" w:ascii="Times New Roman" w:hAnsi="Times New Roman" w:eastAsia="宋体" w:cs="Times New Roman"/>
                <w:color w:val="auto"/>
                <w:lang w:eastAsia="zh-CN"/>
              </w:rPr>
              <w:t>本项目</w:t>
            </w:r>
            <w:r>
              <w:rPr>
                <w:rFonts w:hint="default" w:ascii="Times New Roman" w:hAnsi="Times New Roman" w:eastAsia="宋体" w:cs="Times New Roman"/>
                <w:color w:val="auto"/>
              </w:rPr>
              <w:t>年工作</w:t>
            </w:r>
            <w:r>
              <w:rPr>
                <w:rFonts w:hint="default" w:ascii="Times New Roman" w:hAnsi="Times New Roman" w:eastAsia="宋体" w:cs="Times New Roman"/>
                <w:color w:val="auto"/>
                <w:lang w:val="en-US" w:eastAsia="zh-CN"/>
              </w:rPr>
              <w:t>300</w:t>
            </w:r>
            <w:r>
              <w:rPr>
                <w:rFonts w:hint="default" w:ascii="Times New Roman" w:hAnsi="Times New Roman" w:eastAsia="宋体" w:cs="Times New Roman"/>
                <w:color w:val="auto"/>
              </w:rPr>
              <w:t>天，则生活垃圾产生量为</w:t>
            </w:r>
            <w:r>
              <w:rPr>
                <w:rFonts w:hint="eastAsia" w:ascii="Times New Roman" w:hAnsi="Times New Roman" w:eastAsia="宋体" w:cs="Times New Roman"/>
                <w:color w:val="auto"/>
                <w:lang w:val="en-US" w:eastAsia="zh-CN"/>
              </w:rPr>
              <w:t>1.5</w:t>
            </w:r>
            <w:r>
              <w:rPr>
                <w:rFonts w:hint="default" w:ascii="Times New Roman" w:hAnsi="Times New Roman" w:eastAsia="宋体" w:cs="Times New Roman"/>
                <w:color w:val="auto"/>
              </w:rPr>
              <w:t>t/a，</w:t>
            </w:r>
            <w:r>
              <w:rPr>
                <w:rFonts w:hint="default" w:ascii="Times New Roman" w:hAnsi="Times New Roman" w:eastAsia="宋体" w:cs="Times New Roman"/>
                <w:color w:val="auto"/>
                <w:lang w:eastAsia="zh-CN"/>
              </w:rPr>
              <w:t>采用生活垃圾分类收集桶收集后</w:t>
            </w:r>
            <w:r>
              <w:rPr>
                <w:rFonts w:hint="default" w:ascii="Times New Roman" w:hAnsi="Times New Roman" w:eastAsia="宋体" w:cs="Times New Roman"/>
                <w:color w:val="auto"/>
              </w:rPr>
              <w:t>交由环卫部门外运处置。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highlight w:val="none"/>
                <w:lang w:val="en-US" w:eastAsia="zh-CN"/>
              </w:rPr>
            </w:pPr>
            <w:r>
              <w:rPr>
                <w:rFonts w:hint="eastAsia" w:eastAsia="宋体" w:cs="Times New Roman"/>
                <w:color w:val="auto"/>
                <w:kern w:val="0"/>
                <w:sz w:val="24"/>
                <w:szCs w:val="24"/>
                <w:highlight w:val="none"/>
                <w:lang w:val="en-US" w:eastAsia="zh-CN"/>
              </w:rPr>
              <w:t>②</w:t>
            </w:r>
            <w:r>
              <w:rPr>
                <w:rFonts w:hint="default" w:ascii="Times New Roman" w:hAnsi="Times New Roman" w:eastAsia="宋体" w:cs="Times New Roman"/>
                <w:color w:val="auto"/>
                <w:kern w:val="0"/>
                <w:sz w:val="24"/>
                <w:szCs w:val="24"/>
                <w:highlight w:val="none"/>
                <w:lang w:val="en-US" w:eastAsia="zh-CN"/>
              </w:rPr>
              <w:t>不合格产品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kern w:val="0"/>
                <w:sz w:val="24"/>
                <w:szCs w:val="24"/>
                <w:highlight w:val="none"/>
                <w:lang w:eastAsia="zh-CN"/>
              </w:rPr>
            </w:pPr>
            <w:r>
              <w:rPr>
                <w:rFonts w:hint="default" w:ascii="Times New Roman" w:hAnsi="Times New Roman" w:eastAsia="宋体" w:cs="Times New Roman"/>
                <w:color w:val="auto"/>
                <w:kern w:val="0"/>
                <w:sz w:val="24"/>
                <w:szCs w:val="24"/>
                <w:highlight w:val="none"/>
                <w:lang w:eastAsia="zh-CN"/>
              </w:rPr>
              <w:t>项目</w:t>
            </w:r>
            <w:r>
              <w:rPr>
                <w:rFonts w:hint="default" w:ascii="Times New Roman" w:hAnsi="Times New Roman" w:cs="Times New Roman"/>
                <w:color w:val="auto"/>
                <w:kern w:val="0"/>
                <w:sz w:val="24"/>
                <w:szCs w:val="24"/>
                <w:highlight w:val="none"/>
                <w:lang w:eastAsia="zh-CN"/>
              </w:rPr>
              <w:t>搅拌</w:t>
            </w:r>
            <w:r>
              <w:rPr>
                <w:rFonts w:hint="default" w:ascii="Times New Roman" w:hAnsi="Times New Roman" w:eastAsia="宋体" w:cs="Times New Roman"/>
                <w:color w:val="auto"/>
                <w:kern w:val="0"/>
                <w:sz w:val="24"/>
                <w:szCs w:val="24"/>
                <w:highlight w:val="none"/>
                <w:lang w:eastAsia="zh-CN"/>
              </w:rPr>
              <w:t>成型机在制砖过程会产生不合格产品，根据建设单位提供资料，按照成品砖万分之一核算，则</w:t>
            </w:r>
            <w:r>
              <w:rPr>
                <w:rFonts w:hint="default" w:ascii="Times New Roman" w:hAnsi="Times New Roman" w:eastAsia="宋体" w:cs="Times New Roman"/>
                <w:color w:val="auto"/>
                <w:kern w:val="0"/>
                <w:sz w:val="24"/>
                <w:szCs w:val="24"/>
                <w:highlight w:val="none"/>
                <w:lang w:val="en-US" w:eastAsia="zh-CN"/>
              </w:rPr>
              <w:t>制砖</w:t>
            </w:r>
            <w:r>
              <w:rPr>
                <w:rFonts w:hint="default" w:ascii="Times New Roman" w:hAnsi="Times New Roman" w:cs="Times New Roman"/>
                <w:color w:val="auto"/>
                <w:kern w:val="0"/>
                <w:sz w:val="24"/>
                <w:szCs w:val="24"/>
                <w:highlight w:val="none"/>
                <w:lang w:val="en-US" w:eastAsia="zh-CN"/>
              </w:rPr>
              <w:t>过程中</w:t>
            </w:r>
            <w:r>
              <w:rPr>
                <w:rFonts w:hint="default" w:ascii="Times New Roman" w:hAnsi="Times New Roman" w:eastAsia="宋体" w:cs="Times New Roman"/>
                <w:color w:val="auto"/>
                <w:kern w:val="0"/>
                <w:sz w:val="24"/>
                <w:szCs w:val="24"/>
                <w:highlight w:val="none"/>
                <w:lang w:eastAsia="zh-CN"/>
              </w:rPr>
              <w:t>不合格产品约</w:t>
            </w:r>
            <w:r>
              <w:rPr>
                <w:rFonts w:hint="default" w:ascii="Times New Roman" w:hAnsi="Times New Roman" w:cs="Times New Roman"/>
                <w:color w:val="auto"/>
                <w:kern w:val="0"/>
                <w:sz w:val="24"/>
                <w:szCs w:val="24"/>
                <w:highlight w:val="none"/>
                <w:lang w:val="en-US" w:eastAsia="zh-CN"/>
              </w:rPr>
              <w:t>12.5</w:t>
            </w:r>
            <w:r>
              <w:rPr>
                <w:rFonts w:hint="default" w:ascii="Times New Roman" w:hAnsi="Times New Roman" w:eastAsia="宋体" w:cs="Times New Roman"/>
                <w:color w:val="auto"/>
                <w:kern w:val="0"/>
                <w:sz w:val="24"/>
                <w:szCs w:val="24"/>
                <w:highlight w:val="none"/>
                <w:lang w:eastAsia="zh-CN"/>
              </w:rPr>
              <w:t>t/a，</w:t>
            </w:r>
            <w:r>
              <w:rPr>
                <w:rFonts w:hint="eastAsia" w:eastAsia="宋体" w:cs="Times New Roman"/>
                <w:color w:val="auto"/>
                <w:kern w:val="0"/>
                <w:sz w:val="24"/>
                <w:szCs w:val="24"/>
                <w:highlight w:val="none"/>
                <w:lang w:val="en-US" w:eastAsia="zh-CN"/>
              </w:rPr>
              <w:t>在未成型前人工捣碎后置于原料库，</w:t>
            </w:r>
            <w:r>
              <w:rPr>
                <w:rFonts w:hint="default" w:ascii="Times New Roman" w:hAnsi="Times New Roman" w:eastAsia="宋体" w:cs="Times New Roman"/>
                <w:color w:val="auto"/>
                <w:kern w:val="0"/>
                <w:sz w:val="24"/>
                <w:szCs w:val="24"/>
                <w:highlight w:val="none"/>
                <w:lang w:eastAsia="zh-CN"/>
              </w:rPr>
              <w:t>全部回用于生产。</w:t>
            </w:r>
          </w:p>
          <w:p>
            <w:pPr>
              <w:adjustRightInd w:val="0"/>
              <w:snapToGrid w:val="0"/>
              <w:ind w:firstLine="480" w:firstLineChars="20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③</w:t>
            </w:r>
            <w:r>
              <w:rPr>
                <w:rFonts w:hint="default" w:ascii="Times New Roman" w:hAnsi="Times New Roman" w:eastAsia="宋体" w:cs="Times New Roman"/>
                <w:color w:val="auto"/>
              </w:rPr>
              <w:t>除尘装置收集的粉尘</w:t>
            </w:r>
          </w:p>
          <w:p>
            <w:pPr>
              <w:adjustRightInd w:val="0"/>
              <w:snapToGrid w:val="0"/>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rPr>
              <w:t>本项目除尘装置收集的粉尘主要在搅拌工序配备的袋式除尘器、水泥筒仓配备的脉冲式布</w:t>
            </w:r>
            <w:r>
              <w:rPr>
                <w:rFonts w:hint="default" w:ascii="Times New Roman" w:hAnsi="Times New Roman" w:eastAsia="宋体" w:cs="Times New Roman"/>
                <w:color w:val="auto"/>
                <w:highlight w:val="none"/>
              </w:rPr>
              <w:t>袋除尘器。根据大气工程分析可知，本项目搅拌工序袋式除尘器收集的粉尘量约为</w:t>
            </w:r>
            <w:r>
              <w:rPr>
                <w:rFonts w:hint="default" w:ascii="Times New Roman" w:hAnsi="Times New Roman" w:eastAsia="宋体" w:cs="Times New Roman"/>
                <w:color w:val="auto"/>
                <w:highlight w:val="none"/>
                <w:lang w:val="en-US" w:eastAsia="zh-CN"/>
              </w:rPr>
              <w:t>16</w:t>
            </w:r>
            <w:r>
              <w:rPr>
                <w:rFonts w:hint="eastAsia" w:ascii="Times New Roman" w:hAnsi="Times New Roman" w:eastAsia="宋体" w:cs="Times New Roman"/>
                <w:color w:val="auto"/>
                <w:highlight w:val="none"/>
                <w:lang w:val="en-US" w:eastAsia="zh-CN"/>
              </w:rPr>
              <w:t>0.992</w:t>
            </w:r>
            <w:r>
              <w:rPr>
                <w:rFonts w:hint="default" w:ascii="Times New Roman" w:hAnsi="Times New Roman" w:eastAsia="宋体" w:cs="Times New Roman"/>
                <w:color w:val="auto"/>
                <w:highlight w:val="none"/>
              </w:rPr>
              <w:t>t/a，筒仓脉冲式除尘器收集的</w:t>
            </w:r>
            <w:r>
              <w:rPr>
                <w:rFonts w:hint="eastAsia" w:ascii="Times New Roman" w:hAnsi="Times New Roman" w:eastAsia="宋体" w:cs="Times New Roman"/>
                <w:color w:val="auto"/>
                <w:highlight w:val="none"/>
                <w:lang w:eastAsia="zh-CN"/>
              </w:rPr>
              <w:t>粉尘</w:t>
            </w:r>
            <w:r>
              <w:rPr>
                <w:rFonts w:hint="default" w:ascii="Times New Roman" w:hAnsi="Times New Roman" w:eastAsia="宋体" w:cs="Times New Roman"/>
                <w:color w:val="auto"/>
                <w:highlight w:val="none"/>
              </w:rPr>
              <w:t>量约为</w:t>
            </w:r>
            <w:r>
              <w:rPr>
                <w:rFonts w:hint="default" w:ascii="Times New Roman" w:hAnsi="Times New Roman" w:eastAsia="宋体" w:cs="Times New Roman"/>
                <w:color w:val="auto"/>
                <w:highlight w:val="none"/>
                <w:lang w:val="en-US" w:eastAsia="zh-CN"/>
              </w:rPr>
              <w:t>0.573</w:t>
            </w:r>
            <w:r>
              <w:rPr>
                <w:rFonts w:hint="default" w:ascii="Times New Roman" w:hAnsi="Times New Roman" w:eastAsia="宋体" w:cs="Times New Roman"/>
                <w:color w:val="auto"/>
                <w:highlight w:val="none"/>
              </w:rPr>
              <w:t>t/a。故本项目除尘装置收集的粉尘量为</w:t>
            </w:r>
            <w:r>
              <w:rPr>
                <w:rFonts w:hint="default" w:ascii="Times New Roman" w:hAnsi="Times New Roman" w:eastAsia="宋体" w:cs="Times New Roman"/>
                <w:color w:val="auto"/>
                <w:highlight w:val="none"/>
                <w:lang w:val="en-US" w:eastAsia="zh-CN"/>
              </w:rPr>
              <w:t>161.5</w:t>
            </w:r>
            <w:r>
              <w:rPr>
                <w:rFonts w:hint="eastAsia" w:ascii="Times New Roman" w:hAnsi="Times New Roman" w:eastAsia="宋体" w:cs="Times New Roman"/>
                <w:color w:val="auto"/>
                <w:highlight w:val="none"/>
                <w:lang w:val="en-US" w:eastAsia="zh-CN"/>
              </w:rPr>
              <w:t>65</w:t>
            </w:r>
            <w:r>
              <w:rPr>
                <w:rFonts w:hint="default" w:ascii="Times New Roman" w:hAnsi="Times New Roman" w:eastAsia="宋体" w:cs="Times New Roman"/>
                <w:color w:val="auto"/>
                <w:highlight w:val="none"/>
              </w:rPr>
              <w:t>t/a，</w:t>
            </w:r>
            <w:r>
              <w:rPr>
                <w:rFonts w:hint="eastAsia" w:eastAsia="宋体" w:cs="Times New Roman"/>
                <w:color w:val="auto"/>
                <w:highlight w:val="none"/>
                <w:lang w:val="en-US" w:eastAsia="zh-CN"/>
              </w:rPr>
              <w:t>定期清出后</w:t>
            </w:r>
            <w:r>
              <w:rPr>
                <w:rFonts w:hint="default" w:ascii="Times New Roman" w:hAnsi="Times New Roman" w:eastAsia="宋体" w:cs="Times New Roman"/>
                <w:color w:val="auto"/>
                <w:highlight w:val="none"/>
              </w:rPr>
              <w:t>回用于生产。</w:t>
            </w:r>
          </w:p>
          <w:p>
            <w:pPr>
              <w:adjustRightInd w:val="0"/>
              <w:snapToGrid w:val="0"/>
              <w:ind w:firstLine="480" w:firstLineChars="200"/>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④</w:t>
            </w:r>
            <w:r>
              <w:rPr>
                <w:rFonts w:hint="default" w:ascii="Times New Roman" w:hAnsi="Times New Roman" w:eastAsia="宋体" w:cs="Times New Roman"/>
                <w:color w:val="auto"/>
                <w:highlight w:val="none"/>
              </w:rPr>
              <w:t>沉淀池沉渣</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道路、车辆冲洗废水经沉淀池沉淀后会产生一定</w:t>
            </w:r>
            <w:r>
              <w:rPr>
                <w:rFonts w:hint="default" w:ascii="Times New Roman" w:hAnsi="Times New Roman" w:eastAsia="宋体" w:cs="Times New Roman"/>
                <w:color w:val="auto"/>
                <w:highlight w:val="none"/>
              </w:rPr>
              <w:t>量的沉渣，定期对沉淀池底泥进行清淤。根据建设单位提供资料，本项目沉淀池沉渣产生量约为</w:t>
            </w:r>
            <w:r>
              <w:rPr>
                <w:rFonts w:hint="eastAsia"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rPr>
              <w:t>.0t/a。该部</w:t>
            </w:r>
            <w:r>
              <w:rPr>
                <w:rFonts w:hint="default" w:ascii="Times New Roman" w:hAnsi="Times New Roman" w:eastAsia="宋体" w:cs="Times New Roman"/>
                <w:color w:val="auto"/>
              </w:rPr>
              <w:t>分沉渣主要成分主要为砂石，</w:t>
            </w:r>
            <w:r>
              <w:rPr>
                <w:rFonts w:hint="eastAsia" w:eastAsia="宋体" w:cs="Times New Roman"/>
                <w:color w:val="auto"/>
                <w:highlight w:val="none"/>
                <w:lang w:val="en-US" w:eastAsia="zh-CN"/>
              </w:rPr>
              <w:t>定期清出后</w:t>
            </w:r>
            <w:r>
              <w:rPr>
                <w:rFonts w:hint="default" w:ascii="Times New Roman" w:hAnsi="Times New Roman" w:eastAsia="宋体" w:cs="Times New Roman"/>
                <w:color w:val="auto"/>
              </w:rPr>
              <w:t>回用于生产。</w:t>
            </w:r>
          </w:p>
          <w:p>
            <w:pPr>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2）危险固体废物</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①废机油</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项目设备运行及生产过程中，建设单位对厂内设备机械仅进行简单的保养维护，故项目机油用量较少约为0.4t/a，废机油产生量按用量的90%计，则废机油产生量约为0.36t/a。废机油属于《国家危险废物名录》（2021年版）规定的“HW08废矿物油与含矿物油废物”类危险废物，废物代码为900-214-08，</w:t>
            </w:r>
            <w:r>
              <w:rPr>
                <w:rFonts w:hint="default" w:ascii="Times New Roman" w:hAnsi="Times New Roman" w:eastAsia="宋体" w:cs="Times New Roman"/>
                <w:color w:val="auto"/>
                <w:highlight w:val="none"/>
              </w:rPr>
              <w:t>收集后交由有</w:t>
            </w:r>
            <w:r>
              <w:rPr>
                <w:rFonts w:hint="default" w:ascii="Times New Roman" w:hAnsi="Times New Roman" w:eastAsia="宋体" w:cs="Times New Roman"/>
                <w:color w:val="auto"/>
                <w:highlight w:val="none"/>
                <w:lang w:eastAsia="zh-CN"/>
              </w:rPr>
              <w:t>危废资质单位进行</w:t>
            </w:r>
            <w:r>
              <w:rPr>
                <w:rFonts w:hint="default" w:ascii="Times New Roman" w:hAnsi="Times New Roman" w:eastAsia="宋体" w:cs="Times New Roman"/>
                <w:color w:val="auto"/>
                <w:highlight w:val="none"/>
              </w:rPr>
              <w:t>处置</w:t>
            </w:r>
            <w:r>
              <w:rPr>
                <w:rFonts w:hint="default" w:ascii="Times New Roman" w:hAnsi="Times New Roman" w:eastAsia="宋体" w:cs="Times New Roman"/>
                <w:color w:val="auto"/>
              </w:rPr>
              <w:t>。</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②废机油桶</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本项目生产过程中</w:t>
            </w:r>
            <w:r>
              <w:rPr>
                <w:rFonts w:hint="default" w:ascii="Times New Roman" w:hAnsi="Times New Roman" w:eastAsia="宋体" w:cs="Times New Roman"/>
                <w:color w:val="auto"/>
                <w:lang w:eastAsia="zh-CN"/>
              </w:rPr>
              <w:t>产生</w:t>
            </w:r>
            <w:r>
              <w:rPr>
                <w:rFonts w:hint="default" w:ascii="Times New Roman" w:hAnsi="Times New Roman" w:eastAsia="宋体" w:cs="Times New Roman"/>
                <w:color w:val="auto"/>
              </w:rPr>
              <w:t>废机油桶约2个/a，每个桶约10kg，共约0.02t/a。废机油桶属于《国家危险废物名录》（2021年版）规定的“HW49其他废物”类危险废物，废物代码为900-041-49，收集后交由有</w:t>
            </w:r>
            <w:r>
              <w:rPr>
                <w:rFonts w:hint="default" w:ascii="Times New Roman" w:hAnsi="Times New Roman" w:eastAsia="宋体" w:cs="Times New Roman"/>
                <w:color w:val="auto"/>
                <w:lang w:eastAsia="zh-CN"/>
              </w:rPr>
              <w:t>危废资质单位进行</w:t>
            </w:r>
            <w:r>
              <w:rPr>
                <w:rFonts w:hint="default" w:ascii="Times New Roman" w:hAnsi="Times New Roman" w:eastAsia="宋体" w:cs="Times New Roman"/>
                <w:color w:val="auto"/>
              </w:rPr>
              <w:t>处置。</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③废油手套</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本项目生产过程中产生</w:t>
            </w:r>
            <w:r>
              <w:rPr>
                <w:rFonts w:hint="default" w:ascii="Times New Roman" w:hAnsi="Times New Roman" w:eastAsia="宋体" w:cs="Times New Roman"/>
                <w:color w:val="auto"/>
                <w:lang w:eastAsia="zh-CN"/>
              </w:rPr>
              <w:t>的</w:t>
            </w:r>
            <w:r>
              <w:rPr>
                <w:rFonts w:hint="default" w:ascii="Times New Roman" w:hAnsi="Times New Roman" w:eastAsia="宋体" w:cs="Times New Roman"/>
                <w:color w:val="auto"/>
              </w:rPr>
              <w:t>废油手套约为0.01t/a，废油手套属于《国家危险废物名录》（2021年版）规定的“HW49其他废物”类危险废物，废物代码为900-041-49，收集后交由有</w:t>
            </w:r>
            <w:r>
              <w:rPr>
                <w:rFonts w:hint="default" w:ascii="Times New Roman" w:hAnsi="Times New Roman" w:eastAsia="宋体" w:cs="Times New Roman"/>
                <w:color w:val="auto"/>
                <w:lang w:eastAsia="zh-CN"/>
              </w:rPr>
              <w:t>危废资质单位进行</w:t>
            </w:r>
            <w:r>
              <w:rPr>
                <w:rFonts w:hint="default" w:ascii="Times New Roman" w:hAnsi="Times New Roman" w:eastAsia="宋体" w:cs="Times New Roman"/>
                <w:color w:val="auto"/>
              </w:rPr>
              <w:t>处置。</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（2）固体废物环境保护措施</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本项目产生的一般固体废物</w:t>
            </w:r>
            <w:r>
              <w:rPr>
                <w:rFonts w:hint="eastAsia" w:eastAsia="宋体" w:cs="Times New Roman"/>
                <w:color w:val="auto"/>
                <w:lang w:val="en-US" w:eastAsia="zh-CN"/>
              </w:rPr>
              <w:t>中除尘器收集的粉尘和沉淀池沉渣定期清出后直接回用于生产；不合格产品</w:t>
            </w:r>
            <w:r>
              <w:rPr>
                <w:rFonts w:hint="eastAsia" w:eastAsia="宋体" w:cs="Times New Roman"/>
                <w:color w:val="auto"/>
                <w:kern w:val="0"/>
                <w:sz w:val="24"/>
                <w:szCs w:val="24"/>
                <w:highlight w:val="none"/>
                <w:lang w:val="en-US" w:eastAsia="zh-CN"/>
              </w:rPr>
              <w:t>在未成型前人工捣碎后置于原料库，</w:t>
            </w:r>
            <w:r>
              <w:rPr>
                <w:rFonts w:hint="default" w:ascii="Times New Roman" w:hAnsi="Times New Roman" w:eastAsia="宋体" w:cs="Times New Roman"/>
                <w:color w:val="auto"/>
                <w:kern w:val="0"/>
                <w:sz w:val="24"/>
                <w:szCs w:val="24"/>
                <w:highlight w:val="none"/>
                <w:lang w:eastAsia="zh-CN"/>
              </w:rPr>
              <w:t>全部回用于生产。</w:t>
            </w:r>
            <w:r>
              <w:rPr>
                <w:rFonts w:hint="default" w:ascii="Times New Roman" w:hAnsi="Times New Roman" w:eastAsia="宋体" w:cs="Times New Roman"/>
                <w:color w:val="auto"/>
              </w:rPr>
              <w:t>满足《一般工业固体废物贮存和填埋污染控制标准》（GB 18599-2020）中有关规定，实现“减量化、资源化和无害化</w:t>
            </w:r>
            <w:r>
              <w:rPr>
                <w:rFonts w:hint="eastAsia" w:ascii="Times New Roman" w:hAnsi="Times New Roman" w:eastAsia="宋体" w:cs="Times New Roman"/>
                <w:color w:val="auto"/>
                <w:lang w:eastAsia="zh-CN"/>
              </w:rPr>
              <w:t>”</w:t>
            </w:r>
            <w:r>
              <w:rPr>
                <w:rFonts w:hint="default" w:ascii="Times New Roman" w:hAnsi="Times New Roman" w:eastAsia="宋体" w:cs="Times New Roman"/>
                <w:color w:val="auto"/>
              </w:rPr>
              <w:t>的原则，实现分类收集、分类贮存、综合利用，处置率达到100%。</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highlight w:val="none"/>
                <w:lang w:eastAsia="zh-CN"/>
              </w:rPr>
              <w:t>本项目危废贮存库</w:t>
            </w:r>
            <w:r>
              <w:rPr>
                <w:rFonts w:hint="default" w:ascii="Times New Roman" w:hAnsi="Times New Roman" w:eastAsia="宋体" w:cs="Times New Roman"/>
                <w:color w:val="auto"/>
                <w:highlight w:val="none"/>
              </w:rPr>
              <w:t>面积约</w:t>
            </w:r>
            <w:r>
              <w:rPr>
                <w:rFonts w:hint="eastAsia"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lang w:val="en-US" w:eastAsia="zh-CN"/>
              </w:rPr>
              <w:t>0</w:t>
            </w:r>
            <w:r>
              <w:rPr>
                <w:rFonts w:hint="default" w:ascii="Times New Roman" w:hAnsi="Times New Roman" w:eastAsia="宋体" w:cs="Times New Roman"/>
                <w:color w:val="auto"/>
                <w:highlight w:val="none"/>
              </w:rPr>
              <w:t>m</w:t>
            </w:r>
            <w:r>
              <w:rPr>
                <w:rFonts w:hint="default" w:ascii="Times New Roman" w:hAnsi="Times New Roman" w:eastAsia="宋体" w:cs="Times New Roman"/>
                <w:color w:val="auto"/>
                <w:highlight w:val="none"/>
                <w:vertAlign w:val="superscript"/>
              </w:rPr>
              <w:t>2</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eastAsia="zh-CN"/>
              </w:rPr>
              <w:t>危废贮存库</w:t>
            </w:r>
            <w:r>
              <w:rPr>
                <w:rFonts w:hint="default" w:ascii="Times New Roman" w:hAnsi="Times New Roman" w:eastAsia="宋体" w:cs="Times New Roman"/>
                <w:color w:val="auto"/>
              </w:rPr>
              <w:t>内采取相应的防渗漏措施，</w:t>
            </w:r>
            <w:r>
              <w:rPr>
                <w:color w:val="auto"/>
                <w:sz w:val="24"/>
              </w:rPr>
              <w:t>其防渗性能应满足《危险废物贮存污染控制标准》中6.1的规定，并将不同的危险废物堆放在塑料托盘内，具备防风、防晒、防雨、防漏、防渗、防腐等功能。评价要求，在采取上述措施后，应按照</w:t>
            </w:r>
            <w:r>
              <w:rPr>
                <w:rFonts w:cs="Times New Roman"/>
                <w:color w:val="auto"/>
              </w:rPr>
              <w:t>《危险废物识别标志设置技术规范》（HJ1276-2022）</w:t>
            </w:r>
            <w:r>
              <w:rPr>
                <w:rFonts w:hint="eastAsia" w:cs="Times New Roman"/>
                <w:color w:val="auto"/>
                <w:lang w:val="en-US" w:eastAsia="zh-CN"/>
              </w:rPr>
              <w:t>和</w:t>
            </w:r>
            <w:r>
              <w:rPr>
                <w:color w:val="auto"/>
                <w:sz w:val="24"/>
              </w:rPr>
              <w:t>《环境保护图形标志 固体废物贮存（处置）场》（GB15562.2-1995）及修改单（2023年2月23日）的规定设置警示标志。</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贮存设施污染控制要求：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①贮存设施或贮存分区内地面、墙面裙脚、堵截泄漏的围堰、接触危险废物的隔板和墙体等应采用坚固的材料建造，表面无裂缝；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②贮存设施地面与裙脚应采取表面防渗措施；表面防渗材料应与所接触的物料或污染物相容，可采用抗渗混凝土、高密度聚乙烯膜、钠基膨润土防水毯或其他防渗性能等效的材料。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③贮存的危险废物直接接触地面的，还应进行基础防渗，防渗层为至少1 m 厚黏土层（渗透系数不大于10</w:t>
            </w:r>
            <w:r>
              <w:rPr>
                <w:rFonts w:hint="eastAsia" w:ascii="Times New Roman" w:hAnsi="Times New Roman" w:eastAsia="宋体" w:cs="Times New Roman"/>
                <w:color w:val="auto"/>
                <w:sz w:val="24"/>
                <w:szCs w:val="32"/>
                <w:vertAlign w:val="superscript"/>
                <w:lang w:val="en-US" w:eastAsia="zh-CN"/>
              </w:rPr>
              <w:t>-7</w:t>
            </w:r>
            <w:r>
              <w:rPr>
                <w:rFonts w:hint="eastAsia" w:ascii="Times New Roman" w:hAnsi="Times New Roman" w:eastAsia="宋体" w:cs="Times New Roman"/>
                <w:color w:val="auto"/>
                <w:sz w:val="24"/>
                <w:szCs w:val="32"/>
                <w:lang w:val="en-US" w:eastAsia="zh-CN"/>
              </w:rPr>
              <w:t>cm/s），或至少2mm厚高密度聚乙烯膜等人工防渗材料（渗透系数不大于10</w:t>
            </w:r>
            <w:r>
              <w:rPr>
                <w:rFonts w:hint="eastAsia" w:ascii="Times New Roman" w:hAnsi="Times New Roman" w:eastAsia="宋体" w:cs="Times New Roman"/>
                <w:color w:val="auto"/>
                <w:sz w:val="24"/>
                <w:szCs w:val="32"/>
                <w:vertAlign w:val="superscript"/>
                <w:lang w:val="en-US" w:eastAsia="zh-CN"/>
              </w:rPr>
              <w:t>-10</w:t>
            </w:r>
            <w:r>
              <w:rPr>
                <w:rFonts w:hint="eastAsia" w:ascii="Times New Roman" w:hAnsi="Times New Roman" w:eastAsia="宋体" w:cs="Times New Roman"/>
                <w:color w:val="auto"/>
                <w:sz w:val="24"/>
                <w:szCs w:val="32"/>
                <w:lang w:val="en-US" w:eastAsia="zh-CN"/>
              </w:rPr>
              <w:t>cm/s），或其他防渗性能等效的材料。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④同一贮存设施宜采用相同的防渗、防腐工艺（包括防渗、防腐结构或材料），防渗、防腐材料应覆盖所有可能与废物及其渗滤液、渗漏液等接触的构筑物表面；采用不同防渗、防腐工艺应分别建设贮存分区。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⑤贮存设施应采取技术和管理措施防止无关人员进入。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⑥贮存库内不同贮存分区之间应采取隔离措施。隔离措施可根据危险废物特性采用过道、隔板或隔墙等方式；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⑦在贮存库内或通过贮存分区方式贮存液态危险废物的，应具有液体泄漏堵截设施，堵截设施最小容积不应低于对应贮存区域最大液态废物容器容积或液态废物总储量1/10（二者取较大者）。</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容器和包装物的污染控制要求：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①容器和包装物材质、内衬应与盛装的危险废物相容。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②针对不同类别、形态、物理化学性质的危险废物，其容器和包装物应满足相应的防渗、防漏、防腐和强度等要求。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③硬质容器和包装物及其支护结构堆叠码放时不应有明显变形，无破损泄漏。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④柔性容器和包装物堆叠码放时应封口严密，无破损泄漏。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⑤使用容器盛装液态、半固态危险废物时，容器内部应留有适当的空间，以适应因温度变化等可能引发的收缩和膨胀，防止其导致容器渗漏或永久变形。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⑥容器和包装物外表面应保持清洁。</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b/>
                <w:bCs/>
                <w:color w:val="auto"/>
                <w:sz w:val="24"/>
                <w:szCs w:val="32"/>
                <w:lang w:val="en-US" w:eastAsia="zh-CN"/>
              </w:rPr>
              <w:t>贮存设施运行环境管理要求：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①危险废物存入贮存设施前应对危险废物类别和特性与危险废物标签等危险废物识别标志的一致性进行核验，不一致的或类别、特性不明的不应存入。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②应定期检查危险废物的贮存状况，及时清理贮存设施地面，更换破损泄漏的危险废物贮存容器和包装物，保证堆存危险废物的防雨、防风、防扬尘等设施功能完好。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③作业设备及车辆等结束作业离开贮存设施时，应对其残留的危险废物进行清理，清理的废物或清洗废水应收集处理。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④贮存设施运行期间，应按国家有关标准和规定建立危险废物管理台账并保存。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⑤贮存设施所有者或运营者应建立贮存设施环境管理制度、管理人员岗位职责制度、设施运行操作制度、人员岗位培训制度等。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⑥贮存设施所有者或运营者应依据国家土壤和地下水污染防治的有关规定，结合贮存设施特点建立土壤和地下水污染隐患排查制度，并定期开展隐患排查；发现隐患应及时采取措施消除隐患，并建立档案。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⑦贮存设施所有者或运营者应建立贮存设施全部档案，包括设计、施工、验收、运行、监测和环境应急等，应按国家有关档案管理的法律法规进行整理和归档。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sz w:val="24"/>
                <w:szCs w:val="32"/>
                <w:lang w:val="en-US" w:eastAsia="zh-CN"/>
              </w:rPr>
            </w:pPr>
            <w:r>
              <w:rPr>
                <w:rFonts w:hint="eastAsia" w:ascii="Times New Roman" w:hAnsi="Times New Roman" w:eastAsia="宋体" w:cs="Times New Roman"/>
                <w:b/>
                <w:bCs/>
                <w:color w:val="auto"/>
                <w:sz w:val="24"/>
                <w:szCs w:val="32"/>
                <w:lang w:val="en-US" w:eastAsia="zh-CN"/>
              </w:rPr>
              <w:t>危险废物标识管理：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32"/>
                <w:lang w:val="en-US" w:eastAsia="zh-CN"/>
              </w:rPr>
            </w:pPr>
            <w:r>
              <w:rPr>
                <w:rFonts w:hint="eastAsia" w:ascii="Times New Roman" w:hAnsi="Times New Roman" w:eastAsia="宋体" w:cs="Times New Roman"/>
                <w:color w:val="auto"/>
                <w:sz w:val="24"/>
                <w:szCs w:val="32"/>
                <w:lang w:val="en-US" w:eastAsia="zh-CN"/>
              </w:rPr>
              <w:t>危险废物贮存设施必须按《</w:t>
            </w:r>
            <w:r>
              <w:rPr>
                <w:rFonts w:hint="eastAsia" w:eastAsia="宋体" w:cs="Times New Roman"/>
                <w:color w:val="auto"/>
                <w:sz w:val="24"/>
                <w:szCs w:val="32"/>
                <w:lang w:val="en-US" w:eastAsia="zh-CN"/>
              </w:rPr>
              <w:t>环境保护图形标志 固体废物贮存（处置）场</w:t>
            </w:r>
            <w:r>
              <w:rPr>
                <w:rFonts w:hint="eastAsia" w:ascii="Times New Roman" w:hAnsi="Times New Roman" w:eastAsia="宋体" w:cs="Times New Roman"/>
                <w:color w:val="auto"/>
                <w:sz w:val="24"/>
                <w:szCs w:val="32"/>
                <w:lang w:val="en-US" w:eastAsia="zh-CN"/>
              </w:rPr>
              <w:t>》（GB 15562.2-1995）及其2023年修改单的要求、《危险废物识别标志设置技术规范》（HJ 1276-2022）中的规定，规范立标设置环保标识牌。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auto"/>
                <w:spacing w:val="0"/>
                <w:sz w:val="24"/>
                <w:szCs w:val="24"/>
              </w:rPr>
            </w:pPr>
            <w:r>
              <w:rPr>
                <w:rFonts w:hint="default" w:ascii="Times New Roman" w:hAnsi="Times New Roman" w:cs="Times New Roman"/>
                <w:bCs/>
                <w:color w:val="auto"/>
                <w:spacing w:val="0"/>
                <w:sz w:val="24"/>
                <w:szCs w:val="24"/>
                <w:lang w:val="en-US" w:eastAsia="zh-CN"/>
              </w:rPr>
              <w:t>综上所述，本项目产生的固体废弃物经上述处理处置后，处理处置率达100％，符合国家固体废弃物处理处置政策，对环境产生影响较小，处理处置措施可行。</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5、土壤和地下水环境影响分析</w:t>
            </w:r>
          </w:p>
          <w:p>
            <w:pPr>
              <w:adjustRightInd w:val="0"/>
              <w:snapToGrid/>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项目产生的废水均可得到合理处置</w:t>
            </w:r>
            <w:r>
              <w:rPr>
                <w:rFonts w:hint="eastAsia" w:cs="Times New Roman"/>
                <w:color w:val="auto"/>
                <w:sz w:val="24"/>
                <w:szCs w:val="24"/>
                <w:lang w:val="en-US" w:eastAsia="zh-CN"/>
              </w:rPr>
              <w:t>或</w:t>
            </w:r>
            <w:r>
              <w:rPr>
                <w:rFonts w:hint="default" w:ascii="Times New Roman" w:hAnsi="Times New Roman" w:eastAsia="宋体" w:cs="Times New Roman"/>
                <w:color w:val="auto"/>
                <w:sz w:val="24"/>
                <w:szCs w:val="24"/>
                <w:lang w:val="en-US" w:eastAsia="zh-CN"/>
              </w:rPr>
              <w:t>回用于生产</w:t>
            </w:r>
            <w:r>
              <w:rPr>
                <w:rFonts w:hint="eastAsia" w:cs="Times New Roman"/>
                <w:color w:val="auto"/>
                <w:sz w:val="24"/>
                <w:szCs w:val="24"/>
                <w:lang w:val="en-US" w:eastAsia="zh-CN"/>
              </w:rPr>
              <w:t>。厂区地面做硬化处理，</w:t>
            </w:r>
            <w:r>
              <w:rPr>
                <w:rFonts w:hint="default" w:ascii="Times New Roman" w:hAnsi="Times New Roman" w:eastAsia="宋体" w:cs="Times New Roman"/>
                <w:color w:val="auto"/>
                <w:sz w:val="24"/>
                <w:szCs w:val="24"/>
                <w:lang w:val="en-US" w:eastAsia="zh-CN"/>
              </w:rPr>
              <w:t>化粪池</w:t>
            </w:r>
            <w:r>
              <w:rPr>
                <w:rFonts w:hint="eastAsia" w:cs="Times New Roman"/>
                <w:color w:val="auto"/>
                <w:sz w:val="24"/>
                <w:szCs w:val="24"/>
                <w:lang w:val="en-US" w:eastAsia="zh-CN"/>
              </w:rPr>
              <w:t>、沉淀池、危废贮存库等区域均</w:t>
            </w:r>
            <w:r>
              <w:rPr>
                <w:rFonts w:hint="default" w:ascii="Times New Roman" w:hAnsi="Times New Roman" w:eastAsia="宋体" w:cs="Times New Roman"/>
                <w:color w:val="auto"/>
                <w:sz w:val="24"/>
                <w:szCs w:val="24"/>
                <w:lang w:val="en-US" w:eastAsia="zh-CN"/>
              </w:rPr>
              <w:t>做防渗处理，不会导致污染物的地表漫流及垂直入渗。</w:t>
            </w:r>
            <w:r>
              <w:rPr>
                <w:rFonts w:hint="eastAsia" w:cs="Times New Roman"/>
                <w:color w:val="auto"/>
                <w:sz w:val="24"/>
                <w:szCs w:val="24"/>
                <w:lang w:val="en-US" w:eastAsia="zh-CN"/>
              </w:rPr>
              <w:t>因此废水和固体废弃物均不存在土壤、地下水污染途径。</w:t>
            </w:r>
          </w:p>
          <w:p>
            <w:pPr>
              <w:adjustRightInd w:val="0"/>
              <w:snapToGrid/>
              <w:spacing w:line="360" w:lineRule="auto"/>
              <w:ind w:firstLine="480" w:firstLineChars="200"/>
              <w:rPr>
                <w:rFonts w:hint="eastAsia" w:cs="Times New Roman"/>
                <w:color w:val="auto"/>
                <w:sz w:val="24"/>
                <w:szCs w:val="24"/>
                <w:lang w:val="en-US" w:eastAsia="zh-CN"/>
              </w:rPr>
            </w:pPr>
            <w:r>
              <w:rPr>
                <w:rFonts w:cs="Times New Roman"/>
                <w:color w:val="auto"/>
              </w:rPr>
              <w:t>本项目所在地周边有裸露地表，</w:t>
            </w:r>
            <w:r>
              <w:rPr>
                <w:rFonts w:hint="default" w:ascii="Times New Roman" w:hAnsi="Times New Roman" w:eastAsia="宋体" w:cs="Times New Roman"/>
                <w:color w:val="auto"/>
                <w:sz w:val="24"/>
                <w:szCs w:val="24"/>
                <w:lang w:val="en-US" w:eastAsia="zh-CN"/>
              </w:rPr>
              <w:t>本项目</w:t>
            </w:r>
            <w:r>
              <w:rPr>
                <w:rFonts w:hint="eastAsia" w:cs="Times New Roman"/>
                <w:color w:val="auto"/>
                <w:sz w:val="24"/>
                <w:szCs w:val="24"/>
                <w:lang w:val="en-US" w:eastAsia="zh-CN"/>
              </w:rPr>
              <w:t>大气</w:t>
            </w:r>
            <w:r>
              <w:rPr>
                <w:rFonts w:hint="default" w:ascii="Times New Roman" w:hAnsi="Times New Roman" w:eastAsia="宋体" w:cs="Times New Roman"/>
                <w:color w:val="auto"/>
                <w:sz w:val="24"/>
                <w:szCs w:val="24"/>
                <w:lang w:val="en-US" w:eastAsia="zh-CN"/>
              </w:rPr>
              <w:t>污染</w:t>
            </w:r>
            <w:r>
              <w:rPr>
                <w:rFonts w:hint="eastAsia" w:cs="Times New Roman"/>
                <w:color w:val="auto"/>
                <w:sz w:val="24"/>
                <w:szCs w:val="24"/>
                <w:lang w:val="en-US" w:eastAsia="zh-CN"/>
              </w:rPr>
              <w:t>物</w:t>
            </w:r>
            <w:r>
              <w:rPr>
                <w:rFonts w:hint="default" w:ascii="Times New Roman" w:hAnsi="Times New Roman" w:eastAsia="宋体" w:cs="Times New Roman"/>
                <w:color w:val="auto"/>
                <w:sz w:val="24"/>
                <w:szCs w:val="24"/>
                <w:lang w:val="en-US" w:eastAsia="zh-CN"/>
              </w:rPr>
              <w:t>主要为破碎、搅拌、物料运输等过程中产生的</w:t>
            </w:r>
            <w:r>
              <w:rPr>
                <w:rFonts w:hint="eastAsia" w:cs="Times New Roman"/>
                <w:color w:val="auto"/>
                <w:sz w:val="24"/>
                <w:szCs w:val="24"/>
                <w:lang w:val="en-US" w:eastAsia="zh-CN"/>
              </w:rPr>
              <w:t>颗粒物，不属于土壤污染因子。原辅材料堆存及生产作业均在封闭式厂房内进行，</w:t>
            </w:r>
            <w:r>
              <w:rPr>
                <w:rFonts w:hint="default" w:ascii="Times New Roman" w:hAnsi="Times New Roman" w:eastAsia="宋体" w:cs="Times New Roman"/>
                <w:color w:val="auto"/>
                <w:sz w:val="24"/>
                <w:szCs w:val="24"/>
                <w:lang w:val="en-US" w:eastAsia="zh-CN"/>
              </w:rPr>
              <w:t>且</w:t>
            </w:r>
            <w:r>
              <w:rPr>
                <w:rFonts w:hint="default" w:ascii="Times New Roman" w:hAnsi="Times New Roman" w:cs="Times New Roman"/>
                <w:color w:val="auto"/>
                <w:sz w:val="24"/>
                <w:szCs w:val="24"/>
                <w:lang w:val="en-US" w:eastAsia="zh-CN"/>
              </w:rPr>
              <w:t>装配有</w:t>
            </w:r>
            <w:r>
              <w:rPr>
                <w:rFonts w:hint="default" w:ascii="Times New Roman" w:hAnsi="Times New Roman" w:eastAsia="宋体" w:cs="Times New Roman"/>
                <w:color w:val="auto"/>
                <w:sz w:val="24"/>
                <w:szCs w:val="24"/>
                <w:lang w:val="en-US" w:eastAsia="zh-CN"/>
              </w:rPr>
              <w:t>喷淋装置；搅拌粉尘</w:t>
            </w:r>
            <w:r>
              <w:rPr>
                <w:rFonts w:hint="eastAsia" w:cs="Times New Roman"/>
                <w:color w:val="auto"/>
                <w:sz w:val="24"/>
                <w:szCs w:val="24"/>
                <w:lang w:val="en-US" w:eastAsia="zh-CN"/>
              </w:rPr>
              <w:t>分别</w:t>
            </w:r>
            <w:r>
              <w:rPr>
                <w:rFonts w:hint="default" w:ascii="Times New Roman" w:hAnsi="Times New Roman" w:eastAsia="宋体" w:cs="Times New Roman"/>
                <w:color w:val="auto"/>
                <w:sz w:val="24"/>
                <w:szCs w:val="24"/>
                <w:lang w:val="en-US" w:eastAsia="zh-CN"/>
              </w:rPr>
              <w:t>通过集气</w:t>
            </w:r>
            <w:r>
              <w:rPr>
                <w:rFonts w:hint="eastAsia" w:cs="Times New Roman"/>
                <w:color w:val="auto"/>
                <w:sz w:val="24"/>
                <w:szCs w:val="24"/>
                <w:lang w:val="en-US" w:eastAsia="zh-CN"/>
              </w:rPr>
              <w:t>设备</w:t>
            </w:r>
            <w:r>
              <w:rPr>
                <w:rFonts w:hint="default" w:ascii="Times New Roman" w:hAnsi="Times New Roman" w:eastAsia="宋体" w:cs="Times New Roman"/>
                <w:color w:val="auto"/>
                <w:sz w:val="24"/>
                <w:szCs w:val="24"/>
                <w:lang w:val="en-US" w:eastAsia="zh-CN"/>
              </w:rPr>
              <w:t>收集后经袋式除尘器处理</w:t>
            </w:r>
            <w:r>
              <w:rPr>
                <w:rFonts w:hint="eastAsia" w:eastAsia="宋体" w:cs="Times New Roman"/>
                <w:color w:val="auto"/>
                <w:sz w:val="24"/>
                <w:szCs w:val="24"/>
                <w:lang w:val="en-US" w:eastAsia="zh-CN"/>
              </w:rPr>
              <w:t>在厂房内无组织</w:t>
            </w:r>
            <w:r>
              <w:rPr>
                <w:rFonts w:hint="default" w:ascii="Times New Roman" w:hAnsi="Times New Roman" w:eastAsia="宋体" w:cs="Times New Roman"/>
                <w:color w:val="auto"/>
                <w:sz w:val="24"/>
                <w:szCs w:val="24"/>
                <w:lang w:val="en-US" w:eastAsia="zh-CN"/>
              </w:rPr>
              <w:t>排放</w:t>
            </w:r>
            <w:r>
              <w:rPr>
                <w:rFonts w:hint="eastAsia" w:cs="Times New Roman"/>
                <w:color w:val="auto"/>
                <w:sz w:val="24"/>
                <w:szCs w:val="24"/>
                <w:lang w:val="en-US" w:eastAsia="zh-CN"/>
              </w:rPr>
              <w:t>；水泥筒仓粉尘经脉冲式袋式除尘器处理后厂房内无组织排放；</w:t>
            </w:r>
            <w:r>
              <w:rPr>
                <w:rFonts w:hint="default" w:ascii="Times New Roman" w:hAnsi="Times New Roman" w:eastAsia="宋体" w:cs="Times New Roman"/>
                <w:color w:val="auto"/>
                <w:sz w:val="24"/>
                <w:szCs w:val="24"/>
                <w:lang w:val="en-US" w:eastAsia="zh-CN"/>
              </w:rPr>
              <w:t>运输车辆扬尘等经喷雾、洒水等治理后</w:t>
            </w:r>
            <w:r>
              <w:rPr>
                <w:rFonts w:hint="eastAsia" w:cs="Times New Roman"/>
                <w:color w:val="auto"/>
                <w:sz w:val="24"/>
                <w:szCs w:val="24"/>
                <w:lang w:val="en-US" w:eastAsia="zh-CN"/>
              </w:rPr>
              <w:t>，本项目</w:t>
            </w:r>
            <w:r>
              <w:rPr>
                <w:rFonts w:hint="default" w:ascii="Times New Roman" w:hAnsi="Times New Roman" w:eastAsia="宋体" w:cs="Times New Roman"/>
                <w:color w:val="auto"/>
                <w:sz w:val="24"/>
                <w:szCs w:val="24"/>
                <w:lang w:val="en-US" w:eastAsia="zh-CN"/>
              </w:rPr>
              <w:t>颗粒物排放</w:t>
            </w:r>
            <w:r>
              <w:rPr>
                <w:rFonts w:hint="default" w:ascii="Times New Roman" w:hAnsi="Times New Roman" w:cs="Times New Roman"/>
                <w:color w:val="auto"/>
                <w:sz w:val="24"/>
                <w:szCs w:val="24"/>
                <w:lang w:val="en-US" w:eastAsia="zh-CN"/>
              </w:rPr>
              <w:t>可得到有效控制</w:t>
            </w:r>
            <w:r>
              <w:rPr>
                <w:rFonts w:hint="default" w:ascii="Times New Roman" w:hAnsi="Times New Roman" w:eastAsia="宋体" w:cs="Times New Roman"/>
                <w:color w:val="auto"/>
                <w:sz w:val="24"/>
                <w:szCs w:val="24"/>
                <w:lang w:val="en-US" w:eastAsia="zh-CN"/>
              </w:rPr>
              <w:t>。</w:t>
            </w:r>
          </w:p>
          <w:p>
            <w:pPr>
              <w:adjustRightInd w:val="0"/>
              <w:snapToGrid w:val="0"/>
              <w:ind w:firstLine="480" w:firstLineChars="200"/>
              <w:rPr>
                <w:rFonts w:hint="eastAsia" w:cs="Times New Roman" w:eastAsiaTheme="minorEastAsia"/>
                <w:color w:val="auto"/>
                <w:lang w:eastAsia="zh-CN"/>
              </w:rPr>
            </w:pPr>
            <w:r>
              <w:rPr>
                <w:rFonts w:cs="Times New Roman"/>
                <w:color w:val="auto"/>
              </w:rPr>
              <w:t>综上所述，建设单位在做好土壤和地下水污染防控措施和日常管理维护工作后，项目的运行不会对项目所在区域的土壤和地下水环境产生影响</w:t>
            </w:r>
            <w:r>
              <w:rPr>
                <w:rFonts w:hint="eastAsia" w:cs="Times New Roman"/>
                <w:color w:val="auto"/>
                <w:lang w:eastAsia="zh-CN"/>
              </w:rPr>
              <w:t>。</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6、环境风险影响分析</w:t>
            </w:r>
          </w:p>
          <w:p>
            <w:pPr>
              <w:adjustRightInd w:val="0"/>
              <w:snapToGrid w:val="0"/>
              <w:ind w:firstLine="480" w:firstLineChars="200"/>
              <w:rPr>
                <w:rFonts w:hint="default" w:ascii="Times New Roman" w:hAnsi="Times New Roman" w:eastAsia="宋体" w:cs="Times New Roman"/>
                <w:color w:val="auto"/>
                <w:lang w:val="zh-CN"/>
              </w:rPr>
            </w:pPr>
            <w:r>
              <w:rPr>
                <w:rFonts w:hint="default" w:ascii="Times New Roman" w:hAnsi="Times New Roman" w:eastAsia="宋体" w:cs="Times New Roman"/>
                <w:color w:val="auto"/>
                <w:kern w:val="0"/>
                <w:sz w:val="24"/>
                <w:szCs w:val="24"/>
                <w:highlight w:val="none"/>
                <w:lang w:val="zh-CN"/>
              </w:rPr>
              <w:t>项目设备运行及加工过程中对设备进行简单的保养，会用到少量的可燃危险化学品机油，产生少量的废机油。在储存和使用的过程中，如果管理操作不当或发生意外事故，存在</w:t>
            </w:r>
            <w:r>
              <w:rPr>
                <w:rFonts w:hint="eastAsia" w:eastAsia="宋体" w:cs="Times New Roman"/>
                <w:color w:val="auto"/>
                <w:kern w:val="0"/>
                <w:sz w:val="24"/>
                <w:szCs w:val="24"/>
                <w:highlight w:val="none"/>
                <w:lang w:val="zh-CN"/>
              </w:rPr>
              <w:t>着</w:t>
            </w:r>
            <w:r>
              <w:rPr>
                <w:rFonts w:hint="default" w:ascii="Times New Roman" w:hAnsi="Times New Roman" w:eastAsia="宋体" w:cs="Times New Roman"/>
                <w:color w:val="auto"/>
                <w:kern w:val="0"/>
                <w:sz w:val="24"/>
                <w:szCs w:val="24"/>
                <w:highlight w:val="none"/>
                <w:lang w:val="zh-CN"/>
              </w:rPr>
              <w:t>火、</w:t>
            </w:r>
            <w:r>
              <w:rPr>
                <w:rFonts w:hint="eastAsia" w:eastAsia="宋体" w:cs="Times New Roman"/>
                <w:color w:val="auto"/>
                <w:kern w:val="0"/>
                <w:sz w:val="24"/>
                <w:szCs w:val="24"/>
                <w:highlight w:val="none"/>
                <w:lang w:val="zh-CN"/>
              </w:rPr>
              <w:t>泄漏</w:t>
            </w:r>
            <w:r>
              <w:rPr>
                <w:rFonts w:hint="default" w:ascii="Times New Roman" w:hAnsi="Times New Roman" w:eastAsia="宋体" w:cs="Times New Roman"/>
                <w:color w:val="auto"/>
                <w:kern w:val="0"/>
                <w:sz w:val="24"/>
                <w:szCs w:val="24"/>
                <w:highlight w:val="none"/>
                <w:lang w:val="zh-CN"/>
              </w:rPr>
              <w:t>等事故风险。一旦发生这类事故，会对周围环境和人员的安全产生重大隐患。</w:t>
            </w:r>
          </w:p>
          <w:p>
            <w:pPr>
              <w:pStyle w:val="21"/>
              <w:rPr>
                <w:rFonts w:hint="default" w:ascii="Times New Roman" w:hAnsi="Times New Roman" w:eastAsia="宋体" w:cs="Times New Roman"/>
                <w:color w:val="auto"/>
              </w:rPr>
            </w:pPr>
            <w:r>
              <w:rPr>
                <w:rFonts w:hint="default" w:ascii="Times New Roman" w:hAnsi="Times New Roman" w:eastAsia="宋体" w:cs="Times New Roman"/>
                <w:color w:val="auto"/>
              </w:rPr>
              <w:t>（1）风险源调查</w:t>
            </w:r>
          </w:p>
          <w:p>
            <w:pPr>
              <w:adjustRightInd w:val="0"/>
              <w:snapToGrid w:val="0"/>
              <w:ind w:firstLine="480" w:firstLineChars="200"/>
              <w:rPr>
                <w:rFonts w:hint="default" w:ascii="Times New Roman" w:hAnsi="Times New Roman" w:eastAsia="宋体" w:cs="Times New Roman"/>
                <w:color w:val="auto"/>
                <w:lang w:val="zh-CN"/>
              </w:rPr>
            </w:pPr>
            <w:r>
              <w:rPr>
                <w:rFonts w:hint="default" w:ascii="Times New Roman" w:hAnsi="Times New Roman" w:eastAsia="宋体" w:cs="Times New Roman"/>
                <w:color w:val="auto"/>
                <w:lang w:val="zh-CN"/>
              </w:rPr>
              <w:t>根据建设项目危险物质数量和分布情况、生产工艺特点，以及参考《建设项目环境风险评价技术导则》（HJ69-2018）可知本项目运营过程中投入和产出中涉及的危险物质为：机油、废机油。</w:t>
            </w:r>
          </w:p>
          <w:p>
            <w:pPr>
              <w:adjustRightInd w:val="0"/>
              <w:snapToGrid w:val="0"/>
              <w:spacing w:line="240" w:lineRule="auto"/>
              <w:jc w:val="center"/>
              <w:rPr>
                <w:rFonts w:hint="default" w:ascii="Times New Roman" w:hAnsi="Times New Roman" w:eastAsia="宋体" w:cs="Times New Roman"/>
                <w:b/>
                <w:color w:val="auto"/>
                <w:sz w:val="22"/>
              </w:rPr>
            </w:pPr>
            <w:r>
              <w:rPr>
                <w:rFonts w:hint="default" w:ascii="Times New Roman" w:hAnsi="Times New Roman" w:eastAsia="宋体" w:cs="Times New Roman"/>
                <w:b/>
                <w:color w:val="auto"/>
                <w:sz w:val="22"/>
              </w:rPr>
              <w:t>表4-</w:t>
            </w:r>
            <w:r>
              <w:rPr>
                <w:rFonts w:hint="default" w:ascii="Times New Roman" w:hAnsi="Times New Roman" w:eastAsia="宋体" w:cs="Times New Roman"/>
                <w:b/>
                <w:color w:val="auto"/>
                <w:sz w:val="22"/>
                <w:lang w:val="en-US" w:eastAsia="zh-CN"/>
              </w:rPr>
              <w:t>1</w:t>
            </w:r>
            <w:r>
              <w:rPr>
                <w:rFonts w:hint="eastAsia" w:ascii="Times New Roman" w:hAnsi="Times New Roman" w:eastAsia="宋体" w:cs="Times New Roman"/>
                <w:b/>
                <w:color w:val="auto"/>
                <w:sz w:val="22"/>
                <w:lang w:val="en-US" w:eastAsia="zh-CN"/>
              </w:rPr>
              <w:t>0</w:t>
            </w:r>
            <w:r>
              <w:rPr>
                <w:rFonts w:hint="default" w:ascii="Times New Roman" w:hAnsi="Times New Roman" w:eastAsia="宋体" w:cs="Times New Roman"/>
                <w:b/>
                <w:color w:val="auto"/>
                <w:sz w:val="22"/>
              </w:rPr>
              <w:t xml:space="preserve"> 建设项目环境风险识别表</w:t>
            </w:r>
          </w:p>
          <w:tbl>
            <w:tblPr>
              <w:tblStyle w:val="22"/>
              <w:tblW w:w="4996" w:type="pct"/>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74"/>
              <w:gridCol w:w="1306"/>
              <w:gridCol w:w="1018"/>
              <w:gridCol w:w="734"/>
              <w:gridCol w:w="931"/>
              <w:gridCol w:w="939"/>
              <w:gridCol w:w="1042"/>
              <w:gridCol w:w="114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序号</w:t>
                  </w:r>
                </w:p>
              </w:tc>
              <w:tc>
                <w:tcPr>
                  <w:tcW w:w="906"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风险源</w:t>
                  </w:r>
                </w:p>
              </w:tc>
              <w:tc>
                <w:tcPr>
                  <w:tcW w:w="707"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主要危险物质</w:t>
                  </w:r>
                </w:p>
              </w:tc>
              <w:tc>
                <w:tcPr>
                  <w:tcW w:w="551"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最大储存量t/a</w:t>
                  </w:r>
                </w:p>
              </w:tc>
              <w:tc>
                <w:tcPr>
                  <w:tcW w:w="396"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临界量t/a</w:t>
                  </w:r>
                </w:p>
              </w:tc>
              <w:tc>
                <w:tcPr>
                  <w:tcW w:w="504"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Q值</w:t>
                  </w:r>
                </w:p>
              </w:tc>
              <w:tc>
                <w:tcPr>
                  <w:tcW w:w="508"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环境风险类型</w:t>
                  </w:r>
                </w:p>
              </w:tc>
              <w:tc>
                <w:tcPr>
                  <w:tcW w:w="564"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环境影响途径</w:t>
                  </w:r>
                </w:p>
              </w:tc>
              <w:tc>
                <w:tcPr>
                  <w:tcW w:w="621" w:type="pct"/>
                  <w:shd w:val="clear" w:color="auto" w:fill="auto"/>
                  <w:vAlign w:val="center"/>
                </w:tcPr>
                <w:p>
                  <w:pPr>
                    <w:adjustRightInd w:val="0"/>
                    <w:snapToGrid w:val="0"/>
                    <w:spacing w:line="240" w:lineRule="auto"/>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可能受影响的环境敏感目标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lang w:eastAsia="zh-CN"/>
                    </w:rPr>
                  </w:pPr>
                  <w:r>
                    <w:rPr>
                      <w:rFonts w:hint="default" w:ascii="Times New Roman" w:hAnsi="Times New Roman" w:eastAsia="宋体" w:cs="Times New Roman"/>
                      <w:color w:val="auto"/>
                      <w:kern w:val="0"/>
                      <w:sz w:val="22"/>
                      <w:lang w:val="en-US" w:eastAsia="zh-CN"/>
                    </w:rPr>
                    <w:t>1</w:t>
                  </w:r>
                </w:p>
              </w:tc>
              <w:tc>
                <w:tcPr>
                  <w:tcW w:w="906"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highlight w:val="none"/>
                      <w:lang w:eastAsia="zh-CN"/>
                    </w:rPr>
                  </w:pPr>
                  <w:r>
                    <w:rPr>
                      <w:rFonts w:hint="default" w:ascii="Times New Roman" w:hAnsi="Times New Roman" w:eastAsia="宋体" w:cs="Times New Roman"/>
                      <w:color w:val="auto"/>
                      <w:sz w:val="22"/>
                      <w:highlight w:val="none"/>
                      <w:lang w:eastAsia="zh-CN"/>
                    </w:rPr>
                    <w:t>机修间</w:t>
                  </w:r>
                </w:p>
              </w:tc>
              <w:tc>
                <w:tcPr>
                  <w:tcW w:w="707"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highlight w:val="none"/>
                    </w:rPr>
                  </w:pPr>
                  <w:r>
                    <w:rPr>
                      <w:rFonts w:hint="default" w:ascii="Times New Roman" w:hAnsi="Times New Roman" w:eastAsia="宋体" w:cs="Times New Roman"/>
                      <w:color w:val="auto"/>
                      <w:sz w:val="22"/>
                      <w:highlight w:val="none"/>
                    </w:rPr>
                    <w:t>机油</w:t>
                  </w:r>
                </w:p>
              </w:tc>
              <w:tc>
                <w:tcPr>
                  <w:tcW w:w="55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lang w:val="en-US" w:eastAsia="zh-CN"/>
                    </w:rPr>
                  </w:pPr>
                  <w:r>
                    <w:rPr>
                      <w:rFonts w:hint="default" w:ascii="Times New Roman" w:hAnsi="Times New Roman" w:eastAsia="宋体" w:cs="Times New Roman"/>
                      <w:color w:val="auto"/>
                      <w:sz w:val="22"/>
                      <w:lang w:val="en-US" w:eastAsia="zh-CN"/>
                    </w:rPr>
                    <w:t>0.4</w:t>
                  </w:r>
                </w:p>
              </w:tc>
              <w:tc>
                <w:tcPr>
                  <w:tcW w:w="396"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rPr>
                  </w:pPr>
                  <w:r>
                    <w:rPr>
                      <w:rFonts w:hint="default" w:ascii="Times New Roman" w:hAnsi="Times New Roman" w:eastAsia="宋体" w:cs="Times New Roman"/>
                      <w:color w:val="auto"/>
                      <w:sz w:val="22"/>
                    </w:rPr>
                    <w:t>2500</w:t>
                  </w:r>
                </w:p>
              </w:tc>
              <w:tc>
                <w:tcPr>
                  <w:tcW w:w="504"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lang w:val="en-US" w:eastAsia="zh-CN"/>
                    </w:rPr>
                  </w:pPr>
                  <w:r>
                    <w:rPr>
                      <w:rFonts w:hint="default" w:ascii="Times New Roman" w:hAnsi="Times New Roman" w:eastAsia="宋体" w:cs="Times New Roman"/>
                      <w:color w:val="auto"/>
                      <w:sz w:val="22"/>
                    </w:rPr>
                    <w:t>0</w:t>
                  </w:r>
                  <w:r>
                    <w:rPr>
                      <w:rFonts w:hint="default" w:ascii="Times New Roman" w:hAnsi="Times New Roman" w:eastAsia="宋体" w:cs="Times New Roman"/>
                      <w:color w:val="auto"/>
                      <w:sz w:val="22"/>
                      <w:lang w:eastAsia="zh-CN"/>
                    </w:rPr>
                    <w:t>.</w:t>
                  </w:r>
                  <w:r>
                    <w:rPr>
                      <w:rFonts w:hint="default" w:ascii="Times New Roman" w:hAnsi="Times New Roman" w:eastAsia="宋体" w:cs="Times New Roman"/>
                      <w:color w:val="auto"/>
                      <w:sz w:val="22"/>
                      <w:lang w:val="en-US" w:eastAsia="zh-CN"/>
                    </w:rPr>
                    <w:t>00016</w:t>
                  </w:r>
                </w:p>
              </w:tc>
              <w:tc>
                <w:tcPr>
                  <w:tcW w:w="939"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eastAsia="宋体" w:cs="Times New Roman"/>
                      <w:color w:val="auto"/>
                      <w:kern w:val="0"/>
                      <w:sz w:val="22"/>
                      <w:szCs w:val="22"/>
                    </w:rPr>
                    <w:t>可燃、渗漏</w:t>
                  </w:r>
                </w:p>
              </w:tc>
              <w:tc>
                <w:tcPr>
                  <w:tcW w:w="1042" w:type="dxa"/>
                  <w:vMerge w:val="restart"/>
                  <w:shd w:val="clear" w:color="auto" w:fill="auto"/>
                  <w:vAlign w:val="center"/>
                </w:tcPr>
                <w:p>
                  <w:pPr>
                    <w:keepNext w:val="0"/>
                    <w:keepLines w:val="0"/>
                    <w:suppressLineNumbers w:val="0"/>
                    <w:adjustRightInd w:val="0"/>
                    <w:snapToGrid w:val="0"/>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eastAsia="宋体" w:cs="Times New Roman"/>
                      <w:color w:val="auto"/>
                      <w:kern w:val="0"/>
                      <w:sz w:val="22"/>
                      <w:szCs w:val="22"/>
                    </w:rPr>
                    <w:t>大气、水、土壤</w:t>
                  </w:r>
                </w:p>
              </w:tc>
              <w:tc>
                <w:tcPr>
                  <w:tcW w:w="62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kern w:val="0"/>
                      <w:sz w:val="22"/>
                      <w:szCs w:val="22"/>
                      <w:lang w:val="en-US" w:eastAsia="zh-CN" w:bidi="ar-SA"/>
                    </w:rPr>
                  </w:pPr>
                  <w:r>
                    <w:rPr>
                      <w:rFonts w:hint="default" w:ascii="Times New Roman" w:hAnsi="Times New Roman" w:eastAsia="宋体" w:cs="Times New Roman"/>
                      <w:color w:val="auto"/>
                      <w:kern w:val="0"/>
                      <w:sz w:val="22"/>
                      <w:szCs w:val="22"/>
                    </w:rPr>
                    <w:t>职工</w:t>
                  </w:r>
                  <w:r>
                    <w:rPr>
                      <w:rFonts w:hint="default" w:ascii="Times New Roman" w:hAnsi="Times New Roman" w:eastAsia="宋体" w:cs="Times New Roman"/>
                      <w:color w:val="auto"/>
                      <w:kern w:val="0"/>
                      <w:sz w:val="22"/>
                      <w:szCs w:val="22"/>
                      <w:lang w:eastAsia="zh-CN"/>
                    </w:rPr>
                    <w:t>及周边居民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0"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lang w:eastAsia="zh-CN"/>
                    </w:rPr>
                  </w:pPr>
                  <w:r>
                    <w:rPr>
                      <w:rFonts w:hint="default" w:ascii="Times New Roman" w:hAnsi="Times New Roman" w:eastAsia="宋体" w:cs="Times New Roman"/>
                      <w:color w:val="auto"/>
                      <w:kern w:val="0"/>
                      <w:sz w:val="22"/>
                      <w:lang w:val="en-US" w:eastAsia="zh-CN"/>
                    </w:rPr>
                    <w:t>2</w:t>
                  </w:r>
                </w:p>
              </w:tc>
              <w:tc>
                <w:tcPr>
                  <w:tcW w:w="906"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lang w:eastAsia="zh-CN"/>
                    </w:rPr>
                  </w:pPr>
                  <w:r>
                    <w:rPr>
                      <w:rFonts w:hint="default" w:ascii="Times New Roman" w:hAnsi="Times New Roman" w:eastAsia="宋体" w:cs="Times New Roman"/>
                      <w:color w:val="auto"/>
                      <w:sz w:val="22"/>
                      <w:lang w:eastAsia="zh-CN"/>
                    </w:rPr>
                    <w:t>危废贮存库</w:t>
                  </w:r>
                </w:p>
              </w:tc>
              <w:tc>
                <w:tcPr>
                  <w:tcW w:w="707"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rPr>
                  </w:pPr>
                  <w:r>
                    <w:rPr>
                      <w:rFonts w:hint="default" w:ascii="Times New Roman" w:hAnsi="Times New Roman" w:eastAsia="宋体" w:cs="Times New Roman"/>
                      <w:color w:val="auto"/>
                      <w:sz w:val="22"/>
                    </w:rPr>
                    <w:t>废机油</w:t>
                  </w:r>
                </w:p>
              </w:tc>
              <w:tc>
                <w:tcPr>
                  <w:tcW w:w="55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highlight w:val="none"/>
                      <w:lang w:val="en-US" w:eastAsia="zh-CN"/>
                    </w:rPr>
                  </w:pPr>
                  <w:r>
                    <w:rPr>
                      <w:rFonts w:hint="default" w:ascii="Times New Roman" w:hAnsi="Times New Roman" w:eastAsia="宋体" w:cs="Times New Roman"/>
                      <w:color w:val="auto"/>
                      <w:sz w:val="22"/>
                      <w:highlight w:val="none"/>
                      <w:lang w:val="en-US" w:eastAsia="zh-CN"/>
                    </w:rPr>
                    <w:t>0.32</w:t>
                  </w:r>
                </w:p>
              </w:tc>
              <w:tc>
                <w:tcPr>
                  <w:tcW w:w="396"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highlight w:val="none"/>
                    </w:rPr>
                  </w:pPr>
                  <w:r>
                    <w:rPr>
                      <w:rFonts w:hint="default" w:ascii="Times New Roman" w:hAnsi="Times New Roman" w:eastAsia="宋体" w:cs="Times New Roman"/>
                      <w:color w:val="auto"/>
                      <w:sz w:val="22"/>
                      <w:highlight w:val="none"/>
                    </w:rPr>
                    <w:t>50</w:t>
                  </w:r>
                </w:p>
              </w:tc>
              <w:tc>
                <w:tcPr>
                  <w:tcW w:w="504"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lang w:val="en-US" w:eastAsia="zh-CN"/>
                    </w:rPr>
                  </w:pPr>
                  <w:r>
                    <w:rPr>
                      <w:rFonts w:hint="default" w:ascii="Times New Roman" w:hAnsi="Times New Roman" w:eastAsia="宋体" w:cs="Times New Roman"/>
                      <w:color w:val="auto"/>
                      <w:sz w:val="22"/>
                    </w:rPr>
                    <w:t>0.</w:t>
                  </w:r>
                  <w:r>
                    <w:rPr>
                      <w:rFonts w:hint="default" w:ascii="Times New Roman" w:hAnsi="Times New Roman" w:eastAsia="宋体" w:cs="Times New Roman"/>
                      <w:color w:val="auto"/>
                      <w:sz w:val="22"/>
                      <w:lang w:val="en-US" w:eastAsia="zh-CN"/>
                    </w:rPr>
                    <w:t>0064</w:t>
                  </w:r>
                </w:p>
              </w:tc>
              <w:tc>
                <w:tcPr>
                  <w:tcW w:w="508" w:type="pct"/>
                  <w:vMerge w:val="continue"/>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p>
              </w:tc>
              <w:tc>
                <w:tcPr>
                  <w:tcW w:w="564" w:type="pct"/>
                  <w:vMerge w:val="continue"/>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p>
              </w:tc>
              <w:tc>
                <w:tcPr>
                  <w:tcW w:w="621" w:type="pct"/>
                  <w:vMerge w:val="continue"/>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01" w:type="pct"/>
                  <w:gridSpan w:val="5"/>
                  <w:shd w:val="clear" w:color="auto" w:fill="auto"/>
                  <w:vAlign w:val="center"/>
                </w:tcPr>
                <w:p>
                  <w:pPr>
                    <w:adjustRightInd w:val="0"/>
                    <w:snapToGrid w:val="0"/>
                    <w:spacing w:line="240" w:lineRule="auto"/>
                    <w:jc w:val="center"/>
                    <w:rPr>
                      <w:rFonts w:hint="default" w:ascii="Times New Roman" w:hAnsi="Times New Roman" w:eastAsia="宋体" w:cs="Times New Roman"/>
                      <w:color w:val="auto"/>
                      <w:sz w:val="22"/>
                    </w:rPr>
                  </w:pPr>
                  <w:r>
                    <w:rPr>
                      <w:rFonts w:hint="default" w:ascii="Times New Roman" w:hAnsi="Times New Roman" w:eastAsia="宋体" w:cs="Times New Roman"/>
                      <w:color w:val="auto"/>
                      <w:sz w:val="22"/>
                    </w:rPr>
                    <w:t>项目Q值合计</w:t>
                  </w:r>
                </w:p>
              </w:tc>
              <w:tc>
                <w:tcPr>
                  <w:tcW w:w="504"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rPr>
                    <w:t>0.</w:t>
                  </w:r>
                  <w:r>
                    <w:rPr>
                      <w:rFonts w:hint="default" w:ascii="Times New Roman" w:hAnsi="Times New Roman" w:eastAsia="宋体" w:cs="Times New Roman"/>
                      <w:color w:val="auto"/>
                      <w:kern w:val="0"/>
                      <w:sz w:val="22"/>
                      <w:lang w:val="en-US" w:eastAsia="zh-CN"/>
                    </w:rPr>
                    <w:t>00656</w:t>
                  </w:r>
                </w:p>
              </w:tc>
              <w:tc>
                <w:tcPr>
                  <w:tcW w:w="508"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w:t>
                  </w:r>
                </w:p>
              </w:tc>
              <w:tc>
                <w:tcPr>
                  <w:tcW w:w="564"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w:t>
                  </w:r>
                </w:p>
              </w:tc>
              <w:tc>
                <w:tcPr>
                  <w:tcW w:w="621" w:type="pct"/>
                  <w:shd w:val="clear" w:color="auto" w:fill="auto"/>
                  <w:vAlign w:val="center"/>
                </w:tcPr>
                <w:p>
                  <w:pPr>
                    <w:adjustRightInd w:val="0"/>
                    <w:snapToGrid w:val="0"/>
                    <w:spacing w:line="240" w:lineRule="auto"/>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w:t>
                  </w:r>
                </w:p>
              </w:tc>
            </w:tr>
          </w:tbl>
          <w:p>
            <w:pPr>
              <w:adjustRightInd w:val="0"/>
              <w:snapToGrid w:val="0"/>
              <w:ind w:firstLine="480" w:firstLineChars="200"/>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综上，本项目危险物质数量与临界量比值Q值的∑为0.</w:t>
            </w:r>
            <w:r>
              <w:rPr>
                <w:rFonts w:hint="default" w:ascii="Times New Roman" w:hAnsi="Times New Roman" w:eastAsia="宋体" w:cs="Times New Roman"/>
                <w:color w:val="auto"/>
                <w:lang w:val="en-US" w:eastAsia="zh-CN"/>
              </w:rPr>
              <w:t>00656</w:t>
            </w:r>
            <w:r>
              <w:rPr>
                <w:rFonts w:hint="default" w:ascii="Times New Roman" w:hAnsi="Times New Roman" w:eastAsia="宋体" w:cs="Times New Roman"/>
                <w:color w:val="auto"/>
              </w:rPr>
              <w:t>，Q＜1</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本项目</w:t>
            </w:r>
            <w:r>
              <w:rPr>
                <w:rFonts w:hint="default" w:ascii="Times New Roman" w:hAnsi="Times New Roman" w:eastAsia="宋体" w:cs="Times New Roman"/>
                <w:color w:val="auto"/>
              </w:rPr>
              <w:t>不存在重大危险源，故</w:t>
            </w:r>
            <w:r>
              <w:rPr>
                <w:rFonts w:hint="eastAsia" w:ascii="Times New Roman" w:hAnsi="Times New Roman" w:eastAsia="宋体" w:cs="Times New Roman"/>
                <w:color w:val="auto"/>
                <w:lang w:val="en-US" w:eastAsia="zh-CN"/>
              </w:rPr>
              <w:t>本次评价</w:t>
            </w:r>
            <w:r>
              <w:rPr>
                <w:rFonts w:hint="default" w:ascii="Times New Roman" w:hAnsi="Times New Roman" w:eastAsia="宋体" w:cs="Times New Roman"/>
                <w:color w:val="auto"/>
              </w:rPr>
              <w:t>做简单分析</w:t>
            </w:r>
            <w:r>
              <w:rPr>
                <w:rFonts w:hint="eastAsia" w:ascii="Times New Roman" w:hAnsi="Times New Roman" w:eastAsia="宋体" w:cs="Times New Roman"/>
                <w:color w:val="auto"/>
                <w:lang w:eastAsia="zh-CN"/>
              </w:rPr>
              <w:t>。</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（2）环境风险分析</w:t>
            </w:r>
          </w:p>
          <w:p>
            <w:pPr>
              <w:adjustRightInd w:val="0"/>
              <w:snapToGrid w:val="0"/>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本项目设备运行过程中对设备进行简单的保养，会用到少量的机油，以及产生少量的废机油。机油和废机油在储存和使用的过程中，如果管理操作不当或发生意外事故，存在</w:t>
            </w:r>
            <w:r>
              <w:rPr>
                <w:rFonts w:hint="eastAsia" w:ascii="Times New Roman" w:hAnsi="Times New Roman" w:eastAsia="宋体" w:cs="Times New Roman"/>
                <w:color w:val="auto"/>
                <w:lang w:eastAsia="zh-CN"/>
              </w:rPr>
              <w:t>着</w:t>
            </w:r>
            <w:r>
              <w:rPr>
                <w:rFonts w:hint="default" w:ascii="Times New Roman" w:hAnsi="Times New Roman" w:eastAsia="宋体" w:cs="Times New Roman"/>
                <w:color w:val="auto"/>
                <w:highlight w:val="none"/>
              </w:rPr>
              <w:t>火、</w:t>
            </w:r>
            <w:r>
              <w:rPr>
                <w:rFonts w:hint="eastAsia" w:ascii="Times New Roman" w:hAnsi="Times New Roman" w:eastAsia="宋体" w:cs="Times New Roman"/>
                <w:color w:val="auto"/>
                <w:highlight w:val="none"/>
                <w:lang w:eastAsia="zh-CN"/>
              </w:rPr>
              <w:t>泄漏</w:t>
            </w:r>
            <w:r>
              <w:rPr>
                <w:rFonts w:hint="default" w:ascii="Times New Roman" w:hAnsi="Times New Roman" w:eastAsia="宋体" w:cs="Times New Roman"/>
                <w:color w:val="auto"/>
                <w:highlight w:val="none"/>
              </w:rPr>
              <w:t>等事故</w:t>
            </w:r>
            <w:r>
              <w:rPr>
                <w:rFonts w:hint="default" w:ascii="Times New Roman" w:hAnsi="Times New Roman" w:eastAsia="宋体" w:cs="Times New Roman"/>
                <w:color w:val="auto"/>
              </w:rPr>
              <w:t>风险。一旦发生这类事故，会对周围环境和人员的安全产生重大隐患。因此，环评要求企业加强管理，增强员工责任心，定期对员工进行培训教育，加强防火意识，定期巡检，从源头上杜绝火灾事故发生，在燃料</w:t>
            </w:r>
            <w:r>
              <w:rPr>
                <w:rFonts w:hint="eastAsia" w:ascii="Times New Roman" w:hAnsi="Times New Roman" w:eastAsia="宋体" w:cs="Times New Roman"/>
                <w:color w:val="auto"/>
                <w:lang w:eastAsia="zh-CN"/>
              </w:rPr>
              <w:t>区</w:t>
            </w:r>
            <w:r>
              <w:rPr>
                <w:rFonts w:hint="default" w:ascii="Times New Roman" w:hAnsi="Times New Roman" w:eastAsia="宋体" w:cs="Times New Roman"/>
                <w:color w:val="auto"/>
              </w:rPr>
              <w:t>设</w:t>
            </w:r>
            <w:r>
              <w:rPr>
                <w:rFonts w:hint="eastAsia" w:ascii="Times New Roman" w:hAnsi="Times New Roman" w:eastAsia="宋体" w:cs="Times New Roman"/>
                <w:color w:val="auto"/>
                <w:lang w:eastAsia="zh-CN"/>
              </w:rPr>
              <w:t>禁烟</w:t>
            </w:r>
            <w:r>
              <w:rPr>
                <w:rFonts w:hint="default" w:ascii="Times New Roman" w:hAnsi="Times New Roman" w:eastAsia="宋体" w:cs="Times New Roman"/>
                <w:color w:val="auto"/>
              </w:rPr>
              <w:t>标志，并配备灭火器等。</w:t>
            </w:r>
          </w:p>
          <w:p>
            <w:pPr>
              <w:adjustRightInd w:val="0"/>
              <w:snapToGrid w:val="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（3）风险防范措施及应急措施</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为了减少机油泄漏引起火灾事故的概率以及产生的影响，本</w:t>
            </w:r>
            <w:r>
              <w:rPr>
                <w:rFonts w:hint="default" w:ascii="Times New Roman" w:hAnsi="Times New Roman" w:eastAsia="宋体" w:cs="Times New Roman"/>
                <w:color w:val="auto"/>
                <w:highlight w:val="none"/>
                <w:lang w:eastAsia="zh-CN"/>
              </w:rPr>
              <w:t>环评要求针对机油，加强对机油的管理，周边放置砂子，若发生</w:t>
            </w:r>
            <w:r>
              <w:rPr>
                <w:rFonts w:hint="eastAsia" w:ascii="Times New Roman" w:hAnsi="Times New Roman" w:eastAsia="宋体" w:cs="Times New Roman"/>
                <w:color w:val="auto"/>
                <w:highlight w:val="none"/>
                <w:lang w:eastAsia="zh-CN"/>
              </w:rPr>
              <w:t>泄漏</w:t>
            </w:r>
            <w:r>
              <w:rPr>
                <w:rFonts w:hint="default" w:ascii="Times New Roman" w:hAnsi="Times New Roman" w:eastAsia="宋体" w:cs="Times New Roman"/>
                <w:color w:val="auto"/>
                <w:highlight w:val="none"/>
                <w:lang w:eastAsia="zh-CN"/>
              </w:rPr>
              <w:t>可及时进行围堵。在生产车间内设置有应急物资如灭火器、消防砂等。针对废机油，在危废贮存库地面设置有防渗层，废油收集桶下方设置有防渗托盘、导流收集设施等。针对厂区风险管理，建设单位制定有环境</w:t>
            </w:r>
            <w:r>
              <w:rPr>
                <w:rFonts w:hint="default" w:ascii="Times New Roman" w:hAnsi="Times New Roman" w:eastAsia="宋体" w:cs="Times New Roman"/>
                <w:color w:val="auto"/>
                <w:lang w:eastAsia="zh-CN"/>
              </w:rPr>
              <w:t>管理制度、编制有突发环境事件应急预案、张贴有警示标志。针对厂区环境风险，建设单位应编制突发环境事件应急预案，并报环保局备案，且及时修正应急预案并加强演练。</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同时提出以下防范措施：</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①加强员工的安全教育，</w:t>
            </w:r>
            <w:r>
              <w:rPr>
                <w:rFonts w:hint="eastAsia" w:ascii="Times New Roman" w:hAnsi="Times New Roman" w:eastAsia="宋体" w:cs="Times New Roman"/>
                <w:color w:val="auto"/>
                <w:lang w:eastAsia="zh-CN"/>
              </w:rPr>
              <w:t>增强</w:t>
            </w:r>
            <w:r>
              <w:rPr>
                <w:rFonts w:hint="default" w:ascii="Times New Roman" w:hAnsi="Times New Roman" w:eastAsia="宋体" w:cs="Times New Roman"/>
                <w:color w:val="auto"/>
                <w:lang w:eastAsia="zh-CN"/>
              </w:rPr>
              <w:t>安全防范风险的意识；</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②针对运营中可能发生的异常情况和存在的安全隐患，设置合理可行的技术防范措施，制定严格的操作规程；</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③对易发生泄漏的部位实现定期的巡检制度，及时发现问题，尽早预防，尽快解决；</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④严格执行防火、防爆、防雷击、防毒害等各项要求；</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⑤建立健全环境管理体系和应急预警机制，设置应急措施和设施，一旦发生事故，能做到快速、高效、安全处置；</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⑥厂区内的电气设备严格按照防爆区</w:t>
            </w:r>
            <w:r>
              <w:rPr>
                <w:rFonts w:hint="eastAsia" w:ascii="Times New Roman" w:hAnsi="Times New Roman" w:eastAsia="宋体" w:cs="Times New Roman"/>
                <w:color w:val="auto"/>
                <w:lang w:eastAsia="zh-CN"/>
              </w:rPr>
              <w:t>划分</w:t>
            </w:r>
            <w:r>
              <w:rPr>
                <w:rFonts w:hint="default" w:ascii="Times New Roman" w:hAnsi="Times New Roman" w:eastAsia="宋体" w:cs="Times New Roman"/>
                <w:color w:val="auto"/>
                <w:lang w:eastAsia="zh-CN"/>
              </w:rPr>
              <w:t>配置；</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⑦</w:t>
            </w:r>
            <w:r>
              <w:rPr>
                <w:rFonts w:hint="default" w:ascii="Times New Roman" w:hAnsi="Times New Roman" w:eastAsia="宋体" w:cs="Times New Roman"/>
                <w:color w:val="auto"/>
              </w:rPr>
              <w:t>针对厂区环境风险，建设单位应编制突发环境事件应急预案，并报环保局备案，且及时</w:t>
            </w:r>
            <w:r>
              <w:rPr>
                <w:rFonts w:hint="default" w:ascii="Times New Roman" w:hAnsi="Times New Roman" w:eastAsia="宋体" w:cs="Times New Roman"/>
                <w:color w:val="auto"/>
                <w:lang w:eastAsia="zh-CN"/>
              </w:rPr>
              <w:t>修正应急预案并加强演练。</w:t>
            </w:r>
          </w:p>
          <w:p>
            <w:pPr>
              <w:adjustRightInd w:val="0"/>
              <w:snapToGrid w:val="0"/>
              <w:ind w:firstLine="480" w:firstLineChars="20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综上所述，本项目不存在重大危险源，且涉及危险品性质及生产工艺简单，在采取本次评价提出的各项风险防范措施后，环境风险较小。</w:t>
            </w:r>
          </w:p>
          <w:p>
            <w:pPr>
              <w:adjustRightInd w:val="0"/>
              <w:snapToGrid w:val="0"/>
              <w:ind w:firstLine="482" w:firstLineChars="200"/>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rPr>
              <w:t>7、绩效环保管理篇章</w:t>
            </w:r>
          </w:p>
          <w:p>
            <w:pPr>
              <w:adjustRightInd w:val="0"/>
              <w:snapToGrid w:val="0"/>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《陕西省生态环境厅关于进一步加强关中地区涉气重点行业项目环评管理的通知》（陕环环评函〔2023〕76 号）中要求“关中地区涉气重点行业新、改、扩建项目环境影响报告书（表）应编制环保绩效管理篇章，按照环办大气函〔2020〕340 号文件从建设项目的装备水平（生产工艺）、污染治理技术、排放限值、无组织管控要求、监测监控水平、环境管理水平、运输方式和管控要求等方面，专项分析</w:t>
            </w:r>
            <w:r>
              <w:rPr>
                <w:rFonts w:hint="eastAsia" w:ascii="Times New Roman" w:hAnsi="Times New Roman" w:eastAsia="宋体" w:cs="Times New Roman"/>
                <w:color w:val="auto"/>
                <w:highlight w:val="none"/>
                <w:lang w:val="en-US" w:eastAsia="zh-CN"/>
              </w:rPr>
              <w:t>本项目</w:t>
            </w:r>
            <w:r>
              <w:rPr>
                <w:rFonts w:hint="default" w:ascii="Times New Roman" w:hAnsi="Times New Roman" w:eastAsia="宋体" w:cs="Times New Roman"/>
                <w:color w:val="auto"/>
                <w:highlight w:val="none"/>
              </w:rPr>
              <w:t>建设内容、生态环境保护措施与对应环保绩效分级、绩效引领性水平的相符性”。</w:t>
            </w:r>
          </w:p>
          <w:p>
            <w:pPr>
              <w:adjustRightInd w:val="0"/>
              <w:snapToGrid w:val="0"/>
              <w:ind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本项目位于西安市周至县，建设水泥稳定材料</w:t>
            </w:r>
            <w:r>
              <w:rPr>
                <w:rFonts w:hint="default" w:ascii="Times New Roman" w:hAnsi="Times New Roman" w:eastAsia="宋体" w:cs="Times New Roman"/>
                <w:color w:val="auto"/>
                <w:highlight w:val="none"/>
                <w:lang w:eastAsia="zh-CN"/>
              </w:rPr>
              <w:t>和优质环保水泥砖</w:t>
            </w:r>
            <w:r>
              <w:rPr>
                <w:rFonts w:hint="default" w:ascii="Times New Roman" w:hAnsi="Times New Roman" w:eastAsia="宋体" w:cs="Times New Roman"/>
                <w:color w:val="auto"/>
                <w:highlight w:val="none"/>
              </w:rPr>
              <w:t>生产线，行业类别为</w:t>
            </w:r>
            <w:r>
              <w:rPr>
                <w:rFonts w:hint="default" w:eastAsia="宋体" w:cs="Times New Roman"/>
                <w:color w:val="auto"/>
                <w:highlight w:val="none"/>
              </w:rPr>
              <w:t xml:space="preserve">C302石膏、水泥制品及类似制品制造 </w:t>
            </w:r>
            <w:r>
              <w:rPr>
                <w:rFonts w:hint="default" w:ascii="Times New Roman" w:hAnsi="Times New Roman" w:eastAsia="宋体" w:cs="Times New Roman"/>
                <w:color w:val="auto"/>
                <w:highlight w:val="none"/>
              </w:rPr>
              <w:t>。属于关中地区涉气重点行业（水泥）项目，根据《重污染天气重点行业应急减排措施制定技术指南（2020年修订版）》的十五水泥中“表15-2独立粉磨站、矿渣粉、水泥制品</w:t>
            </w:r>
            <w:r>
              <w:rPr>
                <w:rFonts w:hint="default" w:ascii="Times New Roman" w:hAnsi="Times New Roman" w:eastAsia="宋体" w:cs="Times New Roman"/>
                <w:color w:val="auto"/>
                <w:highlight w:val="none"/>
                <w:vertAlign w:val="superscript"/>
              </w:rPr>
              <w:t>d</w:t>
            </w:r>
            <w:r>
              <w:rPr>
                <w:rFonts w:hint="default" w:ascii="Times New Roman" w:hAnsi="Times New Roman" w:eastAsia="宋体" w:cs="Times New Roman"/>
                <w:color w:val="auto"/>
                <w:highlight w:val="none"/>
              </w:rPr>
              <w:t>绩效引领性指标”进行建设。因此本次评价设置环保绩效管理篇章，对照环办大气函〔2020〕340号文件进行具体分析。</w:t>
            </w:r>
          </w:p>
          <w:p>
            <w:pPr>
              <w:pStyle w:val="47"/>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表4</w:t>
            </w:r>
            <w:r>
              <w:rPr>
                <w:rFonts w:hint="default"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1</w:t>
            </w:r>
            <w:r>
              <w:rPr>
                <w:rFonts w:hint="default" w:ascii="Times New Roman" w:hAnsi="Times New Roman" w:eastAsia="宋体" w:cs="Times New Roman"/>
                <w:color w:val="auto"/>
                <w:highlight w:val="none"/>
              </w:rPr>
              <w:t xml:space="preserve"> 项目与水泥制品</w:t>
            </w:r>
            <w:r>
              <w:rPr>
                <w:rFonts w:hint="default" w:ascii="Times New Roman" w:hAnsi="Times New Roman" w:eastAsia="宋体" w:cs="Times New Roman"/>
                <w:color w:val="auto"/>
                <w:highlight w:val="none"/>
                <w:vertAlign w:val="superscript"/>
              </w:rPr>
              <w:t>d</w:t>
            </w:r>
            <w:r>
              <w:rPr>
                <w:rFonts w:hint="default" w:ascii="Times New Roman" w:hAnsi="Times New Roman" w:eastAsia="宋体" w:cs="Times New Roman"/>
                <w:color w:val="auto"/>
                <w:highlight w:val="none"/>
              </w:rPr>
              <w:t>绩效引领性指标相符性分析</w:t>
            </w:r>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923"/>
              <w:gridCol w:w="3590"/>
              <w:gridCol w:w="7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引领性指标</w:t>
                  </w:r>
                </w:p>
              </w:tc>
              <w:tc>
                <w:tcPr>
                  <w:tcW w:w="2122" w:type="pct"/>
                  <w:vAlign w:val="center"/>
                </w:tcPr>
                <w:p>
                  <w:pPr>
                    <w:pStyle w:val="44"/>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水泥制品</w:t>
                  </w:r>
                </w:p>
              </w:tc>
              <w:tc>
                <w:tcPr>
                  <w:tcW w:w="1942" w:type="pct"/>
                  <w:vAlign w:val="center"/>
                </w:tcPr>
                <w:p>
                  <w:pPr>
                    <w:pStyle w:val="44"/>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企业实际情况</w:t>
                  </w:r>
                </w:p>
              </w:tc>
              <w:tc>
                <w:tcPr>
                  <w:tcW w:w="418" w:type="pct"/>
                  <w:vAlign w:val="center"/>
                </w:tcPr>
                <w:p>
                  <w:pPr>
                    <w:pStyle w:val="44"/>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相符性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能源类型</w:t>
                  </w:r>
                </w:p>
              </w:tc>
              <w:tc>
                <w:tcPr>
                  <w:tcW w:w="212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电、外购蒸汽、天然气（采用低氮燃烧）</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本项目</w:t>
                  </w:r>
                  <w:r>
                    <w:rPr>
                      <w:rFonts w:hint="default" w:ascii="Times New Roman" w:hAnsi="Times New Roman" w:eastAsia="宋体" w:cs="Times New Roman"/>
                      <w:bCs/>
                      <w:color w:val="auto"/>
                      <w:sz w:val="21"/>
                      <w:szCs w:val="21"/>
                      <w:highlight w:val="none"/>
                    </w:rPr>
                    <w:t>生产过程中采用的能源主要为电。</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排放限值</w:t>
                  </w:r>
                </w:p>
              </w:tc>
              <w:tc>
                <w:tcPr>
                  <w:tcW w:w="212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PM、NOx排放浓度不高于10、100mg/m</w:t>
                  </w:r>
                  <w:r>
                    <w:rPr>
                      <w:rFonts w:hint="default" w:ascii="Times New Roman" w:hAnsi="Times New Roman" w:eastAsia="宋体" w:cs="Times New Roman"/>
                      <w:bCs/>
                      <w:color w:val="auto"/>
                      <w:sz w:val="21"/>
                      <w:szCs w:val="21"/>
                      <w:highlight w:val="none"/>
                      <w:vertAlign w:val="superscript"/>
                    </w:rPr>
                    <w:t>3</w:t>
                  </w:r>
                  <w:r>
                    <w:rPr>
                      <w:rFonts w:hint="default" w:ascii="Times New Roman" w:hAnsi="Times New Roman" w:eastAsia="宋体" w:cs="Times New Roman"/>
                      <w:bCs/>
                      <w:color w:val="auto"/>
                      <w:sz w:val="21"/>
                      <w:szCs w:val="21"/>
                      <w:highlight w:val="none"/>
                    </w:rPr>
                    <w:t>，天然气锅炉或热风炉基准氧含量8%。</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lang w:val="en-US" w:eastAsia="zh-CN"/>
                    </w:rPr>
                    <w:t>本项目运营期</w:t>
                  </w:r>
                  <w:r>
                    <w:rPr>
                      <w:rFonts w:hint="default" w:ascii="Times New Roman" w:hAnsi="Times New Roman" w:eastAsia="宋体" w:cs="Times New Roman"/>
                      <w:bCs/>
                      <w:color w:val="auto"/>
                      <w:sz w:val="21"/>
                      <w:szCs w:val="21"/>
                      <w:highlight w:val="none"/>
                    </w:rPr>
                    <w:t>不使用燃料，颗粒物的排放满足限值要求。</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无组织排放</w:t>
                  </w:r>
                </w:p>
              </w:tc>
              <w:tc>
                <w:tcPr>
                  <w:tcW w:w="212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1、粉状物料全部密闭储存；</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2、物料采用封闭式皮带、斗提、斜槽运输，各物料破碎、转载、下料口设置集尘罩并配置袋式除尘器，库顶等泄压口配备袋式除尘器；</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3、料棚配备喷雾抑尘设施或物料全部封闭储存，出入口配备自动门，水泥包装车间全封闭，袋装水泥装车点位采用集中通风除尘系统，水泥散装采用密闭罐车，并配备带抽风口的散装卸料器。</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1、本项目粉状物料主要为水泥，项目建成后，水泥在筒仓内密闭储存。</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2、本次项目建成后，企业物料全部采用封闭式皮带进行输送，传送带下料口、搅拌设备设置有集尘罩和袋式除尘设施，水泥筒仓顶部配备袋式除尘设施。</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3、评价要求本次工程建成后，企业使用砂子、石子、水泥均在密闭车间内储存。</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监测监控水平</w:t>
                  </w:r>
                </w:p>
              </w:tc>
              <w:tc>
                <w:tcPr>
                  <w:tcW w:w="212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重点排污企业水泥磨和独立烘干系统安装CEMS，CEMS监控数据保存一年以上。料场出入口等易产尘点，安装高清视频监控设施，视频监控数据保存三个月以上。</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企业不属于重点排污企业，企业</w:t>
                  </w:r>
                  <w:r>
                    <w:rPr>
                      <w:rFonts w:hint="default" w:ascii="Times New Roman" w:hAnsi="Times New Roman" w:eastAsia="宋体" w:cs="Times New Roman"/>
                      <w:bCs/>
                      <w:color w:val="auto"/>
                      <w:sz w:val="21"/>
                      <w:szCs w:val="21"/>
                      <w:highlight w:val="none"/>
                      <w:lang w:eastAsia="zh-CN"/>
                    </w:rPr>
                    <w:t>拟在</w:t>
                  </w:r>
                  <w:r>
                    <w:rPr>
                      <w:rFonts w:hint="default" w:ascii="Times New Roman" w:hAnsi="Times New Roman" w:eastAsia="宋体" w:cs="Times New Roman"/>
                      <w:bCs/>
                      <w:color w:val="auto"/>
                      <w:sz w:val="21"/>
                      <w:szCs w:val="21"/>
                      <w:highlight w:val="none"/>
                    </w:rPr>
                    <w:t>物料堆存车间的出入口、料台、堆场等地方，设置高清视频监控设施，在料场出入口等易产尘点设置视频监控系统，视频监控数据保存三个月以上。</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Merge w:val="restar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环境管理水平</w:t>
                  </w:r>
                </w:p>
              </w:tc>
              <w:tc>
                <w:tcPr>
                  <w:tcW w:w="2122" w:type="pct"/>
                  <w:vMerge w:val="restar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环保档案齐全：1、环评批复文件；2、排污许可证及季度、年度执行报告；3、竣工验收文件；4、一年内废气检测报告</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台账记录：1、完整生产管理台账（包括生产设备运行台账，原辅材料、燃料使用量，产品产量等）；2、运输管理电子台账（包括车辆出入厂记录、车牌号、VIN 号、发动机编号和排放标准等）；3、设备维护记录；4、废气治理设备清单（包括主要污染治理设备、设计说明书、运行记录、CEMS 数据等）；5、耗材清单（除尘器滤料更换记录等）</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管理制度健全：1、有专兼职环保人员；2、废气治理设施运行管理规程</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评价要求本</w:t>
                  </w:r>
                  <w:r>
                    <w:rPr>
                      <w:rFonts w:hint="default" w:ascii="Times New Roman" w:hAnsi="Times New Roman" w:eastAsia="宋体" w:cs="Times New Roman"/>
                      <w:bCs/>
                      <w:color w:val="auto"/>
                      <w:sz w:val="21"/>
                      <w:szCs w:val="21"/>
                      <w:highlight w:val="none"/>
                      <w:lang w:val="en-US" w:eastAsia="zh-CN"/>
                    </w:rPr>
                    <w:t>项目</w:t>
                  </w:r>
                  <w:r>
                    <w:rPr>
                      <w:rFonts w:hint="default" w:ascii="Times New Roman" w:hAnsi="Times New Roman" w:eastAsia="宋体" w:cs="Times New Roman"/>
                      <w:bCs/>
                      <w:color w:val="auto"/>
                      <w:sz w:val="21"/>
                      <w:szCs w:val="21"/>
                      <w:highlight w:val="none"/>
                    </w:rPr>
                    <w:t>环境影响评价工作</w:t>
                  </w:r>
                  <w:r>
                    <w:rPr>
                      <w:rFonts w:hint="default" w:ascii="Times New Roman" w:hAnsi="Times New Roman" w:eastAsia="宋体" w:cs="Times New Roman"/>
                      <w:bCs/>
                      <w:color w:val="auto"/>
                      <w:sz w:val="21"/>
                      <w:szCs w:val="21"/>
                      <w:highlight w:val="none"/>
                      <w:lang w:val="en-US" w:eastAsia="zh-CN"/>
                    </w:rPr>
                    <w:t>完成</w:t>
                  </w:r>
                  <w:r>
                    <w:rPr>
                      <w:rFonts w:hint="default" w:ascii="Times New Roman" w:hAnsi="Times New Roman" w:eastAsia="宋体" w:cs="Times New Roman"/>
                      <w:bCs/>
                      <w:color w:val="auto"/>
                      <w:sz w:val="21"/>
                      <w:szCs w:val="21"/>
                      <w:highlight w:val="none"/>
                    </w:rPr>
                    <w:t>后，企业应按照环评报告及批复要求开展排污许可工作、竣工环保验收工作，定期开展自行监测工作并按要求保存完整的环保档案。</w:t>
                  </w:r>
                </w:p>
              </w:tc>
              <w:tc>
                <w:tcPr>
                  <w:tcW w:w="418" w:type="pct"/>
                  <w:vMerge w:val="restar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Merge w:val="continue"/>
                  <w:vAlign w:val="center"/>
                </w:tcPr>
                <w:p>
                  <w:pPr>
                    <w:pStyle w:val="44"/>
                    <w:rPr>
                      <w:rFonts w:hint="default" w:ascii="Times New Roman" w:hAnsi="Times New Roman" w:eastAsia="宋体" w:cs="Times New Roman"/>
                      <w:color w:val="auto"/>
                      <w:sz w:val="21"/>
                      <w:szCs w:val="21"/>
                      <w:highlight w:val="none"/>
                    </w:rPr>
                  </w:pPr>
                </w:p>
              </w:tc>
              <w:tc>
                <w:tcPr>
                  <w:tcW w:w="2122" w:type="pct"/>
                  <w:vMerge w:val="continue"/>
                  <w:vAlign w:val="center"/>
                </w:tcPr>
                <w:p>
                  <w:pPr>
                    <w:pStyle w:val="44"/>
                    <w:jc w:val="left"/>
                    <w:rPr>
                      <w:rFonts w:hint="default" w:ascii="Times New Roman" w:hAnsi="Times New Roman" w:eastAsia="宋体" w:cs="Times New Roman"/>
                      <w:color w:val="auto"/>
                      <w:sz w:val="21"/>
                      <w:szCs w:val="21"/>
                      <w:highlight w:val="none"/>
                    </w:rPr>
                  </w:pPr>
                </w:p>
              </w:tc>
              <w:tc>
                <w:tcPr>
                  <w:tcW w:w="1942" w:type="pct"/>
                  <w:vAlign w:val="center"/>
                </w:tcPr>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评价要求本</w:t>
                  </w:r>
                  <w:r>
                    <w:rPr>
                      <w:rFonts w:hint="default" w:ascii="Times New Roman" w:hAnsi="Times New Roman" w:eastAsia="宋体" w:cs="Times New Roman"/>
                      <w:color w:val="auto"/>
                      <w:sz w:val="21"/>
                      <w:szCs w:val="21"/>
                      <w:highlight w:val="none"/>
                      <w:lang w:val="en-US" w:eastAsia="zh-CN"/>
                    </w:rPr>
                    <w:t>项目</w:t>
                  </w:r>
                  <w:r>
                    <w:rPr>
                      <w:rFonts w:hint="default" w:ascii="Times New Roman" w:hAnsi="Times New Roman" w:eastAsia="宋体" w:cs="Times New Roman"/>
                      <w:color w:val="auto"/>
                      <w:sz w:val="21"/>
                      <w:szCs w:val="21"/>
                      <w:highlight w:val="none"/>
                    </w:rPr>
                    <w:t>环境影响评价工作</w:t>
                  </w:r>
                  <w:r>
                    <w:rPr>
                      <w:rFonts w:hint="default" w:ascii="Times New Roman" w:hAnsi="Times New Roman" w:eastAsia="宋体" w:cs="Times New Roman"/>
                      <w:color w:val="auto"/>
                      <w:sz w:val="21"/>
                      <w:szCs w:val="21"/>
                      <w:highlight w:val="none"/>
                      <w:lang w:val="en-US" w:eastAsia="zh-CN"/>
                    </w:rPr>
                    <w:t>完成</w:t>
                  </w:r>
                  <w:r>
                    <w:rPr>
                      <w:rFonts w:hint="default" w:ascii="Times New Roman" w:hAnsi="Times New Roman" w:eastAsia="宋体" w:cs="Times New Roman"/>
                      <w:color w:val="auto"/>
                      <w:sz w:val="21"/>
                      <w:szCs w:val="21"/>
                      <w:highlight w:val="none"/>
                    </w:rPr>
                    <w:t>后，企业管理台账记录</w:t>
                  </w:r>
                  <w:r>
                    <w:rPr>
                      <w:rFonts w:hint="default" w:ascii="Times New Roman" w:hAnsi="Times New Roman" w:eastAsia="宋体" w:cs="Times New Roman"/>
                      <w:color w:val="auto"/>
                      <w:sz w:val="21"/>
                      <w:szCs w:val="21"/>
                      <w:highlight w:val="none"/>
                      <w:lang w:eastAsia="zh-CN"/>
                    </w:rPr>
                    <w:t>要</w:t>
                  </w:r>
                  <w:r>
                    <w:rPr>
                      <w:rFonts w:hint="default" w:ascii="Times New Roman" w:hAnsi="Times New Roman" w:eastAsia="宋体" w:cs="Times New Roman"/>
                      <w:color w:val="auto"/>
                      <w:sz w:val="21"/>
                      <w:szCs w:val="21"/>
                      <w:highlight w:val="none"/>
                    </w:rPr>
                    <w:t>完整，</w:t>
                  </w:r>
                  <w:r>
                    <w:rPr>
                      <w:rFonts w:hint="default" w:ascii="Times New Roman" w:hAnsi="Times New Roman" w:eastAsia="宋体" w:cs="Times New Roman"/>
                      <w:bCs/>
                      <w:color w:val="auto"/>
                      <w:sz w:val="21"/>
                      <w:szCs w:val="21"/>
                      <w:highlight w:val="none"/>
                    </w:rPr>
                    <w:t>主要包括有生产设备运行台账，原辅材料、燃料使用量，产品产量等</w:t>
                  </w:r>
                  <w:r>
                    <w:rPr>
                      <w:rFonts w:hint="default" w:ascii="Times New Roman" w:hAnsi="Times New Roman" w:eastAsia="宋体" w:cs="Times New Roman"/>
                      <w:color w:val="auto"/>
                      <w:sz w:val="21"/>
                      <w:szCs w:val="21"/>
                      <w:highlight w:val="none"/>
                    </w:rPr>
                    <w:t>、运输管理电子台账、设备维护记录和耗材清单等。</w:t>
                  </w:r>
                </w:p>
              </w:tc>
              <w:tc>
                <w:tcPr>
                  <w:tcW w:w="418" w:type="pct"/>
                  <w:vMerge w:val="continue"/>
                  <w:vAlign w:val="center"/>
                </w:tcPr>
                <w:p>
                  <w:pPr>
                    <w:pStyle w:val="44"/>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Merge w:val="continue"/>
                  <w:vAlign w:val="center"/>
                </w:tcPr>
                <w:p>
                  <w:pPr>
                    <w:pStyle w:val="44"/>
                    <w:rPr>
                      <w:rFonts w:hint="default" w:ascii="Times New Roman" w:hAnsi="Times New Roman" w:eastAsia="宋体" w:cs="Times New Roman"/>
                      <w:color w:val="auto"/>
                      <w:sz w:val="21"/>
                      <w:szCs w:val="21"/>
                      <w:highlight w:val="none"/>
                    </w:rPr>
                  </w:pPr>
                </w:p>
              </w:tc>
              <w:tc>
                <w:tcPr>
                  <w:tcW w:w="2122" w:type="pct"/>
                  <w:vMerge w:val="continue"/>
                  <w:vAlign w:val="center"/>
                </w:tcPr>
                <w:p>
                  <w:pPr>
                    <w:pStyle w:val="44"/>
                    <w:jc w:val="left"/>
                    <w:rPr>
                      <w:rFonts w:hint="default" w:ascii="Times New Roman" w:hAnsi="Times New Roman" w:eastAsia="宋体" w:cs="Times New Roman"/>
                      <w:color w:val="auto"/>
                      <w:sz w:val="21"/>
                      <w:szCs w:val="21"/>
                      <w:highlight w:val="none"/>
                    </w:rPr>
                  </w:pPr>
                </w:p>
              </w:tc>
              <w:tc>
                <w:tcPr>
                  <w:tcW w:w="1942" w:type="pct"/>
                  <w:vAlign w:val="center"/>
                </w:tcPr>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企业</w:t>
                  </w:r>
                  <w:r>
                    <w:rPr>
                      <w:rFonts w:hint="default" w:ascii="Times New Roman" w:hAnsi="Times New Roman" w:eastAsia="宋体" w:cs="Times New Roman"/>
                      <w:color w:val="auto"/>
                      <w:sz w:val="21"/>
                      <w:szCs w:val="21"/>
                      <w:highlight w:val="none"/>
                      <w:lang w:eastAsia="zh-CN"/>
                    </w:rPr>
                    <w:t>目前拟</w:t>
                  </w:r>
                  <w:r>
                    <w:rPr>
                      <w:rFonts w:hint="default" w:ascii="Times New Roman" w:hAnsi="Times New Roman" w:eastAsia="宋体" w:cs="Times New Roman"/>
                      <w:color w:val="auto"/>
                      <w:sz w:val="21"/>
                      <w:szCs w:val="21"/>
                      <w:highlight w:val="none"/>
                    </w:rPr>
                    <w:t>配备兼职环保人员负责环境管理工作，并制定《环保设施环境管理制度》。</w:t>
                  </w:r>
                </w:p>
              </w:tc>
              <w:tc>
                <w:tcPr>
                  <w:tcW w:w="418" w:type="pct"/>
                  <w:vMerge w:val="continue"/>
                  <w:vAlign w:val="center"/>
                </w:tcPr>
                <w:p>
                  <w:pPr>
                    <w:pStyle w:val="44"/>
                    <w:rPr>
                      <w:rFonts w:hint="default" w:ascii="Times New Roman" w:hAnsi="Times New Roman" w:eastAsia="宋体" w:cs="Times New Roman"/>
                      <w:color w:val="auto"/>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运输方式</w:t>
                  </w:r>
                </w:p>
              </w:tc>
              <w:tc>
                <w:tcPr>
                  <w:tcW w:w="2122" w:type="pct"/>
                  <w:vAlign w:val="center"/>
                </w:tcPr>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1、物料（除水泥罐式货车外）公路运输全部使用达到国五及以上排放标准重型载货车辆（含燃气）或新能源车辆；</w:t>
                  </w:r>
                </w:p>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2、厂内运输车辆全部达到国五及以上排放标准（含燃气）或使用新能源车辆；</w:t>
                  </w:r>
                </w:p>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3、厂内非道路移动机械全部达到国三及以上排放标准或使用新能源机械。</w:t>
                  </w:r>
                </w:p>
              </w:tc>
              <w:tc>
                <w:tcPr>
                  <w:tcW w:w="1942" w:type="pct"/>
                  <w:vAlign w:val="center"/>
                </w:tcPr>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1、根据企业提供，企业未配备自有公路运输车辆，物料均由厂家负责运输；</w:t>
                  </w:r>
                </w:p>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2、根据企业提供，企业未配备自有厂内运输车辆，厂内物料转运由铲车、传送带等进行转运。</w:t>
                  </w:r>
                </w:p>
                <w:p>
                  <w:pPr>
                    <w:pStyle w:val="44"/>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3、根据企业提供，拟配备1台满足国四标准的非道路移动机械（铲车）。</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7"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运输监管</w:t>
                  </w:r>
                </w:p>
              </w:tc>
              <w:tc>
                <w:tcPr>
                  <w:tcW w:w="212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配备门禁和视频监控系统，监控运输车辆进出厂区情况，记录运输车辆电子台账；视频监控、台账数据保存三个月以上。</w:t>
                  </w:r>
                </w:p>
              </w:tc>
              <w:tc>
                <w:tcPr>
                  <w:tcW w:w="1942" w:type="pct"/>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企业</w:t>
                  </w:r>
                  <w:r>
                    <w:rPr>
                      <w:rFonts w:hint="default" w:ascii="Times New Roman" w:hAnsi="Times New Roman" w:eastAsia="宋体" w:cs="Times New Roman"/>
                      <w:color w:val="auto"/>
                      <w:sz w:val="21"/>
                      <w:szCs w:val="21"/>
                      <w:highlight w:val="none"/>
                      <w:lang w:eastAsia="zh-CN"/>
                    </w:rPr>
                    <w:t>拟</w:t>
                  </w:r>
                  <w:r>
                    <w:rPr>
                      <w:rFonts w:hint="default" w:ascii="Times New Roman" w:hAnsi="Times New Roman" w:eastAsia="宋体" w:cs="Times New Roman"/>
                      <w:color w:val="auto"/>
                      <w:sz w:val="21"/>
                      <w:szCs w:val="21"/>
                      <w:highlight w:val="none"/>
                    </w:rPr>
                    <w:t>配备门禁和视频监控系统，可监控运输车辆进出厂情况，记录运输车辆电子台账；视频监控、台账数据可保存三个月以上。</w:t>
                  </w:r>
                </w:p>
              </w:tc>
              <w:tc>
                <w:tcPr>
                  <w:tcW w:w="418" w:type="pct"/>
                  <w:vAlign w:val="center"/>
                </w:tcPr>
                <w:p>
                  <w:pPr>
                    <w:pStyle w:val="44"/>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符合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4"/>
                  <w:vAlign w:val="center"/>
                </w:tcPr>
                <w:p>
                  <w:pPr>
                    <w:pStyle w:val="44"/>
                    <w:jc w:val="left"/>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注：</w:t>
                  </w:r>
                  <w:r>
                    <w:rPr>
                      <w:rFonts w:hint="default" w:ascii="Times New Roman" w:hAnsi="Times New Roman" w:eastAsia="宋体" w:cs="Times New Roman"/>
                      <w:color w:val="auto"/>
                      <w:sz w:val="21"/>
                      <w:szCs w:val="21"/>
                      <w:highlight w:val="none"/>
                    </w:rPr>
                    <w:t>d《水泥工业大气污染物排放标准》GB4915-2013水泥制品生产指预拌混凝土、砂浆和混凝土预制件的生产，不包括水泥用于施工现场搅拌的过程。</w:t>
                  </w:r>
                </w:p>
              </w:tc>
            </w:tr>
          </w:tbl>
          <w:p>
            <w:pPr>
              <w:adjustRightInd w:val="0"/>
              <w:snapToGrid w:val="0"/>
              <w:spacing w:before="157" w:beforeLines="50"/>
              <w:ind w:firstLine="482" w:firstLineChars="20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8、污染物排放情况汇总表</w:t>
            </w:r>
          </w:p>
          <w:p>
            <w:pPr>
              <w:pStyle w:val="47"/>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表4-</w:t>
            </w: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 xml:space="preserve"> 本项目污染物排放情况汇总表</w:t>
            </w:r>
          </w:p>
          <w:tbl>
            <w:tblPr>
              <w:tblStyle w:val="22"/>
              <w:tblW w:w="4996" w:type="pct"/>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69"/>
              <w:gridCol w:w="941"/>
              <w:gridCol w:w="1371"/>
              <w:gridCol w:w="664"/>
              <w:gridCol w:w="899"/>
              <w:gridCol w:w="1650"/>
              <w:gridCol w:w="200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污染类别</w:t>
                  </w:r>
                </w:p>
              </w:tc>
              <w:tc>
                <w:tcPr>
                  <w:tcW w:w="1034" w:type="pct"/>
                  <w:gridSpan w:val="2"/>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排放源</w:t>
                  </w:r>
                </w:p>
              </w:tc>
              <w:tc>
                <w:tcPr>
                  <w:tcW w:w="742"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污染物名称</w:t>
                  </w:r>
                </w:p>
              </w:tc>
              <w:tc>
                <w:tcPr>
                  <w:tcW w:w="359"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w:t>
                  </w:r>
                </w:p>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浓度</w:t>
                  </w:r>
                </w:p>
              </w:tc>
              <w:tc>
                <w:tcPr>
                  <w:tcW w:w="486"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893"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环保措施</w:t>
                  </w:r>
                </w:p>
              </w:tc>
              <w:tc>
                <w:tcPr>
                  <w:tcW w:w="1083"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400"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t>大气污染物</w:t>
                  </w:r>
                </w:p>
              </w:tc>
              <w:tc>
                <w:tcPr>
                  <w:tcW w:w="524"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堆存装卸粉尘</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无组织</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颗粒物</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0.0391 </w:t>
                  </w:r>
                </w:p>
              </w:tc>
              <w:tc>
                <w:tcPr>
                  <w:tcW w:w="893" w:type="pct"/>
                  <w:vAlign w:val="center"/>
                </w:tcPr>
                <w:p>
                  <w:pPr>
                    <w:pStyle w:val="27"/>
                    <w:rPr>
                      <w:rFonts w:hint="default" w:ascii="Times New Roman" w:hAnsi="Times New Roman" w:eastAsia="宋体" w:cs="Times New Roman"/>
                      <w:color w:val="auto"/>
                      <w:sz w:val="21"/>
                      <w:szCs w:val="21"/>
                      <w:highlight w:val="none"/>
                      <w:lang w:val="en-US"/>
                    </w:rPr>
                  </w:pPr>
                  <w:r>
                    <w:rPr>
                      <w:rFonts w:hint="eastAsia"/>
                      <w:color w:val="auto"/>
                      <w:lang w:val="en-GB"/>
                    </w:rPr>
                    <w:t>车辆冲洗+密闭</w:t>
                  </w:r>
                  <w:r>
                    <w:rPr>
                      <w:color w:val="auto"/>
                      <w:lang w:val="en-GB"/>
                    </w:rPr>
                    <w:t>式</w:t>
                  </w:r>
                  <w:r>
                    <w:rPr>
                      <w:rFonts w:hint="eastAsia"/>
                      <w:color w:val="auto"/>
                      <w:lang w:val="en-GB"/>
                    </w:rPr>
                    <w:t>厂房</w:t>
                  </w:r>
                  <w:r>
                    <w:rPr>
                      <w:color w:val="auto"/>
                    </w:rPr>
                    <w:t>+</w:t>
                  </w:r>
                  <w:r>
                    <w:rPr>
                      <w:rFonts w:hint="eastAsia"/>
                      <w:color w:val="auto"/>
                    </w:rPr>
                    <w:t>喷淋</w:t>
                  </w:r>
                  <w:r>
                    <w:rPr>
                      <w:color w:val="auto"/>
                    </w:rPr>
                    <w:t>设备</w:t>
                  </w:r>
                </w:p>
              </w:tc>
              <w:tc>
                <w:tcPr>
                  <w:tcW w:w="1083"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《水泥工业大气污染物排放标准》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GB4915-2013</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表3中的限值要求</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524"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物料输送</w:t>
                  </w:r>
                  <w:r>
                    <w:rPr>
                      <w:rFonts w:hint="default" w:ascii="Times New Roman" w:hAnsi="Times New Roman" w:eastAsia="宋体" w:cs="Times New Roman"/>
                      <w:color w:val="auto"/>
                      <w:sz w:val="21"/>
                      <w:szCs w:val="21"/>
                    </w:rPr>
                    <w:t>粉尘</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0.0153 </w:t>
                  </w:r>
                </w:p>
              </w:tc>
              <w:tc>
                <w:tcPr>
                  <w:tcW w:w="893" w:type="pct"/>
                  <w:vAlign w:val="center"/>
                </w:tcPr>
                <w:p>
                  <w:pPr>
                    <w:pStyle w:val="27"/>
                    <w:rPr>
                      <w:rFonts w:hint="default" w:ascii="Times New Roman" w:hAnsi="Times New Roman" w:eastAsia="宋体" w:cs="Times New Roman"/>
                      <w:color w:val="auto"/>
                      <w:sz w:val="21"/>
                      <w:szCs w:val="21"/>
                      <w:highlight w:val="none"/>
                      <w:lang w:val="en-GB"/>
                    </w:rPr>
                  </w:pPr>
                  <w:r>
                    <w:rPr>
                      <w:rFonts w:hint="eastAsia"/>
                      <w:color w:val="auto"/>
                      <w:lang w:val="en-GB"/>
                    </w:rPr>
                    <w:t>密闭</w:t>
                  </w:r>
                  <w:r>
                    <w:rPr>
                      <w:color w:val="auto"/>
                      <w:lang w:val="en-GB"/>
                    </w:rPr>
                    <w:t>式</w:t>
                  </w:r>
                  <w:r>
                    <w:rPr>
                      <w:rFonts w:hint="eastAsia"/>
                      <w:color w:val="auto"/>
                      <w:lang w:val="en-GB"/>
                    </w:rPr>
                    <w:t>厂房</w:t>
                  </w:r>
                  <w:r>
                    <w:rPr>
                      <w:color w:val="auto"/>
                    </w:rPr>
                    <w:t>+</w:t>
                  </w:r>
                  <w:r>
                    <w:rPr>
                      <w:rFonts w:hint="eastAsia"/>
                      <w:color w:val="auto"/>
                    </w:rPr>
                    <w:t>喷淋</w:t>
                  </w:r>
                  <w:r>
                    <w:rPr>
                      <w:color w:val="auto"/>
                    </w:rPr>
                    <w:t>设备</w:t>
                  </w: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524"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color w:val="auto"/>
                      <w:kern w:val="2"/>
                      <w:sz w:val="21"/>
                      <w:szCs w:val="21"/>
                      <w:highlight w:val="none"/>
                      <w:vertAlign w:val="baseline"/>
                      <w:lang w:val="en-US" w:eastAsia="zh-CN" w:bidi="ar-SA"/>
                    </w:rPr>
                    <w:t>水泥筒仓粉尘</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无组织</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颗粒物</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auto"/>
                      <w:kern w:val="0"/>
                      <w:sz w:val="21"/>
                      <w:szCs w:val="21"/>
                      <w:u w:val="none"/>
                      <w:lang w:val="en-US" w:eastAsia="zh-CN" w:bidi="ar"/>
                    </w:rPr>
                    <w:t xml:space="preserve">0.0017 </w:t>
                  </w:r>
                </w:p>
              </w:tc>
              <w:tc>
                <w:tcPr>
                  <w:tcW w:w="893" w:type="pct"/>
                  <w:vAlign w:val="center"/>
                </w:tcPr>
                <w:p>
                  <w:pPr>
                    <w:pStyle w:val="27"/>
                    <w:rPr>
                      <w:rFonts w:hint="default" w:ascii="Times New Roman" w:hAnsi="Times New Roman" w:eastAsia="宋体" w:cs="Times New Roman"/>
                      <w:color w:val="auto"/>
                      <w:sz w:val="21"/>
                      <w:szCs w:val="21"/>
                      <w:highlight w:val="none"/>
                      <w:lang w:val="en-GB" w:eastAsia="zh-CN"/>
                    </w:rPr>
                  </w:pPr>
                  <w:r>
                    <w:rPr>
                      <w:rFonts w:hint="eastAsia"/>
                      <w:color w:val="auto"/>
                      <w:lang w:val="en-GB"/>
                    </w:rPr>
                    <w:t>密闭</w:t>
                  </w:r>
                  <w:r>
                    <w:rPr>
                      <w:color w:val="auto"/>
                      <w:lang w:val="en-GB"/>
                    </w:rPr>
                    <w:t>式</w:t>
                  </w:r>
                  <w:r>
                    <w:rPr>
                      <w:rFonts w:hint="eastAsia"/>
                      <w:color w:val="auto"/>
                      <w:lang w:val="en-GB"/>
                    </w:rPr>
                    <w:t>厂房</w:t>
                  </w:r>
                  <w:r>
                    <w:rPr>
                      <w:color w:val="auto"/>
                    </w:rPr>
                    <w:t>+</w:t>
                  </w:r>
                  <w:r>
                    <w:rPr>
                      <w:color w:val="auto"/>
                      <w:lang w:val="en-GB"/>
                    </w:rPr>
                    <w:t>袋式除尘器</w:t>
                  </w: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524"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1"/>
                      <w:szCs w:val="21"/>
                      <w:highlight w:val="none"/>
                      <w:vertAlign w:val="baseline"/>
                      <w:lang w:val="en-US" w:eastAsia="zh-CN" w:bidi="ar-SA"/>
                    </w:rPr>
                  </w:pPr>
                  <w:r>
                    <w:rPr>
                      <w:rFonts w:hint="default" w:ascii="Times New Roman" w:hAnsi="Times New Roman" w:eastAsia="宋体" w:cs="Times New Roman"/>
                      <w:b w:val="0"/>
                      <w:color w:val="auto"/>
                      <w:kern w:val="2"/>
                      <w:sz w:val="21"/>
                      <w:szCs w:val="21"/>
                      <w:highlight w:val="none"/>
                      <w:vertAlign w:val="baseline"/>
                      <w:lang w:val="en-US" w:eastAsia="zh-CN" w:bidi="ar-SA"/>
                    </w:rPr>
                    <w:t>搅拌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kern w:val="2"/>
                      <w:sz w:val="21"/>
                      <w:szCs w:val="21"/>
                      <w:highlight w:val="none"/>
                      <w:vertAlign w:val="baseline"/>
                      <w:lang w:val="en-US" w:eastAsia="zh-CN" w:bidi="ar-SA"/>
                    </w:rPr>
                    <w:t>粉尘</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86"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 xml:space="preserve">0.0234 </w:t>
                  </w:r>
                </w:p>
              </w:tc>
              <w:tc>
                <w:tcPr>
                  <w:tcW w:w="893" w:type="pct"/>
                  <w:vAlign w:val="center"/>
                </w:tcPr>
                <w:p>
                  <w:pPr>
                    <w:pStyle w:val="27"/>
                    <w:rPr>
                      <w:rFonts w:hint="default" w:ascii="Times New Roman" w:hAnsi="Times New Roman" w:eastAsia="宋体" w:cs="Times New Roman"/>
                      <w:color w:val="auto"/>
                      <w:sz w:val="21"/>
                      <w:szCs w:val="21"/>
                      <w:lang w:val="en-GB"/>
                    </w:rPr>
                  </w:pPr>
                  <w:r>
                    <w:rPr>
                      <w:rFonts w:hint="eastAsia"/>
                      <w:color w:val="auto"/>
                      <w:lang w:val="en-GB"/>
                    </w:rPr>
                    <w:t>密闭</w:t>
                  </w:r>
                  <w:r>
                    <w:rPr>
                      <w:color w:val="auto"/>
                      <w:lang w:val="en-GB"/>
                    </w:rPr>
                    <w:t>式</w:t>
                  </w:r>
                  <w:r>
                    <w:rPr>
                      <w:rFonts w:hint="eastAsia"/>
                      <w:color w:val="auto"/>
                      <w:lang w:val="en-GB"/>
                    </w:rPr>
                    <w:t>厂房</w:t>
                  </w:r>
                  <w:r>
                    <w:rPr>
                      <w:color w:val="auto"/>
                    </w:rPr>
                    <w:t>+</w:t>
                  </w:r>
                  <w:r>
                    <w:rPr>
                      <w:color w:val="auto"/>
                      <w:lang w:val="en-GB"/>
                    </w:rPr>
                    <w:t>袋式除尘器</w:t>
                  </w:r>
                  <w:r>
                    <w:rPr>
                      <w:rFonts w:hint="eastAsia"/>
                      <w:color w:val="auto"/>
                    </w:rPr>
                    <w:t>+喷淋设备</w:t>
                  </w: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524"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kern w:val="2"/>
                      <w:sz w:val="21"/>
                      <w:szCs w:val="21"/>
                      <w:highlight w:val="none"/>
                      <w:vertAlign w:val="baseline"/>
                      <w:lang w:val="en-US" w:eastAsia="zh-CN" w:bidi="ar-SA"/>
                    </w:rPr>
                    <w:t>车辆运输扬尘</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86" w:type="pct"/>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 xml:space="preserve">0.0122 </w:t>
                  </w:r>
                </w:p>
              </w:tc>
              <w:tc>
                <w:tcPr>
                  <w:tcW w:w="893" w:type="pct"/>
                  <w:vAlign w:val="center"/>
                </w:tcPr>
                <w:p>
                  <w:pPr>
                    <w:pStyle w:val="27"/>
                    <w:rPr>
                      <w:rFonts w:hint="default" w:ascii="Times New Roman" w:hAnsi="Times New Roman" w:eastAsia="宋体" w:cs="Times New Roman"/>
                      <w:color w:val="auto"/>
                      <w:sz w:val="21"/>
                      <w:szCs w:val="21"/>
                    </w:rPr>
                  </w:pPr>
                  <w:r>
                    <w:rPr>
                      <w:color w:val="auto"/>
                      <w:lang w:val="en-GB"/>
                    </w:rPr>
                    <w:t>清洗车辆、路面定期洒水</w:t>
                  </w: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restar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水污染物</w:t>
                  </w:r>
                </w:p>
              </w:tc>
              <w:tc>
                <w:tcPr>
                  <w:tcW w:w="1034" w:type="pct"/>
                  <w:gridSpan w:val="2"/>
                  <w:vAlign w:val="center"/>
                </w:tcPr>
                <w:p>
                  <w:pPr>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生活污水</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SS</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NH</w:t>
                  </w:r>
                  <w:r>
                    <w:rPr>
                      <w:rFonts w:hint="default" w:ascii="Times New Roman" w:hAnsi="Times New Roman" w:eastAsia="宋体" w:cs="Times New Roman"/>
                      <w:color w:val="auto"/>
                      <w:sz w:val="21"/>
                      <w:szCs w:val="21"/>
                      <w:vertAlign w:val="subscript"/>
                    </w:rPr>
                    <w:t>3</w:t>
                  </w:r>
                  <w:r>
                    <w:rPr>
                      <w:rFonts w:hint="default" w:ascii="Times New Roman" w:hAnsi="Times New Roman" w:eastAsia="宋体" w:cs="Times New Roman"/>
                      <w:color w:val="auto"/>
                      <w:sz w:val="21"/>
                      <w:szCs w:val="21"/>
                    </w:rPr>
                    <w:t>-N</w:t>
                  </w:r>
                  <w:r>
                    <w:rPr>
                      <w:rFonts w:hint="default" w:ascii="Times New Roman" w:hAnsi="Times New Roman" w:eastAsia="宋体" w:cs="Times New Roman"/>
                      <w:color w:val="auto"/>
                      <w:sz w:val="21"/>
                      <w:szCs w:val="21"/>
                      <w:lang w:eastAsia="zh-CN"/>
                    </w:rPr>
                    <w:t>、</w:t>
                  </w:r>
                </w:p>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总氮</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总磷</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86" w:type="pct"/>
                  <w:vAlign w:val="center"/>
                </w:tcPr>
                <w:p>
                  <w:pPr>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977" w:type="pct"/>
                  <w:gridSpan w:val="2"/>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定期清掏</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用作农肥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1034" w:type="pct"/>
                  <w:gridSpan w:val="2"/>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车辆冲洗废水</w:t>
                  </w:r>
                </w:p>
              </w:tc>
              <w:tc>
                <w:tcPr>
                  <w:tcW w:w="742"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486"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1977" w:type="pct"/>
                  <w:gridSpan w:val="2"/>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r>
                    <w:rPr>
                      <w:rFonts w:hint="default" w:ascii="Times New Roman" w:hAnsi="Times New Roman" w:eastAsia="宋体" w:cs="Times New Roman"/>
                      <w:color w:val="auto"/>
                      <w:sz w:val="21"/>
                      <w:szCs w:val="21"/>
                    </w:rPr>
                    <w:t>回用于车辆冲洗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restar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固体</w:t>
                  </w:r>
                </w:p>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废物</w:t>
                  </w:r>
                </w:p>
              </w:tc>
              <w:tc>
                <w:tcPr>
                  <w:tcW w:w="1034" w:type="pct"/>
                  <w:gridSpan w:val="2"/>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生活垃圾</w:t>
                  </w:r>
                </w:p>
              </w:tc>
              <w:tc>
                <w:tcPr>
                  <w:tcW w:w="742" w:type="pct"/>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359" w:type="pct"/>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486"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p>
              </w:tc>
              <w:tc>
                <w:tcPr>
                  <w:tcW w:w="893"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1083" w:type="pct"/>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一般固体废物</w:t>
                  </w: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pacing w:val="-1"/>
                      <w:sz w:val="21"/>
                      <w:szCs w:val="21"/>
                      <w:highlight w:val="none"/>
                      <w:lang w:val="en-US" w:eastAsia="zh-CN"/>
                    </w:rPr>
                    <w:t>不合格产品</w:t>
                  </w:r>
                </w:p>
              </w:tc>
              <w:tc>
                <w:tcPr>
                  <w:tcW w:w="742" w:type="pct"/>
                  <w:vAlign w:val="center"/>
                </w:tcPr>
                <w:p>
                  <w:pPr>
                    <w:pStyle w:val="41"/>
                    <w:keepNext w:val="0"/>
                    <w:keepLines w:val="0"/>
                    <w:widowControl/>
                    <w:suppressLineNumbers w:val="0"/>
                    <w:kinsoku w:val="0"/>
                    <w:overflowPunct w:val="0"/>
                    <w:adjustRightInd w:val="0"/>
                    <w:snapToGrid w:val="0"/>
                    <w:spacing w:before="0" w:line="240" w:lineRule="auto"/>
                    <w:contextualSpacing/>
                    <w:jc w:val="center"/>
                    <w:rPr>
                      <w:rFonts w:hint="default" w:ascii="Times New Roman" w:hAnsi="Times New Roman" w:eastAsia="宋体" w:cs="Times New Roman"/>
                      <w:color w:val="auto"/>
                      <w:spacing w:val="-1"/>
                      <w:kern w:val="2"/>
                      <w:sz w:val="21"/>
                      <w:szCs w:val="21"/>
                      <w:highlight w:val="none"/>
                      <w:lang w:val="en-US" w:eastAsia="zh-CN" w:bidi="ar"/>
                    </w:rPr>
                  </w:pPr>
                  <w:r>
                    <w:rPr>
                      <w:rFonts w:hint="default" w:ascii="Times New Roman" w:hAnsi="Times New Roman" w:eastAsia="宋体" w:cs="Times New Roman"/>
                      <w:color w:val="auto"/>
                      <w:spacing w:val="-1"/>
                      <w:kern w:val="2"/>
                      <w:sz w:val="21"/>
                      <w:szCs w:val="21"/>
                      <w:highlight w:val="none"/>
                      <w:lang w:val="en-US" w:eastAsia="zh-CN" w:bidi="ar"/>
                    </w:rPr>
                    <w:t>SW59</w:t>
                  </w:r>
                </w:p>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kern w:val="2"/>
                      <w:sz w:val="21"/>
                      <w:szCs w:val="21"/>
                      <w:highlight w:val="none"/>
                      <w:lang w:val="en-US" w:eastAsia="zh-CN" w:bidi="ar"/>
                    </w:rPr>
                    <w:t>900-099-S59</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spacing w:val="-1"/>
                      <w:sz w:val="21"/>
                      <w:szCs w:val="21"/>
                      <w:highlight w:val="none"/>
                      <w:lang w:val="en-US" w:eastAsia="zh-CN"/>
                    </w:rPr>
                    <w:t>12.5</w:t>
                  </w:r>
                  <w:r>
                    <w:rPr>
                      <w:rFonts w:hint="default" w:ascii="Times New Roman" w:hAnsi="Times New Roman" w:eastAsia="宋体" w:cs="Times New Roman"/>
                      <w:color w:val="auto"/>
                      <w:spacing w:val="-1"/>
                      <w:sz w:val="22"/>
                      <w:szCs w:val="22"/>
                      <w:lang w:val="en-US"/>
                    </w:rPr>
                    <w:t>t/a</w:t>
                  </w:r>
                </w:p>
              </w:tc>
              <w:tc>
                <w:tcPr>
                  <w:tcW w:w="893"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r>
                    <w:rPr>
                      <w:rFonts w:hint="default" w:ascii="Times New Roman" w:hAnsi="Times New Roman" w:eastAsia="宋体" w:cs="Times New Roman"/>
                      <w:color w:val="auto"/>
                      <w:sz w:val="21"/>
                      <w:szCs w:val="21"/>
                    </w:rPr>
                    <w:t>回用于生产</w:t>
                  </w:r>
                </w:p>
              </w:tc>
              <w:tc>
                <w:tcPr>
                  <w:tcW w:w="1083"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r>
                    <w:rPr>
                      <w:rFonts w:hint="default" w:ascii="Times New Roman" w:hAnsi="Times New Roman" w:eastAsia="宋体" w:cs="Times New Roman"/>
                      <w:color w:val="auto"/>
                      <w:sz w:val="21"/>
                      <w:szCs w:val="21"/>
                      <w:lang w:val="zh-TW"/>
                    </w:rPr>
                    <w:t>《一般工业固体废物贮存和填埋污染控制标准》（GB</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val="zh-TW"/>
                    </w:rPr>
                    <w:t>18599-2020）</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除尘装置收集的粉尘</w:t>
                  </w:r>
                </w:p>
              </w:tc>
              <w:tc>
                <w:tcPr>
                  <w:tcW w:w="742" w:type="pct"/>
                  <w:vAlign w:val="center"/>
                </w:tcPr>
                <w:p>
                  <w:pPr>
                    <w:pStyle w:val="41"/>
                    <w:rPr>
                      <w:rFonts w:hint="default" w:ascii="Times New Roman" w:hAnsi="Times New Roman" w:eastAsia="宋体" w:cs="Times New Roman"/>
                      <w:color w:val="auto"/>
                      <w:spacing w:val="-1"/>
                      <w:kern w:val="2"/>
                      <w:sz w:val="21"/>
                      <w:szCs w:val="21"/>
                      <w:highlight w:val="none"/>
                      <w:lang w:val="en-US" w:eastAsia="zh-CN" w:bidi="ar"/>
                    </w:rPr>
                  </w:pPr>
                  <w:r>
                    <w:rPr>
                      <w:rFonts w:hint="default" w:ascii="Times New Roman" w:hAnsi="Times New Roman" w:eastAsia="宋体" w:cs="Times New Roman"/>
                      <w:color w:val="auto"/>
                      <w:spacing w:val="-1"/>
                      <w:kern w:val="2"/>
                      <w:sz w:val="21"/>
                      <w:szCs w:val="21"/>
                      <w:highlight w:val="none"/>
                      <w:lang w:val="en-US" w:eastAsia="zh-CN" w:bidi="ar"/>
                    </w:rPr>
                    <w:t>SW59</w:t>
                  </w:r>
                </w:p>
                <w:p>
                  <w:pPr>
                    <w:pStyle w:val="41"/>
                    <w:widowControl/>
                    <w:jc w:val="center"/>
                    <w:rPr>
                      <w:rFonts w:hint="default" w:ascii="Times New Roman" w:hAnsi="Times New Roman" w:eastAsia="宋体" w:cs="Times New Roman"/>
                      <w:color w:val="auto"/>
                      <w:spacing w:val="-1"/>
                      <w:sz w:val="21"/>
                      <w:szCs w:val="21"/>
                      <w:highlight w:val="none"/>
                      <w:lang w:val="en-US" w:bidi="ar"/>
                    </w:rPr>
                  </w:pPr>
                  <w:r>
                    <w:rPr>
                      <w:rFonts w:hint="default" w:ascii="Times New Roman" w:hAnsi="Times New Roman" w:eastAsia="宋体" w:cs="Times New Roman"/>
                      <w:color w:val="auto"/>
                      <w:spacing w:val="-1"/>
                      <w:kern w:val="2"/>
                      <w:sz w:val="21"/>
                      <w:szCs w:val="21"/>
                      <w:highlight w:val="none"/>
                      <w:lang w:val="en-US" w:eastAsia="zh-CN" w:bidi="ar"/>
                    </w:rPr>
                    <w:t>900-099-S59</w:t>
                  </w:r>
                </w:p>
              </w:tc>
              <w:tc>
                <w:tcPr>
                  <w:tcW w:w="359" w:type="pct"/>
                  <w:vAlign w:val="center"/>
                </w:tcPr>
                <w:p>
                  <w:pPr>
                    <w:pStyle w:val="41"/>
                    <w:widowControl/>
                    <w:kinsoku w:val="0"/>
                    <w:overflowPunct w:val="0"/>
                    <w:contextualSpacing/>
                    <w:rPr>
                      <w:rFonts w:hint="default" w:ascii="Times New Roman" w:hAnsi="Times New Roman" w:eastAsia="宋体" w:cs="Times New Roman"/>
                      <w:color w:val="auto"/>
                      <w:spacing w:val="-1"/>
                      <w:sz w:val="21"/>
                      <w:szCs w:val="21"/>
                      <w:highlight w:val="none"/>
                      <w:lang w:val="en-US" w:bidi="ar"/>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spacing w:val="-1"/>
                      <w:sz w:val="21"/>
                      <w:szCs w:val="21"/>
                      <w:highlight w:val="none"/>
                      <w:lang w:val="en-US" w:eastAsia="zh-CN"/>
                    </w:rPr>
                    <w:t>161.5</w:t>
                  </w:r>
                  <w:r>
                    <w:rPr>
                      <w:rFonts w:hint="eastAsia" w:ascii="Times New Roman" w:hAnsi="Times New Roman" w:eastAsia="宋体" w:cs="Times New Roman"/>
                      <w:color w:val="auto"/>
                      <w:spacing w:val="-1"/>
                      <w:sz w:val="21"/>
                      <w:szCs w:val="21"/>
                      <w:highlight w:val="none"/>
                      <w:lang w:val="en-US" w:eastAsia="zh-CN"/>
                    </w:rPr>
                    <w:t>65</w:t>
                  </w:r>
                  <w:r>
                    <w:rPr>
                      <w:rFonts w:hint="default" w:ascii="Times New Roman" w:hAnsi="Times New Roman" w:eastAsia="宋体" w:cs="Times New Roman"/>
                      <w:color w:val="auto"/>
                      <w:spacing w:val="-1"/>
                      <w:sz w:val="21"/>
                      <w:szCs w:val="21"/>
                      <w:highlight w:val="none"/>
                    </w:rPr>
                    <w:t>t/a</w:t>
                  </w:r>
                </w:p>
              </w:tc>
              <w:tc>
                <w:tcPr>
                  <w:tcW w:w="89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p>
              </w:tc>
              <w:tc>
                <w:tcPr>
                  <w:tcW w:w="50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rPr>
                    <w:t>沉淀池沉渣</w:t>
                  </w:r>
                </w:p>
              </w:tc>
              <w:tc>
                <w:tcPr>
                  <w:tcW w:w="742" w:type="pct"/>
                  <w:vAlign w:val="center"/>
                </w:tcPr>
                <w:p>
                  <w:pPr>
                    <w:pStyle w:val="41"/>
                    <w:kinsoku w:val="0"/>
                    <w:overflowPunct w:val="0"/>
                    <w:adjustRightInd w:val="0"/>
                    <w:snapToGrid w:val="0"/>
                    <w:spacing w:before="0" w:line="240" w:lineRule="auto"/>
                    <w:contextualSpacing/>
                    <w:rPr>
                      <w:rFonts w:hint="eastAsia" w:ascii="Times New Roman" w:hAnsi="Times New Roman" w:eastAsia="宋体" w:cs="Times New Roman"/>
                      <w:color w:val="auto"/>
                      <w:spacing w:val="-1"/>
                      <w:sz w:val="21"/>
                      <w:szCs w:val="21"/>
                      <w:lang w:val="en-US" w:eastAsia="zh-CN"/>
                    </w:rPr>
                  </w:pPr>
                  <w:r>
                    <w:rPr>
                      <w:rFonts w:hint="eastAsia" w:ascii="Times New Roman" w:hAnsi="Times New Roman" w:eastAsia="宋体" w:cs="Times New Roman"/>
                      <w:color w:val="auto"/>
                      <w:spacing w:val="-1"/>
                      <w:sz w:val="21"/>
                      <w:szCs w:val="21"/>
                      <w:lang w:val="en-US" w:eastAsia="zh-CN"/>
                    </w:rPr>
                    <w:t>SW07</w:t>
                  </w:r>
                </w:p>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pacing w:val="-1"/>
                      <w:sz w:val="21"/>
                      <w:szCs w:val="21"/>
                      <w:lang w:val="en-US" w:eastAsia="zh-CN"/>
                    </w:rPr>
                    <w:t>900-099-S07</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spacing w:val="-1"/>
                      <w:sz w:val="21"/>
                      <w:szCs w:val="21"/>
                      <w:lang w:val="en-US" w:eastAsia="zh-CN"/>
                    </w:rPr>
                    <w:t>2</w:t>
                  </w:r>
                  <w:r>
                    <w:rPr>
                      <w:rFonts w:hint="default" w:ascii="Times New Roman" w:hAnsi="Times New Roman" w:eastAsia="宋体" w:cs="Times New Roman"/>
                      <w:color w:val="auto"/>
                      <w:spacing w:val="-1"/>
                      <w:sz w:val="21"/>
                      <w:szCs w:val="21"/>
                    </w:rPr>
                    <w:t>.0t/a</w:t>
                  </w:r>
                </w:p>
              </w:tc>
              <w:tc>
                <w:tcPr>
                  <w:tcW w:w="89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lang w:val="zh-TW"/>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危险固体废物</w:t>
                  </w:r>
                </w:p>
              </w:tc>
              <w:tc>
                <w:tcPr>
                  <w:tcW w:w="509"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highlight w:val="none"/>
                    </w:rPr>
                    <w:t>废机油</w:t>
                  </w:r>
                </w:p>
              </w:tc>
              <w:tc>
                <w:tcPr>
                  <w:tcW w:w="742"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highlight w:val="none"/>
                    </w:rPr>
                    <w:t>HW08 900-214-08</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spacing w:val="-1"/>
                      <w:sz w:val="21"/>
                      <w:szCs w:val="21"/>
                      <w:highlight w:val="none"/>
                    </w:rPr>
                    <w:t>0.36t/a</w:t>
                  </w:r>
                </w:p>
              </w:tc>
              <w:tc>
                <w:tcPr>
                  <w:tcW w:w="893"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危险废物</w:t>
                  </w:r>
                  <w:r>
                    <w:rPr>
                      <w:rFonts w:hint="default" w:ascii="Times New Roman" w:hAnsi="Times New Roman" w:eastAsia="宋体" w:cs="Times New Roman"/>
                      <w:color w:val="auto"/>
                      <w:sz w:val="21"/>
                      <w:szCs w:val="21"/>
                    </w:rPr>
                    <w:t>交由有</w:t>
                  </w:r>
                  <w:r>
                    <w:rPr>
                      <w:rFonts w:hint="default" w:ascii="Times New Roman" w:hAnsi="Times New Roman" w:eastAsia="宋体" w:cs="Times New Roman"/>
                      <w:color w:val="auto"/>
                      <w:sz w:val="21"/>
                      <w:szCs w:val="21"/>
                      <w:lang w:eastAsia="zh-CN"/>
                    </w:rPr>
                    <w:t>危废资质单位进行</w:t>
                  </w:r>
                  <w:r>
                    <w:rPr>
                      <w:rFonts w:hint="default" w:ascii="Times New Roman" w:hAnsi="Times New Roman" w:eastAsia="宋体" w:cs="Times New Roman"/>
                      <w:color w:val="auto"/>
                      <w:sz w:val="21"/>
                      <w:szCs w:val="21"/>
                    </w:rPr>
                    <w:t>处置。</w:t>
                  </w:r>
                </w:p>
                <w:p>
                  <w:pPr>
                    <w:adjustRightInd w:val="0"/>
                    <w:snapToGrid w:val="0"/>
                    <w:spacing w:line="240" w:lineRule="auto"/>
                    <w:jc w:val="center"/>
                    <w:rPr>
                      <w:rFonts w:hint="default" w:ascii="Times New Roman" w:hAnsi="Times New Roman" w:eastAsia="宋体" w:cs="Times New Roman"/>
                      <w:color w:val="auto"/>
                      <w:sz w:val="21"/>
                      <w:szCs w:val="21"/>
                    </w:rPr>
                  </w:pPr>
                </w:p>
              </w:tc>
              <w:tc>
                <w:tcPr>
                  <w:tcW w:w="1083" w:type="pct"/>
                  <w:vMerge w:val="restar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《危险废物贮存污染控制标准》（GB18597－2023）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p>
              </w:tc>
              <w:tc>
                <w:tcPr>
                  <w:tcW w:w="509"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rPr>
                    <w:t>废机油桶</w:t>
                  </w:r>
                </w:p>
              </w:tc>
              <w:tc>
                <w:tcPr>
                  <w:tcW w:w="742"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lang w:val="en-US"/>
                    </w:rPr>
                    <w:t>HW49 900-041-49</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spacing w:val="-1"/>
                      <w:sz w:val="21"/>
                      <w:szCs w:val="21"/>
                      <w:lang w:val="en-US"/>
                    </w:rPr>
                    <w:t>0.02t/a</w:t>
                  </w:r>
                </w:p>
              </w:tc>
              <w:tc>
                <w:tcPr>
                  <w:tcW w:w="89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p>
              </w:tc>
              <w:tc>
                <w:tcPr>
                  <w:tcW w:w="524"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p>
              </w:tc>
              <w:tc>
                <w:tcPr>
                  <w:tcW w:w="509"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rPr>
                    <w:t>废油手套</w:t>
                  </w:r>
                </w:p>
              </w:tc>
              <w:tc>
                <w:tcPr>
                  <w:tcW w:w="742"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
                      <w:sz w:val="21"/>
                      <w:szCs w:val="21"/>
                      <w:lang w:val="en-US"/>
                    </w:rPr>
                    <w:t>HW49 900-041-49</w:t>
                  </w:r>
                </w:p>
              </w:tc>
              <w:tc>
                <w:tcPr>
                  <w:tcW w:w="359" w:type="pct"/>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486" w:type="pct"/>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pacing w:val="-1"/>
                      <w:sz w:val="21"/>
                      <w:szCs w:val="21"/>
                      <w:lang w:val="en-US" w:eastAsia="zh-CN"/>
                    </w:rPr>
                    <w:t>0.01</w:t>
                  </w:r>
                  <w:r>
                    <w:rPr>
                      <w:rFonts w:hint="default" w:ascii="Times New Roman" w:hAnsi="Times New Roman" w:eastAsia="宋体" w:cs="Times New Roman"/>
                      <w:color w:val="auto"/>
                      <w:spacing w:val="-1"/>
                      <w:sz w:val="21"/>
                      <w:szCs w:val="21"/>
                      <w:lang w:val="en-US"/>
                    </w:rPr>
                    <w:t>t/a</w:t>
                  </w:r>
                </w:p>
              </w:tc>
              <w:tc>
                <w:tcPr>
                  <w:tcW w:w="89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c>
                <w:tcPr>
                  <w:tcW w:w="1083" w:type="pct"/>
                  <w:vMerge w:val="continue"/>
                  <w:vAlign w:val="center"/>
                </w:tcPr>
                <w:p>
                  <w:pPr>
                    <w:adjustRightInd w:val="0"/>
                    <w:snapToGrid w:val="0"/>
                    <w:spacing w:line="240" w:lineRule="auto"/>
                    <w:jc w:val="center"/>
                    <w:rPr>
                      <w:rFonts w:hint="default" w:ascii="Times New Roman" w:hAnsi="Times New Roman" w:eastAsia="宋体" w:cs="Times New Roman"/>
                      <w:color w:val="auto"/>
                      <w:sz w:val="21"/>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0" w:type="pct"/>
                  <w:vAlign w:val="center"/>
                </w:tcPr>
                <w:p>
                  <w:pPr>
                    <w:adjustRightInd w:val="0"/>
                    <w:snapToGrid w:val="0"/>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噪声</w:t>
                  </w:r>
                </w:p>
              </w:tc>
              <w:tc>
                <w:tcPr>
                  <w:tcW w:w="524"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设备运行</w:t>
                  </w:r>
                </w:p>
              </w:tc>
              <w:tc>
                <w:tcPr>
                  <w:tcW w:w="2991" w:type="pct"/>
                  <w:gridSpan w:val="5"/>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项目噪声主要为搅拌机、环保风机和水泵等设备运行噪声。经厂房隔声、设备基础减振后，厂界执行《工业企业厂界环境噪声排放标准》（GB12348-2008）2类标准。</w:t>
                  </w:r>
                </w:p>
              </w:tc>
              <w:tc>
                <w:tcPr>
                  <w:tcW w:w="1083" w:type="pct"/>
                  <w:vAlign w:val="center"/>
                </w:tcPr>
                <w:p>
                  <w:pPr>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r>
                    <w:rPr>
                      <w:rFonts w:hint="eastAsia" w:eastAsia="宋体" w:cs="Times New Roman"/>
                      <w:color w:val="auto"/>
                      <w:sz w:val="21"/>
                      <w:szCs w:val="21"/>
                      <w:lang w:eastAsia="zh-CN"/>
                    </w:rPr>
                    <w:t>工业企业厂界环境噪声排放标准</w:t>
                  </w:r>
                  <w:r>
                    <w:rPr>
                      <w:rFonts w:hint="default" w:ascii="Times New Roman" w:hAnsi="Times New Roman" w:eastAsia="宋体" w:cs="Times New Roman"/>
                      <w:color w:val="auto"/>
                      <w:sz w:val="21"/>
                      <w:szCs w:val="21"/>
                    </w:rPr>
                    <w:t>》（GB12348-2008）</w:t>
                  </w:r>
                </w:p>
              </w:tc>
            </w:tr>
          </w:tbl>
          <w:p>
            <w:pPr>
              <w:pStyle w:val="3"/>
              <w:rPr>
                <w:rFonts w:hint="default" w:ascii="Times New Roman" w:hAnsi="Times New Roman" w:eastAsia="宋体" w:cs="Times New Roman"/>
                <w:color w:val="auto"/>
                <w:lang w:val="en-US" w:eastAsia="zh-CN"/>
              </w:rPr>
            </w:pPr>
          </w:p>
        </w:tc>
      </w:tr>
    </w:tbl>
    <w:p>
      <w:pPr>
        <w:jc w:val="center"/>
        <w:rPr>
          <w:rFonts w:hint="default" w:ascii="Times New Roman" w:hAnsi="Times New Roman" w:eastAsia="宋体" w:cs="Times New Roman"/>
          <w:b/>
          <w:bCs/>
          <w:color w:val="auto"/>
          <w:sz w:val="28"/>
          <w:szCs w:val="24"/>
        </w:rPr>
      </w:pPr>
      <w:r>
        <w:rPr>
          <w:rFonts w:hint="default" w:ascii="Times New Roman" w:hAnsi="Times New Roman" w:eastAsia="宋体" w:cs="Times New Roman"/>
          <w:b/>
          <w:bCs/>
          <w:color w:val="auto"/>
          <w:sz w:val="28"/>
          <w:szCs w:val="24"/>
        </w:rPr>
        <w:t>五、</w:t>
      </w:r>
      <w:bookmarkStart w:id="6" w:name="_Hlk54167917"/>
      <w:r>
        <w:rPr>
          <w:rFonts w:hint="default" w:ascii="Times New Roman" w:hAnsi="Times New Roman" w:eastAsia="宋体" w:cs="Times New Roman"/>
          <w:b/>
          <w:bCs/>
          <w:color w:val="auto"/>
          <w:sz w:val="28"/>
          <w:szCs w:val="24"/>
        </w:rPr>
        <w:t>环境保护措施监督检查清单</w:t>
      </w:r>
      <w:bookmarkEnd w:id="6"/>
    </w:p>
    <w:tbl>
      <w:tblPr>
        <w:tblStyle w:val="22"/>
        <w:tblW w:w="49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38"/>
        <w:gridCol w:w="1301"/>
        <w:gridCol w:w="1552"/>
        <w:gridCol w:w="1784"/>
        <w:gridCol w:w="30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9" w:type="pct"/>
            <w:tcBorders>
              <w:tl2br w:val="single" w:color="auto" w:sz="4" w:space="0"/>
            </w:tcBorders>
          </w:tcPr>
          <w:p>
            <w:pPr>
              <w:adjustRightInd w:val="0"/>
              <w:snapToGrid w:val="0"/>
              <w:jc w:val="right"/>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内容</w:t>
            </w:r>
          </w:p>
          <w:p>
            <w:pPr>
              <w:adjustRightInd w:val="0"/>
              <w:snapToGrid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要素</w:t>
            </w:r>
          </w:p>
        </w:tc>
        <w:tc>
          <w:tcPr>
            <w:tcW w:w="1225" w:type="pct"/>
            <w:gridSpan w:val="2"/>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排放口</w:t>
            </w:r>
            <w:r>
              <w:rPr>
                <w:rFonts w:hint="eastAsia" w:ascii="Times New Roman" w:hAnsi="Times New Roman" w:eastAsia="宋体" w:cs="Times New Roman"/>
                <w:b/>
                <w:bCs/>
                <w:color w:val="auto"/>
                <w:lang w:eastAsia="zh-CN"/>
              </w:rPr>
              <w:t>（</w:t>
            </w:r>
            <w:r>
              <w:rPr>
                <w:rFonts w:hint="default" w:ascii="Times New Roman" w:hAnsi="Times New Roman" w:eastAsia="宋体" w:cs="Times New Roman"/>
                <w:b/>
                <w:bCs/>
                <w:color w:val="auto"/>
              </w:rPr>
              <w:t>编号、</w:t>
            </w:r>
          </w:p>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名称</w:t>
            </w:r>
            <w:r>
              <w:rPr>
                <w:rFonts w:hint="eastAsia" w:ascii="Times New Roman" w:hAnsi="Times New Roman" w:eastAsia="宋体" w:cs="Times New Roman"/>
                <w:b/>
                <w:bCs/>
                <w:color w:val="auto"/>
                <w:lang w:eastAsia="zh-CN"/>
              </w:rPr>
              <w:t>）</w:t>
            </w:r>
            <w:r>
              <w:rPr>
                <w:rFonts w:hint="default" w:ascii="Times New Roman" w:hAnsi="Times New Roman" w:eastAsia="宋体" w:cs="Times New Roman"/>
                <w:b/>
                <w:bCs/>
                <w:color w:val="auto"/>
              </w:rPr>
              <w:t>/污染源</w:t>
            </w:r>
          </w:p>
        </w:tc>
        <w:tc>
          <w:tcPr>
            <w:tcW w:w="780" w:type="pc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污染物</w:t>
            </w:r>
          </w:p>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项目</w:t>
            </w:r>
          </w:p>
        </w:tc>
        <w:tc>
          <w:tcPr>
            <w:tcW w:w="896" w:type="pc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环境保护措施</w:t>
            </w:r>
          </w:p>
        </w:tc>
        <w:tc>
          <w:tcPr>
            <w:tcW w:w="1518" w:type="pc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79" w:type="pct"/>
            <w:vMerge w:val="restar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大气</w:t>
            </w:r>
          </w:p>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环境</w:t>
            </w:r>
          </w:p>
        </w:tc>
        <w:tc>
          <w:tcPr>
            <w:tcW w:w="1138" w:type="dxa"/>
            <w:vAlign w:val="center"/>
          </w:tcPr>
          <w:p>
            <w:pPr>
              <w:widowControl/>
              <w:spacing w:line="24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b w:val="0"/>
                <w:color w:val="auto"/>
                <w:kern w:val="2"/>
                <w:sz w:val="24"/>
                <w:szCs w:val="24"/>
                <w:highlight w:val="none"/>
                <w:vertAlign w:val="baseline"/>
                <w:lang w:val="en-US" w:eastAsia="zh-CN" w:bidi="ar-SA"/>
              </w:rPr>
              <w:t>堆存装卸粉尘</w:t>
            </w:r>
          </w:p>
        </w:tc>
        <w:tc>
          <w:tcPr>
            <w:tcW w:w="653"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无组织</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颗粒物</w:t>
            </w:r>
          </w:p>
        </w:tc>
        <w:tc>
          <w:tcPr>
            <w:tcW w:w="1784" w:type="dxa"/>
            <w:vAlign w:val="center"/>
          </w:tcPr>
          <w:p>
            <w:pPr>
              <w:pStyle w:val="27"/>
              <w:rPr>
                <w:rFonts w:hint="default" w:ascii="Times New Roman" w:hAnsi="Times New Roman" w:eastAsia="宋体" w:cs="Times New Roman"/>
                <w:color w:val="auto"/>
                <w:sz w:val="24"/>
                <w:szCs w:val="24"/>
              </w:rPr>
            </w:pPr>
            <w:r>
              <w:rPr>
                <w:rFonts w:hint="eastAsia"/>
                <w:color w:val="auto"/>
                <w:sz w:val="24"/>
                <w:szCs w:val="24"/>
                <w:lang w:val="en-GB"/>
              </w:rPr>
              <w:t>车辆冲洗+密闭</w:t>
            </w:r>
            <w:r>
              <w:rPr>
                <w:color w:val="auto"/>
                <w:sz w:val="24"/>
                <w:szCs w:val="24"/>
                <w:lang w:val="en-GB"/>
              </w:rPr>
              <w:t>式</w:t>
            </w:r>
            <w:r>
              <w:rPr>
                <w:rFonts w:hint="eastAsia"/>
                <w:color w:val="auto"/>
                <w:sz w:val="24"/>
                <w:szCs w:val="24"/>
                <w:lang w:val="en-GB"/>
              </w:rPr>
              <w:t>厂房</w:t>
            </w:r>
            <w:r>
              <w:rPr>
                <w:color w:val="auto"/>
                <w:sz w:val="24"/>
                <w:szCs w:val="24"/>
              </w:rPr>
              <w:t>+</w:t>
            </w:r>
            <w:r>
              <w:rPr>
                <w:rFonts w:hint="eastAsia"/>
                <w:color w:val="auto"/>
                <w:sz w:val="24"/>
                <w:szCs w:val="24"/>
              </w:rPr>
              <w:t>喷淋</w:t>
            </w:r>
            <w:r>
              <w:rPr>
                <w:color w:val="auto"/>
                <w:sz w:val="24"/>
                <w:szCs w:val="24"/>
              </w:rPr>
              <w:t>设备</w:t>
            </w:r>
          </w:p>
        </w:tc>
        <w:tc>
          <w:tcPr>
            <w:tcW w:w="1518" w:type="pct"/>
            <w:vMerge w:val="restart"/>
            <w:vAlign w:val="center"/>
          </w:tcPr>
          <w:p>
            <w:pPr>
              <w:spacing w:line="240" w:lineRule="auto"/>
              <w:jc w:val="both"/>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《水泥工业大气污染物排放标准》（GB4915-2013）</w:t>
            </w:r>
            <w:r>
              <w:rPr>
                <w:rFonts w:hint="eastAsia" w:ascii="Times New Roman" w:hAnsi="Times New Roman" w:eastAsia="宋体" w:cs="Times New Roman"/>
                <w:color w:val="auto"/>
                <w:lang w:eastAsia="zh-CN"/>
              </w:rPr>
              <w:t>“</w:t>
            </w:r>
            <w:r>
              <w:rPr>
                <w:rFonts w:hint="eastAsia" w:ascii="Times New Roman" w:hAnsi="Times New Roman" w:eastAsia="宋体" w:cs="Times New Roman"/>
                <w:b w:val="0"/>
                <w:color w:val="auto"/>
                <w:kern w:val="2"/>
                <w:sz w:val="24"/>
                <w:szCs w:val="24"/>
                <w:lang w:val="en-US" w:eastAsia="zh-CN" w:bidi="ar-SA"/>
              </w:rPr>
              <w:t>表3大气污染物无组织排放限值要求</w:t>
            </w:r>
            <w:r>
              <w:rPr>
                <w:rFonts w:hint="eastAsia" w:ascii="Times New Roman" w:hAnsi="Times New Roman" w:eastAsia="宋体" w:cs="Times New Roman"/>
                <w:color w:val="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79" w:type="pct"/>
            <w:vMerge w:val="continue"/>
            <w:vAlign w:val="center"/>
          </w:tcPr>
          <w:p>
            <w:pPr>
              <w:adjustRightInd w:val="0"/>
              <w:snapToGrid w:val="0"/>
              <w:spacing w:line="240" w:lineRule="auto"/>
              <w:jc w:val="center"/>
              <w:rPr>
                <w:rFonts w:hint="default" w:ascii="Times New Roman" w:hAnsi="Times New Roman" w:eastAsia="宋体" w:cs="Times New Roman"/>
                <w:color w:val="auto"/>
              </w:rPr>
            </w:pPr>
          </w:p>
        </w:tc>
        <w:tc>
          <w:tcPr>
            <w:tcW w:w="1138" w:type="dxa"/>
            <w:vAlign w:val="center"/>
          </w:tcPr>
          <w:p>
            <w:pPr>
              <w:widowControl/>
              <w:spacing w:line="24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b w:val="0"/>
                <w:color w:val="auto"/>
                <w:kern w:val="2"/>
                <w:sz w:val="24"/>
                <w:szCs w:val="24"/>
                <w:highlight w:val="none"/>
                <w:vertAlign w:val="baseline"/>
                <w:lang w:val="en-US" w:eastAsia="zh-CN" w:bidi="ar-SA"/>
              </w:rPr>
              <w:t>物料输送粉尘</w:t>
            </w:r>
          </w:p>
        </w:tc>
        <w:tc>
          <w:tcPr>
            <w:tcW w:w="653"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无组织</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颗粒物</w:t>
            </w:r>
          </w:p>
        </w:tc>
        <w:tc>
          <w:tcPr>
            <w:tcW w:w="1784" w:type="dxa"/>
            <w:vAlign w:val="center"/>
          </w:tcPr>
          <w:p>
            <w:pPr>
              <w:pStyle w:val="27"/>
              <w:rPr>
                <w:rFonts w:hint="default" w:ascii="Times New Roman" w:hAnsi="Times New Roman" w:eastAsia="宋体" w:cs="Times New Roman"/>
                <w:color w:val="auto"/>
                <w:sz w:val="24"/>
                <w:szCs w:val="24"/>
              </w:rPr>
            </w:pPr>
            <w:r>
              <w:rPr>
                <w:rFonts w:hint="eastAsia"/>
                <w:color w:val="auto"/>
                <w:sz w:val="24"/>
                <w:szCs w:val="24"/>
                <w:lang w:val="en-GB"/>
              </w:rPr>
              <w:t>密闭</w:t>
            </w:r>
            <w:r>
              <w:rPr>
                <w:color w:val="auto"/>
                <w:sz w:val="24"/>
                <w:szCs w:val="24"/>
                <w:lang w:val="en-GB"/>
              </w:rPr>
              <w:t>式</w:t>
            </w:r>
            <w:r>
              <w:rPr>
                <w:rFonts w:hint="eastAsia"/>
                <w:color w:val="auto"/>
                <w:sz w:val="24"/>
                <w:szCs w:val="24"/>
                <w:lang w:val="en-GB"/>
              </w:rPr>
              <w:t>厂房</w:t>
            </w:r>
            <w:r>
              <w:rPr>
                <w:color w:val="auto"/>
                <w:sz w:val="24"/>
                <w:szCs w:val="24"/>
              </w:rPr>
              <w:t>+</w:t>
            </w:r>
            <w:r>
              <w:rPr>
                <w:rFonts w:hint="eastAsia"/>
                <w:color w:val="auto"/>
                <w:sz w:val="24"/>
                <w:szCs w:val="24"/>
              </w:rPr>
              <w:t>喷淋</w:t>
            </w:r>
            <w:r>
              <w:rPr>
                <w:color w:val="auto"/>
                <w:sz w:val="24"/>
                <w:szCs w:val="24"/>
              </w:rPr>
              <w:t>设备</w:t>
            </w:r>
          </w:p>
        </w:tc>
        <w:tc>
          <w:tcPr>
            <w:tcW w:w="1518" w:type="pct"/>
            <w:vMerge w:val="continue"/>
            <w:vAlign w:val="center"/>
          </w:tcPr>
          <w:p>
            <w:pPr>
              <w:spacing w:line="24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79"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rPr>
            </w:pPr>
          </w:p>
        </w:tc>
        <w:tc>
          <w:tcPr>
            <w:tcW w:w="1138" w:type="dxa"/>
            <w:vAlign w:val="center"/>
          </w:tcPr>
          <w:p>
            <w:pPr>
              <w:widowControl/>
              <w:spacing w:line="240" w:lineRule="auto"/>
              <w:jc w:val="center"/>
              <w:rPr>
                <w:rFonts w:hint="default" w:ascii="Times New Roman" w:hAnsi="Times New Roman" w:eastAsia="宋体" w:cs="Times New Roman"/>
                <w:color w:val="auto"/>
                <w:szCs w:val="24"/>
                <w:lang w:eastAsia="zh-CN"/>
              </w:rPr>
            </w:pPr>
            <w:r>
              <w:rPr>
                <w:rFonts w:hint="default" w:ascii="Times New Roman" w:hAnsi="Times New Roman" w:eastAsia="宋体" w:cs="Times New Roman"/>
                <w:b w:val="0"/>
                <w:color w:val="auto"/>
                <w:kern w:val="2"/>
                <w:sz w:val="24"/>
                <w:szCs w:val="24"/>
                <w:highlight w:val="none"/>
                <w:vertAlign w:val="baseline"/>
                <w:lang w:val="en-US" w:eastAsia="zh-CN" w:bidi="ar-SA"/>
              </w:rPr>
              <w:t>水泥筒仓粉尘</w:t>
            </w:r>
          </w:p>
        </w:tc>
        <w:tc>
          <w:tcPr>
            <w:tcW w:w="653"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无组织</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颗粒物</w:t>
            </w:r>
          </w:p>
        </w:tc>
        <w:tc>
          <w:tcPr>
            <w:tcW w:w="1784" w:type="dxa"/>
            <w:vAlign w:val="center"/>
          </w:tcPr>
          <w:p>
            <w:pPr>
              <w:pStyle w:val="27"/>
              <w:rPr>
                <w:rFonts w:hint="default" w:ascii="Times New Roman" w:hAnsi="Times New Roman" w:eastAsia="宋体" w:cs="Times New Roman"/>
                <w:color w:val="auto"/>
                <w:sz w:val="24"/>
                <w:szCs w:val="24"/>
              </w:rPr>
            </w:pPr>
            <w:r>
              <w:rPr>
                <w:rFonts w:hint="eastAsia"/>
                <w:color w:val="auto"/>
                <w:sz w:val="24"/>
                <w:szCs w:val="24"/>
                <w:lang w:val="en-GB"/>
              </w:rPr>
              <w:t>密闭</w:t>
            </w:r>
            <w:r>
              <w:rPr>
                <w:color w:val="auto"/>
                <w:sz w:val="24"/>
                <w:szCs w:val="24"/>
                <w:lang w:val="en-GB"/>
              </w:rPr>
              <w:t>式</w:t>
            </w:r>
            <w:r>
              <w:rPr>
                <w:rFonts w:hint="eastAsia"/>
                <w:color w:val="auto"/>
                <w:sz w:val="24"/>
                <w:szCs w:val="24"/>
                <w:lang w:val="en-GB"/>
              </w:rPr>
              <w:t>厂房</w:t>
            </w:r>
            <w:r>
              <w:rPr>
                <w:color w:val="auto"/>
                <w:sz w:val="24"/>
                <w:szCs w:val="24"/>
              </w:rPr>
              <w:t>+</w:t>
            </w:r>
            <w:r>
              <w:rPr>
                <w:color w:val="auto"/>
                <w:sz w:val="24"/>
                <w:szCs w:val="24"/>
                <w:lang w:val="en-GB"/>
              </w:rPr>
              <w:t>袋式除尘器</w:t>
            </w:r>
          </w:p>
        </w:tc>
        <w:tc>
          <w:tcPr>
            <w:tcW w:w="1518" w:type="pct"/>
            <w:vMerge w:val="continue"/>
            <w:vAlign w:val="center"/>
          </w:tcPr>
          <w:p>
            <w:pPr>
              <w:spacing w:line="240" w:lineRule="auto"/>
              <w:jc w:val="center"/>
              <w:rPr>
                <w:rFonts w:hint="default" w:ascii="Times New Roman" w:hAnsi="Times New Roman" w:eastAsia="宋体" w:cs="Times New Roman"/>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79"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rPr>
            </w:pP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b w:val="0"/>
                <w:color w:val="auto"/>
                <w:kern w:val="2"/>
                <w:sz w:val="24"/>
                <w:szCs w:val="24"/>
                <w:highlight w:val="none"/>
                <w:vertAlign w:val="baseline"/>
                <w:lang w:val="en-US" w:eastAsia="zh-CN" w:bidi="ar-SA"/>
              </w:rPr>
            </w:pPr>
            <w:r>
              <w:rPr>
                <w:rFonts w:hint="default" w:ascii="Times New Roman" w:hAnsi="Times New Roman" w:eastAsia="宋体" w:cs="Times New Roman"/>
                <w:b w:val="0"/>
                <w:color w:val="auto"/>
                <w:kern w:val="2"/>
                <w:sz w:val="24"/>
                <w:szCs w:val="24"/>
                <w:highlight w:val="none"/>
                <w:vertAlign w:val="baseline"/>
                <w:lang w:val="en-US" w:eastAsia="zh-CN" w:bidi="ar-SA"/>
              </w:rPr>
              <w:t>搅拌</w:t>
            </w:r>
          </w:p>
          <w:p>
            <w:pPr>
              <w:widowControl/>
              <w:spacing w:line="24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b w:val="0"/>
                <w:color w:val="auto"/>
                <w:kern w:val="2"/>
                <w:sz w:val="24"/>
                <w:szCs w:val="24"/>
                <w:highlight w:val="none"/>
                <w:vertAlign w:val="baseline"/>
                <w:lang w:val="en-US" w:eastAsia="zh-CN" w:bidi="ar-SA"/>
              </w:rPr>
              <w:t>粉尘</w:t>
            </w:r>
          </w:p>
        </w:tc>
        <w:tc>
          <w:tcPr>
            <w:tcW w:w="653"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无组织</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颗粒物</w:t>
            </w:r>
          </w:p>
        </w:tc>
        <w:tc>
          <w:tcPr>
            <w:tcW w:w="1784" w:type="dxa"/>
            <w:vAlign w:val="center"/>
          </w:tcPr>
          <w:p>
            <w:pPr>
              <w:pStyle w:val="27"/>
              <w:rPr>
                <w:rFonts w:hint="default" w:ascii="Times New Roman" w:hAnsi="Times New Roman" w:eastAsia="宋体" w:cs="Times New Roman"/>
                <w:color w:val="auto"/>
                <w:sz w:val="24"/>
                <w:szCs w:val="24"/>
              </w:rPr>
            </w:pPr>
            <w:r>
              <w:rPr>
                <w:rFonts w:hint="eastAsia"/>
                <w:color w:val="auto"/>
                <w:sz w:val="24"/>
                <w:szCs w:val="24"/>
                <w:lang w:val="en-GB"/>
              </w:rPr>
              <w:t>密闭</w:t>
            </w:r>
            <w:r>
              <w:rPr>
                <w:color w:val="auto"/>
                <w:sz w:val="24"/>
                <w:szCs w:val="24"/>
                <w:lang w:val="en-GB"/>
              </w:rPr>
              <w:t>式</w:t>
            </w:r>
            <w:r>
              <w:rPr>
                <w:rFonts w:hint="eastAsia"/>
                <w:color w:val="auto"/>
                <w:sz w:val="24"/>
                <w:szCs w:val="24"/>
                <w:lang w:val="en-GB"/>
              </w:rPr>
              <w:t>厂房</w:t>
            </w:r>
            <w:r>
              <w:rPr>
                <w:color w:val="auto"/>
                <w:sz w:val="24"/>
                <w:szCs w:val="24"/>
              </w:rPr>
              <w:t>+</w:t>
            </w:r>
            <w:r>
              <w:rPr>
                <w:color w:val="auto"/>
                <w:sz w:val="24"/>
                <w:szCs w:val="24"/>
                <w:lang w:val="en-GB"/>
              </w:rPr>
              <w:t>袋式除尘器</w:t>
            </w:r>
            <w:r>
              <w:rPr>
                <w:rFonts w:hint="eastAsia"/>
                <w:color w:val="auto"/>
                <w:sz w:val="24"/>
                <w:szCs w:val="24"/>
              </w:rPr>
              <w:t>+喷淋设备</w:t>
            </w:r>
          </w:p>
        </w:tc>
        <w:tc>
          <w:tcPr>
            <w:tcW w:w="1518" w:type="pct"/>
            <w:vMerge w:val="continue"/>
            <w:vAlign w:val="center"/>
          </w:tcPr>
          <w:p>
            <w:pPr>
              <w:spacing w:line="24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79"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rPr>
            </w:pPr>
          </w:p>
        </w:tc>
        <w:tc>
          <w:tcPr>
            <w:tcW w:w="1138" w:type="dxa"/>
            <w:vAlign w:val="center"/>
          </w:tcPr>
          <w:p>
            <w:pPr>
              <w:widowControl/>
              <w:spacing w:line="240" w:lineRule="auto"/>
              <w:jc w:val="center"/>
              <w:rPr>
                <w:rFonts w:hint="default" w:ascii="Times New Roman" w:hAnsi="Times New Roman" w:eastAsia="宋体" w:cs="Times New Roman"/>
                <w:color w:val="auto"/>
                <w:szCs w:val="24"/>
              </w:rPr>
            </w:pPr>
            <w:r>
              <w:rPr>
                <w:rFonts w:hint="default" w:ascii="Times New Roman" w:hAnsi="Times New Roman" w:eastAsia="宋体" w:cs="Times New Roman"/>
                <w:b w:val="0"/>
                <w:color w:val="auto"/>
                <w:kern w:val="2"/>
                <w:sz w:val="24"/>
                <w:szCs w:val="24"/>
                <w:highlight w:val="none"/>
                <w:vertAlign w:val="baseline"/>
                <w:lang w:val="en-US" w:eastAsia="zh-CN" w:bidi="ar-SA"/>
              </w:rPr>
              <w:t>车辆运输扬尘</w:t>
            </w:r>
          </w:p>
        </w:tc>
        <w:tc>
          <w:tcPr>
            <w:tcW w:w="653"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无组织</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颗粒物</w:t>
            </w:r>
          </w:p>
        </w:tc>
        <w:tc>
          <w:tcPr>
            <w:tcW w:w="1784" w:type="dxa"/>
            <w:vAlign w:val="center"/>
          </w:tcPr>
          <w:p>
            <w:pPr>
              <w:pStyle w:val="27"/>
              <w:jc w:val="center"/>
              <w:rPr>
                <w:rFonts w:hint="default" w:ascii="Times New Roman" w:hAnsi="Times New Roman" w:eastAsia="宋体" w:cs="Times New Roman"/>
                <w:color w:val="auto"/>
                <w:sz w:val="24"/>
                <w:szCs w:val="24"/>
                <w:lang w:val="en-GB"/>
              </w:rPr>
            </w:pPr>
            <w:r>
              <w:rPr>
                <w:color w:val="auto"/>
                <w:sz w:val="24"/>
                <w:szCs w:val="24"/>
                <w:lang w:val="en-GB"/>
              </w:rPr>
              <w:t>清洗车辆、路面定期洒水</w:t>
            </w:r>
          </w:p>
        </w:tc>
        <w:tc>
          <w:tcPr>
            <w:tcW w:w="1518" w:type="pct"/>
            <w:vMerge w:val="continue"/>
            <w:vAlign w:val="center"/>
          </w:tcPr>
          <w:p>
            <w:pPr>
              <w:spacing w:line="240" w:lineRule="auto"/>
              <w:jc w:val="center"/>
              <w:rPr>
                <w:rFonts w:hint="default" w:ascii="Times New Roman" w:hAnsi="Times New Roman" w:eastAsia="宋体" w:cs="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579" w:type="pct"/>
            <w:vMerge w:val="restar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地表水</w:t>
            </w:r>
          </w:p>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环境</w:t>
            </w:r>
          </w:p>
        </w:tc>
        <w:tc>
          <w:tcPr>
            <w:tcW w:w="1225" w:type="pct"/>
            <w:gridSpan w:val="2"/>
            <w:vAlign w:val="center"/>
          </w:tcPr>
          <w:p>
            <w:pPr>
              <w:spacing w:line="240" w:lineRule="auto"/>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生活污水</w:t>
            </w:r>
          </w:p>
        </w:tc>
        <w:tc>
          <w:tcPr>
            <w:tcW w:w="780" w:type="pct"/>
            <w:vAlign w:val="center"/>
          </w:tcPr>
          <w:p>
            <w:pPr>
              <w:spacing w:line="240" w:lineRule="auto"/>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COD</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SS</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r>
              <w:rPr>
                <w:rFonts w:hint="default" w:ascii="Times New Roman" w:hAnsi="Times New Roman" w:eastAsia="宋体" w:cs="Times New Roman"/>
                <w:color w:val="auto"/>
                <w:lang w:eastAsia="zh-CN"/>
              </w:rPr>
              <w:t>、</w:t>
            </w:r>
          </w:p>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总氮</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总磷</w:t>
            </w:r>
          </w:p>
        </w:tc>
        <w:tc>
          <w:tcPr>
            <w:tcW w:w="896" w:type="pct"/>
            <w:vAlign w:val="center"/>
          </w:tcPr>
          <w:p>
            <w:pPr>
              <w:spacing w:line="240" w:lineRule="auto"/>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化粪池</w:t>
            </w:r>
          </w:p>
        </w:tc>
        <w:tc>
          <w:tcPr>
            <w:tcW w:w="1518" w:type="pct"/>
            <w:vAlign w:val="center"/>
          </w:tcPr>
          <w:p>
            <w:pPr>
              <w:spacing w:line="240" w:lineRule="auto"/>
              <w:jc w:val="center"/>
              <w:rPr>
                <w:rFonts w:hint="default" w:ascii="Times New Roman" w:hAnsi="Times New Roman" w:eastAsia="宋体" w:cs="Times New Roman"/>
                <w:color w:val="auto"/>
                <w:lang w:val="zh-TW"/>
              </w:rPr>
            </w:pPr>
            <w:r>
              <w:rPr>
                <w:rFonts w:hint="default" w:ascii="Times New Roman" w:hAnsi="Times New Roman" w:eastAsia="宋体" w:cs="Times New Roman"/>
                <w:color w:val="auto"/>
                <w:lang w:val="zh-TW"/>
              </w:rPr>
              <w:t>定期清掏</w:t>
            </w:r>
            <w:r>
              <w:rPr>
                <w:rFonts w:hint="eastAsia" w:ascii="Times New Roman" w:hAnsi="Times New Roman" w:eastAsia="宋体" w:cs="Times New Roman"/>
                <w:color w:val="auto"/>
                <w:lang w:val="zh-TW" w:eastAsia="zh-CN"/>
              </w:rPr>
              <w:t>，</w:t>
            </w:r>
            <w:r>
              <w:rPr>
                <w:rFonts w:hint="default" w:ascii="Times New Roman" w:hAnsi="Times New Roman" w:eastAsia="宋体" w:cs="Times New Roman"/>
                <w:color w:val="auto"/>
                <w:lang w:val="zh-TW"/>
              </w:rPr>
              <w:t>用作农肥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579" w:type="pct"/>
            <w:vMerge w:val="continue"/>
            <w:vAlign w:val="center"/>
          </w:tcPr>
          <w:p>
            <w:pPr>
              <w:adjustRightInd w:val="0"/>
              <w:snapToGrid w:val="0"/>
              <w:spacing w:line="240" w:lineRule="auto"/>
              <w:jc w:val="center"/>
              <w:rPr>
                <w:rFonts w:hint="default" w:ascii="Times New Roman" w:hAnsi="Times New Roman" w:eastAsia="宋体" w:cs="Times New Roman"/>
                <w:b/>
                <w:bCs/>
                <w:color w:val="auto"/>
              </w:rPr>
            </w:pPr>
          </w:p>
        </w:tc>
        <w:tc>
          <w:tcPr>
            <w:tcW w:w="1225" w:type="pct"/>
            <w:gridSpan w:val="2"/>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车辆冲洗废水</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896"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沉淀池</w:t>
            </w:r>
          </w:p>
        </w:tc>
        <w:tc>
          <w:tcPr>
            <w:tcW w:w="1518"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zh-TW"/>
              </w:rPr>
              <w:t>回用于车辆冲洗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93" w:hRule="atLeast"/>
          <w:jc w:val="center"/>
        </w:trPr>
        <w:tc>
          <w:tcPr>
            <w:tcW w:w="579" w:type="pct"/>
            <w:vAlign w:val="center"/>
          </w:tcPr>
          <w:p>
            <w:pPr>
              <w:adjustRightInd w:val="0"/>
              <w:snapToGrid w:val="0"/>
              <w:spacing w:line="240" w:lineRule="auto"/>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声环境</w:t>
            </w:r>
          </w:p>
        </w:tc>
        <w:tc>
          <w:tcPr>
            <w:tcW w:w="1225" w:type="pct"/>
            <w:gridSpan w:val="2"/>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设备噪声</w:t>
            </w:r>
          </w:p>
        </w:tc>
        <w:tc>
          <w:tcPr>
            <w:tcW w:w="780"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噪声</w:t>
            </w:r>
          </w:p>
        </w:tc>
        <w:tc>
          <w:tcPr>
            <w:tcW w:w="896"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厂房隔声、设备基础减振</w:t>
            </w:r>
          </w:p>
        </w:tc>
        <w:tc>
          <w:tcPr>
            <w:tcW w:w="1518" w:type="pct"/>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厂界执行《工业企业厂界环境噪声排放标准》（GB12348-2008）2类标准。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579" w:type="pct"/>
            <w:vAlign w:val="center"/>
          </w:tcPr>
          <w:p>
            <w:pPr>
              <w:adjustRightInd w:val="0"/>
              <w:snapToGrid w:val="0"/>
              <w:jc w:val="center"/>
              <w:rPr>
                <w:rFonts w:cs="Times New Roman"/>
                <w:b/>
                <w:bCs/>
                <w:color w:val="auto"/>
              </w:rPr>
            </w:pPr>
            <w:r>
              <w:rPr>
                <w:rFonts w:cs="Times New Roman"/>
                <w:b/>
                <w:bCs/>
                <w:color w:val="auto"/>
              </w:rPr>
              <w:t>固体</w:t>
            </w:r>
          </w:p>
          <w:p>
            <w:pPr>
              <w:adjustRightInd w:val="0"/>
              <w:snapToGrid w:val="0"/>
              <w:jc w:val="center"/>
              <w:rPr>
                <w:rFonts w:cs="Times New Roman"/>
                <w:b/>
                <w:bCs/>
                <w:color w:val="auto"/>
              </w:rPr>
            </w:pPr>
            <w:r>
              <w:rPr>
                <w:rFonts w:cs="Times New Roman"/>
                <w:b/>
                <w:bCs/>
                <w:color w:val="auto"/>
              </w:rPr>
              <w:t>废物</w:t>
            </w:r>
          </w:p>
        </w:tc>
        <w:tc>
          <w:tcPr>
            <w:tcW w:w="4420" w:type="pct"/>
            <w:gridSpan w:val="5"/>
            <w:vAlign w:val="center"/>
          </w:tcPr>
          <w:p>
            <w:pPr>
              <w:rPr>
                <w:rFonts w:cs="Times New Roman"/>
                <w:color w:val="auto"/>
              </w:rPr>
            </w:pPr>
            <w:r>
              <w:rPr>
                <w:rFonts w:cs="Times New Roman"/>
                <w:color w:val="auto"/>
              </w:rPr>
              <w:t>1、一般固体废物：</w:t>
            </w:r>
            <w:bookmarkStart w:id="7" w:name="_Hlk159338264"/>
            <w:r>
              <w:rPr>
                <w:rFonts w:cs="Times New Roman"/>
                <w:color w:val="auto"/>
              </w:rPr>
              <w:t>本次项目一般固体废物应满足《一般工业固体废物贮存和填埋污染控制标准》（GB 18599-2020）中有关规定。</w:t>
            </w:r>
          </w:p>
          <w:bookmarkEnd w:id="7"/>
          <w:p>
            <w:pPr>
              <w:rPr>
                <w:rFonts w:cs="Times New Roman"/>
                <w:color w:val="auto"/>
                <w:szCs w:val="24"/>
              </w:rPr>
            </w:pPr>
            <w:r>
              <w:rPr>
                <w:rFonts w:cs="Times New Roman"/>
                <w:color w:val="auto"/>
              </w:rPr>
              <w:t>2、危险废物：</w:t>
            </w:r>
            <w:bookmarkStart w:id="8" w:name="_Hlk159338275"/>
            <w:r>
              <w:rPr>
                <w:rFonts w:cs="Times New Roman"/>
                <w:color w:val="auto"/>
              </w:rPr>
              <w:t>本项目</w:t>
            </w:r>
            <w:r>
              <w:rPr>
                <w:rFonts w:hint="eastAsia" w:cs="Times New Roman"/>
                <w:color w:val="auto"/>
                <w:lang w:eastAsia="zh-CN"/>
              </w:rPr>
              <w:t>危废贮存库</w:t>
            </w:r>
            <w:r>
              <w:rPr>
                <w:rFonts w:cs="Times New Roman"/>
                <w:color w:val="auto"/>
              </w:rPr>
              <w:t>的设置应按照《危险废物贮存污染控制标准》（GB18597-2023）中的相关要求。危险废物贮存设施标识都必须按《危险废物识别标志设置技术规范》（HJ 1276</w:t>
            </w:r>
            <w:r>
              <w:rPr>
                <w:rFonts w:hint="eastAsia" w:cs="Times New Roman"/>
                <w:color w:val="auto"/>
                <w:lang w:val="en-US" w:eastAsia="zh-CN"/>
              </w:rPr>
              <w:t>-</w:t>
            </w:r>
            <w:r>
              <w:rPr>
                <w:rFonts w:cs="Times New Roman"/>
                <w:color w:val="auto"/>
              </w:rPr>
              <w:t>2022）中的规定，规范立标设置环保标识牌。加强管理防止发生意外事故，同时厂区范围内必须完善消防</w:t>
            </w:r>
            <w:r>
              <w:rPr>
                <w:rFonts w:hint="eastAsia" w:cs="Times New Roman"/>
                <w:color w:val="auto"/>
                <w:lang w:eastAsia="zh-CN"/>
              </w:rPr>
              <w:t>措施</w:t>
            </w:r>
            <w:r>
              <w:rPr>
                <w:rFonts w:hint="eastAsia" w:cs="Times New Roman"/>
                <w:color w:val="auto"/>
                <w:lang w:val="en-US" w:eastAsia="zh-CN"/>
              </w:rPr>
              <w:t>并且</w:t>
            </w:r>
            <w:r>
              <w:rPr>
                <w:rFonts w:cs="Times New Roman"/>
                <w:color w:val="auto"/>
              </w:rPr>
              <w:t>加强管理。</w:t>
            </w:r>
            <w:bookmarkEnd w:id="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1" w:hRule="atLeast"/>
          <w:jc w:val="center"/>
        </w:trPr>
        <w:tc>
          <w:tcPr>
            <w:tcW w:w="579" w:type="pct"/>
            <w:vAlign w:val="center"/>
          </w:tcPr>
          <w:p>
            <w:pPr>
              <w:adjustRightInd w:val="0"/>
              <w:snapToGrid w:val="0"/>
              <w:jc w:val="center"/>
              <w:rPr>
                <w:rFonts w:cs="Times New Roman"/>
                <w:b/>
                <w:bCs/>
                <w:color w:val="auto"/>
              </w:rPr>
            </w:pPr>
            <w:r>
              <w:rPr>
                <w:rFonts w:cs="Times New Roman"/>
                <w:b/>
                <w:bCs/>
                <w:color w:val="auto"/>
              </w:rPr>
              <w:t>土壤及地下水污染防治措施</w:t>
            </w:r>
          </w:p>
        </w:tc>
        <w:tc>
          <w:tcPr>
            <w:tcW w:w="4420" w:type="pct"/>
            <w:gridSpan w:val="5"/>
            <w:vAlign w:val="center"/>
          </w:tcPr>
          <w:p>
            <w:pPr>
              <w:rPr>
                <w:rFonts w:cs="Times New Roman"/>
                <w:color w:val="auto"/>
              </w:rPr>
            </w:pPr>
            <w:r>
              <w:rPr>
                <w:rFonts w:cs="Times New Roman"/>
                <w:color w:val="auto"/>
              </w:rPr>
              <w:t>1、做好危废及危险物质的储存管理，危废贮存设施必须做好防腐、防渗处理，保持地面硬化，防止危废渗漏到土壤，造成污染。</w:t>
            </w:r>
          </w:p>
          <w:p>
            <w:pPr>
              <w:rPr>
                <w:rFonts w:cs="Times New Roman"/>
                <w:color w:val="auto"/>
              </w:rPr>
            </w:pPr>
            <w:r>
              <w:rPr>
                <w:rFonts w:cs="Times New Roman"/>
                <w:color w:val="auto"/>
              </w:rPr>
              <w:t>2、各类污染物严格按照环评要求处理处置，禁止未经处理的污染物直接排放到环境中，对周边环境造成污染。</w:t>
            </w:r>
          </w:p>
          <w:p>
            <w:pPr>
              <w:rPr>
                <w:rFonts w:cs="Times New Roman"/>
                <w:color w:val="auto"/>
              </w:rPr>
            </w:pPr>
            <w:r>
              <w:rPr>
                <w:rFonts w:cs="Times New Roman"/>
                <w:color w:val="auto"/>
              </w:rPr>
              <w:t>3、严格落实本报告提出的污染防治措施，项目运营时应确保环保措施稳定正常的运行，废气达标排放，防止直接排放从而沉降后对地表土壤环境造成污染。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579" w:type="pct"/>
            <w:vAlign w:val="center"/>
          </w:tcPr>
          <w:p>
            <w:pPr>
              <w:adjustRightInd w:val="0"/>
              <w:snapToGrid w:val="0"/>
              <w:jc w:val="center"/>
              <w:rPr>
                <w:rFonts w:cs="Times New Roman"/>
                <w:b/>
                <w:bCs/>
                <w:color w:val="auto"/>
              </w:rPr>
            </w:pPr>
            <w:r>
              <w:rPr>
                <w:rFonts w:cs="Times New Roman"/>
                <w:b/>
                <w:bCs/>
                <w:color w:val="auto"/>
              </w:rPr>
              <w:t>生态保护措施</w:t>
            </w:r>
          </w:p>
        </w:tc>
        <w:tc>
          <w:tcPr>
            <w:tcW w:w="4420" w:type="pct"/>
            <w:gridSpan w:val="5"/>
            <w:vAlign w:val="center"/>
          </w:tcPr>
          <w:p>
            <w:pPr>
              <w:rPr>
                <w:rFonts w:cs="Times New Roman"/>
                <w:color w:val="auto"/>
              </w:rPr>
            </w:pPr>
            <w:r>
              <w:rPr>
                <w:rFonts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2" w:hRule="atLeast"/>
          <w:jc w:val="center"/>
        </w:trPr>
        <w:tc>
          <w:tcPr>
            <w:tcW w:w="579" w:type="pct"/>
            <w:vAlign w:val="center"/>
          </w:tcPr>
          <w:p>
            <w:pPr>
              <w:adjustRightInd w:val="0"/>
              <w:snapToGrid w:val="0"/>
              <w:jc w:val="center"/>
              <w:rPr>
                <w:rFonts w:cs="Times New Roman"/>
                <w:b/>
                <w:bCs/>
                <w:color w:val="auto"/>
                <w:spacing w:val="-8"/>
              </w:rPr>
            </w:pPr>
            <w:r>
              <w:rPr>
                <w:rFonts w:cs="Times New Roman"/>
                <w:b/>
                <w:bCs/>
                <w:color w:val="auto"/>
                <w:spacing w:val="-8"/>
              </w:rPr>
              <w:t>环境风险</w:t>
            </w:r>
          </w:p>
          <w:p>
            <w:pPr>
              <w:adjustRightInd w:val="0"/>
              <w:snapToGrid w:val="0"/>
              <w:jc w:val="center"/>
              <w:rPr>
                <w:rFonts w:cs="Times New Roman"/>
                <w:b/>
                <w:bCs/>
                <w:color w:val="auto"/>
                <w:spacing w:val="-8"/>
              </w:rPr>
            </w:pPr>
            <w:r>
              <w:rPr>
                <w:rFonts w:cs="Times New Roman"/>
                <w:b/>
                <w:bCs/>
                <w:color w:val="auto"/>
                <w:spacing w:val="-8"/>
              </w:rPr>
              <w:t>防范措施</w:t>
            </w:r>
          </w:p>
        </w:tc>
        <w:tc>
          <w:tcPr>
            <w:tcW w:w="4420" w:type="pct"/>
            <w:gridSpan w:val="5"/>
            <w:vAlign w:val="center"/>
          </w:tcPr>
          <w:p>
            <w:pPr>
              <w:ind w:firstLine="480" w:firstLineChars="200"/>
              <w:rPr>
                <w:rFonts w:cs="Times New Roman"/>
                <w:color w:val="auto"/>
              </w:rPr>
            </w:pPr>
            <w:r>
              <w:rPr>
                <w:rFonts w:cs="Times New Roman"/>
                <w:color w:val="auto"/>
              </w:rPr>
              <w:t>针对产生的废机油，建设单位已经将其暂存在</w:t>
            </w:r>
            <w:r>
              <w:rPr>
                <w:rFonts w:hint="eastAsia" w:cs="Times New Roman"/>
                <w:color w:val="auto"/>
                <w:lang w:eastAsia="zh-CN"/>
              </w:rPr>
              <w:t>危废贮存库</w:t>
            </w:r>
            <w:r>
              <w:rPr>
                <w:rFonts w:cs="Times New Roman"/>
                <w:color w:val="auto"/>
              </w:rPr>
              <w:t>内，为进一步减小风险，需加强对</w:t>
            </w:r>
            <w:r>
              <w:rPr>
                <w:rFonts w:hint="eastAsia" w:cs="Times New Roman"/>
                <w:color w:val="auto"/>
                <w:lang w:eastAsia="zh-CN"/>
              </w:rPr>
              <w:t>危废贮存库</w:t>
            </w:r>
            <w:r>
              <w:rPr>
                <w:rFonts w:cs="Times New Roman"/>
                <w:color w:val="auto"/>
              </w:rPr>
              <w:t>的管理，加强防渗，建立危险废物管理台账，必须定期交由有危险废物处理资质的单位进行处理。加强对原料区机油的管理，周边放置砂子，若发生</w:t>
            </w:r>
            <w:r>
              <w:rPr>
                <w:rFonts w:hint="eastAsia" w:cs="Times New Roman"/>
                <w:color w:val="auto"/>
                <w:lang w:eastAsia="zh-CN"/>
              </w:rPr>
              <w:t>泄漏</w:t>
            </w:r>
            <w:r>
              <w:rPr>
                <w:rFonts w:cs="Times New Roman"/>
                <w:color w:val="auto"/>
              </w:rPr>
              <w:t>可及时进行围堵。针对厂区环境风险，建设单位应编制突发环境事件应急预案，并报环保局备案，且及时修正应急预案并加强演练。</w:t>
            </w:r>
          </w:p>
          <w:p>
            <w:pPr>
              <w:ind w:firstLine="480" w:firstLineChars="200"/>
              <w:rPr>
                <w:rFonts w:cs="Times New Roman"/>
                <w:color w:val="auto"/>
              </w:rPr>
            </w:pPr>
            <w:r>
              <w:rPr>
                <w:rFonts w:cs="Times New Roman"/>
                <w:color w:val="auto"/>
              </w:rPr>
              <w:t>本项目不存在重大危险源，且涉及危险品性质及生产工艺简单，在采取本次评价提出的各项风险防范措施后，环境风险较小。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53" w:hRule="atLeast"/>
          <w:jc w:val="center"/>
        </w:trPr>
        <w:tc>
          <w:tcPr>
            <w:tcW w:w="579" w:type="pct"/>
            <w:vAlign w:val="center"/>
          </w:tcPr>
          <w:p>
            <w:pPr>
              <w:adjustRightInd w:val="0"/>
              <w:snapToGrid w:val="0"/>
              <w:jc w:val="center"/>
              <w:rPr>
                <w:rFonts w:cs="Times New Roman"/>
                <w:b/>
                <w:bCs/>
                <w:color w:val="auto"/>
                <w:spacing w:val="-8"/>
              </w:rPr>
            </w:pPr>
            <w:r>
              <w:rPr>
                <w:rFonts w:cs="Times New Roman"/>
                <w:b/>
                <w:bCs/>
                <w:color w:val="auto"/>
                <w:spacing w:val="-8"/>
              </w:rPr>
              <w:t>其他环境</w:t>
            </w:r>
          </w:p>
          <w:p>
            <w:pPr>
              <w:adjustRightInd w:val="0"/>
              <w:snapToGrid w:val="0"/>
              <w:jc w:val="center"/>
              <w:rPr>
                <w:rFonts w:cs="Times New Roman"/>
                <w:b/>
                <w:bCs/>
                <w:color w:val="auto"/>
                <w:spacing w:val="-8"/>
              </w:rPr>
            </w:pPr>
            <w:r>
              <w:rPr>
                <w:rFonts w:cs="Times New Roman"/>
                <w:b/>
                <w:bCs/>
                <w:color w:val="auto"/>
                <w:spacing w:val="-8"/>
              </w:rPr>
              <w:t>管理要求</w:t>
            </w:r>
          </w:p>
        </w:tc>
        <w:tc>
          <w:tcPr>
            <w:tcW w:w="4420" w:type="pct"/>
            <w:gridSpan w:val="5"/>
            <w:vAlign w:val="center"/>
          </w:tcPr>
          <w:p>
            <w:pPr>
              <w:adjustRightInd w:val="0"/>
              <w:snapToGrid w:val="0"/>
              <w:ind w:firstLine="480" w:firstLineChars="200"/>
              <w:rPr>
                <w:rFonts w:cs="Times New Roman"/>
                <w:color w:val="auto"/>
              </w:rPr>
            </w:pPr>
            <w:r>
              <w:rPr>
                <w:rFonts w:hint="eastAsia" w:ascii="宋体" w:hAnsi="宋体" w:eastAsia="宋体" w:cs="宋体"/>
                <w:color w:val="auto"/>
              </w:rPr>
              <w:t>①</w:t>
            </w:r>
            <w:r>
              <w:rPr>
                <w:rFonts w:cs="Times New Roman"/>
                <w:color w:val="auto"/>
              </w:rPr>
              <w:t>环境管理制度</w:t>
            </w:r>
          </w:p>
          <w:p>
            <w:pPr>
              <w:adjustRightInd w:val="0"/>
              <w:snapToGrid w:val="0"/>
              <w:ind w:firstLine="480" w:firstLineChars="200"/>
              <w:rPr>
                <w:rFonts w:cs="Times New Roman"/>
                <w:color w:val="auto"/>
              </w:rPr>
            </w:pPr>
            <w:r>
              <w:rPr>
                <w:rFonts w:hint="eastAsia" w:cs="Times New Roman"/>
                <w:color w:val="auto"/>
                <w:lang w:eastAsia="zh-CN"/>
              </w:rPr>
              <w:t>企业</w:t>
            </w:r>
            <w:r>
              <w:rPr>
                <w:rFonts w:cs="Times New Roman"/>
                <w:color w:val="auto"/>
              </w:rPr>
              <w:t>必须重视本项目的环境保护工作，制定一系列环境管理制度以促进项目的环境保护工作，并保证环境管理制度的落实。制定的环境保护管理制度应包括：建设项目“三同时”管理制度、环境保护职责管理制度、污染物收集与处理管理制度、固体废物的管理与处置制度、日常环境监督与记录管理制度等。</w:t>
            </w:r>
          </w:p>
          <w:p>
            <w:pPr>
              <w:adjustRightInd w:val="0"/>
              <w:snapToGrid w:val="0"/>
              <w:ind w:firstLine="480" w:firstLineChars="200"/>
              <w:rPr>
                <w:rFonts w:cs="Times New Roman"/>
                <w:color w:val="auto"/>
              </w:rPr>
            </w:pPr>
            <w:r>
              <w:rPr>
                <w:rFonts w:hint="eastAsia" w:ascii="宋体" w:hAnsi="宋体" w:eastAsia="宋体" w:cs="宋体"/>
                <w:color w:val="auto"/>
              </w:rPr>
              <w:t>②</w:t>
            </w:r>
            <w:r>
              <w:rPr>
                <w:rFonts w:cs="Times New Roman"/>
                <w:color w:val="auto"/>
              </w:rPr>
              <w:t>环境管理机构</w:t>
            </w:r>
          </w:p>
          <w:p>
            <w:pPr>
              <w:adjustRightInd w:val="0"/>
              <w:snapToGrid w:val="0"/>
              <w:ind w:firstLine="480" w:firstLineChars="200"/>
              <w:rPr>
                <w:rFonts w:cs="Times New Roman"/>
                <w:color w:val="auto"/>
              </w:rPr>
            </w:pPr>
            <w:r>
              <w:rPr>
                <w:rFonts w:cs="Times New Roman"/>
                <w:color w:val="auto"/>
              </w:rPr>
              <w:t>企业应设置环境保护管理机构及负责人员，负责组织落实监督项目的各项环境保护工作。</w:t>
            </w:r>
          </w:p>
          <w:p>
            <w:pPr>
              <w:adjustRightInd w:val="0"/>
              <w:snapToGrid w:val="0"/>
              <w:ind w:firstLine="480" w:firstLineChars="200"/>
              <w:rPr>
                <w:rFonts w:cs="Times New Roman"/>
                <w:color w:val="auto"/>
              </w:rPr>
            </w:pPr>
            <w:r>
              <w:rPr>
                <w:rFonts w:cs="Times New Roman"/>
                <w:color w:val="auto"/>
              </w:rPr>
              <w:t>环保管理人员的职能包括：贯彻执行国家有关</w:t>
            </w:r>
            <w:r>
              <w:rPr>
                <w:rFonts w:hint="eastAsia" w:cs="Times New Roman"/>
                <w:color w:val="auto"/>
                <w:lang w:eastAsia="zh-CN"/>
              </w:rPr>
              <w:t>法律法规</w:t>
            </w:r>
            <w:r>
              <w:rPr>
                <w:rFonts w:cs="Times New Roman"/>
                <w:color w:val="auto"/>
              </w:rPr>
              <w:t>和政策；编制本项目实施的环保计划并组织实施；执行建设项目的“三同时”制度；监督环保设计工程措施及运行管理；配合有关环保部门搞好监测与年度统计工作。</w:t>
            </w:r>
          </w:p>
          <w:p>
            <w:pPr>
              <w:adjustRightInd w:val="0"/>
              <w:snapToGrid w:val="0"/>
              <w:ind w:firstLine="480" w:firstLineChars="200"/>
              <w:rPr>
                <w:rFonts w:cs="Times New Roman"/>
                <w:color w:val="auto"/>
              </w:rPr>
            </w:pPr>
            <w:r>
              <w:rPr>
                <w:rFonts w:hint="eastAsia" w:ascii="宋体" w:hAnsi="宋体" w:eastAsia="宋体" w:cs="宋体"/>
                <w:color w:val="auto"/>
              </w:rPr>
              <w:t>③</w:t>
            </w:r>
            <w:r>
              <w:rPr>
                <w:rFonts w:cs="Times New Roman"/>
                <w:color w:val="auto"/>
              </w:rPr>
              <w:t>环境监测计划</w:t>
            </w:r>
          </w:p>
          <w:p>
            <w:pPr>
              <w:adjustRightInd w:val="0"/>
              <w:snapToGrid w:val="0"/>
              <w:ind w:firstLine="480" w:firstLineChars="200"/>
              <w:rPr>
                <w:rFonts w:cs="Times New Roman"/>
                <w:color w:val="auto"/>
              </w:rPr>
            </w:pPr>
            <w:r>
              <w:rPr>
                <w:rFonts w:cs="Times New Roman"/>
                <w:color w:val="auto"/>
              </w:rPr>
              <w:t>企业应当严格执行本次评价提出的监测要求，应定期委托有环境监测资质的单位进行环境监测工作，监测时必须保证所有装置稳定运行，并记录操作工况。环境监测计划的制定依据项目内容和企业实际情况，制定相应切实可行的方案，向有关环境保护主管部门上报监测结果。</w:t>
            </w:r>
          </w:p>
          <w:p>
            <w:pPr>
              <w:adjustRightInd w:val="0"/>
              <w:snapToGrid w:val="0"/>
              <w:ind w:firstLine="480" w:firstLineChars="200"/>
              <w:rPr>
                <w:rFonts w:cs="Times New Roman"/>
                <w:color w:val="auto"/>
              </w:rPr>
            </w:pPr>
            <w:r>
              <w:rPr>
                <w:rFonts w:hint="eastAsia" w:ascii="宋体" w:hAnsi="宋体" w:eastAsia="宋体" w:cs="宋体"/>
                <w:color w:val="auto"/>
              </w:rPr>
              <w:t>④</w:t>
            </w:r>
            <w:r>
              <w:rPr>
                <w:rFonts w:cs="Times New Roman"/>
                <w:color w:val="auto"/>
              </w:rPr>
              <w:t>排污口管理要求</w:t>
            </w:r>
          </w:p>
          <w:p>
            <w:pPr>
              <w:adjustRightInd w:val="0"/>
              <w:snapToGrid w:val="0"/>
              <w:ind w:firstLine="480" w:firstLineChars="200"/>
              <w:rPr>
                <w:rFonts w:cs="Times New Roman"/>
                <w:color w:val="auto"/>
              </w:rPr>
            </w:pPr>
            <w:r>
              <w:rPr>
                <w:rFonts w:cs="Times New Roman"/>
                <w:color w:val="auto"/>
              </w:rPr>
              <w:t>企业应当按照国家环保总局环监（1996）470号文《排污口规范化整治技术要求》对废气、噪声、固体废物排放口进行实行规范化管理，排污口必须按照国家《环境保护图形标志》相关规定，设置环保图形标志牌。</w:t>
            </w:r>
          </w:p>
          <w:p>
            <w:pPr>
              <w:adjustRightInd w:val="0"/>
              <w:snapToGrid w:val="0"/>
              <w:ind w:firstLine="480" w:firstLineChars="200"/>
              <w:rPr>
                <w:rFonts w:cs="Times New Roman"/>
                <w:color w:val="auto"/>
              </w:rPr>
            </w:pPr>
            <w:r>
              <w:rPr>
                <w:rFonts w:hint="eastAsia" w:ascii="宋体" w:hAnsi="宋体" w:eastAsia="宋体" w:cs="宋体"/>
                <w:color w:val="auto"/>
              </w:rPr>
              <w:t>⑤</w:t>
            </w:r>
            <w:r>
              <w:rPr>
                <w:rFonts w:cs="Times New Roman"/>
                <w:color w:val="auto"/>
              </w:rPr>
              <w:t>竣工环保验收要求</w:t>
            </w:r>
          </w:p>
          <w:p>
            <w:pPr>
              <w:adjustRightInd w:val="0"/>
              <w:snapToGrid w:val="0"/>
              <w:ind w:firstLine="480" w:firstLineChars="200"/>
              <w:rPr>
                <w:rFonts w:cs="Times New Roman"/>
                <w:color w:val="auto"/>
              </w:rPr>
            </w:pPr>
            <w:r>
              <w:rPr>
                <w:rFonts w:cs="Times New Roman"/>
                <w:color w:val="auto"/>
              </w:rPr>
              <w:t>企业应当根据《建设项目环境保护管理条例》（国务院令第682号修订发布）、《建设项目竣工环境保护验收暂行办法》（国环规环评[2017]4号）、《关于实施建设项目竣工环境保护企业自行验收管理的指导意见》的规定</w:t>
            </w:r>
            <w:r>
              <w:rPr>
                <w:rFonts w:hint="eastAsia" w:cs="Times New Roman"/>
                <w:color w:val="auto"/>
                <w:lang w:eastAsia="zh-CN"/>
              </w:rPr>
              <w:t>，在</w:t>
            </w:r>
            <w:r>
              <w:rPr>
                <w:rFonts w:cs="Times New Roman"/>
                <w:color w:val="auto"/>
              </w:rPr>
              <w:t>建设项目主体工程竣工后、正式投产或运行前，企业应自行组织开展建设项目竣工环境保护验收。</w:t>
            </w:r>
          </w:p>
          <w:p>
            <w:pPr>
              <w:adjustRightInd w:val="0"/>
              <w:snapToGrid w:val="0"/>
              <w:ind w:firstLine="480" w:firstLineChars="200"/>
              <w:rPr>
                <w:rFonts w:cs="Times New Roman"/>
                <w:color w:val="auto"/>
              </w:rPr>
            </w:pPr>
            <w:r>
              <w:rPr>
                <w:rFonts w:hint="eastAsia" w:ascii="宋体" w:hAnsi="宋体" w:eastAsia="宋体" w:cs="宋体"/>
                <w:color w:val="auto"/>
              </w:rPr>
              <w:t>⑥</w:t>
            </w:r>
            <w:r>
              <w:rPr>
                <w:rFonts w:cs="Times New Roman"/>
                <w:color w:val="auto"/>
              </w:rPr>
              <w:t>环境管理台账要求</w:t>
            </w:r>
          </w:p>
          <w:p>
            <w:pPr>
              <w:adjustRightInd w:val="0"/>
              <w:snapToGrid w:val="0"/>
              <w:ind w:firstLine="480" w:firstLineChars="200"/>
              <w:rPr>
                <w:rFonts w:cs="Times New Roman"/>
                <w:color w:val="auto"/>
              </w:rPr>
            </w:pPr>
            <w:r>
              <w:rPr>
                <w:rFonts w:cs="Times New Roman"/>
                <w:color w:val="auto"/>
              </w:rPr>
              <w:t>企业应建立环境管理台账，并按照规定年限保存。环境管理台账主要包括大气污染源和厂界噪声监测记录台账，以及固体废物管理台账。</w:t>
            </w:r>
          </w:p>
        </w:tc>
      </w:tr>
    </w:tbl>
    <w:p>
      <w:pPr>
        <w:pStyle w:val="18"/>
        <w:jc w:val="center"/>
        <w:outlineLvl w:val="0"/>
        <w:rPr>
          <w:rFonts w:ascii="Times New Roman" w:hAnsi="Times New Roman" w:eastAsia="黑体" w:cs="Times New Roman"/>
          <w:snapToGrid w:val="0"/>
          <w:color w:val="auto"/>
          <w:sz w:val="30"/>
          <w:szCs w:val="30"/>
        </w:rPr>
        <w:sectPr>
          <w:pgSz w:w="11906" w:h="16838"/>
          <w:pgMar w:top="1440" w:right="1080" w:bottom="1440" w:left="1080" w:header="850" w:footer="851" w:gutter="0"/>
          <w:pgBorders>
            <w:top w:val="none" w:sz="0" w:space="0"/>
            <w:left w:val="none" w:sz="0" w:space="0"/>
            <w:bottom w:val="none" w:sz="0" w:space="0"/>
            <w:right w:val="none" w:sz="0" w:space="0"/>
          </w:pgBorders>
          <w:pgNumType w:fmt="numberInDash"/>
          <w:cols w:space="720" w:num="1"/>
          <w:docGrid w:linePitch="312" w:charSpace="0"/>
        </w:sectPr>
      </w:pPr>
    </w:p>
    <w:p>
      <w:pPr>
        <w:jc w:val="center"/>
        <w:rPr>
          <w:rFonts w:cs="Times New Roman"/>
          <w:b/>
          <w:bCs/>
          <w:color w:val="auto"/>
          <w:sz w:val="28"/>
          <w:szCs w:val="24"/>
        </w:rPr>
      </w:pPr>
      <w:r>
        <w:rPr>
          <w:rFonts w:cs="Times New Roman"/>
          <w:b/>
          <w:bCs/>
          <w:color w:val="auto"/>
          <w:sz w:val="28"/>
          <w:szCs w:val="24"/>
        </w:rPr>
        <w:t>六、结论</w:t>
      </w:r>
    </w:p>
    <w:tbl>
      <w:tblPr>
        <w:tblStyle w:val="22"/>
        <w:tblW w:w="492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23" w:hRule="atLeast"/>
          <w:jc w:val="center"/>
        </w:trPr>
        <w:tc>
          <w:tcPr>
            <w:tcW w:w="5000" w:type="pct"/>
          </w:tcPr>
          <w:p>
            <w:pPr>
              <w:ind w:firstLine="480" w:firstLineChars="200"/>
              <w:rPr>
                <w:rFonts w:hint="eastAsia" w:cs="Times New Roman"/>
                <w:color w:val="auto"/>
                <w:highlight w:val="none"/>
                <w:lang w:val="en-US" w:eastAsia="zh-CN"/>
              </w:rPr>
            </w:pPr>
            <w:r>
              <w:rPr>
                <w:color w:val="auto"/>
                <w:sz w:val="24"/>
              </w:rPr>
              <w:t>综上所述，</w:t>
            </w:r>
            <w:r>
              <w:rPr>
                <w:rFonts w:hint="eastAsia" w:cs="Times New Roman"/>
                <w:color w:val="auto"/>
                <w:highlight w:val="none"/>
                <w:lang w:val="en-US" w:eastAsia="zh-CN"/>
              </w:rPr>
              <w:t>西安恒正宇道路养护有限公司水稳材料和环保水泥砖生产线建设项目符合国家政策，项目运营期产生的废气、废水、噪声和固体废物等污染物在采取环评要求的处理处置措施后，各污染物均能达标排放，对周围环境影响较小。</w:t>
            </w:r>
          </w:p>
          <w:p>
            <w:pPr>
              <w:ind w:firstLine="480" w:firstLineChars="200"/>
              <w:rPr>
                <w:rFonts w:cs="Times New Roman"/>
                <w:color w:val="auto"/>
              </w:rPr>
            </w:pPr>
            <w:r>
              <w:rPr>
                <w:rFonts w:hint="eastAsia" w:cs="Times New Roman"/>
                <w:color w:val="auto"/>
                <w:highlight w:val="none"/>
                <w:lang w:val="en-US" w:eastAsia="zh-CN"/>
              </w:rPr>
              <w:t>从环境保护角度分析，本项目环境影响可行。</w:t>
            </w:r>
          </w:p>
        </w:tc>
      </w:tr>
    </w:tbl>
    <w:p>
      <w:pPr>
        <w:adjustRightInd w:val="0"/>
        <w:snapToGrid w:val="0"/>
        <w:spacing w:before="0" w:beforeAutospacing="0" w:after="0" w:afterAutospacing="0"/>
        <w:outlineLvl w:val="0"/>
        <w:rPr>
          <w:rFonts w:ascii="Times New Roman" w:hAnsi="Times New Roman"/>
          <w:b/>
          <w:bCs/>
          <w:snapToGrid w:val="0"/>
          <w:color w:val="auto"/>
          <w:sz w:val="38"/>
          <w:szCs w:val="38"/>
        </w:rPr>
        <w:sectPr>
          <w:pgSz w:w="11906" w:h="16838"/>
          <w:pgMar w:top="1701" w:right="1361" w:bottom="1701" w:left="1361" w:header="851" w:footer="850" w:gutter="0"/>
          <w:pgBorders>
            <w:top w:val="none" w:sz="0" w:space="0"/>
            <w:left w:val="none" w:sz="0" w:space="0"/>
            <w:bottom w:val="none" w:sz="0" w:space="0"/>
            <w:right w:val="none" w:sz="0" w:space="0"/>
          </w:pgBorders>
          <w:cols w:space="720" w:num="1"/>
          <w:docGrid w:linePitch="312" w:charSpace="0"/>
        </w:sectPr>
      </w:pPr>
      <w:r>
        <w:rPr>
          <w:color w:val="auto"/>
        </w:rPr>
        <w:br w:type="page"/>
      </w:r>
      <w:bookmarkStart w:id="9" w:name="_Toc15457"/>
    </w:p>
    <w:bookmarkEnd w:id="9"/>
    <w:p>
      <w:pPr>
        <w:pStyle w:val="18"/>
        <w:adjustRightInd w:val="0"/>
        <w:snapToGrid w:val="0"/>
        <w:spacing w:before="0" w:beforeAutospacing="0" w:after="0" w:afterAutospacing="0"/>
        <w:outlineLvl w:val="0"/>
        <w:rPr>
          <w:rFonts w:ascii="Times New Roman" w:hAnsi="Times New Roman"/>
          <w:b/>
          <w:bCs/>
          <w:snapToGrid w:val="0"/>
          <w:color w:val="auto"/>
          <w:sz w:val="38"/>
          <w:szCs w:val="38"/>
        </w:rPr>
      </w:pPr>
      <w:r>
        <w:rPr>
          <w:rFonts w:ascii="Times New Roman" w:hAnsi="Times New Roman"/>
          <w:b/>
          <w:bCs/>
          <w:snapToGrid w:val="0"/>
          <w:color w:val="auto"/>
          <w:sz w:val="38"/>
          <w:szCs w:val="38"/>
        </w:rPr>
        <w:t>附表</w:t>
      </w:r>
    </w:p>
    <w:p>
      <w:pPr>
        <w:pStyle w:val="18"/>
        <w:adjustRightInd w:val="0"/>
        <w:snapToGrid w:val="0"/>
        <w:spacing w:before="0" w:beforeAutospacing="0" w:after="0" w:afterAutospacing="0"/>
        <w:jc w:val="center"/>
        <w:outlineLvl w:val="0"/>
        <w:rPr>
          <w:rFonts w:ascii="Times New Roman" w:hAnsi="Times New Roman" w:eastAsia="黑体"/>
          <w:b/>
          <w:bCs/>
          <w:snapToGrid w:val="0"/>
          <w:color w:val="auto"/>
          <w:sz w:val="38"/>
          <w:szCs w:val="38"/>
        </w:rPr>
      </w:pPr>
      <w:bookmarkStart w:id="10" w:name="_Toc20880"/>
      <w:r>
        <w:rPr>
          <w:rFonts w:ascii="Times New Roman" w:hAnsi="Times New Roman" w:eastAsia="黑体"/>
          <w:b/>
          <w:bCs/>
          <w:snapToGrid w:val="0"/>
          <w:color w:val="auto"/>
          <w:sz w:val="38"/>
          <w:szCs w:val="38"/>
        </w:rPr>
        <w:t>建设项目污染物排放量汇总表</w:t>
      </w:r>
      <w:bookmarkEnd w:id="10"/>
    </w:p>
    <w:tbl>
      <w:tblPr>
        <w:tblStyle w:val="22"/>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0"/>
        <w:gridCol w:w="3020"/>
        <w:gridCol w:w="1411"/>
        <w:gridCol w:w="1411"/>
        <w:gridCol w:w="1316"/>
        <w:gridCol w:w="1506"/>
        <w:gridCol w:w="1111"/>
        <w:gridCol w:w="1517"/>
        <w:gridCol w:w="1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tcBorders>
              <w:tl2br w:val="single" w:color="auto" w:sz="4" w:space="0"/>
            </w:tcBorders>
            <w:tcMar>
              <w:left w:w="28" w:type="dxa"/>
              <w:right w:w="28" w:type="dxa"/>
            </w:tcMar>
            <w:vAlign w:val="center"/>
          </w:tcPr>
          <w:p>
            <w:pPr>
              <w:pStyle w:val="48"/>
              <w:spacing w:beforeLines="0" w:afterLines="0" w:line="240" w:lineRule="auto"/>
              <w:jc w:val="right"/>
              <w:rPr>
                <w:rFonts w:ascii="Times New Roman"/>
                <w:b/>
                <w:bCs/>
                <w:snapToGrid w:val="0"/>
                <w:color w:val="auto"/>
                <w:spacing w:val="-6"/>
                <w:kern w:val="21"/>
                <w:sz w:val="24"/>
                <w:szCs w:val="24"/>
              </w:rPr>
            </w:pPr>
            <w:r>
              <w:rPr>
                <w:rFonts w:ascii="Times New Roman"/>
                <w:b/>
                <w:bCs/>
                <w:snapToGrid w:val="0"/>
                <w:color w:val="auto"/>
                <w:spacing w:val="-6"/>
                <w:kern w:val="21"/>
                <w:sz w:val="24"/>
                <w:szCs w:val="24"/>
              </w:rPr>
              <w:t>项目</w:t>
            </w:r>
          </w:p>
          <w:p>
            <w:pPr>
              <w:pStyle w:val="48"/>
              <w:spacing w:beforeLines="0" w:afterLines="0" w:line="240" w:lineRule="auto"/>
              <w:jc w:val="left"/>
              <w:rPr>
                <w:rFonts w:ascii="Times New Roman"/>
                <w:b/>
                <w:bCs/>
                <w:snapToGrid w:val="0"/>
                <w:color w:val="auto"/>
                <w:spacing w:val="-6"/>
                <w:kern w:val="21"/>
                <w:sz w:val="24"/>
                <w:szCs w:val="24"/>
              </w:rPr>
            </w:pPr>
            <w:r>
              <w:rPr>
                <w:rFonts w:ascii="Times New Roman"/>
                <w:b/>
                <w:bCs/>
                <w:snapToGrid w:val="0"/>
                <w:color w:val="auto"/>
                <w:spacing w:val="-6"/>
                <w:kern w:val="21"/>
                <w:sz w:val="24"/>
                <w:szCs w:val="24"/>
              </w:rPr>
              <w:t>分类</w:t>
            </w:r>
          </w:p>
        </w:tc>
        <w:tc>
          <w:tcPr>
            <w:tcW w:w="3020"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污染物名称</w:t>
            </w:r>
          </w:p>
        </w:tc>
        <w:tc>
          <w:tcPr>
            <w:tcW w:w="1411"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现有工程</w:t>
            </w:r>
          </w:p>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排放量（固体废物产生量）</w:t>
            </w:r>
            <w:r>
              <w:rPr>
                <w:rFonts w:ascii="Times New Roman"/>
                <w:b/>
                <w:bCs/>
                <w:snapToGrid w:val="0"/>
                <w:color w:val="auto"/>
                <w:spacing w:val="-6"/>
                <w:kern w:val="21"/>
                <w:sz w:val="24"/>
                <w:szCs w:val="24"/>
              </w:rPr>
              <w:fldChar w:fldCharType="begin"/>
            </w:r>
            <w:r>
              <w:rPr>
                <w:rFonts w:ascii="Times New Roman"/>
                <w:b/>
                <w:bCs/>
                <w:snapToGrid w:val="0"/>
                <w:color w:val="auto"/>
                <w:spacing w:val="-6"/>
                <w:kern w:val="21"/>
                <w:sz w:val="24"/>
                <w:szCs w:val="24"/>
              </w:rPr>
              <w:instrText xml:space="preserve"> = 1 \* GB3 \* MERGEFORMAT </w:instrText>
            </w:r>
            <w:r>
              <w:rPr>
                <w:rFonts w:ascii="Times New Roman"/>
                <w:b/>
                <w:bCs/>
                <w:snapToGrid w:val="0"/>
                <w:color w:val="auto"/>
                <w:spacing w:val="-6"/>
                <w:kern w:val="21"/>
                <w:sz w:val="24"/>
                <w:szCs w:val="24"/>
              </w:rPr>
              <w:fldChar w:fldCharType="separate"/>
            </w:r>
            <w:r>
              <w:rPr>
                <w:rFonts w:ascii="Times New Roman"/>
                <w:b/>
                <w:bCs/>
                <w:color w:val="auto"/>
                <w:kern w:val="2"/>
                <w:sz w:val="24"/>
                <w:szCs w:val="24"/>
              </w:rPr>
              <w:t>①</w:t>
            </w:r>
            <w:r>
              <w:rPr>
                <w:rFonts w:ascii="Times New Roman"/>
                <w:b/>
                <w:bCs/>
                <w:snapToGrid w:val="0"/>
                <w:color w:val="auto"/>
                <w:spacing w:val="-6"/>
                <w:kern w:val="21"/>
                <w:sz w:val="24"/>
                <w:szCs w:val="24"/>
              </w:rPr>
              <w:fldChar w:fldCharType="end"/>
            </w:r>
          </w:p>
        </w:tc>
        <w:tc>
          <w:tcPr>
            <w:tcW w:w="1411"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现有工程</w:t>
            </w:r>
          </w:p>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许可排放量</w:t>
            </w:r>
            <w:r>
              <w:rPr>
                <w:rFonts w:ascii="Times New Roman"/>
                <w:b/>
                <w:bCs/>
                <w:snapToGrid w:val="0"/>
                <w:color w:val="auto"/>
                <w:spacing w:val="-6"/>
                <w:kern w:val="21"/>
                <w:sz w:val="24"/>
                <w:szCs w:val="24"/>
              </w:rPr>
              <w:fldChar w:fldCharType="begin"/>
            </w:r>
            <w:r>
              <w:rPr>
                <w:rFonts w:ascii="Times New Roman"/>
                <w:b/>
                <w:bCs/>
                <w:snapToGrid w:val="0"/>
                <w:color w:val="auto"/>
                <w:spacing w:val="-6"/>
                <w:kern w:val="21"/>
                <w:sz w:val="24"/>
                <w:szCs w:val="24"/>
              </w:rPr>
              <w:instrText xml:space="preserve"> = 2 \* GB3 \* MERGEFORMAT </w:instrText>
            </w:r>
            <w:r>
              <w:rPr>
                <w:rFonts w:ascii="Times New Roman"/>
                <w:b/>
                <w:bCs/>
                <w:snapToGrid w:val="0"/>
                <w:color w:val="auto"/>
                <w:spacing w:val="-6"/>
                <w:kern w:val="21"/>
                <w:sz w:val="24"/>
                <w:szCs w:val="24"/>
              </w:rPr>
              <w:fldChar w:fldCharType="separate"/>
            </w:r>
            <w:r>
              <w:rPr>
                <w:rFonts w:ascii="Times New Roman"/>
                <w:b/>
                <w:bCs/>
                <w:snapToGrid w:val="0"/>
                <w:color w:val="auto"/>
                <w:spacing w:val="-6"/>
                <w:kern w:val="21"/>
                <w:sz w:val="24"/>
                <w:szCs w:val="24"/>
              </w:rPr>
              <w:t>②</w:t>
            </w:r>
            <w:r>
              <w:rPr>
                <w:rFonts w:ascii="Times New Roman"/>
                <w:b/>
                <w:bCs/>
                <w:snapToGrid w:val="0"/>
                <w:color w:val="auto"/>
                <w:spacing w:val="-6"/>
                <w:kern w:val="21"/>
                <w:sz w:val="24"/>
                <w:szCs w:val="24"/>
              </w:rPr>
              <w:fldChar w:fldCharType="end"/>
            </w:r>
          </w:p>
        </w:tc>
        <w:tc>
          <w:tcPr>
            <w:tcW w:w="1316"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在建工程</w:t>
            </w:r>
          </w:p>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排放量（固体废物产生量）</w:t>
            </w:r>
            <w:r>
              <w:rPr>
                <w:rFonts w:ascii="Times New Roman"/>
                <w:b/>
                <w:bCs/>
                <w:snapToGrid w:val="0"/>
                <w:color w:val="auto"/>
                <w:spacing w:val="-6"/>
                <w:kern w:val="21"/>
                <w:sz w:val="24"/>
                <w:szCs w:val="24"/>
              </w:rPr>
              <w:fldChar w:fldCharType="begin"/>
            </w:r>
            <w:r>
              <w:rPr>
                <w:rFonts w:ascii="Times New Roman"/>
                <w:b/>
                <w:bCs/>
                <w:snapToGrid w:val="0"/>
                <w:color w:val="auto"/>
                <w:spacing w:val="-6"/>
                <w:kern w:val="21"/>
                <w:sz w:val="24"/>
                <w:szCs w:val="24"/>
              </w:rPr>
              <w:instrText xml:space="preserve"> = 3 \* GB3 \* MERGEFORMAT </w:instrText>
            </w:r>
            <w:r>
              <w:rPr>
                <w:rFonts w:ascii="Times New Roman"/>
                <w:b/>
                <w:bCs/>
                <w:snapToGrid w:val="0"/>
                <w:color w:val="auto"/>
                <w:spacing w:val="-6"/>
                <w:kern w:val="21"/>
                <w:sz w:val="24"/>
                <w:szCs w:val="24"/>
              </w:rPr>
              <w:fldChar w:fldCharType="separate"/>
            </w:r>
            <w:r>
              <w:rPr>
                <w:rFonts w:ascii="Times New Roman"/>
                <w:b/>
                <w:bCs/>
                <w:color w:val="auto"/>
                <w:kern w:val="2"/>
                <w:sz w:val="24"/>
                <w:szCs w:val="24"/>
              </w:rPr>
              <w:t>③</w:t>
            </w:r>
            <w:r>
              <w:rPr>
                <w:rFonts w:ascii="Times New Roman"/>
                <w:b/>
                <w:bCs/>
                <w:snapToGrid w:val="0"/>
                <w:color w:val="auto"/>
                <w:spacing w:val="-6"/>
                <w:kern w:val="21"/>
                <w:sz w:val="24"/>
                <w:szCs w:val="24"/>
              </w:rPr>
              <w:fldChar w:fldCharType="end"/>
            </w:r>
          </w:p>
        </w:tc>
        <w:tc>
          <w:tcPr>
            <w:tcW w:w="1506"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本项目</w:t>
            </w:r>
          </w:p>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排放量（固体废物产生量）</w:t>
            </w:r>
            <w:r>
              <w:rPr>
                <w:rFonts w:ascii="Times New Roman"/>
                <w:b/>
                <w:bCs/>
                <w:snapToGrid w:val="0"/>
                <w:color w:val="auto"/>
                <w:spacing w:val="-6"/>
                <w:kern w:val="21"/>
                <w:sz w:val="24"/>
                <w:szCs w:val="24"/>
              </w:rPr>
              <w:fldChar w:fldCharType="begin"/>
            </w:r>
            <w:r>
              <w:rPr>
                <w:rFonts w:ascii="Times New Roman"/>
                <w:b/>
                <w:bCs/>
                <w:snapToGrid w:val="0"/>
                <w:color w:val="auto"/>
                <w:spacing w:val="-6"/>
                <w:kern w:val="21"/>
                <w:sz w:val="24"/>
                <w:szCs w:val="24"/>
              </w:rPr>
              <w:instrText xml:space="preserve"> = 4 \* GB3 \* MERGEFORMAT </w:instrText>
            </w:r>
            <w:r>
              <w:rPr>
                <w:rFonts w:ascii="Times New Roman"/>
                <w:b/>
                <w:bCs/>
                <w:snapToGrid w:val="0"/>
                <w:color w:val="auto"/>
                <w:spacing w:val="-6"/>
                <w:kern w:val="21"/>
                <w:sz w:val="24"/>
                <w:szCs w:val="24"/>
              </w:rPr>
              <w:fldChar w:fldCharType="separate"/>
            </w:r>
            <w:r>
              <w:rPr>
                <w:rFonts w:ascii="Times New Roman"/>
                <w:b/>
                <w:bCs/>
                <w:color w:val="auto"/>
                <w:kern w:val="2"/>
                <w:sz w:val="24"/>
                <w:szCs w:val="24"/>
              </w:rPr>
              <w:t>④</w:t>
            </w:r>
            <w:r>
              <w:rPr>
                <w:rFonts w:ascii="Times New Roman"/>
                <w:b/>
                <w:bCs/>
                <w:snapToGrid w:val="0"/>
                <w:color w:val="auto"/>
                <w:spacing w:val="-6"/>
                <w:kern w:val="21"/>
                <w:sz w:val="24"/>
                <w:szCs w:val="24"/>
              </w:rPr>
              <w:fldChar w:fldCharType="end"/>
            </w:r>
          </w:p>
        </w:tc>
        <w:tc>
          <w:tcPr>
            <w:tcW w:w="1111" w:type="dxa"/>
            <w:tcMar>
              <w:left w:w="28" w:type="dxa"/>
              <w:right w:w="28" w:type="dxa"/>
            </w:tcMar>
            <w:vAlign w:val="center"/>
          </w:tcPr>
          <w:p>
            <w:pPr>
              <w:pStyle w:val="48"/>
              <w:spacing w:beforeLines="0" w:afterLines="0" w:line="240" w:lineRule="auto"/>
              <w:rPr>
                <w:rFonts w:ascii="Times New Roman"/>
                <w:b/>
                <w:bCs/>
                <w:snapToGrid w:val="0"/>
                <w:color w:val="auto"/>
                <w:spacing w:val="-16"/>
                <w:kern w:val="21"/>
                <w:sz w:val="24"/>
                <w:szCs w:val="24"/>
              </w:rPr>
            </w:pPr>
            <w:r>
              <w:rPr>
                <w:rFonts w:ascii="Times New Roman"/>
                <w:b/>
                <w:bCs/>
                <w:snapToGrid w:val="0"/>
                <w:color w:val="auto"/>
                <w:spacing w:val="-16"/>
                <w:kern w:val="21"/>
                <w:sz w:val="24"/>
                <w:szCs w:val="24"/>
              </w:rPr>
              <w:t>以新带老削减量（新建项目不填）</w:t>
            </w:r>
            <w:r>
              <w:rPr>
                <w:rFonts w:ascii="Times New Roman"/>
                <w:b/>
                <w:bCs/>
                <w:snapToGrid w:val="0"/>
                <w:color w:val="auto"/>
                <w:spacing w:val="-16"/>
                <w:kern w:val="21"/>
                <w:sz w:val="24"/>
                <w:szCs w:val="24"/>
              </w:rPr>
              <w:fldChar w:fldCharType="begin"/>
            </w:r>
            <w:r>
              <w:rPr>
                <w:rFonts w:ascii="Times New Roman"/>
                <w:b/>
                <w:bCs/>
                <w:snapToGrid w:val="0"/>
                <w:color w:val="auto"/>
                <w:spacing w:val="-16"/>
                <w:kern w:val="21"/>
                <w:sz w:val="24"/>
                <w:szCs w:val="24"/>
              </w:rPr>
              <w:instrText xml:space="preserve"> = 5 \* GB3 \* MERGEFORMAT </w:instrText>
            </w:r>
            <w:r>
              <w:rPr>
                <w:rFonts w:ascii="Times New Roman"/>
                <w:b/>
                <w:bCs/>
                <w:snapToGrid w:val="0"/>
                <w:color w:val="auto"/>
                <w:spacing w:val="-16"/>
                <w:kern w:val="21"/>
                <w:sz w:val="24"/>
                <w:szCs w:val="24"/>
              </w:rPr>
              <w:fldChar w:fldCharType="separate"/>
            </w:r>
            <w:r>
              <w:rPr>
                <w:rFonts w:ascii="Times New Roman"/>
                <w:b/>
                <w:bCs/>
                <w:color w:val="auto"/>
                <w:kern w:val="2"/>
                <w:sz w:val="24"/>
                <w:szCs w:val="24"/>
              </w:rPr>
              <w:t>⑤</w:t>
            </w:r>
            <w:r>
              <w:rPr>
                <w:rFonts w:ascii="Times New Roman"/>
                <w:b/>
                <w:bCs/>
                <w:snapToGrid w:val="0"/>
                <w:color w:val="auto"/>
                <w:spacing w:val="-16"/>
                <w:kern w:val="21"/>
                <w:sz w:val="24"/>
                <w:szCs w:val="24"/>
              </w:rPr>
              <w:fldChar w:fldCharType="end"/>
            </w:r>
          </w:p>
        </w:tc>
        <w:tc>
          <w:tcPr>
            <w:tcW w:w="1517" w:type="dxa"/>
            <w:tcMar>
              <w:left w:w="28" w:type="dxa"/>
              <w:right w:w="28" w:type="dxa"/>
            </w:tcMar>
            <w:vAlign w:val="center"/>
          </w:tcPr>
          <w:p>
            <w:pPr>
              <w:pStyle w:val="48"/>
              <w:spacing w:beforeLines="0" w:afterLines="0" w:line="240" w:lineRule="auto"/>
              <w:rPr>
                <w:rFonts w:ascii="Times New Roman"/>
                <w:b/>
                <w:bCs/>
                <w:snapToGrid w:val="0"/>
                <w:color w:val="auto"/>
                <w:spacing w:val="-16"/>
                <w:kern w:val="21"/>
                <w:sz w:val="24"/>
                <w:szCs w:val="24"/>
              </w:rPr>
            </w:pPr>
            <w:r>
              <w:rPr>
                <w:rFonts w:ascii="Times New Roman"/>
                <w:b/>
                <w:bCs/>
                <w:snapToGrid w:val="0"/>
                <w:color w:val="auto"/>
                <w:spacing w:val="-16"/>
                <w:kern w:val="21"/>
                <w:sz w:val="24"/>
                <w:szCs w:val="24"/>
              </w:rPr>
              <w:t>本项目建成后</w:t>
            </w:r>
          </w:p>
          <w:p>
            <w:pPr>
              <w:pStyle w:val="48"/>
              <w:spacing w:beforeLines="0" w:afterLines="0" w:line="240" w:lineRule="auto"/>
              <w:rPr>
                <w:rFonts w:ascii="Times New Roman"/>
                <w:b/>
                <w:bCs/>
                <w:snapToGrid w:val="0"/>
                <w:color w:val="auto"/>
                <w:spacing w:val="-16"/>
                <w:kern w:val="21"/>
                <w:sz w:val="24"/>
                <w:szCs w:val="24"/>
              </w:rPr>
            </w:pPr>
            <w:r>
              <w:rPr>
                <w:rFonts w:ascii="Times New Roman"/>
                <w:b/>
                <w:bCs/>
                <w:snapToGrid w:val="0"/>
                <w:color w:val="auto"/>
                <w:spacing w:val="-16"/>
                <w:kern w:val="21"/>
                <w:sz w:val="24"/>
                <w:szCs w:val="24"/>
              </w:rPr>
              <w:t>全厂排放量（固体废物产生量）</w:t>
            </w:r>
            <w:r>
              <w:rPr>
                <w:rFonts w:ascii="Times New Roman"/>
                <w:b/>
                <w:bCs/>
                <w:snapToGrid w:val="0"/>
                <w:color w:val="auto"/>
                <w:spacing w:val="-16"/>
                <w:kern w:val="21"/>
                <w:sz w:val="24"/>
                <w:szCs w:val="24"/>
              </w:rPr>
              <w:fldChar w:fldCharType="begin"/>
            </w:r>
            <w:r>
              <w:rPr>
                <w:rFonts w:ascii="Times New Roman"/>
                <w:b/>
                <w:bCs/>
                <w:snapToGrid w:val="0"/>
                <w:color w:val="auto"/>
                <w:spacing w:val="-16"/>
                <w:kern w:val="21"/>
                <w:sz w:val="24"/>
                <w:szCs w:val="24"/>
              </w:rPr>
              <w:instrText xml:space="preserve"> = 6 \* GB3 \* MERGEFORMAT </w:instrText>
            </w:r>
            <w:r>
              <w:rPr>
                <w:rFonts w:ascii="Times New Roman"/>
                <w:b/>
                <w:bCs/>
                <w:snapToGrid w:val="0"/>
                <w:color w:val="auto"/>
                <w:spacing w:val="-16"/>
                <w:kern w:val="21"/>
                <w:sz w:val="24"/>
                <w:szCs w:val="24"/>
              </w:rPr>
              <w:fldChar w:fldCharType="separate"/>
            </w:r>
            <w:r>
              <w:rPr>
                <w:rFonts w:ascii="Times New Roman"/>
                <w:b/>
                <w:bCs/>
                <w:color w:val="auto"/>
                <w:kern w:val="2"/>
                <w:sz w:val="24"/>
                <w:szCs w:val="24"/>
              </w:rPr>
              <w:t>⑥</w:t>
            </w:r>
            <w:r>
              <w:rPr>
                <w:rFonts w:ascii="Times New Roman"/>
                <w:b/>
                <w:bCs/>
                <w:snapToGrid w:val="0"/>
                <w:color w:val="auto"/>
                <w:spacing w:val="-16"/>
                <w:kern w:val="21"/>
                <w:sz w:val="24"/>
                <w:szCs w:val="24"/>
              </w:rPr>
              <w:fldChar w:fldCharType="end"/>
            </w:r>
          </w:p>
        </w:tc>
        <w:tc>
          <w:tcPr>
            <w:tcW w:w="1606" w:type="dxa"/>
            <w:tcMar>
              <w:left w:w="28" w:type="dxa"/>
              <w:right w:w="28" w:type="dxa"/>
            </w:tcMar>
            <w:vAlign w:val="center"/>
          </w:tcPr>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t>变化量</w:t>
            </w:r>
          </w:p>
          <w:p>
            <w:pPr>
              <w:pStyle w:val="48"/>
              <w:spacing w:beforeLines="0" w:afterLines="0" w:line="240" w:lineRule="auto"/>
              <w:rPr>
                <w:rFonts w:ascii="Times New Roman"/>
                <w:b/>
                <w:bCs/>
                <w:snapToGrid w:val="0"/>
                <w:color w:val="auto"/>
                <w:spacing w:val="-6"/>
                <w:kern w:val="21"/>
                <w:sz w:val="24"/>
                <w:szCs w:val="24"/>
              </w:rPr>
            </w:pPr>
            <w:r>
              <w:rPr>
                <w:rFonts w:ascii="Times New Roman"/>
                <w:b/>
                <w:bCs/>
                <w:snapToGrid w:val="0"/>
                <w:color w:val="auto"/>
                <w:spacing w:val="-6"/>
                <w:kern w:val="21"/>
                <w:sz w:val="24"/>
                <w:szCs w:val="24"/>
              </w:rPr>
              <w:fldChar w:fldCharType="begin"/>
            </w:r>
            <w:r>
              <w:rPr>
                <w:rFonts w:ascii="Times New Roman"/>
                <w:b/>
                <w:bCs/>
                <w:snapToGrid w:val="0"/>
                <w:color w:val="auto"/>
                <w:spacing w:val="-6"/>
                <w:kern w:val="21"/>
                <w:sz w:val="24"/>
                <w:szCs w:val="24"/>
              </w:rPr>
              <w:instrText xml:space="preserve"> = 7 \* GB3 \* MERGEFORMAT </w:instrText>
            </w:r>
            <w:r>
              <w:rPr>
                <w:rFonts w:ascii="Times New Roman"/>
                <w:b/>
                <w:bCs/>
                <w:snapToGrid w:val="0"/>
                <w:color w:val="auto"/>
                <w:spacing w:val="-6"/>
                <w:kern w:val="21"/>
                <w:sz w:val="24"/>
                <w:szCs w:val="24"/>
              </w:rPr>
              <w:fldChar w:fldCharType="separate"/>
            </w:r>
            <w:r>
              <w:rPr>
                <w:rFonts w:ascii="Times New Roman"/>
                <w:b/>
                <w:bCs/>
                <w:color w:val="auto"/>
                <w:kern w:val="2"/>
                <w:sz w:val="24"/>
                <w:szCs w:val="24"/>
              </w:rPr>
              <w:t>⑦</w:t>
            </w:r>
            <w:r>
              <w:rPr>
                <w:rFonts w:ascii="Times New Roman"/>
                <w:b/>
                <w:bCs/>
                <w:snapToGrid w:val="0"/>
                <w:color w:val="auto"/>
                <w:spacing w:val="-6"/>
                <w:kern w:val="21"/>
                <w:sz w:val="24"/>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Align w:val="center"/>
          </w:tcPr>
          <w:p>
            <w:pPr>
              <w:pStyle w:val="48"/>
              <w:spacing w:beforeLines="0" w:afterLines="0" w:line="240" w:lineRule="auto"/>
              <w:rPr>
                <w:rFonts w:ascii="Times New Roman"/>
                <w:snapToGrid w:val="0"/>
                <w:color w:val="auto"/>
                <w:kern w:val="21"/>
                <w:sz w:val="24"/>
                <w:szCs w:val="24"/>
              </w:rPr>
            </w:pPr>
            <w:r>
              <w:rPr>
                <w:rFonts w:ascii="Times New Roman"/>
                <w:snapToGrid w:val="0"/>
                <w:color w:val="auto"/>
                <w:kern w:val="21"/>
                <w:sz w:val="24"/>
                <w:szCs w:val="24"/>
              </w:rPr>
              <w:t>废气</w:t>
            </w:r>
          </w:p>
        </w:tc>
        <w:tc>
          <w:tcPr>
            <w:tcW w:w="3020" w:type="dxa"/>
            <w:vAlign w:val="center"/>
          </w:tcPr>
          <w:p>
            <w:pPr>
              <w:jc w:val="center"/>
              <w:rPr>
                <w:rFonts w:hint="eastAsia" w:eastAsiaTheme="minorEastAsia"/>
                <w:snapToGrid w:val="0"/>
                <w:color w:val="auto"/>
                <w:kern w:val="21"/>
                <w:sz w:val="24"/>
                <w:szCs w:val="24"/>
                <w:lang w:val="en-US" w:eastAsia="zh-CN"/>
              </w:rPr>
            </w:pPr>
            <w:r>
              <w:rPr>
                <w:rFonts w:hint="eastAsia"/>
                <w:snapToGrid w:val="0"/>
                <w:color w:val="auto"/>
                <w:kern w:val="21"/>
                <w:sz w:val="24"/>
                <w:szCs w:val="24"/>
                <w:lang w:val="en-US" w:eastAsia="zh-CN"/>
              </w:rPr>
              <w:t>颗粒物</w:t>
            </w:r>
          </w:p>
        </w:tc>
        <w:tc>
          <w:tcPr>
            <w:tcW w:w="1411" w:type="dxa"/>
            <w:vAlign w:val="center"/>
          </w:tcPr>
          <w:p>
            <w:pPr>
              <w:pStyle w:val="48"/>
              <w:spacing w:beforeLines="0" w:afterLines="0" w:line="240" w:lineRule="auto"/>
              <w:rPr>
                <w:rFonts w:hint="eastAsia" w:ascii="Times New Roman" w:eastAsia="宋体"/>
                <w:snapToGrid w:val="0"/>
                <w:color w:val="auto"/>
                <w:kern w:val="21"/>
                <w:sz w:val="24"/>
                <w:szCs w:val="24"/>
                <w:lang w:val="en-US" w:eastAsia="zh-CN"/>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widowControl/>
              <w:jc w:val="center"/>
              <w:textAlignment w:val="bottom"/>
              <w:rPr>
                <w:snapToGrid w:val="0"/>
                <w:color w:val="auto"/>
                <w:kern w:val="21"/>
                <w:sz w:val="24"/>
                <w:szCs w:val="24"/>
              </w:rPr>
            </w:pPr>
            <w:r>
              <w:rPr>
                <w:rFonts w:hint="eastAsia"/>
                <w:snapToGrid w:val="0"/>
                <w:color w:val="auto"/>
                <w:kern w:val="21"/>
                <w:sz w:val="24"/>
                <w:szCs w:val="24"/>
                <w:lang w:eastAsia="zh-CN"/>
              </w:rPr>
              <w:t>0</w:t>
            </w:r>
            <w:r>
              <w:rPr>
                <w:rFonts w:hint="eastAsia"/>
                <w:snapToGrid w:val="0"/>
                <w:color w:val="auto"/>
                <w:kern w:val="21"/>
                <w:sz w:val="24"/>
                <w:szCs w:val="24"/>
                <w:lang w:val="en-US" w:eastAsia="zh-CN"/>
              </w:rPr>
              <w:t>.0917t</w:t>
            </w:r>
            <w:r>
              <w:rPr>
                <w:snapToGrid w:val="0"/>
                <w:color w:val="auto"/>
                <w:kern w:val="21"/>
                <w:sz w:val="24"/>
                <w:szCs w:val="24"/>
              </w:rPr>
              <w: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widowControl/>
              <w:jc w:val="center"/>
              <w:textAlignment w:val="bottom"/>
              <w:rPr>
                <w:snapToGrid w:val="0"/>
                <w:color w:val="auto"/>
                <w:kern w:val="21"/>
                <w:sz w:val="24"/>
                <w:szCs w:val="24"/>
              </w:rPr>
            </w:pPr>
            <w:r>
              <w:rPr>
                <w:rFonts w:hint="eastAsia"/>
                <w:snapToGrid w:val="0"/>
                <w:color w:val="auto"/>
                <w:kern w:val="21"/>
                <w:sz w:val="24"/>
                <w:szCs w:val="24"/>
                <w:lang w:eastAsia="zh-CN"/>
              </w:rPr>
              <w:t>0</w:t>
            </w:r>
            <w:r>
              <w:rPr>
                <w:rFonts w:hint="eastAsia"/>
                <w:snapToGrid w:val="0"/>
                <w:color w:val="auto"/>
                <w:kern w:val="21"/>
                <w:sz w:val="24"/>
                <w:szCs w:val="24"/>
                <w:lang w:val="en-US" w:eastAsia="zh-CN"/>
              </w:rPr>
              <w:t>.0917t</w:t>
            </w:r>
            <w:r>
              <w:rPr>
                <w:snapToGrid w:val="0"/>
                <w:color w:val="auto"/>
                <w:kern w:val="21"/>
                <w:sz w:val="24"/>
                <w:szCs w:val="24"/>
              </w:rPr>
              <w:t>/a</w:t>
            </w:r>
          </w:p>
        </w:tc>
        <w:tc>
          <w:tcPr>
            <w:tcW w:w="1606" w:type="dxa"/>
            <w:vAlign w:val="center"/>
          </w:tcPr>
          <w:p>
            <w:pPr>
              <w:widowControl/>
              <w:jc w:val="center"/>
              <w:textAlignment w:val="bottom"/>
              <w:rPr>
                <w:snapToGrid w:val="0"/>
                <w:color w:val="auto"/>
                <w:kern w:val="21"/>
                <w:sz w:val="24"/>
                <w:szCs w:val="24"/>
              </w:rPr>
            </w:pPr>
            <w:r>
              <w:rPr>
                <w:rFonts w:hint="eastAsia"/>
                <w:snapToGrid w:val="0"/>
                <w:color w:val="auto"/>
                <w:kern w:val="21"/>
                <w:sz w:val="24"/>
                <w:szCs w:val="24"/>
                <w:lang w:eastAsia="zh-CN"/>
              </w:rPr>
              <w:t>0</w:t>
            </w:r>
            <w:r>
              <w:rPr>
                <w:rFonts w:hint="eastAsia"/>
                <w:snapToGrid w:val="0"/>
                <w:color w:val="auto"/>
                <w:kern w:val="21"/>
                <w:sz w:val="24"/>
                <w:szCs w:val="24"/>
                <w:lang w:val="en-US" w:eastAsia="zh-CN"/>
              </w:rPr>
              <w:t>.0917t</w:t>
            </w:r>
            <w:r>
              <w:rPr>
                <w:snapToGrid w:val="0"/>
                <w:color w:val="auto"/>
                <w:kern w:val="21"/>
                <w:sz w:val="24"/>
                <w:szCs w:val="24"/>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restart"/>
            <w:vAlign w:val="center"/>
          </w:tcPr>
          <w:p>
            <w:pPr>
              <w:pStyle w:val="48"/>
              <w:spacing w:beforeLines="0" w:afterLines="0" w:line="240" w:lineRule="auto"/>
              <w:rPr>
                <w:rFonts w:ascii="Times New Roman"/>
                <w:snapToGrid w:val="0"/>
                <w:color w:val="auto"/>
                <w:kern w:val="21"/>
                <w:sz w:val="24"/>
                <w:szCs w:val="24"/>
              </w:rPr>
            </w:pPr>
            <w:r>
              <w:rPr>
                <w:rFonts w:ascii="Times New Roman"/>
                <w:snapToGrid w:val="0"/>
                <w:color w:val="auto"/>
                <w:kern w:val="21"/>
                <w:sz w:val="24"/>
                <w:szCs w:val="24"/>
              </w:rPr>
              <w:t>废水</w:t>
            </w:r>
          </w:p>
        </w:tc>
        <w:tc>
          <w:tcPr>
            <w:tcW w:w="3020" w:type="dxa"/>
            <w:vAlign w:val="center"/>
          </w:tcPr>
          <w:p>
            <w:pPr>
              <w:jc w:val="center"/>
              <w:rPr>
                <w:rFonts w:hint="eastAsia" w:eastAsiaTheme="minorEastAsia"/>
                <w:snapToGrid w:val="0"/>
                <w:color w:val="auto"/>
                <w:kern w:val="21"/>
                <w:sz w:val="24"/>
                <w:szCs w:val="24"/>
                <w:lang w:val="en-US" w:eastAsia="zh-CN"/>
              </w:rPr>
            </w:pPr>
            <w:r>
              <w:rPr>
                <w:rFonts w:hint="eastAsia"/>
                <w:snapToGrid w:val="0"/>
                <w:color w:val="auto"/>
                <w:kern w:val="21"/>
                <w:sz w:val="24"/>
                <w:szCs w:val="24"/>
                <w:lang w:val="en-US" w:eastAsia="zh-CN"/>
              </w:rPr>
              <w:t>生活污水</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8"/>
              <w:spacing w:beforeLines="0" w:afterLines="0" w:line="240" w:lineRule="auto"/>
              <w:rPr>
                <w:rFonts w:hint="eastAsia" w:ascii="Times New Roman"/>
                <w:snapToGrid w:val="0"/>
                <w:color w:val="auto"/>
                <w:kern w:val="21"/>
                <w:sz w:val="24"/>
                <w:szCs w:val="24"/>
              </w:rPr>
            </w:pPr>
            <w:r>
              <w:rPr>
                <w:rFonts w:hint="eastAsia" w:ascii="Times New Roman"/>
                <w:snapToGrid w:val="0"/>
                <w:color w:val="auto"/>
                <w:kern w:val="21"/>
                <w:sz w:val="24"/>
                <w:szCs w:val="24"/>
                <w:lang w:val="en-US" w:eastAsia="zh-CN"/>
              </w:rPr>
              <w:t>0</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8"/>
              <w:spacing w:beforeLines="0" w:afterLines="0" w:line="240" w:lineRule="auto"/>
              <w:rPr>
                <w:rFonts w:ascii="Times New Roman"/>
                <w:snapToGrid w:val="0"/>
                <w:color w:val="auto"/>
                <w:kern w:val="21"/>
                <w:sz w:val="24"/>
                <w:szCs w:val="24"/>
              </w:rPr>
            </w:pPr>
            <w:r>
              <w:rPr>
                <w:rFonts w:hint="eastAsia" w:ascii="Times New Roman"/>
                <w:snapToGrid w:val="0"/>
                <w:color w:val="auto"/>
                <w:kern w:val="21"/>
                <w:sz w:val="24"/>
                <w:szCs w:val="24"/>
                <w:lang w:val="en-US" w:eastAsia="zh-CN"/>
              </w:rPr>
              <w:t>0</w:t>
            </w:r>
          </w:p>
        </w:tc>
        <w:tc>
          <w:tcPr>
            <w:tcW w:w="1606" w:type="dxa"/>
            <w:vAlign w:val="center"/>
          </w:tcPr>
          <w:p>
            <w:pPr>
              <w:pStyle w:val="48"/>
              <w:spacing w:beforeLines="0" w:afterLines="0" w:line="240" w:lineRule="auto"/>
              <w:rPr>
                <w:rFonts w:ascii="Times New Roman"/>
                <w:snapToGrid w:val="0"/>
                <w:color w:val="auto"/>
                <w:kern w:val="21"/>
                <w:sz w:val="24"/>
                <w:szCs w:val="24"/>
              </w:rPr>
            </w:pPr>
            <w:r>
              <w:rPr>
                <w:rFonts w:hint="eastAsia" w:ascii="Times New Roman"/>
                <w:snapToGrid w:val="0"/>
                <w:color w:val="auto"/>
                <w:kern w:val="21"/>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pStyle w:val="48"/>
              <w:spacing w:beforeLines="0" w:afterLines="0" w:line="240" w:lineRule="auto"/>
              <w:rPr>
                <w:rFonts w:ascii="Times New Roman"/>
                <w:snapToGrid w:val="0"/>
                <w:color w:val="auto"/>
                <w:kern w:val="21"/>
                <w:sz w:val="24"/>
                <w:szCs w:val="24"/>
              </w:rPr>
            </w:pPr>
          </w:p>
        </w:tc>
        <w:tc>
          <w:tcPr>
            <w:tcW w:w="3020" w:type="dxa"/>
            <w:vAlign w:val="center"/>
          </w:tcPr>
          <w:p>
            <w:pPr>
              <w:jc w:val="center"/>
              <w:rPr>
                <w:rFonts w:hint="default" w:eastAsiaTheme="minorEastAsia"/>
                <w:snapToGrid w:val="0"/>
                <w:color w:val="auto"/>
                <w:kern w:val="21"/>
                <w:sz w:val="24"/>
                <w:szCs w:val="24"/>
                <w:lang w:val="en-US" w:eastAsia="zh-CN"/>
              </w:rPr>
            </w:pPr>
            <w:r>
              <w:rPr>
                <w:rFonts w:hint="eastAsia"/>
                <w:snapToGrid w:val="0"/>
                <w:color w:val="auto"/>
                <w:kern w:val="21"/>
                <w:sz w:val="24"/>
                <w:szCs w:val="24"/>
                <w:lang w:val="en-US" w:eastAsia="zh-CN"/>
              </w:rPr>
              <w:t>车辆冲洗废水</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8"/>
              <w:spacing w:beforeLines="0" w:afterLines="0" w:line="240" w:lineRule="auto"/>
              <w:rPr>
                <w:rFonts w:hint="eastAsia" w:ascii="Times New Roman"/>
                <w:snapToGrid w:val="0"/>
                <w:color w:val="auto"/>
                <w:kern w:val="21"/>
                <w:sz w:val="24"/>
                <w:szCs w:val="24"/>
              </w:rPr>
            </w:pPr>
            <w:r>
              <w:rPr>
                <w:rFonts w:hint="eastAsia" w:ascii="Times New Roman"/>
                <w:snapToGrid w:val="0"/>
                <w:color w:val="auto"/>
                <w:kern w:val="21"/>
                <w:sz w:val="24"/>
                <w:szCs w:val="24"/>
                <w:lang w:val="en-US" w:eastAsia="zh-CN"/>
              </w:rPr>
              <w:t>0</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8"/>
              <w:spacing w:beforeLines="0" w:afterLines="0" w:line="240" w:lineRule="auto"/>
              <w:rPr>
                <w:rFonts w:ascii="Times New Roman"/>
                <w:snapToGrid w:val="0"/>
                <w:color w:val="auto"/>
                <w:kern w:val="21"/>
                <w:sz w:val="24"/>
                <w:szCs w:val="24"/>
              </w:rPr>
            </w:pPr>
            <w:r>
              <w:rPr>
                <w:rFonts w:hint="eastAsia" w:ascii="Times New Roman"/>
                <w:snapToGrid w:val="0"/>
                <w:color w:val="auto"/>
                <w:kern w:val="21"/>
                <w:sz w:val="24"/>
                <w:szCs w:val="24"/>
                <w:lang w:val="en-US" w:eastAsia="zh-CN"/>
              </w:rPr>
              <w:t>0</w:t>
            </w:r>
          </w:p>
        </w:tc>
        <w:tc>
          <w:tcPr>
            <w:tcW w:w="1606" w:type="dxa"/>
            <w:vAlign w:val="center"/>
          </w:tcPr>
          <w:p>
            <w:pPr>
              <w:pStyle w:val="48"/>
              <w:spacing w:beforeLines="0" w:afterLines="0" w:line="240" w:lineRule="auto"/>
              <w:rPr>
                <w:rFonts w:ascii="Times New Roman"/>
                <w:snapToGrid w:val="0"/>
                <w:color w:val="auto"/>
                <w:kern w:val="21"/>
                <w:sz w:val="24"/>
                <w:szCs w:val="24"/>
              </w:rPr>
            </w:pPr>
            <w:r>
              <w:rPr>
                <w:rFonts w:hint="eastAsia" w:ascii="Times New Roman"/>
                <w:snapToGrid w:val="0"/>
                <w:color w:val="auto"/>
                <w:kern w:val="21"/>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restart"/>
            <w:vAlign w:val="center"/>
          </w:tcPr>
          <w:p>
            <w:pPr>
              <w:pStyle w:val="48"/>
              <w:spacing w:beforeLines="0" w:afterLines="0" w:line="240" w:lineRule="auto"/>
              <w:rPr>
                <w:rFonts w:ascii="Times New Roman"/>
                <w:snapToGrid w:val="0"/>
                <w:color w:val="auto"/>
                <w:kern w:val="21"/>
                <w:sz w:val="24"/>
                <w:szCs w:val="24"/>
              </w:rPr>
            </w:pPr>
            <w:r>
              <w:rPr>
                <w:rFonts w:ascii="Times New Roman"/>
                <w:snapToGrid w:val="0"/>
                <w:color w:val="auto"/>
                <w:kern w:val="21"/>
                <w:sz w:val="24"/>
                <w:szCs w:val="24"/>
              </w:rPr>
              <w:t>一般工业固体废物</w:t>
            </w:r>
          </w:p>
        </w:tc>
        <w:tc>
          <w:tcPr>
            <w:tcW w:w="3020" w:type="dxa"/>
            <w:vAlign w:val="center"/>
          </w:tcPr>
          <w:p>
            <w:pPr>
              <w:adjustRightInd w:val="0"/>
              <w:snapToGrid w:val="0"/>
              <w:spacing w:line="240" w:lineRule="auto"/>
              <w:jc w:val="center"/>
              <w:rPr>
                <w:rFonts w:hint="eastAsia" w:ascii="Times New Roman" w:hAnsi="Times New Roman" w:eastAsia="宋体" w:cs="Times New Roman"/>
                <w:color w:val="auto"/>
                <w:spacing w:val="-1"/>
                <w:sz w:val="24"/>
                <w:szCs w:val="24"/>
                <w:highlight w:val="none"/>
                <w:lang w:val="en-US" w:eastAsia="zh-CN"/>
              </w:rPr>
            </w:pPr>
            <w:r>
              <w:rPr>
                <w:rFonts w:hint="eastAsia" w:ascii="Times New Roman" w:hAnsi="Times New Roman" w:eastAsia="宋体" w:cs="Times New Roman"/>
                <w:color w:val="auto"/>
                <w:spacing w:val="-1"/>
                <w:sz w:val="24"/>
                <w:szCs w:val="24"/>
                <w:highlight w:val="none"/>
                <w:lang w:val="en-US" w:eastAsia="zh-CN"/>
              </w:rPr>
              <w:t>不合格产品</w:t>
            </w:r>
          </w:p>
          <w:p>
            <w:pPr>
              <w:adjustRightInd w:val="0"/>
              <w:snapToGrid w:val="0"/>
              <w:spacing w:line="240" w:lineRule="auto"/>
              <w:jc w:val="center"/>
              <w:rPr>
                <w:rFonts w:ascii="Times New Roman" w:hAnsi="Times New Roman"/>
                <w:snapToGrid w:val="0"/>
                <w:color w:val="auto"/>
                <w:kern w:val="21"/>
                <w:sz w:val="24"/>
                <w:szCs w:val="24"/>
              </w:rPr>
            </w:pPr>
            <w:r>
              <w:rPr>
                <w:rFonts w:hint="eastAsia" w:eastAsia="宋体" w:cs="Times New Roman"/>
                <w:color w:val="auto"/>
                <w:spacing w:val="-1"/>
                <w:szCs w:val="24"/>
                <w:highlight w:val="none"/>
              </w:rPr>
              <w:t>SW59</w:t>
            </w:r>
            <w:r>
              <w:rPr>
                <w:rFonts w:hint="eastAsia" w:ascii="Times New Roman" w:hAnsi="Times New Roman" w:eastAsia="宋体" w:cs="Times New Roman"/>
                <w:color w:val="auto"/>
                <w:spacing w:val="-1"/>
                <w:szCs w:val="24"/>
                <w:highlight w:val="none"/>
                <w:lang w:val="en-US" w:eastAsia="zh-CN"/>
              </w:rPr>
              <w:t xml:space="preserve">  </w:t>
            </w:r>
            <w:r>
              <w:rPr>
                <w:rFonts w:hint="eastAsia" w:eastAsia="宋体" w:cs="Times New Roman"/>
                <w:color w:val="auto"/>
                <w:spacing w:val="-1"/>
                <w:szCs w:val="24"/>
                <w:highlight w:val="none"/>
              </w:rPr>
              <w:t>900-099-S59</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eastAsia" w:ascii="Times New Roman" w:hAnsi="Times New Roman" w:eastAsia="宋体" w:cs="Times New Roman"/>
                <w:color w:val="auto"/>
                <w:spacing w:val="-1"/>
                <w:sz w:val="24"/>
                <w:szCs w:val="24"/>
                <w:highlight w:val="none"/>
                <w:lang w:val="en-US" w:eastAsia="zh-CN"/>
              </w:rPr>
              <w:t>12.5</w:t>
            </w:r>
            <w:r>
              <w:rPr>
                <w:rFonts w:hint="default" w:ascii="Times New Roman" w:hAnsi="Times New Roman" w:eastAsia="宋体" w:cs="Times New Roman"/>
                <w:color w:val="auto"/>
                <w:spacing w:val="-1"/>
                <w:sz w:val="24"/>
                <w:szCs w:val="24"/>
                <w:lang w:val="en-US"/>
              </w:rPr>
              <w:t>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eastAsia" w:ascii="Times New Roman" w:hAnsi="Times New Roman" w:eastAsia="宋体" w:cs="Times New Roman"/>
                <w:color w:val="auto"/>
                <w:spacing w:val="-1"/>
                <w:sz w:val="24"/>
                <w:szCs w:val="24"/>
                <w:highlight w:val="none"/>
                <w:lang w:val="en-US" w:eastAsia="zh-CN"/>
              </w:rPr>
              <w:t>12.5</w:t>
            </w:r>
            <w:r>
              <w:rPr>
                <w:rFonts w:hint="default" w:ascii="Times New Roman" w:hAnsi="Times New Roman" w:eastAsia="宋体" w:cs="Times New Roman"/>
                <w:color w:val="auto"/>
                <w:spacing w:val="-1"/>
                <w:sz w:val="24"/>
                <w:szCs w:val="24"/>
                <w:lang w:val="en-US"/>
              </w:rPr>
              <w:t>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eastAsia" w:ascii="Times New Roman" w:hAnsi="Times New Roman" w:eastAsia="宋体" w:cs="Times New Roman"/>
                <w:color w:val="auto"/>
                <w:spacing w:val="-1"/>
                <w:sz w:val="24"/>
                <w:szCs w:val="24"/>
                <w:highlight w:val="none"/>
                <w:lang w:val="en-US" w:eastAsia="zh-CN"/>
              </w:rPr>
              <w:t>+12.5</w:t>
            </w:r>
            <w:r>
              <w:rPr>
                <w:rFonts w:hint="default" w:ascii="Times New Roman" w:hAnsi="Times New Roman" w:eastAsia="宋体" w:cs="Times New Roman"/>
                <w:color w:val="auto"/>
                <w:spacing w:val="-1"/>
                <w:sz w:val="24"/>
                <w:szCs w:val="24"/>
                <w:lang w:val="en-US"/>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pStyle w:val="48"/>
              <w:spacing w:beforeLines="0" w:afterLines="0" w:line="240" w:lineRule="auto"/>
              <w:rPr>
                <w:rFonts w:ascii="Times New Roman"/>
                <w:snapToGrid w:val="0"/>
                <w:color w:val="auto"/>
                <w:kern w:val="21"/>
                <w:sz w:val="24"/>
                <w:szCs w:val="24"/>
              </w:rPr>
            </w:pPr>
          </w:p>
        </w:tc>
        <w:tc>
          <w:tcPr>
            <w:tcW w:w="3020" w:type="dxa"/>
            <w:vAlign w:val="center"/>
          </w:tcPr>
          <w:p>
            <w:pPr>
              <w:adjustRightInd w:val="0"/>
              <w:snapToGrid w:val="0"/>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除尘装置收集的粉尘</w:t>
            </w:r>
          </w:p>
          <w:p>
            <w:pPr>
              <w:adjustRightInd w:val="0"/>
              <w:snapToGrid w:val="0"/>
              <w:spacing w:line="240" w:lineRule="auto"/>
              <w:jc w:val="center"/>
              <w:rPr>
                <w:rFonts w:ascii="Times New Roman" w:hAnsi="Times New Roman"/>
                <w:snapToGrid w:val="0"/>
                <w:color w:val="auto"/>
                <w:kern w:val="21"/>
                <w:sz w:val="24"/>
                <w:szCs w:val="24"/>
              </w:rPr>
            </w:pPr>
            <w:r>
              <w:rPr>
                <w:rFonts w:hint="eastAsia" w:ascii="Times New Roman" w:hAnsi="Times New Roman" w:eastAsia="宋体" w:cs="Times New Roman"/>
                <w:color w:val="auto"/>
                <w:spacing w:val="-1"/>
                <w:szCs w:val="24"/>
                <w:highlight w:val="none"/>
              </w:rPr>
              <w:t>SW59</w:t>
            </w:r>
            <w:r>
              <w:rPr>
                <w:rFonts w:hint="eastAsia" w:ascii="Times New Roman" w:hAnsi="Times New Roman" w:eastAsia="宋体" w:cs="Times New Roman"/>
                <w:color w:val="auto"/>
                <w:spacing w:val="-1"/>
                <w:szCs w:val="24"/>
                <w:highlight w:val="none"/>
                <w:lang w:val="en-US" w:eastAsia="zh-CN"/>
              </w:rPr>
              <w:t xml:space="preserve">  </w:t>
            </w:r>
            <w:r>
              <w:rPr>
                <w:rFonts w:hint="eastAsia" w:ascii="Times New Roman" w:hAnsi="Times New Roman" w:eastAsia="宋体" w:cs="Times New Roman"/>
                <w:color w:val="auto"/>
                <w:spacing w:val="-1"/>
                <w:szCs w:val="24"/>
                <w:highlight w:val="none"/>
              </w:rPr>
              <w:t>900-099-S59</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highlight w:val="none"/>
                <w:lang w:val="en-US" w:eastAsia="zh-CN"/>
              </w:rPr>
              <w:t>161.5</w:t>
            </w:r>
            <w:r>
              <w:rPr>
                <w:rFonts w:hint="eastAsia" w:ascii="Times New Roman" w:hAnsi="Times New Roman" w:eastAsia="宋体" w:cs="Times New Roman"/>
                <w:color w:val="auto"/>
                <w:spacing w:val="-1"/>
                <w:sz w:val="24"/>
                <w:szCs w:val="24"/>
                <w:highlight w:val="none"/>
                <w:lang w:val="en-US" w:eastAsia="zh-CN"/>
              </w:rPr>
              <w:t>65</w:t>
            </w:r>
            <w:r>
              <w:rPr>
                <w:rFonts w:hint="default" w:ascii="Times New Roman" w:hAnsi="Times New Roman" w:eastAsia="宋体" w:cs="Times New Roman"/>
                <w:color w:val="auto"/>
                <w:spacing w:val="-1"/>
                <w:sz w:val="24"/>
                <w:szCs w:val="24"/>
                <w:highlight w:val="none"/>
              </w:rPr>
              <w:t>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highlight w:val="none"/>
                <w:lang w:val="en-US" w:eastAsia="zh-CN"/>
              </w:rPr>
              <w:t>161.5</w:t>
            </w:r>
            <w:r>
              <w:rPr>
                <w:rFonts w:hint="eastAsia" w:ascii="Times New Roman" w:hAnsi="Times New Roman" w:eastAsia="宋体" w:cs="Times New Roman"/>
                <w:color w:val="auto"/>
                <w:spacing w:val="-1"/>
                <w:sz w:val="24"/>
                <w:szCs w:val="24"/>
                <w:highlight w:val="none"/>
                <w:lang w:val="en-US" w:eastAsia="zh-CN"/>
              </w:rPr>
              <w:t>65</w:t>
            </w:r>
            <w:r>
              <w:rPr>
                <w:rFonts w:hint="default" w:ascii="Times New Roman" w:hAnsi="Times New Roman" w:eastAsia="宋体" w:cs="Times New Roman"/>
                <w:color w:val="auto"/>
                <w:spacing w:val="-1"/>
                <w:sz w:val="24"/>
                <w:szCs w:val="24"/>
                <w:highlight w:val="none"/>
              </w:rPr>
              <w:t>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highlight w:val="none"/>
                <w:lang w:val="en-US" w:eastAsia="zh-CN"/>
              </w:rPr>
              <w:t>+</w:t>
            </w:r>
            <w:r>
              <w:rPr>
                <w:rFonts w:hint="default" w:ascii="Times New Roman" w:hAnsi="Times New Roman" w:eastAsia="宋体" w:cs="Times New Roman"/>
                <w:color w:val="auto"/>
                <w:spacing w:val="-1"/>
                <w:sz w:val="24"/>
                <w:szCs w:val="24"/>
                <w:highlight w:val="none"/>
                <w:lang w:val="en-US" w:eastAsia="zh-CN"/>
              </w:rPr>
              <w:t>161.5</w:t>
            </w:r>
            <w:r>
              <w:rPr>
                <w:rFonts w:hint="eastAsia" w:ascii="Times New Roman" w:hAnsi="Times New Roman" w:eastAsia="宋体" w:cs="Times New Roman"/>
                <w:color w:val="auto"/>
                <w:spacing w:val="-1"/>
                <w:sz w:val="24"/>
                <w:szCs w:val="24"/>
                <w:highlight w:val="none"/>
                <w:lang w:val="en-US" w:eastAsia="zh-CN"/>
              </w:rPr>
              <w:t>65</w:t>
            </w:r>
            <w:r>
              <w:rPr>
                <w:rFonts w:hint="default" w:ascii="Times New Roman" w:hAnsi="Times New Roman" w:eastAsia="宋体" w:cs="Times New Roman"/>
                <w:color w:val="auto"/>
                <w:spacing w:val="-1"/>
                <w:sz w:val="24"/>
                <w:szCs w:val="24"/>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pStyle w:val="48"/>
              <w:spacing w:beforeLines="0" w:afterLines="0" w:line="240" w:lineRule="auto"/>
              <w:rPr>
                <w:rFonts w:ascii="Times New Roman"/>
                <w:snapToGrid w:val="0"/>
                <w:color w:val="auto"/>
                <w:kern w:val="21"/>
                <w:sz w:val="24"/>
                <w:szCs w:val="24"/>
              </w:rPr>
            </w:pPr>
          </w:p>
        </w:tc>
        <w:tc>
          <w:tcPr>
            <w:tcW w:w="3020" w:type="dxa"/>
            <w:vAlign w:val="center"/>
          </w:tcPr>
          <w:p>
            <w:pPr>
              <w:adjustRightInd w:val="0"/>
              <w:snapToGrid w:val="0"/>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沉淀池沉渣</w:t>
            </w:r>
          </w:p>
          <w:p>
            <w:pPr>
              <w:adjustRightInd w:val="0"/>
              <w:snapToGrid w:val="0"/>
              <w:spacing w:line="240" w:lineRule="auto"/>
              <w:jc w:val="center"/>
              <w:rPr>
                <w:rFonts w:ascii="Times New Roman" w:hAnsi="Times New Roman"/>
                <w:snapToGrid w:val="0"/>
                <w:color w:val="auto"/>
                <w:kern w:val="21"/>
                <w:sz w:val="24"/>
                <w:szCs w:val="24"/>
              </w:rPr>
            </w:pPr>
            <w:r>
              <w:rPr>
                <w:rFonts w:hint="default" w:eastAsia="宋体" w:cs="Times New Roman"/>
                <w:color w:val="auto"/>
                <w:szCs w:val="24"/>
              </w:rPr>
              <w:t>SW07</w:t>
            </w:r>
            <w:r>
              <w:rPr>
                <w:rFonts w:hint="eastAsia" w:ascii="Times New Roman" w:hAnsi="Times New Roman" w:eastAsia="宋体" w:cs="Times New Roman"/>
                <w:color w:val="auto"/>
                <w:szCs w:val="24"/>
                <w:lang w:val="en-US" w:eastAsia="zh-CN"/>
              </w:rPr>
              <w:t xml:space="preserve">  </w:t>
            </w:r>
            <w:r>
              <w:rPr>
                <w:rFonts w:hint="default" w:eastAsia="宋体" w:cs="Times New Roman"/>
                <w:color w:val="auto"/>
                <w:szCs w:val="24"/>
              </w:rPr>
              <w:t>900-099-S07</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lang w:val="en-US" w:eastAsia="zh-CN"/>
              </w:rPr>
              <w:t>2</w:t>
            </w:r>
            <w:r>
              <w:rPr>
                <w:rFonts w:hint="default" w:ascii="Times New Roman" w:hAnsi="Times New Roman" w:eastAsia="宋体" w:cs="Times New Roman"/>
                <w:color w:val="auto"/>
                <w:spacing w:val="-1"/>
                <w:sz w:val="24"/>
                <w:szCs w:val="24"/>
              </w:rPr>
              <w:t>.0t/a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lang w:val="en-US" w:eastAsia="zh-CN"/>
              </w:rPr>
              <w:t>2</w:t>
            </w:r>
            <w:r>
              <w:rPr>
                <w:rFonts w:hint="default" w:ascii="Times New Roman" w:hAnsi="Times New Roman" w:eastAsia="宋体" w:cs="Times New Roman"/>
                <w:color w:val="auto"/>
                <w:spacing w:val="-1"/>
                <w:sz w:val="24"/>
                <w:szCs w:val="24"/>
              </w:rPr>
              <w:t>.0t/a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lang w:val="en-US" w:eastAsia="zh-CN"/>
              </w:rPr>
              <w:t>+2</w:t>
            </w:r>
            <w:r>
              <w:rPr>
                <w:rFonts w:hint="default" w:ascii="Times New Roman" w:hAnsi="Times New Roman" w:eastAsia="宋体" w:cs="Times New Roman"/>
                <w:color w:val="auto"/>
                <w:spacing w:val="-1"/>
                <w:sz w:val="24"/>
                <w:szCs w:val="24"/>
              </w:rPr>
              <w:t>.0t/a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restart"/>
            <w:vAlign w:val="center"/>
          </w:tcPr>
          <w:p>
            <w:pPr>
              <w:pStyle w:val="48"/>
              <w:spacing w:beforeLines="0" w:afterLines="0" w:line="240" w:lineRule="auto"/>
              <w:rPr>
                <w:rFonts w:ascii="Times New Roman"/>
                <w:snapToGrid w:val="0"/>
                <w:color w:val="auto"/>
                <w:kern w:val="21"/>
                <w:sz w:val="24"/>
                <w:szCs w:val="24"/>
              </w:rPr>
            </w:pPr>
            <w:r>
              <w:rPr>
                <w:rFonts w:ascii="Times New Roman"/>
                <w:snapToGrid w:val="0"/>
                <w:color w:val="auto"/>
                <w:kern w:val="21"/>
                <w:sz w:val="24"/>
                <w:szCs w:val="24"/>
              </w:rPr>
              <w:t>危险</w:t>
            </w:r>
          </w:p>
          <w:p>
            <w:pPr>
              <w:pStyle w:val="48"/>
              <w:spacing w:beforeLines="0" w:afterLines="0" w:line="240" w:lineRule="auto"/>
              <w:rPr>
                <w:rFonts w:ascii="Times New Roman"/>
                <w:snapToGrid w:val="0"/>
                <w:color w:val="auto"/>
                <w:kern w:val="21"/>
                <w:sz w:val="24"/>
                <w:szCs w:val="24"/>
              </w:rPr>
            </w:pPr>
            <w:r>
              <w:rPr>
                <w:rFonts w:ascii="Times New Roman"/>
                <w:snapToGrid w:val="0"/>
                <w:color w:val="auto"/>
                <w:kern w:val="21"/>
                <w:sz w:val="24"/>
                <w:szCs w:val="24"/>
              </w:rPr>
              <w:t>废物</w:t>
            </w:r>
          </w:p>
        </w:tc>
        <w:tc>
          <w:tcPr>
            <w:tcW w:w="3020" w:type="dxa"/>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pacing w:val="-1"/>
                <w:sz w:val="24"/>
                <w:szCs w:val="24"/>
                <w:highlight w:val="none"/>
              </w:rPr>
            </w:pPr>
            <w:r>
              <w:rPr>
                <w:rFonts w:hint="default" w:ascii="Times New Roman" w:hAnsi="Times New Roman" w:eastAsia="宋体" w:cs="Times New Roman"/>
                <w:color w:val="auto"/>
                <w:spacing w:val="-1"/>
                <w:sz w:val="24"/>
                <w:szCs w:val="24"/>
                <w:highlight w:val="none"/>
              </w:rPr>
              <w:t>废机油</w:t>
            </w:r>
          </w:p>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default" w:ascii="Times New Roman" w:hAnsi="Times New Roman" w:eastAsia="宋体" w:cs="Times New Roman"/>
                <w:color w:val="auto"/>
                <w:spacing w:val="-1"/>
                <w:szCs w:val="24"/>
                <w:highlight w:val="none"/>
              </w:rPr>
              <w:t xml:space="preserve">HW08 </w:t>
            </w:r>
            <w:r>
              <w:rPr>
                <w:rFonts w:hint="eastAsia" w:ascii="Times New Roman" w:hAnsi="Times New Roman" w:eastAsia="宋体" w:cs="Times New Roman"/>
                <w:color w:val="auto"/>
                <w:spacing w:val="-1"/>
                <w:szCs w:val="24"/>
                <w:highlight w:val="none"/>
                <w:lang w:val="en-US" w:eastAsia="zh-CN"/>
              </w:rPr>
              <w:t xml:space="preserve"> </w:t>
            </w:r>
            <w:r>
              <w:rPr>
                <w:rFonts w:hint="default" w:ascii="Times New Roman" w:hAnsi="Times New Roman" w:eastAsia="宋体" w:cs="Times New Roman"/>
                <w:color w:val="auto"/>
                <w:spacing w:val="-1"/>
                <w:szCs w:val="24"/>
                <w:highlight w:val="none"/>
              </w:rPr>
              <w:t>900-214-08</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highlight w:val="none"/>
              </w:rPr>
              <w:t>0.36t/a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highlight w:val="none"/>
              </w:rPr>
              <w:t>0.36t/a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highlight w:val="none"/>
                <w:lang w:val="en-US" w:eastAsia="zh-CN"/>
              </w:rPr>
              <w:t>+</w:t>
            </w:r>
            <w:r>
              <w:rPr>
                <w:rFonts w:hint="default" w:ascii="Times New Roman" w:hAnsi="Times New Roman" w:eastAsia="宋体" w:cs="Times New Roman"/>
                <w:color w:val="auto"/>
                <w:spacing w:val="-1"/>
                <w:sz w:val="24"/>
                <w:szCs w:val="24"/>
                <w:highlight w:val="none"/>
              </w:rPr>
              <w:t>0.36t/a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pStyle w:val="48"/>
              <w:spacing w:beforeLines="0" w:afterLines="0" w:line="240" w:lineRule="auto"/>
              <w:rPr>
                <w:rFonts w:ascii="Times New Roman"/>
                <w:snapToGrid w:val="0"/>
                <w:color w:val="auto"/>
                <w:kern w:val="21"/>
                <w:sz w:val="24"/>
                <w:szCs w:val="24"/>
              </w:rPr>
            </w:pPr>
          </w:p>
        </w:tc>
        <w:tc>
          <w:tcPr>
            <w:tcW w:w="3020" w:type="dxa"/>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废机油桶</w:t>
            </w:r>
          </w:p>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default" w:ascii="Times New Roman" w:hAnsi="Times New Roman" w:eastAsia="宋体" w:cs="Times New Roman"/>
                <w:color w:val="auto"/>
                <w:spacing w:val="-1"/>
                <w:szCs w:val="24"/>
              </w:rPr>
              <w:t>HW49</w:t>
            </w:r>
            <w:r>
              <w:rPr>
                <w:rFonts w:hint="eastAsia" w:ascii="Times New Roman" w:hAnsi="Times New Roman" w:eastAsia="宋体" w:cs="Times New Roman"/>
                <w:color w:val="auto"/>
                <w:spacing w:val="-1"/>
                <w:szCs w:val="24"/>
                <w:lang w:val="en-US" w:eastAsia="zh-CN"/>
              </w:rPr>
              <w:t xml:space="preserve"> </w:t>
            </w:r>
            <w:r>
              <w:rPr>
                <w:rFonts w:hint="default" w:ascii="Times New Roman" w:hAnsi="Times New Roman" w:eastAsia="宋体" w:cs="Times New Roman"/>
                <w:color w:val="auto"/>
                <w:spacing w:val="-1"/>
                <w:szCs w:val="24"/>
              </w:rPr>
              <w:t xml:space="preserve"> 900-041-49</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lang w:val="en-US"/>
              </w:rPr>
              <w:t>0.02t/a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default" w:ascii="Times New Roman" w:hAnsi="Times New Roman" w:eastAsia="宋体" w:cs="Times New Roman"/>
                <w:color w:val="auto"/>
                <w:spacing w:val="-1"/>
                <w:sz w:val="24"/>
                <w:szCs w:val="24"/>
                <w:lang w:val="en-US"/>
              </w:rPr>
              <w:t>0.02t/a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color w:val="auto"/>
                <w:spacing w:val="-1"/>
                <w:sz w:val="24"/>
                <w:szCs w:val="24"/>
              </w:rPr>
            </w:pPr>
            <w:r>
              <w:rPr>
                <w:rFonts w:hint="eastAsia" w:ascii="Times New Roman" w:hAnsi="Times New Roman" w:eastAsia="宋体" w:cs="Times New Roman"/>
                <w:color w:val="auto"/>
                <w:spacing w:val="-1"/>
                <w:sz w:val="24"/>
                <w:szCs w:val="24"/>
                <w:lang w:val="en-US" w:eastAsia="zh-CN"/>
              </w:rPr>
              <w:t>+</w:t>
            </w:r>
            <w:r>
              <w:rPr>
                <w:rFonts w:hint="default" w:ascii="Times New Roman" w:hAnsi="Times New Roman" w:eastAsia="宋体" w:cs="Times New Roman"/>
                <w:color w:val="auto"/>
                <w:spacing w:val="-1"/>
                <w:sz w:val="24"/>
                <w:szCs w:val="24"/>
                <w:lang w:val="en-US"/>
              </w:rPr>
              <w:t>0.02t/a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90" w:type="dxa"/>
            <w:vMerge w:val="continue"/>
            <w:vAlign w:val="center"/>
          </w:tcPr>
          <w:p>
            <w:pPr>
              <w:pStyle w:val="48"/>
              <w:spacing w:beforeLines="0" w:afterLines="0" w:line="240" w:lineRule="auto"/>
              <w:rPr>
                <w:rFonts w:ascii="Times New Roman"/>
                <w:snapToGrid w:val="0"/>
                <w:color w:val="auto"/>
                <w:kern w:val="21"/>
                <w:sz w:val="24"/>
                <w:szCs w:val="24"/>
              </w:rPr>
            </w:pPr>
          </w:p>
        </w:tc>
        <w:tc>
          <w:tcPr>
            <w:tcW w:w="3020" w:type="dxa"/>
            <w:vAlign w:val="center"/>
          </w:tcPr>
          <w:p>
            <w:pPr>
              <w:pStyle w:val="41"/>
              <w:kinsoku w:val="0"/>
              <w:overflowPunct w:val="0"/>
              <w:adjustRightInd w:val="0"/>
              <w:snapToGrid w:val="0"/>
              <w:spacing w:before="0" w:line="240" w:lineRule="auto"/>
              <w:contextualSpacing/>
              <w:rPr>
                <w:rFonts w:hint="default" w:ascii="Times New Roman" w:hAnsi="Times New Roman" w:eastAsia="宋体" w:cs="Times New Roman"/>
                <w:color w:val="auto"/>
                <w:spacing w:val="-1"/>
                <w:sz w:val="24"/>
                <w:szCs w:val="24"/>
              </w:rPr>
            </w:pPr>
            <w:r>
              <w:rPr>
                <w:rFonts w:hint="default" w:ascii="Times New Roman" w:hAnsi="Times New Roman" w:eastAsia="宋体" w:cs="Times New Roman"/>
                <w:color w:val="auto"/>
                <w:spacing w:val="-1"/>
                <w:sz w:val="24"/>
                <w:szCs w:val="24"/>
              </w:rPr>
              <w:t>废油手套</w:t>
            </w:r>
          </w:p>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default" w:ascii="Times New Roman" w:hAnsi="Times New Roman" w:eastAsia="宋体" w:cs="Times New Roman"/>
                <w:color w:val="auto"/>
                <w:spacing w:val="-1"/>
                <w:szCs w:val="24"/>
              </w:rPr>
              <w:t>HW49</w:t>
            </w:r>
            <w:r>
              <w:rPr>
                <w:rFonts w:hint="eastAsia" w:ascii="Times New Roman" w:hAnsi="Times New Roman" w:eastAsia="宋体" w:cs="Times New Roman"/>
                <w:color w:val="auto"/>
                <w:spacing w:val="-1"/>
                <w:szCs w:val="24"/>
                <w:lang w:val="en-US" w:eastAsia="zh-CN"/>
              </w:rPr>
              <w:t xml:space="preserve"> </w:t>
            </w:r>
            <w:r>
              <w:rPr>
                <w:rFonts w:hint="default" w:ascii="Times New Roman" w:hAnsi="Times New Roman" w:eastAsia="宋体" w:cs="Times New Roman"/>
                <w:color w:val="auto"/>
                <w:spacing w:val="-1"/>
                <w:szCs w:val="24"/>
              </w:rPr>
              <w:t xml:space="preserve"> 900-041-49</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4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316"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06"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default" w:ascii="Times New Roman" w:hAnsi="Times New Roman" w:eastAsia="宋体" w:cs="Times New Roman"/>
                <w:color w:val="auto"/>
                <w:spacing w:val="-1"/>
                <w:sz w:val="24"/>
                <w:szCs w:val="24"/>
                <w:lang w:val="en-US"/>
              </w:rPr>
              <w:t>0.01t/a</w:t>
            </w:r>
          </w:p>
        </w:tc>
        <w:tc>
          <w:tcPr>
            <w:tcW w:w="1111" w:type="dxa"/>
            <w:vAlign w:val="center"/>
          </w:tcPr>
          <w:p>
            <w:pPr>
              <w:spacing w:beforeLines="0" w:afterLines="0" w:line="240" w:lineRule="auto"/>
              <w:jc w:val="center"/>
              <w:rPr>
                <w:rFonts w:ascii="Times New Roman"/>
                <w:snapToGrid w:val="0"/>
                <w:color w:val="auto"/>
                <w:kern w:val="21"/>
                <w:sz w:val="24"/>
                <w:szCs w:val="24"/>
              </w:rPr>
            </w:pPr>
            <w:r>
              <w:rPr>
                <w:rFonts w:hint="eastAsia" w:ascii="Times New Roman"/>
                <w:snapToGrid w:val="0"/>
                <w:color w:val="auto"/>
                <w:kern w:val="21"/>
                <w:sz w:val="24"/>
                <w:szCs w:val="24"/>
                <w:lang w:val="en-US" w:eastAsia="zh-CN"/>
              </w:rPr>
              <w:t>/</w:t>
            </w:r>
          </w:p>
        </w:tc>
        <w:tc>
          <w:tcPr>
            <w:tcW w:w="1517"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default" w:ascii="Times New Roman" w:hAnsi="Times New Roman" w:eastAsia="宋体" w:cs="Times New Roman"/>
                <w:color w:val="auto"/>
                <w:spacing w:val="-1"/>
                <w:sz w:val="24"/>
                <w:szCs w:val="24"/>
                <w:lang w:val="en-US"/>
              </w:rPr>
              <w:t>0.01t/a</w:t>
            </w:r>
          </w:p>
        </w:tc>
        <w:tc>
          <w:tcPr>
            <w:tcW w:w="1606" w:type="dxa"/>
            <w:vAlign w:val="center"/>
          </w:tcPr>
          <w:p>
            <w:pPr>
              <w:pStyle w:val="41"/>
              <w:kinsoku w:val="0"/>
              <w:overflowPunct w:val="0"/>
              <w:adjustRightInd w:val="0"/>
              <w:snapToGrid w:val="0"/>
              <w:spacing w:before="0" w:line="240" w:lineRule="auto"/>
              <w:contextualSpacing/>
              <w:rPr>
                <w:rFonts w:ascii="Times New Roman" w:hAnsi="Times New Roman"/>
                <w:snapToGrid w:val="0"/>
                <w:color w:val="auto"/>
                <w:kern w:val="21"/>
                <w:sz w:val="24"/>
                <w:szCs w:val="24"/>
              </w:rPr>
            </w:pPr>
            <w:r>
              <w:rPr>
                <w:rFonts w:hint="eastAsia" w:ascii="Times New Roman" w:hAnsi="Times New Roman" w:eastAsia="宋体" w:cs="Times New Roman"/>
                <w:color w:val="auto"/>
                <w:spacing w:val="-1"/>
                <w:sz w:val="24"/>
                <w:szCs w:val="24"/>
                <w:lang w:val="en-US" w:eastAsia="zh-CN"/>
              </w:rPr>
              <w:t>+</w:t>
            </w:r>
            <w:r>
              <w:rPr>
                <w:rFonts w:hint="default" w:ascii="Times New Roman" w:hAnsi="Times New Roman" w:eastAsia="宋体" w:cs="Times New Roman"/>
                <w:color w:val="auto"/>
                <w:spacing w:val="-1"/>
                <w:sz w:val="24"/>
                <w:szCs w:val="24"/>
                <w:lang w:val="en-US"/>
              </w:rPr>
              <w:t>0.01t/a</w:t>
            </w:r>
          </w:p>
        </w:tc>
      </w:tr>
    </w:tbl>
    <w:p>
      <w:pPr>
        <w:pStyle w:val="48"/>
        <w:spacing w:beforeLines="0" w:afterLines="0" w:line="240" w:lineRule="auto"/>
        <w:jc w:val="left"/>
        <w:rPr>
          <w:color w:val="auto"/>
        </w:r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p>
    <w:sectPr>
      <w:pgSz w:w="16838" w:h="11906" w:orient="landscape"/>
      <w:pgMar w:top="1083" w:right="1440" w:bottom="1083" w:left="1440" w:header="851" w:footer="992" w:gutter="0"/>
      <w:pgBorders>
        <w:top w:val="none" w:sz="0" w:space="0"/>
        <w:left w:val="none" w:sz="0" w:space="0"/>
        <w:bottom w:val="none" w:sz="0" w:space="0"/>
        <w:right w:val="none" w:sz="0" w:space="0"/>
      </w:pgBorders>
      <w:pgNumType w:fmt="numberInDash"/>
      <w:cols w:space="0" w:num="1"/>
      <w:rtlGutter w:val="0"/>
      <w:docGrid w:type="lines" w:linePitch="3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BF572D-CEAD-4DE9-B00C-61B908F72C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F8F465B0-A82A-4BED-A217-BBD31FF2129D}"/>
  </w:font>
  <w:font w:name="Cambria">
    <w:panose1 w:val="02040503050406030204"/>
    <w:charset w:val="00"/>
    <w:family w:val="roman"/>
    <w:pitch w:val="default"/>
    <w:sig w:usb0="E00002FF" w:usb1="400004FF" w:usb2="00000000" w:usb3="00000000" w:csb0="2000019F" w:csb1="00000000"/>
  </w:font>
  <w:font w:name="宋体_x0008_....">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DDC5258F-9F06-4BEA-8ED0-388B7F7489C8}"/>
  </w:font>
  <w:font w:name="方正小标宋_GBK">
    <w:panose1 w:val="02000000000000000000"/>
    <w:charset w:val="86"/>
    <w:family w:val="script"/>
    <w:pitch w:val="default"/>
    <w:sig w:usb0="A00002BF" w:usb1="38CF7CFA" w:usb2="00082016" w:usb3="00000000" w:csb0="00040001" w:csb1="00000000"/>
    <w:embedRegular r:id="rId4" w:fontKey="{BC4C7DCE-D07D-4DF3-86DC-E5E855D78355}"/>
  </w:font>
  <w:font w:name="楷体_GB2312">
    <w:panose1 w:val="02010609030101010101"/>
    <w:charset w:val="86"/>
    <w:family w:val="modern"/>
    <w:pitch w:val="default"/>
    <w:sig w:usb0="00000001" w:usb1="080E0000" w:usb2="00000000" w:usb3="00000000" w:csb0="00040000" w:csb1="00000000"/>
    <w:embedRegular r:id="rId5" w:fontKey="{F1C13875-DC95-4DE5-8CCE-07E0E74AF3E3}"/>
  </w:font>
  <w:font w:name="楷体">
    <w:panose1 w:val="02010609060101010101"/>
    <w:charset w:val="86"/>
    <w:family w:val="auto"/>
    <w:pitch w:val="default"/>
    <w:sig w:usb0="800002BF" w:usb1="38CF7CFA" w:usb2="00000016" w:usb3="00000000" w:csb0="00040001" w:csb1="00000000"/>
    <w:embedRegular r:id="rId6" w:fontKey="{1552F5B0-7A0A-4BF5-ACE7-06E305451929}"/>
  </w:font>
  <w:font w:name="华文仿宋">
    <w:panose1 w:val="02010600040101010101"/>
    <w:charset w:val="86"/>
    <w:family w:val="auto"/>
    <w:pitch w:val="default"/>
    <w:sig w:usb0="00000287" w:usb1="080F0000" w:usb2="00000000" w:usb3="00000000" w:csb0="0004009F" w:csb1="DFD70000"/>
    <w:embedRegular r:id="rId7" w:fontKey="{E22F228D-1555-44DF-A6E9-2E93490996F4}"/>
  </w:font>
  <w:font w:name="Wingdings 2">
    <w:panose1 w:val="05020102010507070707"/>
    <w:charset w:val="02"/>
    <w:family w:val="roman"/>
    <w:pitch w:val="default"/>
    <w:sig w:usb0="00000000" w:usb1="00000000" w:usb2="00000000" w:usb3="00000000" w:csb0="80000000" w:csb1="00000000"/>
    <w:embedRegular r:id="rId8" w:fontKey="{FB59BEAE-B487-4C4D-8AB2-53E883D52A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070760"/>
      <w:docPartObj>
        <w:docPartGallery w:val="autotext"/>
      </w:docPartObj>
    </w:sdtPr>
    <w:sdtEndPr>
      <w:rPr>
        <w:sz w:val="21"/>
        <w:szCs w:val="22"/>
      </w:rPr>
    </w:sdtEndPr>
    <w:sdtContent>
      <w:p>
        <w:pPr>
          <w:pStyle w:val="15"/>
          <w:rPr>
            <w:sz w:val="21"/>
            <w:szCs w:val="22"/>
          </w:rPr>
        </w:pPr>
        <w:r>
          <w:rPr>
            <w:sz w:val="21"/>
            <w:szCs w:val="22"/>
          </w:rPr>
          <w:fldChar w:fldCharType="begin"/>
        </w:r>
        <w:r>
          <w:rPr>
            <w:sz w:val="21"/>
            <w:szCs w:val="22"/>
          </w:rPr>
          <w:instrText xml:space="preserve">PAGE   \* MERGEFORMAT</w:instrText>
        </w:r>
        <w:r>
          <w:rPr>
            <w:sz w:val="21"/>
            <w:szCs w:val="22"/>
          </w:rPr>
          <w:fldChar w:fldCharType="separate"/>
        </w:r>
        <w:r>
          <w:rPr>
            <w:sz w:val="21"/>
            <w:szCs w:val="22"/>
            <w:lang w:val="zh-CN"/>
          </w:rPr>
          <w:t>2</w:t>
        </w:r>
        <w:r>
          <w:rPr>
            <w:sz w:val="21"/>
            <w:szCs w:val="22"/>
          </w:rPr>
          <w:fldChar w:fldCharType="end"/>
        </w:r>
      </w:p>
    </w:sdtContent>
  </w:sdt>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280797"/>
      <w:docPartObj>
        <w:docPartGallery w:val="autotext"/>
      </w:docPartObj>
    </w:sdtPr>
    <w:sdtEndPr>
      <w:rPr>
        <w:sz w:val="21"/>
        <w:szCs w:val="22"/>
      </w:rPr>
    </w:sdtEndPr>
    <w:sdtContent>
      <w:p>
        <w:pPr>
          <w:pStyle w:val="15"/>
          <w:jc w:val="right"/>
          <w:rPr>
            <w:sz w:val="21"/>
            <w:szCs w:val="22"/>
          </w:rPr>
        </w:pPr>
        <w:r>
          <w:rPr>
            <w:sz w:val="21"/>
            <w:szCs w:val="22"/>
          </w:rPr>
          <w:fldChar w:fldCharType="begin"/>
        </w:r>
        <w:r>
          <w:rPr>
            <w:sz w:val="21"/>
            <w:szCs w:val="22"/>
          </w:rPr>
          <w:instrText xml:space="preserve">PAGE   \* MERGEFORMAT</w:instrText>
        </w:r>
        <w:r>
          <w:rPr>
            <w:sz w:val="21"/>
            <w:szCs w:val="22"/>
          </w:rPr>
          <w:fldChar w:fldCharType="separate"/>
        </w:r>
        <w:r>
          <w:rPr>
            <w:sz w:val="21"/>
            <w:szCs w:val="22"/>
            <w:lang w:val="zh-CN"/>
          </w:rPr>
          <w:t>2</w:t>
        </w:r>
        <w:r>
          <w:rPr>
            <w:sz w:val="21"/>
            <w:szCs w:val="22"/>
          </w:rP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2AB69"/>
    <w:multiLevelType w:val="singleLevel"/>
    <w:tmpl w:val="40B2AB69"/>
    <w:lvl w:ilvl="0" w:tentative="0">
      <w:start w:val="1"/>
      <w:numFmt w:val="decimal"/>
      <w:suff w:val="nothing"/>
      <w:lvlText w:val="（%1）"/>
      <w:lvlJc w:val="left"/>
    </w:lvl>
  </w:abstractNum>
  <w:abstractNum w:abstractNumId="1">
    <w:nsid w:val="46FBB1A8"/>
    <w:multiLevelType w:val="singleLevel"/>
    <w:tmpl w:val="46FBB1A8"/>
    <w:lvl w:ilvl="0" w:tentative="0">
      <w:start w:val="1"/>
      <w:numFmt w:val="decimal"/>
      <w:suff w:val="nothing"/>
      <w:lvlText w:val="%1）"/>
      <w:lvlJc w:val="left"/>
    </w:lvl>
  </w:abstractNum>
  <w:abstractNum w:abstractNumId="2">
    <w:nsid w:val="585E3264"/>
    <w:multiLevelType w:val="singleLevel"/>
    <w:tmpl w:val="585E3264"/>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HorizontalSpacing w:val="120"/>
  <w:drawingGridVerticalSpacing w:val="16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xOTQ4YTk5ZGIyOTM0MWQ4YmQzODY1NzVkYTdlNjYifQ=="/>
  </w:docVars>
  <w:rsids>
    <w:rsidRoot w:val="00680534"/>
    <w:rsid w:val="000042B6"/>
    <w:rsid w:val="00005816"/>
    <w:rsid w:val="00013654"/>
    <w:rsid w:val="000160E9"/>
    <w:rsid w:val="00027641"/>
    <w:rsid w:val="00033B95"/>
    <w:rsid w:val="00033F43"/>
    <w:rsid w:val="000341C2"/>
    <w:rsid w:val="00035757"/>
    <w:rsid w:val="00040D21"/>
    <w:rsid w:val="0004177E"/>
    <w:rsid w:val="00047F9B"/>
    <w:rsid w:val="00052AEC"/>
    <w:rsid w:val="00056475"/>
    <w:rsid w:val="0006281D"/>
    <w:rsid w:val="0006658F"/>
    <w:rsid w:val="0007370C"/>
    <w:rsid w:val="00077B46"/>
    <w:rsid w:val="00082F16"/>
    <w:rsid w:val="000878F3"/>
    <w:rsid w:val="00087A05"/>
    <w:rsid w:val="000934CF"/>
    <w:rsid w:val="00093510"/>
    <w:rsid w:val="00093BB3"/>
    <w:rsid w:val="000A1547"/>
    <w:rsid w:val="000A2BC2"/>
    <w:rsid w:val="000A4728"/>
    <w:rsid w:val="000A4DAC"/>
    <w:rsid w:val="000A6F5A"/>
    <w:rsid w:val="000C1B5C"/>
    <w:rsid w:val="000C6041"/>
    <w:rsid w:val="000C7DE7"/>
    <w:rsid w:val="000D03A1"/>
    <w:rsid w:val="000D193B"/>
    <w:rsid w:val="000E7257"/>
    <w:rsid w:val="000F08D6"/>
    <w:rsid w:val="000F56E8"/>
    <w:rsid w:val="00100F1D"/>
    <w:rsid w:val="00107182"/>
    <w:rsid w:val="00107719"/>
    <w:rsid w:val="0011045D"/>
    <w:rsid w:val="0011048A"/>
    <w:rsid w:val="00111054"/>
    <w:rsid w:val="00112ED5"/>
    <w:rsid w:val="001136BD"/>
    <w:rsid w:val="00115C2E"/>
    <w:rsid w:val="001203D6"/>
    <w:rsid w:val="001208A5"/>
    <w:rsid w:val="00120ABD"/>
    <w:rsid w:val="0012454F"/>
    <w:rsid w:val="00126C8C"/>
    <w:rsid w:val="001278F1"/>
    <w:rsid w:val="00133BD8"/>
    <w:rsid w:val="00134121"/>
    <w:rsid w:val="00136969"/>
    <w:rsid w:val="00146414"/>
    <w:rsid w:val="001467F0"/>
    <w:rsid w:val="00151452"/>
    <w:rsid w:val="00151F23"/>
    <w:rsid w:val="0016611C"/>
    <w:rsid w:val="00167CB6"/>
    <w:rsid w:val="00170FE3"/>
    <w:rsid w:val="00171427"/>
    <w:rsid w:val="00175780"/>
    <w:rsid w:val="00176BFE"/>
    <w:rsid w:val="0018469B"/>
    <w:rsid w:val="0018771A"/>
    <w:rsid w:val="001A3924"/>
    <w:rsid w:val="001A3C9B"/>
    <w:rsid w:val="001A6BED"/>
    <w:rsid w:val="001B02C8"/>
    <w:rsid w:val="001B1AC9"/>
    <w:rsid w:val="001B2BBC"/>
    <w:rsid w:val="001B6552"/>
    <w:rsid w:val="001C1113"/>
    <w:rsid w:val="001C2147"/>
    <w:rsid w:val="001C385A"/>
    <w:rsid w:val="001C3AB5"/>
    <w:rsid w:val="001C4B1E"/>
    <w:rsid w:val="001C6CE5"/>
    <w:rsid w:val="001D0164"/>
    <w:rsid w:val="001D3C77"/>
    <w:rsid w:val="001E0DC3"/>
    <w:rsid w:val="001E0F3D"/>
    <w:rsid w:val="001E2376"/>
    <w:rsid w:val="001E5579"/>
    <w:rsid w:val="001E68B6"/>
    <w:rsid w:val="001E74FF"/>
    <w:rsid w:val="001F0BC5"/>
    <w:rsid w:val="001F201F"/>
    <w:rsid w:val="001F4101"/>
    <w:rsid w:val="001F48D2"/>
    <w:rsid w:val="001F71D0"/>
    <w:rsid w:val="0020222A"/>
    <w:rsid w:val="00202427"/>
    <w:rsid w:val="00205E19"/>
    <w:rsid w:val="00211CCD"/>
    <w:rsid w:val="002206DE"/>
    <w:rsid w:val="002238B3"/>
    <w:rsid w:val="0022395A"/>
    <w:rsid w:val="00225A41"/>
    <w:rsid w:val="00236E3C"/>
    <w:rsid w:val="002410F1"/>
    <w:rsid w:val="002434E7"/>
    <w:rsid w:val="00247CCD"/>
    <w:rsid w:val="00250351"/>
    <w:rsid w:val="00252B22"/>
    <w:rsid w:val="00256E68"/>
    <w:rsid w:val="00260D5A"/>
    <w:rsid w:val="00271A7F"/>
    <w:rsid w:val="002773ED"/>
    <w:rsid w:val="00277DA0"/>
    <w:rsid w:val="00286C62"/>
    <w:rsid w:val="00290B42"/>
    <w:rsid w:val="002913A1"/>
    <w:rsid w:val="002925B7"/>
    <w:rsid w:val="002950E6"/>
    <w:rsid w:val="002978FF"/>
    <w:rsid w:val="002A1598"/>
    <w:rsid w:val="002A36EA"/>
    <w:rsid w:val="002A5005"/>
    <w:rsid w:val="002A71B5"/>
    <w:rsid w:val="002B0FE7"/>
    <w:rsid w:val="002B691B"/>
    <w:rsid w:val="002B7420"/>
    <w:rsid w:val="002C221F"/>
    <w:rsid w:val="002C4DF9"/>
    <w:rsid w:val="002C55C0"/>
    <w:rsid w:val="002C61F7"/>
    <w:rsid w:val="002C6A01"/>
    <w:rsid w:val="002E3BFB"/>
    <w:rsid w:val="002E477B"/>
    <w:rsid w:val="002F279F"/>
    <w:rsid w:val="002F3A8C"/>
    <w:rsid w:val="002F6CDC"/>
    <w:rsid w:val="002F6D5D"/>
    <w:rsid w:val="002F7CE9"/>
    <w:rsid w:val="00301878"/>
    <w:rsid w:val="003021D5"/>
    <w:rsid w:val="003120EB"/>
    <w:rsid w:val="00313758"/>
    <w:rsid w:val="00313883"/>
    <w:rsid w:val="00317034"/>
    <w:rsid w:val="003216B1"/>
    <w:rsid w:val="0032219C"/>
    <w:rsid w:val="00334289"/>
    <w:rsid w:val="00335694"/>
    <w:rsid w:val="00342490"/>
    <w:rsid w:val="00343F6E"/>
    <w:rsid w:val="00344A27"/>
    <w:rsid w:val="0035308F"/>
    <w:rsid w:val="00353DDE"/>
    <w:rsid w:val="00366038"/>
    <w:rsid w:val="00366D12"/>
    <w:rsid w:val="0037319A"/>
    <w:rsid w:val="00374012"/>
    <w:rsid w:val="00376B39"/>
    <w:rsid w:val="003809CC"/>
    <w:rsid w:val="00382DF8"/>
    <w:rsid w:val="00384BB9"/>
    <w:rsid w:val="00386F75"/>
    <w:rsid w:val="003918B3"/>
    <w:rsid w:val="0039631D"/>
    <w:rsid w:val="003A46D9"/>
    <w:rsid w:val="003A4CF6"/>
    <w:rsid w:val="003A6EB6"/>
    <w:rsid w:val="003B3681"/>
    <w:rsid w:val="003B4118"/>
    <w:rsid w:val="003B6313"/>
    <w:rsid w:val="003B64F6"/>
    <w:rsid w:val="003B6662"/>
    <w:rsid w:val="003B78A0"/>
    <w:rsid w:val="003C0CEA"/>
    <w:rsid w:val="003C4A31"/>
    <w:rsid w:val="003D068A"/>
    <w:rsid w:val="003D3066"/>
    <w:rsid w:val="003D4428"/>
    <w:rsid w:val="003D4C3E"/>
    <w:rsid w:val="003D535E"/>
    <w:rsid w:val="003D6CC9"/>
    <w:rsid w:val="003E1627"/>
    <w:rsid w:val="003E3342"/>
    <w:rsid w:val="003E5D9D"/>
    <w:rsid w:val="003E78E5"/>
    <w:rsid w:val="003F1878"/>
    <w:rsid w:val="003F24BC"/>
    <w:rsid w:val="003F25F4"/>
    <w:rsid w:val="003F2967"/>
    <w:rsid w:val="003F41A6"/>
    <w:rsid w:val="003F43F8"/>
    <w:rsid w:val="003F66A8"/>
    <w:rsid w:val="003F6A86"/>
    <w:rsid w:val="0040668E"/>
    <w:rsid w:val="00410AB4"/>
    <w:rsid w:val="0041740E"/>
    <w:rsid w:val="00423E2C"/>
    <w:rsid w:val="00423EBE"/>
    <w:rsid w:val="004272ED"/>
    <w:rsid w:val="00430572"/>
    <w:rsid w:val="00437F29"/>
    <w:rsid w:val="00440B2A"/>
    <w:rsid w:val="00456A73"/>
    <w:rsid w:val="0046137F"/>
    <w:rsid w:val="00466E1B"/>
    <w:rsid w:val="004715E6"/>
    <w:rsid w:val="00472D48"/>
    <w:rsid w:val="004735B9"/>
    <w:rsid w:val="004779A8"/>
    <w:rsid w:val="00481C5F"/>
    <w:rsid w:val="0049240F"/>
    <w:rsid w:val="004944D7"/>
    <w:rsid w:val="004A1462"/>
    <w:rsid w:val="004A5CA1"/>
    <w:rsid w:val="004B6817"/>
    <w:rsid w:val="004C2B31"/>
    <w:rsid w:val="004C540F"/>
    <w:rsid w:val="004D05AE"/>
    <w:rsid w:val="004D1AEC"/>
    <w:rsid w:val="004D430D"/>
    <w:rsid w:val="004D61EF"/>
    <w:rsid w:val="004D6504"/>
    <w:rsid w:val="004D71E8"/>
    <w:rsid w:val="004D78DA"/>
    <w:rsid w:val="004D7B01"/>
    <w:rsid w:val="004E2ED1"/>
    <w:rsid w:val="004E3A5A"/>
    <w:rsid w:val="004F0668"/>
    <w:rsid w:val="004F1F9C"/>
    <w:rsid w:val="004F4224"/>
    <w:rsid w:val="004F6385"/>
    <w:rsid w:val="00500BB1"/>
    <w:rsid w:val="00501A57"/>
    <w:rsid w:val="00501D31"/>
    <w:rsid w:val="00502AE1"/>
    <w:rsid w:val="005034BB"/>
    <w:rsid w:val="00506224"/>
    <w:rsid w:val="005070F8"/>
    <w:rsid w:val="005121FA"/>
    <w:rsid w:val="00513881"/>
    <w:rsid w:val="005144DF"/>
    <w:rsid w:val="00514A7D"/>
    <w:rsid w:val="00525AA1"/>
    <w:rsid w:val="00525F2F"/>
    <w:rsid w:val="005268C6"/>
    <w:rsid w:val="00527360"/>
    <w:rsid w:val="00532A26"/>
    <w:rsid w:val="00533988"/>
    <w:rsid w:val="005452DF"/>
    <w:rsid w:val="00545450"/>
    <w:rsid w:val="00552D75"/>
    <w:rsid w:val="00555FB5"/>
    <w:rsid w:val="00555FFB"/>
    <w:rsid w:val="005563B6"/>
    <w:rsid w:val="0056381A"/>
    <w:rsid w:val="005701E2"/>
    <w:rsid w:val="00577ED5"/>
    <w:rsid w:val="0058029D"/>
    <w:rsid w:val="005949AF"/>
    <w:rsid w:val="00595076"/>
    <w:rsid w:val="005B0306"/>
    <w:rsid w:val="005C36EA"/>
    <w:rsid w:val="005C4DDC"/>
    <w:rsid w:val="005D3F5F"/>
    <w:rsid w:val="005E6482"/>
    <w:rsid w:val="005E6BEA"/>
    <w:rsid w:val="005F2492"/>
    <w:rsid w:val="006002EB"/>
    <w:rsid w:val="00611282"/>
    <w:rsid w:val="006121E7"/>
    <w:rsid w:val="00620299"/>
    <w:rsid w:val="00620DB4"/>
    <w:rsid w:val="006222E0"/>
    <w:rsid w:val="00624C0C"/>
    <w:rsid w:val="006270E3"/>
    <w:rsid w:val="00631DE1"/>
    <w:rsid w:val="00640617"/>
    <w:rsid w:val="0064159C"/>
    <w:rsid w:val="00641A5B"/>
    <w:rsid w:val="00646994"/>
    <w:rsid w:val="00653513"/>
    <w:rsid w:val="00653AB6"/>
    <w:rsid w:val="0065747D"/>
    <w:rsid w:val="00664204"/>
    <w:rsid w:val="00664B02"/>
    <w:rsid w:val="00666D17"/>
    <w:rsid w:val="00666D82"/>
    <w:rsid w:val="00674F37"/>
    <w:rsid w:val="006753E3"/>
    <w:rsid w:val="00677E3F"/>
    <w:rsid w:val="006800A4"/>
    <w:rsid w:val="00680534"/>
    <w:rsid w:val="00680B2D"/>
    <w:rsid w:val="006847F4"/>
    <w:rsid w:val="006864A8"/>
    <w:rsid w:val="00686F22"/>
    <w:rsid w:val="00692CA1"/>
    <w:rsid w:val="006A2FCC"/>
    <w:rsid w:val="006A655A"/>
    <w:rsid w:val="006C25CF"/>
    <w:rsid w:val="006C7F36"/>
    <w:rsid w:val="006D0AF8"/>
    <w:rsid w:val="006D1B86"/>
    <w:rsid w:val="006D4A5F"/>
    <w:rsid w:val="006D6D9E"/>
    <w:rsid w:val="006E7272"/>
    <w:rsid w:val="006F0D97"/>
    <w:rsid w:val="006F50E1"/>
    <w:rsid w:val="006F57D5"/>
    <w:rsid w:val="00701182"/>
    <w:rsid w:val="007042D6"/>
    <w:rsid w:val="00707901"/>
    <w:rsid w:val="0071027B"/>
    <w:rsid w:val="00712DA4"/>
    <w:rsid w:val="0071339F"/>
    <w:rsid w:val="00716CBB"/>
    <w:rsid w:val="00717D75"/>
    <w:rsid w:val="007212A9"/>
    <w:rsid w:val="00723A69"/>
    <w:rsid w:val="00726AC2"/>
    <w:rsid w:val="0073040C"/>
    <w:rsid w:val="0073508B"/>
    <w:rsid w:val="00735191"/>
    <w:rsid w:val="0073525D"/>
    <w:rsid w:val="00735557"/>
    <w:rsid w:val="00735C1E"/>
    <w:rsid w:val="00736942"/>
    <w:rsid w:val="00740200"/>
    <w:rsid w:val="0074053E"/>
    <w:rsid w:val="00740638"/>
    <w:rsid w:val="00740A04"/>
    <w:rsid w:val="007441BE"/>
    <w:rsid w:val="00744E9A"/>
    <w:rsid w:val="00753DBA"/>
    <w:rsid w:val="00754B21"/>
    <w:rsid w:val="00757EB8"/>
    <w:rsid w:val="00762F44"/>
    <w:rsid w:val="00764ABD"/>
    <w:rsid w:val="0076612B"/>
    <w:rsid w:val="00766751"/>
    <w:rsid w:val="00767834"/>
    <w:rsid w:val="00770FC7"/>
    <w:rsid w:val="007755C9"/>
    <w:rsid w:val="00775C30"/>
    <w:rsid w:val="007762E5"/>
    <w:rsid w:val="00781D1D"/>
    <w:rsid w:val="00783357"/>
    <w:rsid w:val="007859BC"/>
    <w:rsid w:val="007A116B"/>
    <w:rsid w:val="007A1D37"/>
    <w:rsid w:val="007A30CF"/>
    <w:rsid w:val="007A4339"/>
    <w:rsid w:val="007A7D84"/>
    <w:rsid w:val="007B7EC9"/>
    <w:rsid w:val="007B7F41"/>
    <w:rsid w:val="007C49D6"/>
    <w:rsid w:val="007C7832"/>
    <w:rsid w:val="007D0017"/>
    <w:rsid w:val="007D3B9D"/>
    <w:rsid w:val="007D4BC9"/>
    <w:rsid w:val="007E13BD"/>
    <w:rsid w:val="007E6FF4"/>
    <w:rsid w:val="007E7D4A"/>
    <w:rsid w:val="007F17EA"/>
    <w:rsid w:val="007F40C6"/>
    <w:rsid w:val="007F5CFD"/>
    <w:rsid w:val="00801DCC"/>
    <w:rsid w:val="008054C6"/>
    <w:rsid w:val="00811529"/>
    <w:rsid w:val="008170BE"/>
    <w:rsid w:val="008179D6"/>
    <w:rsid w:val="00817E32"/>
    <w:rsid w:val="00822E54"/>
    <w:rsid w:val="0082655F"/>
    <w:rsid w:val="00826ABD"/>
    <w:rsid w:val="00830893"/>
    <w:rsid w:val="008311A4"/>
    <w:rsid w:val="0083283A"/>
    <w:rsid w:val="00834AEF"/>
    <w:rsid w:val="0083707C"/>
    <w:rsid w:val="00840ACD"/>
    <w:rsid w:val="0085044D"/>
    <w:rsid w:val="00852436"/>
    <w:rsid w:val="0085442C"/>
    <w:rsid w:val="0085670E"/>
    <w:rsid w:val="008568F9"/>
    <w:rsid w:val="00856BA6"/>
    <w:rsid w:val="00860757"/>
    <w:rsid w:val="008614FD"/>
    <w:rsid w:val="00863E31"/>
    <w:rsid w:val="00864E77"/>
    <w:rsid w:val="008744C5"/>
    <w:rsid w:val="00875A98"/>
    <w:rsid w:val="00877E44"/>
    <w:rsid w:val="00890D68"/>
    <w:rsid w:val="00891596"/>
    <w:rsid w:val="008934CD"/>
    <w:rsid w:val="0089477F"/>
    <w:rsid w:val="00894F95"/>
    <w:rsid w:val="008960DA"/>
    <w:rsid w:val="008A3294"/>
    <w:rsid w:val="008A517F"/>
    <w:rsid w:val="008B0166"/>
    <w:rsid w:val="008B5334"/>
    <w:rsid w:val="008B580F"/>
    <w:rsid w:val="008B66B7"/>
    <w:rsid w:val="008B7426"/>
    <w:rsid w:val="008C01D5"/>
    <w:rsid w:val="008C114E"/>
    <w:rsid w:val="008C2360"/>
    <w:rsid w:val="008C534D"/>
    <w:rsid w:val="008D1DD1"/>
    <w:rsid w:val="008E1A8D"/>
    <w:rsid w:val="008E1DA9"/>
    <w:rsid w:val="008E41D4"/>
    <w:rsid w:val="008E459E"/>
    <w:rsid w:val="008E495C"/>
    <w:rsid w:val="008E6DD4"/>
    <w:rsid w:val="008E6EE8"/>
    <w:rsid w:val="008F03E9"/>
    <w:rsid w:val="008F1EAC"/>
    <w:rsid w:val="008F2A7E"/>
    <w:rsid w:val="00900A62"/>
    <w:rsid w:val="009010F0"/>
    <w:rsid w:val="00910AD8"/>
    <w:rsid w:val="00913015"/>
    <w:rsid w:val="00921434"/>
    <w:rsid w:val="009233B5"/>
    <w:rsid w:val="00926FB5"/>
    <w:rsid w:val="00927444"/>
    <w:rsid w:val="009302FD"/>
    <w:rsid w:val="0093333A"/>
    <w:rsid w:val="00935F3E"/>
    <w:rsid w:val="009410D3"/>
    <w:rsid w:val="0094562D"/>
    <w:rsid w:val="00953949"/>
    <w:rsid w:val="00953FE9"/>
    <w:rsid w:val="00956209"/>
    <w:rsid w:val="00963BA4"/>
    <w:rsid w:val="009649F4"/>
    <w:rsid w:val="009719BD"/>
    <w:rsid w:val="009751EE"/>
    <w:rsid w:val="00975A54"/>
    <w:rsid w:val="00983C73"/>
    <w:rsid w:val="00993746"/>
    <w:rsid w:val="009A23FC"/>
    <w:rsid w:val="009A2856"/>
    <w:rsid w:val="009A3F22"/>
    <w:rsid w:val="009A4C2F"/>
    <w:rsid w:val="009A6502"/>
    <w:rsid w:val="009C1F20"/>
    <w:rsid w:val="009C3FE5"/>
    <w:rsid w:val="009D0EEC"/>
    <w:rsid w:val="009D34EF"/>
    <w:rsid w:val="009D402F"/>
    <w:rsid w:val="009D55C5"/>
    <w:rsid w:val="009D7E0F"/>
    <w:rsid w:val="009E2C7B"/>
    <w:rsid w:val="009E656D"/>
    <w:rsid w:val="009E7750"/>
    <w:rsid w:val="009F19DA"/>
    <w:rsid w:val="009F33C5"/>
    <w:rsid w:val="009F33EE"/>
    <w:rsid w:val="009F7180"/>
    <w:rsid w:val="00A02B7B"/>
    <w:rsid w:val="00A0470B"/>
    <w:rsid w:val="00A06640"/>
    <w:rsid w:val="00A125E5"/>
    <w:rsid w:val="00A1319A"/>
    <w:rsid w:val="00A14FB2"/>
    <w:rsid w:val="00A15961"/>
    <w:rsid w:val="00A15F6F"/>
    <w:rsid w:val="00A17507"/>
    <w:rsid w:val="00A211F5"/>
    <w:rsid w:val="00A2274A"/>
    <w:rsid w:val="00A30987"/>
    <w:rsid w:val="00A333F9"/>
    <w:rsid w:val="00A345F5"/>
    <w:rsid w:val="00A351AA"/>
    <w:rsid w:val="00A37EA0"/>
    <w:rsid w:val="00A4242C"/>
    <w:rsid w:val="00A44077"/>
    <w:rsid w:val="00A456ED"/>
    <w:rsid w:val="00A50457"/>
    <w:rsid w:val="00A50F37"/>
    <w:rsid w:val="00A5354D"/>
    <w:rsid w:val="00A53941"/>
    <w:rsid w:val="00A60402"/>
    <w:rsid w:val="00A6184C"/>
    <w:rsid w:val="00A61D91"/>
    <w:rsid w:val="00A62177"/>
    <w:rsid w:val="00A62839"/>
    <w:rsid w:val="00A63A24"/>
    <w:rsid w:val="00A640EB"/>
    <w:rsid w:val="00A65797"/>
    <w:rsid w:val="00A65F20"/>
    <w:rsid w:val="00A714E9"/>
    <w:rsid w:val="00A74512"/>
    <w:rsid w:val="00A749B9"/>
    <w:rsid w:val="00A76E4C"/>
    <w:rsid w:val="00A81D69"/>
    <w:rsid w:val="00A84004"/>
    <w:rsid w:val="00A858F9"/>
    <w:rsid w:val="00A87125"/>
    <w:rsid w:val="00A906E0"/>
    <w:rsid w:val="00A91DC2"/>
    <w:rsid w:val="00A926F3"/>
    <w:rsid w:val="00A92D6C"/>
    <w:rsid w:val="00A97B38"/>
    <w:rsid w:val="00AA368A"/>
    <w:rsid w:val="00AA5FF9"/>
    <w:rsid w:val="00AB0320"/>
    <w:rsid w:val="00AB4368"/>
    <w:rsid w:val="00AB53F6"/>
    <w:rsid w:val="00AB6176"/>
    <w:rsid w:val="00AB75FE"/>
    <w:rsid w:val="00AC00F1"/>
    <w:rsid w:val="00AC0239"/>
    <w:rsid w:val="00AC0AA1"/>
    <w:rsid w:val="00AC74F1"/>
    <w:rsid w:val="00AC75E0"/>
    <w:rsid w:val="00AD2019"/>
    <w:rsid w:val="00AD20FE"/>
    <w:rsid w:val="00AD3ED3"/>
    <w:rsid w:val="00AD499B"/>
    <w:rsid w:val="00AD4B24"/>
    <w:rsid w:val="00AD4C52"/>
    <w:rsid w:val="00AD5886"/>
    <w:rsid w:val="00AE0CBC"/>
    <w:rsid w:val="00AE2110"/>
    <w:rsid w:val="00AE774E"/>
    <w:rsid w:val="00AF04AA"/>
    <w:rsid w:val="00AF4221"/>
    <w:rsid w:val="00AF71F3"/>
    <w:rsid w:val="00AF7995"/>
    <w:rsid w:val="00B06BA3"/>
    <w:rsid w:val="00B158A5"/>
    <w:rsid w:val="00B21539"/>
    <w:rsid w:val="00B215B9"/>
    <w:rsid w:val="00B22626"/>
    <w:rsid w:val="00B22E02"/>
    <w:rsid w:val="00B238D2"/>
    <w:rsid w:val="00B26714"/>
    <w:rsid w:val="00B26A32"/>
    <w:rsid w:val="00B307B8"/>
    <w:rsid w:val="00B30DEF"/>
    <w:rsid w:val="00B312A7"/>
    <w:rsid w:val="00B3253B"/>
    <w:rsid w:val="00B33E07"/>
    <w:rsid w:val="00B370C0"/>
    <w:rsid w:val="00B422CB"/>
    <w:rsid w:val="00B42455"/>
    <w:rsid w:val="00B44357"/>
    <w:rsid w:val="00B46642"/>
    <w:rsid w:val="00B476BC"/>
    <w:rsid w:val="00B52824"/>
    <w:rsid w:val="00B57901"/>
    <w:rsid w:val="00B70B64"/>
    <w:rsid w:val="00B7470C"/>
    <w:rsid w:val="00B754C2"/>
    <w:rsid w:val="00B86CB8"/>
    <w:rsid w:val="00B8702D"/>
    <w:rsid w:val="00B96436"/>
    <w:rsid w:val="00BA1AA6"/>
    <w:rsid w:val="00BA41EB"/>
    <w:rsid w:val="00BB6E34"/>
    <w:rsid w:val="00BC0989"/>
    <w:rsid w:val="00BC11F0"/>
    <w:rsid w:val="00BC5804"/>
    <w:rsid w:val="00BC62FE"/>
    <w:rsid w:val="00BD057E"/>
    <w:rsid w:val="00BD155A"/>
    <w:rsid w:val="00BD1929"/>
    <w:rsid w:val="00BD340A"/>
    <w:rsid w:val="00BD5385"/>
    <w:rsid w:val="00BE0BDF"/>
    <w:rsid w:val="00BE1F26"/>
    <w:rsid w:val="00BE26D3"/>
    <w:rsid w:val="00BE37FC"/>
    <w:rsid w:val="00BE53AD"/>
    <w:rsid w:val="00BE54AD"/>
    <w:rsid w:val="00BE60CE"/>
    <w:rsid w:val="00BF36E7"/>
    <w:rsid w:val="00C0022F"/>
    <w:rsid w:val="00C037BC"/>
    <w:rsid w:val="00C056D2"/>
    <w:rsid w:val="00C06ADA"/>
    <w:rsid w:val="00C06EF4"/>
    <w:rsid w:val="00C10C61"/>
    <w:rsid w:val="00C1429B"/>
    <w:rsid w:val="00C20A39"/>
    <w:rsid w:val="00C21AE9"/>
    <w:rsid w:val="00C24D32"/>
    <w:rsid w:val="00C25CEC"/>
    <w:rsid w:val="00C25EFA"/>
    <w:rsid w:val="00C270A5"/>
    <w:rsid w:val="00C279B5"/>
    <w:rsid w:val="00C27E6B"/>
    <w:rsid w:val="00C33532"/>
    <w:rsid w:val="00C33F59"/>
    <w:rsid w:val="00C371A7"/>
    <w:rsid w:val="00C37707"/>
    <w:rsid w:val="00C47863"/>
    <w:rsid w:val="00C53A4F"/>
    <w:rsid w:val="00C56AA4"/>
    <w:rsid w:val="00C57529"/>
    <w:rsid w:val="00C57796"/>
    <w:rsid w:val="00C64BD2"/>
    <w:rsid w:val="00C81D7F"/>
    <w:rsid w:val="00C84972"/>
    <w:rsid w:val="00C85ECE"/>
    <w:rsid w:val="00C90E06"/>
    <w:rsid w:val="00C92CF2"/>
    <w:rsid w:val="00C95B18"/>
    <w:rsid w:val="00C95D4E"/>
    <w:rsid w:val="00CA1E1D"/>
    <w:rsid w:val="00CB2CA9"/>
    <w:rsid w:val="00CB31B9"/>
    <w:rsid w:val="00CB6DA3"/>
    <w:rsid w:val="00CB772E"/>
    <w:rsid w:val="00CB7BAC"/>
    <w:rsid w:val="00CC0559"/>
    <w:rsid w:val="00CC18BE"/>
    <w:rsid w:val="00CC3C77"/>
    <w:rsid w:val="00CC650C"/>
    <w:rsid w:val="00CD5CDC"/>
    <w:rsid w:val="00CE4F43"/>
    <w:rsid w:val="00CE71F0"/>
    <w:rsid w:val="00CF1A16"/>
    <w:rsid w:val="00CF24D4"/>
    <w:rsid w:val="00CF35B8"/>
    <w:rsid w:val="00D05273"/>
    <w:rsid w:val="00D07BC0"/>
    <w:rsid w:val="00D21281"/>
    <w:rsid w:val="00D24536"/>
    <w:rsid w:val="00D2460F"/>
    <w:rsid w:val="00D27462"/>
    <w:rsid w:val="00D2771A"/>
    <w:rsid w:val="00D3195D"/>
    <w:rsid w:val="00D32F55"/>
    <w:rsid w:val="00D379F8"/>
    <w:rsid w:val="00D434DF"/>
    <w:rsid w:val="00D44D6D"/>
    <w:rsid w:val="00D47537"/>
    <w:rsid w:val="00D516B3"/>
    <w:rsid w:val="00D5362E"/>
    <w:rsid w:val="00D5450C"/>
    <w:rsid w:val="00D55A94"/>
    <w:rsid w:val="00D55AA3"/>
    <w:rsid w:val="00D62DD2"/>
    <w:rsid w:val="00D63B07"/>
    <w:rsid w:val="00D64763"/>
    <w:rsid w:val="00D65476"/>
    <w:rsid w:val="00D700C4"/>
    <w:rsid w:val="00D72354"/>
    <w:rsid w:val="00D733E8"/>
    <w:rsid w:val="00D744D0"/>
    <w:rsid w:val="00D7516B"/>
    <w:rsid w:val="00D80BC5"/>
    <w:rsid w:val="00D82878"/>
    <w:rsid w:val="00D87420"/>
    <w:rsid w:val="00D875D6"/>
    <w:rsid w:val="00D90ABE"/>
    <w:rsid w:val="00D911F0"/>
    <w:rsid w:val="00DA29C0"/>
    <w:rsid w:val="00DA65A4"/>
    <w:rsid w:val="00DB3E57"/>
    <w:rsid w:val="00DC132B"/>
    <w:rsid w:val="00DC5644"/>
    <w:rsid w:val="00DC6EBD"/>
    <w:rsid w:val="00DE04AA"/>
    <w:rsid w:val="00DE1E41"/>
    <w:rsid w:val="00DE5042"/>
    <w:rsid w:val="00DE6593"/>
    <w:rsid w:val="00DF152F"/>
    <w:rsid w:val="00DF2221"/>
    <w:rsid w:val="00DF2851"/>
    <w:rsid w:val="00DF3D23"/>
    <w:rsid w:val="00DF600F"/>
    <w:rsid w:val="00DF73DF"/>
    <w:rsid w:val="00E0466D"/>
    <w:rsid w:val="00E10587"/>
    <w:rsid w:val="00E13571"/>
    <w:rsid w:val="00E14882"/>
    <w:rsid w:val="00E20504"/>
    <w:rsid w:val="00E2415E"/>
    <w:rsid w:val="00E30783"/>
    <w:rsid w:val="00E36966"/>
    <w:rsid w:val="00E370EA"/>
    <w:rsid w:val="00E41A94"/>
    <w:rsid w:val="00E45F66"/>
    <w:rsid w:val="00E53DD4"/>
    <w:rsid w:val="00E54D4E"/>
    <w:rsid w:val="00E54E49"/>
    <w:rsid w:val="00E60A53"/>
    <w:rsid w:val="00E658C8"/>
    <w:rsid w:val="00E65D66"/>
    <w:rsid w:val="00E65DB4"/>
    <w:rsid w:val="00E65FDD"/>
    <w:rsid w:val="00E717FB"/>
    <w:rsid w:val="00E852CA"/>
    <w:rsid w:val="00E95E4D"/>
    <w:rsid w:val="00E96CC2"/>
    <w:rsid w:val="00EA0724"/>
    <w:rsid w:val="00EA7AAC"/>
    <w:rsid w:val="00EB3CFB"/>
    <w:rsid w:val="00EB793D"/>
    <w:rsid w:val="00ED7C21"/>
    <w:rsid w:val="00EE011E"/>
    <w:rsid w:val="00EF08F7"/>
    <w:rsid w:val="00EF1990"/>
    <w:rsid w:val="00F009BA"/>
    <w:rsid w:val="00F012B8"/>
    <w:rsid w:val="00F06A91"/>
    <w:rsid w:val="00F06ED9"/>
    <w:rsid w:val="00F1287E"/>
    <w:rsid w:val="00F12DED"/>
    <w:rsid w:val="00F139D6"/>
    <w:rsid w:val="00F14220"/>
    <w:rsid w:val="00F15F84"/>
    <w:rsid w:val="00F178C2"/>
    <w:rsid w:val="00F17A5B"/>
    <w:rsid w:val="00F22CE1"/>
    <w:rsid w:val="00F26F7E"/>
    <w:rsid w:val="00F2743C"/>
    <w:rsid w:val="00F309AC"/>
    <w:rsid w:val="00F3333B"/>
    <w:rsid w:val="00F404DA"/>
    <w:rsid w:val="00F40632"/>
    <w:rsid w:val="00F434C1"/>
    <w:rsid w:val="00F44973"/>
    <w:rsid w:val="00F47D80"/>
    <w:rsid w:val="00F552A1"/>
    <w:rsid w:val="00F61F7E"/>
    <w:rsid w:val="00F621AC"/>
    <w:rsid w:val="00F62E31"/>
    <w:rsid w:val="00F63EEA"/>
    <w:rsid w:val="00F64266"/>
    <w:rsid w:val="00F66755"/>
    <w:rsid w:val="00F70574"/>
    <w:rsid w:val="00F70963"/>
    <w:rsid w:val="00F73565"/>
    <w:rsid w:val="00F77425"/>
    <w:rsid w:val="00F81C0E"/>
    <w:rsid w:val="00F83266"/>
    <w:rsid w:val="00F85F29"/>
    <w:rsid w:val="00F90419"/>
    <w:rsid w:val="00F94AC7"/>
    <w:rsid w:val="00F9622A"/>
    <w:rsid w:val="00FA0561"/>
    <w:rsid w:val="00FA1A25"/>
    <w:rsid w:val="00FA2672"/>
    <w:rsid w:val="00FA31F0"/>
    <w:rsid w:val="00FB08C9"/>
    <w:rsid w:val="00FB2981"/>
    <w:rsid w:val="00FB2F41"/>
    <w:rsid w:val="00FC0877"/>
    <w:rsid w:val="00FC2623"/>
    <w:rsid w:val="00FC4852"/>
    <w:rsid w:val="00FD1EA8"/>
    <w:rsid w:val="00FD358A"/>
    <w:rsid w:val="00FD6514"/>
    <w:rsid w:val="00FD65F0"/>
    <w:rsid w:val="00FE0328"/>
    <w:rsid w:val="00FE5F76"/>
    <w:rsid w:val="00FF4F54"/>
    <w:rsid w:val="00FF6B0A"/>
    <w:rsid w:val="00FF7599"/>
    <w:rsid w:val="00FF7D24"/>
    <w:rsid w:val="014632E9"/>
    <w:rsid w:val="01574F96"/>
    <w:rsid w:val="01AC5842"/>
    <w:rsid w:val="01C012ED"/>
    <w:rsid w:val="024143A5"/>
    <w:rsid w:val="02511F45"/>
    <w:rsid w:val="02624152"/>
    <w:rsid w:val="02AA6285"/>
    <w:rsid w:val="02E364D6"/>
    <w:rsid w:val="02EB4A36"/>
    <w:rsid w:val="02F54FC6"/>
    <w:rsid w:val="0328714A"/>
    <w:rsid w:val="033C49A3"/>
    <w:rsid w:val="034A1D26"/>
    <w:rsid w:val="037D6919"/>
    <w:rsid w:val="03D80B70"/>
    <w:rsid w:val="04180F6C"/>
    <w:rsid w:val="046046C1"/>
    <w:rsid w:val="046248DD"/>
    <w:rsid w:val="04803673"/>
    <w:rsid w:val="04BD38C2"/>
    <w:rsid w:val="04FE63B4"/>
    <w:rsid w:val="050815A0"/>
    <w:rsid w:val="050C7C4F"/>
    <w:rsid w:val="05104339"/>
    <w:rsid w:val="054664E2"/>
    <w:rsid w:val="054A15F9"/>
    <w:rsid w:val="059565ED"/>
    <w:rsid w:val="05972AD2"/>
    <w:rsid w:val="0627129F"/>
    <w:rsid w:val="06473D8B"/>
    <w:rsid w:val="065B5A88"/>
    <w:rsid w:val="068C52E6"/>
    <w:rsid w:val="068D20E8"/>
    <w:rsid w:val="06FC6923"/>
    <w:rsid w:val="075E75DE"/>
    <w:rsid w:val="079528D4"/>
    <w:rsid w:val="07BE007D"/>
    <w:rsid w:val="08157B45"/>
    <w:rsid w:val="082A3964"/>
    <w:rsid w:val="08912E1B"/>
    <w:rsid w:val="08D631A4"/>
    <w:rsid w:val="09034F91"/>
    <w:rsid w:val="09320D22"/>
    <w:rsid w:val="093F6F9B"/>
    <w:rsid w:val="09412D13"/>
    <w:rsid w:val="095F3199"/>
    <w:rsid w:val="09954E0D"/>
    <w:rsid w:val="0A014251"/>
    <w:rsid w:val="0A2C1F3B"/>
    <w:rsid w:val="0A2F7010"/>
    <w:rsid w:val="0A6C2012"/>
    <w:rsid w:val="0A6F565E"/>
    <w:rsid w:val="0A7333A0"/>
    <w:rsid w:val="0AD025A1"/>
    <w:rsid w:val="0B00275A"/>
    <w:rsid w:val="0B0E30C9"/>
    <w:rsid w:val="0B1A381C"/>
    <w:rsid w:val="0B1B1342"/>
    <w:rsid w:val="0B3F3282"/>
    <w:rsid w:val="0B6B051B"/>
    <w:rsid w:val="0B94070D"/>
    <w:rsid w:val="0B9F6417"/>
    <w:rsid w:val="0C087B18"/>
    <w:rsid w:val="0C77469D"/>
    <w:rsid w:val="0C782EF0"/>
    <w:rsid w:val="0C8F1FE8"/>
    <w:rsid w:val="0CE73BD2"/>
    <w:rsid w:val="0CF87B8D"/>
    <w:rsid w:val="0D110C4F"/>
    <w:rsid w:val="0D8F6585"/>
    <w:rsid w:val="0DFF319D"/>
    <w:rsid w:val="0E4C3854"/>
    <w:rsid w:val="0E682AF0"/>
    <w:rsid w:val="0F4C4678"/>
    <w:rsid w:val="0FB12275"/>
    <w:rsid w:val="0FF36689"/>
    <w:rsid w:val="0FFF7484"/>
    <w:rsid w:val="102313C5"/>
    <w:rsid w:val="104D4694"/>
    <w:rsid w:val="10635C65"/>
    <w:rsid w:val="1068327B"/>
    <w:rsid w:val="10993802"/>
    <w:rsid w:val="10CD0CF1"/>
    <w:rsid w:val="111C72EA"/>
    <w:rsid w:val="11205904"/>
    <w:rsid w:val="11BD13A5"/>
    <w:rsid w:val="12062D4C"/>
    <w:rsid w:val="12502219"/>
    <w:rsid w:val="12971BF6"/>
    <w:rsid w:val="12BE7183"/>
    <w:rsid w:val="12D20E80"/>
    <w:rsid w:val="130A061A"/>
    <w:rsid w:val="130D010A"/>
    <w:rsid w:val="13345697"/>
    <w:rsid w:val="133B07D3"/>
    <w:rsid w:val="133E2072"/>
    <w:rsid w:val="13441D7E"/>
    <w:rsid w:val="13453400"/>
    <w:rsid w:val="13581385"/>
    <w:rsid w:val="137645D0"/>
    <w:rsid w:val="138A175B"/>
    <w:rsid w:val="13EE5846"/>
    <w:rsid w:val="13F37300"/>
    <w:rsid w:val="14215C1B"/>
    <w:rsid w:val="143934C6"/>
    <w:rsid w:val="143A0A8B"/>
    <w:rsid w:val="1441006B"/>
    <w:rsid w:val="14A1264A"/>
    <w:rsid w:val="154468AA"/>
    <w:rsid w:val="1568799D"/>
    <w:rsid w:val="15802E15"/>
    <w:rsid w:val="15C9656A"/>
    <w:rsid w:val="1647748F"/>
    <w:rsid w:val="16640041"/>
    <w:rsid w:val="166C6A53"/>
    <w:rsid w:val="1698318E"/>
    <w:rsid w:val="16C94348"/>
    <w:rsid w:val="16F2564D"/>
    <w:rsid w:val="172F4AF3"/>
    <w:rsid w:val="17852965"/>
    <w:rsid w:val="17942BA8"/>
    <w:rsid w:val="17A2170B"/>
    <w:rsid w:val="17AA1F60"/>
    <w:rsid w:val="18EC5C09"/>
    <w:rsid w:val="1A195DE0"/>
    <w:rsid w:val="1A8C5DB8"/>
    <w:rsid w:val="1AB570BD"/>
    <w:rsid w:val="1B193AF0"/>
    <w:rsid w:val="1B1A33C4"/>
    <w:rsid w:val="1B1F09DB"/>
    <w:rsid w:val="1B4F7512"/>
    <w:rsid w:val="1B512F85"/>
    <w:rsid w:val="1B635F12"/>
    <w:rsid w:val="1B6805D3"/>
    <w:rsid w:val="1B824429"/>
    <w:rsid w:val="1B943177"/>
    <w:rsid w:val="1BC82E20"/>
    <w:rsid w:val="1BFD51C0"/>
    <w:rsid w:val="1C723080"/>
    <w:rsid w:val="1CC83DF4"/>
    <w:rsid w:val="1CD31A7D"/>
    <w:rsid w:val="1D3C1D18"/>
    <w:rsid w:val="1D434E54"/>
    <w:rsid w:val="1D9456B0"/>
    <w:rsid w:val="1DA43419"/>
    <w:rsid w:val="1DB55626"/>
    <w:rsid w:val="1DC1221D"/>
    <w:rsid w:val="1DF24184"/>
    <w:rsid w:val="1DF95513"/>
    <w:rsid w:val="1E335C29"/>
    <w:rsid w:val="1E641526"/>
    <w:rsid w:val="1E7B061E"/>
    <w:rsid w:val="1E9D2342"/>
    <w:rsid w:val="1F2B3DF2"/>
    <w:rsid w:val="1F6C57A5"/>
    <w:rsid w:val="1FE3647B"/>
    <w:rsid w:val="2012488B"/>
    <w:rsid w:val="204175F0"/>
    <w:rsid w:val="204A02A8"/>
    <w:rsid w:val="206201FF"/>
    <w:rsid w:val="20C05F85"/>
    <w:rsid w:val="20D90FC2"/>
    <w:rsid w:val="20EA08FD"/>
    <w:rsid w:val="2130749E"/>
    <w:rsid w:val="21423675"/>
    <w:rsid w:val="21A165ED"/>
    <w:rsid w:val="21A97250"/>
    <w:rsid w:val="21F26E49"/>
    <w:rsid w:val="22370D00"/>
    <w:rsid w:val="22BC502D"/>
    <w:rsid w:val="22CF2CE6"/>
    <w:rsid w:val="23250B58"/>
    <w:rsid w:val="237A0EA4"/>
    <w:rsid w:val="239A1546"/>
    <w:rsid w:val="23A10B26"/>
    <w:rsid w:val="23A203FB"/>
    <w:rsid w:val="23DA5DE6"/>
    <w:rsid w:val="23E12CD1"/>
    <w:rsid w:val="23FF584D"/>
    <w:rsid w:val="24531088"/>
    <w:rsid w:val="24765B0F"/>
    <w:rsid w:val="24863878"/>
    <w:rsid w:val="24C06D8A"/>
    <w:rsid w:val="25A71CF8"/>
    <w:rsid w:val="25CC175F"/>
    <w:rsid w:val="266320C3"/>
    <w:rsid w:val="26924756"/>
    <w:rsid w:val="26973AFF"/>
    <w:rsid w:val="26B50445"/>
    <w:rsid w:val="27494925"/>
    <w:rsid w:val="275C22AA"/>
    <w:rsid w:val="276F7FE3"/>
    <w:rsid w:val="277C14E8"/>
    <w:rsid w:val="278E3170"/>
    <w:rsid w:val="27F154AD"/>
    <w:rsid w:val="287560DE"/>
    <w:rsid w:val="290A4A78"/>
    <w:rsid w:val="293D4E4D"/>
    <w:rsid w:val="29890093"/>
    <w:rsid w:val="29C166AB"/>
    <w:rsid w:val="2A426494"/>
    <w:rsid w:val="2A6401B8"/>
    <w:rsid w:val="2A911801"/>
    <w:rsid w:val="2AA73F5B"/>
    <w:rsid w:val="2ABF1892"/>
    <w:rsid w:val="2B2A341A"/>
    <w:rsid w:val="2B434271"/>
    <w:rsid w:val="2B6D7540"/>
    <w:rsid w:val="2B9A365B"/>
    <w:rsid w:val="2BF65788"/>
    <w:rsid w:val="2C332538"/>
    <w:rsid w:val="2C581F9E"/>
    <w:rsid w:val="2C6C77F8"/>
    <w:rsid w:val="2C740FEC"/>
    <w:rsid w:val="2C9C00DD"/>
    <w:rsid w:val="2CAD22EA"/>
    <w:rsid w:val="2CC12406"/>
    <w:rsid w:val="2D145EC5"/>
    <w:rsid w:val="2D2D4762"/>
    <w:rsid w:val="2D3D4536"/>
    <w:rsid w:val="2D46055A"/>
    <w:rsid w:val="2D5B3AF4"/>
    <w:rsid w:val="2D684463"/>
    <w:rsid w:val="2D8D7A26"/>
    <w:rsid w:val="2DB11966"/>
    <w:rsid w:val="2DD92C6B"/>
    <w:rsid w:val="2E5C3FC8"/>
    <w:rsid w:val="2E5C5D76"/>
    <w:rsid w:val="2E60513A"/>
    <w:rsid w:val="2ED753FC"/>
    <w:rsid w:val="2F261EE0"/>
    <w:rsid w:val="2F5C0CCC"/>
    <w:rsid w:val="2FF5456B"/>
    <w:rsid w:val="31164224"/>
    <w:rsid w:val="31576CC8"/>
    <w:rsid w:val="31603DCF"/>
    <w:rsid w:val="317B1554"/>
    <w:rsid w:val="31C205E6"/>
    <w:rsid w:val="323668DE"/>
    <w:rsid w:val="324F5BF1"/>
    <w:rsid w:val="32B53CA7"/>
    <w:rsid w:val="32FB17B4"/>
    <w:rsid w:val="330864CC"/>
    <w:rsid w:val="330B0A0D"/>
    <w:rsid w:val="33105381"/>
    <w:rsid w:val="33274478"/>
    <w:rsid w:val="33332E1D"/>
    <w:rsid w:val="33572FB0"/>
    <w:rsid w:val="33615BDC"/>
    <w:rsid w:val="33A1247D"/>
    <w:rsid w:val="33AD497E"/>
    <w:rsid w:val="33C77C45"/>
    <w:rsid w:val="33D90881"/>
    <w:rsid w:val="34192013"/>
    <w:rsid w:val="34E42621"/>
    <w:rsid w:val="35030B3B"/>
    <w:rsid w:val="35B2271F"/>
    <w:rsid w:val="35CE6E2D"/>
    <w:rsid w:val="36201D7F"/>
    <w:rsid w:val="36DB5CA6"/>
    <w:rsid w:val="36F54FB9"/>
    <w:rsid w:val="36F9612C"/>
    <w:rsid w:val="36FA437E"/>
    <w:rsid w:val="371F6EBA"/>
    <w:rsid w:val="37517D16"/>
    <w:rsid w:val="37781747"/>
    <w:rsid w:val="379A790F"/>
    <w:rsid w:val="37AD13F0"/>
    <w:rsid w:val="38043ABB"/>
    <w:rsid w:val="381B27FE"/>
    <w:rsid w:val="38BB18EB"/>
    <w:rsid w:val="38E250CA"/>
    <w:rsid w:val="38F512A1"/>
    <w:rsid w:val="39495149"/>
    <w:rsid w:val="395A1D36"/>
    <w:rsid w:val="396678D9"/>
    <w:rsid w:val="39802015"/>
    <w:rsid w:val="3A7C154E"/>
    <w:rsid w:val="3A887EF3"/>
    <w:rsid w:val="3B5A363D"/>
    <w:rsid w:val="3B8238CA"/>
    <w:rsid w:val="3B9052B1"/>
    <w:rsid w:val="3BAE1216"/>
    <w:rsid w:val="3C027831"/>
    <w:rsid w:val="3C320116"/>
    <w:rsid w:val="3C5A141B"/>
    <w:rsid w:val="3C5E715D"/>
    <w:rsid w:val="3C7A386B"/>
    <w:rsid w:val="3E1321C9"/>
    <w:rsid w:val="3E767B6A"/>
    <w:rsid w:val="3EF21DDE"/>
    <w:rsid w:val="3EF30A49"/>
    <w:rsid w:val="3EF43DA9"/>
    <w:rsid w:val="3EF72F98"/>
    <w:rsid w:val="3EFC4A0B"/>
    <w:rsid w:val="3F0F473E"/>
    <w:rsid w:val="3F4341B4"/>
    <w:rsid w:val="3F577E93"/>
    <w:rsid w:val="3F5F673C"/>
    <w:rsid w:val="3F942E96"/>
    <w:rsid w:val="3FAC6431"/>
    <w:rsid w:val="40C96B6F"/>
    <w:rsid w:val="41526B64"/>
    <w:rsid w:val="41D43A1D"/>
    <w:rsid w:val="42156510"/>
    <w:rsid w:val="42485886"/>
    <w:rsid w:val="4290203A"/>
    <w:rsid w:val="42CC41D7"/>
    <w:rsid w:val="42D02437"/>
    <w:rsid w:val="42F33AF5"/>
    <w:rsid w:val="43C24475"/>
    <w:rsid w:val="43E02B4D"/>
    <w:rsid w:val="43E11F2A"/>
    <w:rsid w:val="44427364"/>
    <w:rsid w:val="44890AEF"/>
    <w:rsid w:val="44B55D88"/>
    <w:rsid w:val="44DE52DF"/>
    <w:rsid w:val="45102FBE"/>
    <w:rsid w:val="451256BF"/>
    <w:rsid w:val="45126D36"/>
    <w:rsid w:val="45440EBA"/>
    <w:rsid w:val="4557299B"/>
    <w:rsid w:val="4597723C"/>
    <w:rsid w:val="45AD2F03"/>
    <w:rsid w:val="45D229DB"/>
    <w:rsid w:val="460C7C2A"/>
    <w:rsid w:val="46902609"/>
    <w:rsid w:val="46A8758B"/>
    <w:rsid w:val="46AF27E0"/>
    <w:rsid w:val="46CB3641"/>
    <w:rsid w:val="47227BB6"/>
    <w:rsid w:val="472B40E0"/>
    <w:rsid w:val="47A048F3"/>
    <w:rsid w:val="47CA38F8"/>
    <w:rsid w:val="4812704D"/>
    <w:rsid w:val="48BA396D"/>
    <w:rsid w:val="48C23F12"/>
    <w:rsid w:val="48F60788"/>
    <w:rsid w:val="499E328F"/>
    <w:rsid w:val="49A81A17"/>
    <w:rsid w:val="49EC22F3"/>
    <w:rsid w:val="4A3D2AA8"/>
    <w:rsid w:val="4A4D25BF"/>
    <w:rsid w:val="4A576C86"/>
    <w:rsid w:val="4A600544"/>
    <w:rsid w:val="4AC26B09"/>
    <w:rsid w:val="4AEF3392"/>
    <w:rsid w:val="4B0502F8"/>
    <w:rsid w:val="4B3913DA"/>
    <w:rsid w:val="4B42414F"/>
    <w:rsid w:val="4B586765"/>
    <w:rsid w:val="4B686A02"/>
    <w:rsid w:val="4B7C13AE"/>
    <w:rsid w:val="4B865D88"/>
    <w:rsid w:val="4BC62629"/>
    <w:rsid w:val="4C4243A5"/>
    <w:rsid w:val="4C673E0C"/>
    <w:rsid w:val="4C8E75EA"/>
    <w:rsid w:val="4D2910C1"/>
    <w:rsid w:val="4D292E6F"/>
    <w:rsid w:val="4DA13FF6"/>
    <w:rsid w:val="4DA412A4"/>
    <w:rsid w:val="4E7740AE"/>
    <w:rsid w:val="4E9268D4"/>
    <w:rsid w:val="4F1E452A"/>
    <w:rsid w:val="4F4C71A9"/>
    <w:rsid w:val="4F691C49"/>
    <w:rsid w:val="4F8627FB"/>
    <w:rsid w:val="4F9D18F3"/>
    <w:rsid w:val="4FAD422B"/>
    <w:rsid w:val="4FCB6460"/>
    <w:rsid w:val="4FF82FCD"/>
    <w:rsid w:val="50153B7F"/>
    <w:rsid w:val="503A35E5"/>
    <w:rsid w:val="507B7E86"/>
    <w:rsid w:val="50974594"/>
    <w:rsid w:val="50B929A4"/>
    <w:rsid w:val="50C11611"/>
    <w:rsid w:val="50C8299F"/>
    <w:rsid w:val="51727CB0"/>
    <w:rsid w:val="51917A60"/>
    <w:rsid w:val="51A927D1"/>
    <w:rsid w:val="51B178D7"/>
    <w:rsid w:val="51EB2DE9"/>
    <w:rsid w:val="52412D41"/>
    <w:rsid w:val="52880C25"/>
    <w:rsid w:val="52B70F1D"/>
    <w:rsid w:val="53B316E5"/>
    <w:rsid w:val="53D855EF"/>
    <w:rsid w:val="53DD0E57"/>
    <w:rsid w:val="53FF0DCE"/>
    <w:rsid w:val="543071D9"/>
    <w:rsid w:val="54505185"/>
    <w:rsid w:val="54817A35"/>
    <w:rsid w:val="549E2395"/>
    <w:rsid w:val="551C150B"/>
    <w:rsid w:val="55450A62"/>
    <w:rsid w:val="55733821"/>
    <w:rsid w:val="55741347"/>
    <w:rsid w:val="559F123D"/>
    <w:rsid w:val="562B7C58"/>
    <w:rsid w:val="564E3947"/>
    <w:rsid w:val="56D55E16"/>
    <w:rsid w:val="57082344"/>
    <w:rsid w:val="57106E4E"/>
    <w:rsid w:val="5754217C"/>
    <w:rsid w:val="57763155"/>
    <w:rsid w:val="580544D9"/>
    <w:rsid w:val="583E393C"/>
    <w:rsid w:val="587A0A23"/>
    <w:rsid w:val="59050C34"/>
    <w:rsid w:val="59232E69"/>
    <w:rsid w:val="59AF6DF2"/>
    <w:rsid w:val="59DD74BB"/>
    <w:rsid w:val="5A026F22"/>
    <w:rsid w:val="5A105AE3"/>
    <w:rsid w:val="5A53777D"/>
    <w:rsid w:val="5A9F74B7"/>
    <w:rsid w:val="5AD3266C"/>
    <w:rsid w:val="5B8B2F47"/>
    <w:rsid w:val="5BA10E26"/>
    <w:rsid w:val="5BE15F8D"/>
    <w:rsid w:val="5BE56E7A"/>
    <w:rsid w:val="5C190553"/>
    <w:rsid w:val="5C4C0928"/>
    <w:rsid w:val="5CB52971"/>
    <w:rsid w:val="5D6677C8"/>
    <w:rsid w:val="5D7874FB"/>
    <w:rsid w:val="5DB26EB1"/>
    <w:rsid w:val="5DF179D9"/>
    <w:rsid w:val="5E1436C8"/>
    <w:rsid w:val="5E2F22B0"/>
    <w:rsid w:val="5E323B4E"/>
    <w:rsid w:val="5E736640"/>
    <w:rsid w:val="5E875C48"/>
    <w:rsid w:val="5EA031AD"/>
    <w:rsid w:val="5F920D48"/>
    <w:rsid w:val="5F9A105E"/>
    <w:rsid w:val="604638E0"/>
    <w:rsid w:val="60FA4DF7"/>
    <w:rsid w:val="61016185"/>
    <w:rsid w:val="618B3CA1"/>
    <w:rsid w:val="61EB473F"/>
    <w:rsid w:val="61F41846"/>
    <w:rsid w:val="61F95947"/>
    <w:rsid w:val="62361E5F"/>
    <w:rsid w:val="624631D3"/>
    <w:rsid w:val="626E578D"/>
    <w:rsid w:val="62AC01BC"/>
    <w:rsid w:val="62B22E5C"/>
    <w:rsid w:val="6303477F"/>
    <w:rsid w:val="63367C3C"/>
    <w:rsid w:val="63414270"/>
    <w:rsid w:val="636522D0"/>
    <w:rsid w:val="644D348F"/>
    <w:rsid w:val="647C1A8A"/>
    <w:rsid w:val="64804A2E"/>
    <w:rsid w:val="649B069F"/>
    <w:rsid w:val="64A02B21"/>
    <w:rsid w:val="64C51278"/>
    <w:rsid w:val="64F825F4"/>
    <w:rsid w:val="65031DA0"/>
    <w:rsid w:val="65405652"/>
    <w:rsid w:val="656E7B61"/>
    <w:rsid w:val="6587477F"/>
    <w:rsid w:val="65BA6903"/>
    <w:rsid w:val="65C6799D"/>
    <w:rsid w:val="65CC39CC"/>
    <w:rsid w:val="65DC0F6F"/>
    <w:rsid w:val="660039F4"/>
    <w:rsid w:val="668D4017"/>
    <w:rsid w:val="66EA76BB"/>
    <w:rsid w:val="66F81D1F"/>
    <w:rsid w:val="671E28E7"/>
    <w:rsid w:val="673B1CC5"/>
    <w:rsid w:val="674A63AC"/>
    <w:rsid w:val="678278F4"/>
    <w:rsid w:val="67A4786A"/>
    <w:rsid w:val="67D0065F"/>
    <w:rsid w:val="67D619EE"/>
    <w:rsid w:val="6804655B"/>
    <w:rsid w:val="682D5A62"/>
    <w:rsid w:val="68464DC5"/>
    <w:rsid w:val="6864524C"/>
    <w:rsid w:val="68B03FED"/>
    <w:rsid w:val="690D143F"/>
    <w:rsid w:val="698C05B6"/>
    <w:rsid w:val="69AA4717"/>
    <w:rsid w:val="69AF24F6"/>
    <w:rsid w:val="6A06480C"/>
    <w:rsid w:val="6A38039C"/>
    <w:rsid w:val="6A626340"/>
    <w:rsid w:val="6ABA1153"/>
    <w:rsid w:val="6AC55556"/>
    <w:rsid w:val="6AEB57B0"/>
    <w:rsid w:val="6B19231D"/>
    <w:rsid w:val="6B227673"/>
    <w:rsid w:val="6B2D401B"/>
    <w:rsid w:val="6B601CFA"/>
    <w:rsid w:val="6B99437D"/>
    <w:rsid w:val="6BA77929"/>
    <w:rsid w:val="6BB572F3"/>
    <w:rsid w:val="6BBE4C73"/>
    <w:rsid w:val="6BC02799"/>
    <w:rsid w:val="6BDF3567"/>
    <w:rsid w:val="6C7672FB"/>
    <w:rsid w:val="6C823EF2"/>
    <w:rsid w:val="6CA67BE1"/>
    <w:rsid w:val="6D1E3C1B"/>
    <w:rsid w:val="6D2A6A64"/>
    <w:rsid w:val="6DB81FF9"/>
    <w:rsid w:val="6DC81DD9"/>
    <w:rsid w:val="6DF826BE"/>
    <w:rsid w:val="6E1D0376"/>
    <w:rsid w:val="6E2A2AAB"/>
    <w:rsid w:val="6E535B46"/>
    <w:rsid w:val="6E56094D"/>
    <w:rsid w:val="6E781A51"/>
    <w:rsid w:val="6EC95E08"/>
    <w:rsid w:val="6ED053E9"/>
    <w:rsid w:val="6EFE1F56"/>
    <w:rsid w:val="6F067B97"/>
    <w:rsid w:val="6F56338C"/>
    <w:rsid w:val="6F5D24E9"/>
    <w:rsid w:val="6F710325"/>
    <w:rsid w:val="6FB70357"/>
    <w:rsid w:val="6FCF744E"/>
    <w:rsid w:val="6FE56C72"/>
    <w:rsid w:val="70161521"/>
    <w:rsid w:val="7016507D"/>
    <w:rsid w:val="70485981"/>
    <w:rsid w:val="705A3E39"/>
    <w:rsid w:val="708B7819"/>
    <w:rsid w:val="71073488"/>
    <w:rsid w:val="71266A31"/>
    <w:rsid w:val="7130216F"/>
    <w:rsid w:val="71630584"/>
    <w:rsid w:val="718524BB"/>
    <w:rsid w:val="71C8684B"/>
    <w:rsid w:val="71E60A7F"/>
    <w:rsid w:val="72276C54"/>
    <w:rsid w:val="729624A5"/>
    <w:rsid w:val="72A050D2"/>
    <w:rsid w:val="72CC4119"/>
    <w:rsid w:val="72D16AEC"/>
    <w:rsid w:val="73155AC0"/>
    <w:rsid w:val="73440153"/>
    <w:rsid w:val="734B28AC"/>
    <w:rsid w:val="73596236"/>
    <w:rsid w:val="73B80EB6"/>
    <w:rsid w:val="74485A21"/>
    <w:rsid w:val="74A0760B"/>
    <w:rsid w:val="750E6C6B"/>
    <w:rsid w:val="751678CE"/>
    <w:rsid w:val="7590142E"/>
    <w:rsid w:val="75F06371"/>
    <w:rsid w:val="760A5684"/>
    <w:rsid w:val="76A038F3"/>
    <w:rsid w:val="76BE1FCB"/>
    <w:rsid w:val="76CF41D8"/>
    <w:rsid w:val="76D8308D"/>
    <w:rsid w:val="76ED6F63"/>
    <w:rsid w:val="76FE568D"/>
    <w:rsid w:val="771F6F0D"/>
    <w:rsid w:val="7780540D"/>
    <w:rsid w:val="77B4524C"/>
    <w:rsid w:val="77E5662A"/>
    <w:rsid w:val="78014865"/>
    <w:rsid w:val="781E1ABF"/>
    <w:rsid w:val="784A6C59"/>
    <w:rsid w:val="7867651F"/>
    <w:rsid w:val="786D5A56"/>
    <w:rsid w:val="788C05D2"/>
    <w:rsid w:val="78A0407E"/>
    <w:rsid w:val="78AD22F7"/>
    <w:rsid w:val="78BC7906"/>
    <w:rsid w:val="78FD6DDA"/>
    <w:rsid w:val="790463BB"/>
    <w:rsid w:val="79652BD2"/>
    <w:rsid w:val="797A667D"/>
    <w:rsid w:val="79A454A8"/>
    <w:rsid w:val="79B55907"/>
    <w:rsid w:val="79BB5628"/>
    <w:rsid w:val="79D20267"/>
    <w:rsid w:val="79D57D57"/>
    <w:rsid w:val="79DF2984"/>
    <w:rsid w:val="7A0348C4"/>
    <w:rsid w:val="7A7E219D"/>
    <w:rsid w:val="7AA32362"/>
    <w:rsid w:val="7AA5597C"/>
    <w:rsid w:val="7B193C74"/>
    <w:rsid w:val="7B8732D3"/>
    <w:rsid w:val="7B914152"/>
    <w:rsid w:val="7B9A6B62"/>
    <w:rsid w:val="7C093CE8"/>
    <w:rsid w:val="7C176FE6"/>
    <w:rsid w:val="7C6D4277"/>
    <w:rsid w:val="7C9F63FA"/>
    <w:rsid w:val="7CB12E2D"/>
    <w:rsid w:val="7D4E6071"/>
    <w:rsid w:val="7D5D42EC"/>
    <w:rsid w:val="7DE14F1D"/>
    <w:rsid w:val="7E265025"/>
    <w:rsid w:val="7E325778"/>
    <w:rsid w:val="7E3A63DB"/>
    <w:rsid w:val="7E3C65F7"/>
    <w:rsid w:val="7E4E00D8"/>
    <w:rsid w:val="7E77762F"/>
    <w:rsid w:val="7EAE1342"/>
    <w:rsid w:val="7ED25D16"/>
    <w:rsid w:val="7EE06F82"/>
    <w:rsid w:val="7EFC18E2"/>
    <w:rsid w:val="7F572FBC"/>
    <w:rsid w:val="7F65758F"/>
    <w:rsid w:val="7F6D27E0"/>
    <w:rsid w:val="7F743B6E"/>
    <w:rsid w:val="7F74591C"/>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33"/>
    <w:autoRedefine/>
    <w:qFormat/>
    <w:uiPriority w:val="9"/>
    <w:pPr>
      <w:keepNext/>
      <w:keepLines/>
      <w:kinsoku w:val="0"/>
      <w:overflowPunct w:val="0"/>
      <w:autoSpaceDE w:val="0"/>
      <w:autoSpaceDN w:val="0"/>
      <w:contextualSpacing/>
      <w:jc w:val="both"/>
      <w:outlineLvl w:val="0"/>
    </w:pPr>
    <w:rPr>
      <w:rFonts w:eastAsia="仿宋" w:cs="Times New Roman"/>
      <w:b/>
      <w:bCs/>
      <w:kern w:val="44"/>
      <w:sz w:val="28"/>
      <w:szCs w:val="44"/>
    </w:rPr>
  </w:style>
  <w:style w:type="paragraph" w:styleId="3">
    <w:name w:val="heading 2"/>
    <w:basedOn w:val="1"/>
    <w:next w:val="1"/>
    <w:link w:val="29"/>
    <w:autoRedefine/>
    <w:unhideWhenUsed/>
    <w:qFormat/>
    <w:uiPriority w:val="0"/>
    <w:pPr>
      <w:keepNext/>
      <w:keepLines/>
      <w:outlineLvl w:val="1"/>
    </w:pPr>
    <w:rPr>
      <w:rFonts w:asciiTheme="majorHAnsi" w:hAnsiTheme="majorHAnsi" w:eastAsiaTheme="majorEastAsia" w:cstheme="majorBidi"/>
      <w:b/>
      <w:bCs/>
      <w:szCs w:val="32"/>
    </w:rPr>
  </w:style>
  <w:style w:type="paragraph" w:styleId="4">
    <w:name w:val="heading 3"/>
    <w:basedOn w:val="1"/>
    <w:next w:val="1"/>
    <w:link w:val="30"/>
    <w:autoRedefine/>
    <w:unhideWhenUsed/>
    <w:qFormat/>
    <w:uiPriority w:val="9"/>
    <w:pPr>
      <w:keepNext/>
      <w:keepLines/>
      <w:ind w:firstLine="200" w:firstLineChars="200"/>
      <w:outlineLvl w:val="2"/>
    </w:pPr>
    <w:rPr>
      <w:b/>
      <w:bCs/>
      <w:szCs w:val="32"/>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pPr>
      <w:spacing w:line="460" w:lineRule="atLeast"/>
      <w:ind w:firstLine="420"/>
    </w:pPr>
    <w:rPr>
      <w:szCs w:val="20"/>
    </w:rPr>
  </w:style>
  <w:style w:type="paragraph" w:styleId="6">
    <w:name w:val="annotation text"/>
    <w:basedOn w:val="1"/>
    <w:link w:val="53"/>
    <w:autoRedefine/>
    <w:semiHidden/>
    <w:unhideWhenUsed/>
    <w:qFormat/>
    <w:uiPriority w:val="99"/>
  </w:style>
  <w:style w:type="paragraph" w:styleId="7">
    <w:name w:val="Body Text"/>
    <w:basedOn w:val="1"/>
    <w:next w:val="8"/>
    <w:link w:val="31"/>
    <w:autoRedefine/>
    <w:semiHidden/>
    <w:unhideWhenUsed/>
    <w:qFormat/>
    <w:uiPriority w:val="99"/>
    <w:pPr>
      <w:spacing w:after="120"/>
    </w:pPr>
  </w:style>
  <w:style w:type="paragraph" w:styleId="8">
    <w:name w:val="List Bullet 5"/>
    <w:basedOn w:val="1"/>
    <w:autoRedefine/>
    <w:semiHidden/>
    <w:unhideWhenUsed/>
    <w:qFormat/>
    <w:uiPriority w:val="99"/>
    <w:pPr>
      <w:numPr>
        <w:ilvl w:val="0"/>
        <w:numId w:val="1"/>
      </w:numPr>
    </w:pPr>
  </w:style>
  <w:style w:type="paragraph" w:styleId="9">
    <w:name w:val="Body Text Indent"/>
    <w:basedOn w:val="1"/>
    <w:next w:val="10"/>
    <w:link w:val="34"/>
    <w:autoRedefine/>
    <w:semiHidden/>
    <w:unhideWhenUsed/>
    <w:qFormat/>
    <w:uiPriority w:val="99"/>
    <w:pPr>
      <w:spacing w:after="120"/>
      <w:ind w:left="420" w:leftChars="200"/>
    </w:pPr>
  </w:style>
  <w:style w:type="paragraph" w:styleId="10">
    <w:name w:val="Body Text First Indent"/>
    <w:basedOn w:val="7"/>
    <w:next w:val="11"/>
    <w:autoRedefine/>
    <w:unhideWhenUsed/>
    <w:qFormat/>
    <w:uiPriority w:val="0"/>
    <w:pPr>
      <w:ind w:firstLine="420" w:firstLineChars="100"/>
    </w:pPr>
    <w:rPr>
      <w:sz w:val="21"/>
    </w:rPr>
  </w:style>
  <w:style w:type="paragraph" w:styleId="11">
    <w:name w:val="table of figures"/>
    <w:basedOn w:val="1"/>
    <w:next w:val="1"/>
    <w:autoRedefine/>
    <w:qFormat/>
    <w:uiPriority w:val="0"/>
    <w:pPr>
      <w:keepNext w:val="0"/>
      <w:keepLines w:val="0"/>
      <w:widowControl w:val="0"/>
      <w:suppressLineNumbers w:val="0"/>
      <w:spacing w:before="0" w:beforeAutospacing="0" w:after="0" w:afterAutospacing="0"/>
      <w:ind w:left="0" w:leftChars="200" w:right="0" w:hanging="200" w:hangingChars="200"/>
      <w:jc w:val="both"/>
    </w:pPr>
    <w:rPr>
      <w:rFonts w:hint="default" w:ascii="Times New Roman" w:hAnsi="Times New Roman" w:eastAsia="宋体" w:cs="Times New Roman"/>
      <w:kern w:val="2"/>
      <w:sz w:val="21"/>
      <w:szCs w:val="24"/>
      <w:lang w:val="en-US" w:eastAsia="zh-CN" w:bidi="ar"/>
    </w:rPr>
  </w:style>
  <w:style w:type="paragraph" w:styleId="12">
    <w:name w:val="Plain Text"/>
    <w:basedOn w:val="1"/>
    <w:autoRedefine/>
    <w:unhideWhenUsed/>
    <w:qFormat/>
    <w:uiPriority w:val="99"/>
    <w:rPr>
      <w:rFonts w:ascii="宋体" w:hAnsi="Courier New" w:cs="Courier New"/>
      <w:szCs w:val="21"/>
    </w:rPr>
  </w:style>
  <w:style w:type="paragraph" w:styleId="13">
    <w:name w:val="Body Text Indent 2"/>
    <w:basedOn w:val="1"/>
    <w:autoRedefine/>
    <w:qFormat/>
    <w:uiPriority w:val="0"/>
    <w:pPr>
      <w:spacing w:after="120" w:line="480" w:lineRule="auto"/>
      <w:ind w:left="420" w:leftChars="200"/>
    </w:pPr>
  </w:style>
  <w:style w:type="paragraph" w:styleId="14">
    <w:name w:val="Balloon Text"/>
    <w:basedOn w:val="1"/>
    <w:link w:val="52"/>
    <w:autoRedefine/>
    <w:semiHidden/>
    <w:unhideWhenUsed/>
    <w:qFormat/>
    <w:uiPriority w:val="99"/>
    <w:pPr>
      <w:spacing w:line="240" w:lineRule="auto"/>
    </w:pPr>
    <w:rPr>
      <w:sz w:val="18"/>
      <w:szCs w:val="18"/>
    </w:rPr>
  </w:style>
  <w:style w:type="paragraph" w:styleId="15">
    <w:name w:val="footer"/>
    <w:basedOn w:val="1"/>
    <w:link w:val="51"/>
    <w:autoRedefine/>
    <w:qFormat/>
    <w:uiPriority w:val="99"/>
    <w:pPr>
      <w:tabs>
        <w:tab w:val="center" w:pos="4153"/>
        <w:tab w:val="right" w:pos="8306"/>
      </w:tabs>
      <w:snapToGrid w:val="0"/>
    </w:pPr>
    <w:rPr>
      <w:kern w:val="0"/>
      <w:sz w:val="18"/>
      <w:szCs w:val="20"/>
    </w:rPr>
  </w:style>
  <w:style w:type="paragraph" w:styleId="16">
    <w:name w:val="header"/>
    <w:basedOn w:val="1"/>
    <w:next w:val="17"/>
    <w:link w:val="50"/>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17">
    <w:name w:val="样式5"/>
    <w:basedOn w:val="5"/>
    <w:autoRedefine/>
    <w:qFormat/>
    <w:uiPriority w:val="0"/>
    <w:pPr>
      <w:jc w:val="center"/>
    </w:pPr>
  </w:style>
  <w:style w:type="paragraph" w:styleId="18">
    <w:name w:val="Normal (Web)"/>
    <w:basedOn w:val="1"/>
    <w:autoRedefine/>
    <w:qFormat/>
    <w:uiPriority w:val="0"/>
    <w:pPr>
      <w:widowControl/>
      <w:spacing w:before="100" w:beforeAutospacing="1" w:after="100" w:afterAutospacing="1"/>
    </w:pPr>
    <w:rPr>
      <w:rFonts w:ascii="宋体" w:hAnsi="宋体"/>
      <w:kern w:val="0"/>
      <w:szCs w:val="20"/>
    </w:rPr>
  </w:style>
  <w:style w:type="paragraph" w:styleId="19">
    <w:name w:val="Title"/>
    <w:basedOn w:val="1"/>
    <w:next w:val="1"/>
    <w:autoRedefine/>
    <w:qFormat/>
    <w:uiPriority w:val="0"/>
    <w:pPr>
      <w:widowControl/>
      <w:adjustRightInd w:val="0"/>
      <w:snapToGrid w:val="0"/>
      <w:jc w:val="center"/>
    </w:pPr>
    <w:rPr>
      <w:rFonts w:hAnsi="Cambria"/>
      <w:bCs/>
      <w:szCs w:val="32"/>
    </w:rPr>
  </w:style>
  <w:style w:type="paragraph" w:styleId="20">
    <w:name w:val="annotation subject"/>
    <w:basedOn w:val="6"/>
    <w:next w:val="6"/>
    <w:link w:val="54"/>
    <w:autoRedefine/>
    <w:semiHidden/>
    <w:unhideWhenUsed/>
    <w:qFormat/>
    <w:uiPriority w:val="99"/>
    <w:rPr>
      <w:b/>
      <w:bCs/>
    </w:rPr>
  </w:style>
  <w:style w:type="paragraph" w:styleId="21">
    <w:name w:val="Body Text First Indent 2"/>
    <w:basedOn w:val="9"/>
    <w:next w:val="1"/>
    <w:link w:val="35"/>
    <w:autoRedefine/>
    <w:unhideWhenUsed/>
    <w:qFormat/>
    <w:uiPriority w:val="0"/>
    <w:pPr>
      <w:adjustRightInd w:val="0"/>
      <w:snapToGrid w:val="0"/>
      <w:spacing w:line="240" w:lineRule="auto"/>
      <w:ind w:left="0" w:leftChars="0" w:firstLine="482" w:firstLineChars="200"/>
      <w:jc w:val="both"/>
    </w:pPr>
    <w:rPr>
      <w:rFonts w:cs="Times New Roman"/>
      <w:b/>
      <w:bCs/>
      <w:color w:val="000000" w:themeColor="text1"/>
      <w:lang w:val="zh-CN"/>
      <w14:textFill>
        <w14:solidFill>
          <w14:schemeClr w14:val="tx1"/>
        </w14:solidFill>
      </w14:textFill>
    </w:rPr>
  </w:style>
  <w:style w:type="table" w:styleId="23">
    <w:name w:val="Table Grid"/>
    <w:basedOn w:val="2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autoRedefine/>
    <w:qFormat/>
    <w:uiPriority w:val="0"/>
  </w:style>
  <w:style w:type="character" w:styleId="26">
    <w:name w:val="annotation reference"/>
    <w:basedOn w:val="24"/>
    <w:autoRedefine/>
    <w:semiHidden/>
    <w:unhideWhenUsed/>
    <w:qFormat/>
    <w:uiPriority w:val="99"/>
    <w:rPr>
      <w:sz w:val="21"/>
      <w:szCs w:val="21"/>
    </w:rPr>
  </w:style>
  <w:style w:type="paragraph" w:styleId="27">
    <w:name w:val="No Spacing"/>
    <w:basedOn w:val="7"/>
    <w:link w:val="32"/>
    <w:autoRedefine/>
    <w:qFormat/>
    <w:uiPriority w:val="1"/>
    <w:pPr>
      <w:adjustRightInd w:val="0"/>
      <w:snapToGrid w:val="0"/>
      <w:spacing w:after="0" w:line="240" w:lineRule="auto"/>
      <w:jc w:val="center"/>
    </w:pPr>
    <w:rPr>
      <w:rFonts w:eastAsia="宋体" w:cs="Times New Roman"/>
      <w:color w:val="000000" w:themeColor="text1"/>
      <w:sz w:val="21"/>
      <w:szCs w:val="21"/>
      <w14:textFill>
        <w14:solidFill>
          <w14:schemeClr w14:val="tx1"/>
        </w14:solidFill>
      </w14:textFill>
    </w:rPr>
  </w:style>
  <w:style w:type="paragraph" w:customStyle="1" w:styleId="28">
    <w:name w:val="表头-图名"/>
    <w:autoRedefine/>
    <w:qFormat/>
    <w:uiPriority w:val="1"/>
    <w:pPr>
      <w:autoSpaceDE w:val="0"/>
      <w:autoSpaceDN w:val="0"/>
      <w:jc w:val="center"/>
    </w:pPr>
    <w:rPr>
      <w:rFonts w:ascii="Times New Roman" w:hAnsi="Times New Roman" w:eastAsia="宋体" w:cs="宋体"/>
      <w:b/>
      <w:color w:val="000000" w:themeColor="text1"/>
      <w:sz w:val="21"/>
      <w:szCs w:val="22"/>
      <w:lang w:val="zh-CN" w:eastAsia="zh-CN" w:bidi="zh-CN"/>
      <w14:textFill>
        <w14:solidFill>
          <w14:schemeClr w14:val="tx1"/>
        </w14:solidFill>
      </w14:textFill>
    </w:rPr>
  </w:style>
  <w:style w:type="character" w:customStyle="1" w:styleId="29">
    <w:name w:val="标题 2 字符"/>
    <w:basedOn w:val="24"/>
    <w:link w:val="3"/>
    <w:autoRedefine/>
    <w:qFormat/>
    <w:uiPriority w:val="9"/>
    <w:rPr>
      <w:rFonts w:asciiTheme="majorHAnsi" w:hAnsiTheme="majorHAnsi" w:eastAsiaTheme="majorEastAsia" w:cstheme="majorBidi"/>
      <w:b/>
      <w:bCs/>
      <w:sz w:val="24"/>
      <w:szCs w:val="32"/>
    </w:rPr>
  </w:style>
  <w:style w:type="character" w:customStyle="1" w:styleId="30">
    <w:name w:val="标题 3 字符"/>
    <w:basedOn w:val="24"/>
    <w:link w:val="4"/>
    <w:autoRedefine/>
    <w:qFormat/>
    <w:uiPriority w:val="9"/>
    <w:rPr>
      <w:rFonts w:ascii="Times New Roman" w:hAnsi="Times New Roman"/>
      <w:b/>
      <w:bCs/>
      <w:sz w:val="24"/>
      <w:szCs w:val="32"/>
    </w:rPr>
  </w:style>
  <w:style w:type="character" w:customStyle="1" w:styleId="31">
    <w:name w:val="正文文本 字符"/>
    <w:basedOn w:val="24"/>
    <w:link w:val="7"/>
    <w:autoRedefine/>
    <w:semiHidden/>
    <w:qFormat/>
    <w:uiPriority w:val="99"/>
    <w:rPr>
      <w:rFonts w:ascii="Times New Roman" w:hAnsi="Times New Roman"/>
      <w:sz w:val="24"/>
    </w:rPr>
  </w:style>
  <w:style w:type="character" w:customStyle="1" w:styleId="32">
    <w:name w:val="无间隔 字符"/>
    <w:link w:val="27"/>
    <w:autoRedefine/>
    <w:qFormat/>
    <w:uiPriority w:val="0"/>
    <w:rPr>
      <w:color w:val="000000" w:themeColor="text1"/>
      <w:kern w:val="2"/>
      <w:sz w:val="21"/>
      <w:szCs w:val="21"/>
      <w14:textFill>
        <w14:solidFill>
          <w14:schemeClr w14:val="tx1"/>
        </w14:solidFill>
      </w14:textFill>
    </w:rPr>
  </w:style>
  <w:style w:type="character" w:customStyle="1" w:styleId="33">
    <w:name w:val="标题 1 字符"/>
    <w:basedOn w:val="24"/>
    <w:link w:val="2"/>
    <w:autoRedefine/>
    <w:qFormat/>
    <w:uiPriority w:val="9"/>
    <w:rPr>
      <w:rFonts w:ascii="Times New Roman" w:hAnsi="Times New Roman" w:eastAsia="仿宋" w:cs="Times New Roman"/>
      <w:b/>
      <w:bCs/>
      <w:kern w:val="44"/>
      <w:sz w:val="28"/>
      <w:szCs w:val="44"/>
    </w:rPr>
  </w:style>
  <w:style w:type="character" w:customStyle="1" w:styleId="34">
    <w:name w:val="正文文本缩进 字符"/>
    <w:basedOn w:val="24"/>
    <w:link w:val="9"/>
    <w:autoRedefine/>
    <w:semiHidden/>
    <w:qFormat/>
    <w:uiPriority w:val="99"/>
    <w:rPr>
      <w:rFonts w:ascii="Times New Roman" w:hAnsi="Times New Roman"/>
      <w:sz w:val="24"/>
    </w:rPr>
  </w:style>
  <w:style w:type="character" w:customStyle="1" w:styleId="35">
    <w:name w:val="正文文本首行缩进 2 字符"/>
    <w:basedOn w:val="34"/>
    <w:link w:val="21"/>
    <w:autoRedefine/>
    <w:qFormat/>
    <w:uiPriority w:val="0"/>
    <w:rPr>
      <w:rFonts w:ascii="Times New Roman" w:hAnsi="Times New Roman" w:eastAsiaTheme="minorEastAsia"/>
      <w:b/>
      <w:bCs/>
      <w:color w:val="000000" w:themeColor="text1"/>
      <w:kern w:val="2"/>
      <w:sz w:val="24"/>
      <w:szCs w:val="22"/>
      <w:lang w:val="zh-CN"/>
      <w14:textFill>
        <w14:solidFill>
          <w14:schemeClr w14:val="tx1"/>
        </w14:solidFill>
      </w14:textFill>
    </w:rPr>
  </w:style>
  <w:style w:type="character" w:customStyle="1" w:styleId="36">
    <w:name w:val="font61"/>
    <w:basedOn w:val="24"/>
    <w:autoRedefine/>
    <w:qFormat/>
    <w:uiPriority w:val="0"/>
    <w:rPr>
      <w:rFonts w:hint="default" w:ascii="Times New Roman" w:hAnsi="Times New Roman" w:cs="Times New Roman"/>
      <w:b/>
      <w:bCs/>
      <w:color w:val="000000"/>
      <w:sz w:val="20"/>
      <w:szCs w:val="20"/>
      <w:u w:val="none"/>
    </w:rPr>
  </w:style>
  <w:style w:type="character" w:customStyle="1" w:styleId="37">
    <w:name w:val="font01"/>
    <w:basedOn w:val="24"/>
    <w:autoRedefine/>
    <w:qFormat/>
    <w:uiPriority w:val="0"/>
    <w:rPr>
      <w:rFonts w:hint="default" w:ascii="Times New Roman" w:hAnsi="Times New Roman" w:cs="Times New Roman"/>
      <w:color w:val="000000"/>
      <w:sz w:val="20"/>
      <w:szCs w:val="20"/>
      <w:u w:val="none"/>
    </w:rPr>
  </w:style>
  <w:style w:type="character" w:customStyle="1" w:styleId="38">
    <w:name w:val="font71"/>
    <w:basedOn w:val="24"/>
    <w:autoRedefine/>
    <w:qFormat/>
    <w:uiPriority w:val="0"/>
    <w:rPr>
      <w:rFonts w:hint="default" w:ascii="Times New Roman" w:hAnsi="Times New Roman" w:cs="Times New Roman"/>
      <w:color w:val="000000"/>
      <w:sz w:val="20"/>
      <w:szCs w:val="20"/>
      <w:u w:val="none"/>
      <w:vertAlign w:val="superscript"/>
    </w:rPr>
  </w:style>
  <w:style w:type="character" w:customStyle="1" w:styleId="39">
    <w:name w:val="font51"/>
    <w:basedOn w:val="24"/>
    <w:autoRedefine/>
    <w:qFormat/>
    <w:uiPriority w:val="0"/>
    <w:rPr>
      <w:rFonts w:hint="default" w:ascii="Times New Roman" w:hAnsi="Times New Roman" w:cs="Times New Roman"/>
      <w:color w:val="000000"/>
      <w:sz w:val="20"/>
      <w:szCs w:val="20"/>
      <w:u w:val="none"/>
    </w:rPr>
  </w:style>
  <w:style w:type="paragraph" w:customStyle="1" w:styleId="40">
    <w:name w:val="Default1"/>
    <w:next w:val="1"/>
    <w:autoRedefine/>
    <w:qFormat/>
    <w:uiPriority w:val="0"/>
    <w:pPr>
      <w:widowControl w:val="0"/>
      <w:autoSpaceDE w:val="0"/>
      <w:autoSpaceDN w:val="0"/>
      <w:adjustRightInd w:val="0"/>
      <w:jc w:val="center"/>
    </w:pPr>
    <w:rPr>
      <w:rFonts w:ascii="Times New Roman" w:hAnsi="Times New Roman" w:eastAsia="宋体" w:cs="Times New Roman"/>
      <w:sz w:val="21"/>
      <w:szCs w:val="21"/>
      <w:lang w:val="en-US" w:eastAsia="zh-CN" w:bidi="ar-SA"/>
    </w:rPr>
  </w:style>
  <w:style w:type="paragraph" w:customStyle="1" w:styleId="41">
    <w:name w:val="Table Paragraph"/>
    <w:basedOn w:val="1"/>
    <w:autoRedefine/>
    <w:qFormat/>
    <w:uiPriority w:val="1"/>
    <w:pPr>
      <w:spacing w:before="22" w:line="214" w:lineRule="exact"/>
      <w:jc w:val="center"/>
    </w:pPr>
    <w:rPr>
      <w:rFonts w:ascii="宋体" w:hAnsi="宋体" w:cs="宋体"/>
      <w:lang w:val="zh-CN" w:bidi="zh-CN"/>
    </w:rPr>
  </w:style>
  <w:style w:type="paragraph" w:customStyle="1" w:styleId="42">
    <w:name w:val="我正文"/>
    <w:basedOn w:val="1"/>
    <w:autoRedefine/>
    <w:qFormat/>
    <w:uiPriority w:val="0"/>
    <w:pPr>
      <w:ind w:firstLine="480" w:firstLineChars="200"/>
    </w:pPr>
    <w:rPr>
      <w:szCs w:val="20"/>
    </w:rPr>
  </w:style>
  <w:style w:type="paragraph" w:customStyle="1" w:styleId="43">
    <w:name w:val="样式1"/>
    <w:basedOn w:val="1"/>
    <w:autoRedefine/>
    <w:qFormat/>
    <w:uiPriority w:val="0"/>
    <w:pPr>
      <w:snapToGrid w:val="0"/>
      <w:jc w:val="center"/>
    </w:pPr>
    <w:rPr>
      <w:rFonts w:ascii="宋体"/>
      <w:szCs w:val="20"/>
    </w:rPr>
  </w:style>
  <w:style w:type="paragraph" w:customStyle="1" w:styleId="44">
    <w:name w:val="0正文表内"/>
    <w:basedOn w:val="1"/>
    <w:next w:val="1"/>
    <w:autoRedefine/>
    <w:qFormat/>
    <w:uiPriority w:val="0"/>
    <w:pPr>
      <w:spacing w:line="240" w:lineRule="auto"/>
      <w:jc w:val="center"/>
    </w:pPr>
    <w:rPr>
      <w:sz w:val="21"/>
    </w:rPr>
  </w:style>
  <w:style w:type="paragraph" w:customStyle="1" w:styleId="45">
    <w:name w:val="Default"/>
    <w:autoRedefine/>
    <w:qFormat/>
    <w:uiPriority w:val="0"/>
    <w:pPr>
      <w:widowControl w:val="0"/>
      <w:autoSpaceDE w:val="0"/>
      <w:autoSpaceDN w:val="0"/>
      <w:adjustRightInd w:val="0"/>
    </w:pPr>
    <w:rPr>
      <w:rFonts w:ascii="宋体_x0008_...." w:hAnsi="Times New Roman" w:eastAsia="宋体_x0008_...." w:cs="宋体_x0008_...."/>
      <w:color w:val="000000"/>
      <w:sz w:val="24"/>
      <w:szCs w:val="24"/>
      <w:lang w:val="en-US" w:eastAsia="zh-CN" w:bidi="ar-SA"/>
    </w:rPr>
  </w:style>
  <w:style w:type="paragraph" w:customStyle="1" w:styleId="46">
    <w:name w:val="标准段落"/>
    <w:basedOn w:val="1"/>
    <w:next w:val="1"/>
    <w:autoRedefine/>
    <w:qFormat/>
    <w:uiPriority w:val="0"/>
    <w:pPr>
      <w:adjustRightInd w:val="0"/>
      <w:snapToGrid w:val="0"/>
      <w:ind w:firstLine="504" w:firstLineChars="200"/>
    </w:pPr>
    <w:rPr>
      <w:rFonts w:cs="Times New Roman"/>
      <w:color w:val="FF0000"/>
      <w:spacing w:val="6"/>
      <w:kern w:val="0"/>
    </w:rPr>
  </w:style>
  <w:style w:type="paragraph" w:customStyle="1" w:styleId="47">
    <w:name w:val="表头"/>
    <w:basedOn w:val="7"/>
    <w:next w:val="1"/>
    <w:autoRedefine/>
    <w:qFormat/>
    <w:uiPriority w:val="0"/>
    <w:pPr>
      <w:spacing w:after="0" w:line="240" w:lineRule="auto"/>
      <w:jc w:val="center"/>
    </w:pPr>
    <w:rPr>
      <w:b/>
      <w:sz w:val="21"/>
    </w:rPr>
  </w:style>
  <w:style w:type="paragraph" w:customStyle="1" w:styleId="48">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49">
    <w:name w:val="文"/>
    <w:autoRedefine/>
    <w:qFormat/>
    <w:uiPriority w:val="0"/>
    <w:pPr>
      <w:spacing w:before="30" w:beforeLines="30" w:after="20" w:afterLines="20" w:line="420" w:lineRule="atLeast"/>
      <w:ind w:firstLine="200" w:firstLineChars="200"/>
      <w:jc w:val="both"/>
    </w:pPr>
    <w:rPr>
      <w:rFonts w:ascii="Times New Roman" w:hAnsi="Times New Roman" w:eastAsia="宋体" w:cs="Times New Roman"/>
      <w:bCs/>
      <w:sz w:val="24"/>
      <w:szCs w:val="28"/>
      <w:lang w:val="en-US" w:eastAsia="zh-CN" w:bidi="ar-SA"/>
    </w:rPr>
  </w:style>
  <w:style w:type="character" w:customStyle="1" w:styleId="50">
    <w:name w:val="页眉 字符"/>
    <w:basedOn w:val="24"/>
    <w:link w:val="16"/>
    <w:autoRedefine/>
    <w:qFormat/>
    <w:uiPriority w:val="99"/>
    <w:rPr>
      <w:rFonts w:eastAsiaTheme="minorEastAsia" w:cstheme="minorBidi"/>
      <w:kern w:val="2"/>
      <w:sz w:val="18"/>
      <w:szCs w:val="18"/>
    </w:rPr>
  </w:style>
  <w:style w:type="character" w:customStyle="1" w:styleId="51">
    <w:name w:val="页脚 字符"/>
    <w:basedOn w:val="24"/>
    <w:link w:val="15"/>
    <w:autoRedefine/>
    <w:qFormat/>
    <w:uiPriority w:val="99"/>
    <w:rPr>
      <w:rFonts w:eastAsiaTheme="minorEastAsia" w:cstheme="minorBidi"/>
      <w:sz w:val="18"/>
    </w:rPr>
  </w:style>
  <w:style w:type="character" w:customStyle="1" w:styleId="52">
    <w:name w:val="批注框文本 字符"/>
    <w:basedOn w:val="24"/>
    <w:link w:val="14"/>
    <w:autoRedefine/>
    <w:semiHidden/>
    <w:qFormat/>
    <w:uiPriority w:val="99"/>
    <w:rPr>
      <w:rFonts w:eastAsiaTheme="minorEastAsia" w:cstheme="minorBidi"/>
      <w:kern w:val="2"/>
      <w:sz w:val="18"/>
      <w:szCs w:val="18"/>
    </w:rPr>
  </w:style>
  <w:style w:type="character" w:customStyle="1" w:styleId="53">
    <w:name w:val="批注文字 字符"/>
    <w:basedOn w:val="24"/>
    <w:link w:val="6"/>
    <w:autoRedefine/>
    <w:semiHidden/>
    <w:qFormat/>
    <w:uiPriority w:val="99"/>
    <w:rPr>
      <w:rFonts w:eastAsiaTheme="minorEastAsia" w:cstheme="minorBidi"/>
      <w:kern w:val="2"/>
      <w:sz w:val="24"/>
      <w:szCs w:val="22"/>
    </w:rPr>
  </w:style>
  <w:style w:type="character" w:customStyle="1" w:styleId="54">
    <w:name w:val="批注主题 字符"/>
    <w:basedOn w:val="53"/>
    <w:link w:val="20"/>
    <w:autoRedefine/>
    <w:semiHidden/>
    <w:qFormat/>
    <w:uiPriority w:val="99"/>
    <w:rPr>
      <w:rFonts w:eastAsiaTheme="minorEastAsia" w:cstheme="minorBidi"/>
      <w:b/>
      <w:bCs/>
      <w:kern w:val="2"/>
      <w:sz w:val="24"/>
      <w:szCs w:val="22"/>
    </w:rPr>
  </w:style>
  <w:style w:type="character" w:styleId="55">
    <w:name w:val="Placeholder Text"/>
    <w:basedOn w:val="24"/>
    <w:autoRedefine/>
    <w:semiHidden/>
    <w:qFormat/>
    <w:uiPriority w:val="99"/>
    <w:rPr>
      <w:color w:val="666666"/>
    </w:rPr>
  </w:style>
  <w:style w:type="table" w:customStyle="1" w:styleId="56">
    <w:name w:val="Table Normal"/>
    <w:autoRedefine/>
    <w:unhideWhenUsed/>
    <w:qFormat/>
    <w:uiPriority w:val="0"/>
    <w:tblPr>
      <w:tblCellMar>
        <w:top w:w="0" w:type="dxa"/>
        <w:left w:w="0" w:type="dxa"/>
        <w:bottom w:w="0" w:type="dxa"/>
        <w:right w:w="0" w:type="dxa"/>
      </w:tblCellMar>
    </w:tblPr>
  </w:style>
  <w:style w:type="paragraph" w:customStyle="1" w:styleId="57">
    <w:name w:val="0图表名"/>
    <w:basedOn w:val="1"/>
    <w:autoRedefine/>
    <w:qFormat/>
    <w:uiPriority w:val="0"/>
    <w:pPr>
      <w:jc w:val="center"/>
    </w:pPr>
    <w:rPr>
      <w:rFonts w:eastAsia="黑体"/>
      <w:kern w:val="24"/>
      <w:szCs w:val="21"/>
    </w:rPr>
  </w:style>
  <w:style w:type="paragraph" w:customStyle="1" w:styleId="58">
    <w:name w:val="Tab"/>
    <w:basedOn w:val="1"/>
    <w:autoRedefine/>
    <w:qFormat/>
    <w:uiPriority w:val="0"/>
    <w:pPr>
      <w:jc w:val="center"/>
    </w:pPr>
    <w:rPr>
      <w:kern w:val="0"/>
      <w:sz w:val="20"/>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image" Target="media/image42.wmf"/><Relationship Id="rId97" Type="http://schemas.openxmlformats.org/officeDocument/2006/relationships/oleObject" Target="embeddings/oleObject48.bin"/><Relationship Id="rId96" Type="http://schemas.openxmlformats.org/officeDocument/2006/relationships/image" Target="media/image41.wmf"/><Relationship Id="rId95" Type="http://schemas.openxmlformats.org/officeDocument/2006/relationships/oleObject" Target="embeddings/oleObject47.bin"/><Relationship Id="rId94" Type="http://schemas.openxmlformats.org/officeDocument/2006/relationships/image" Target="media/image40.wmf"/><Relationship Id="rId93" Type="http://schemas.openxmlformats.org/officeDocument/2006/relationships/oleObject" Target="embeddings/oleObject46.bin"/><Relationship Id="rId92" Type="http://schemas.openxmlformats.org/officeDocument/2006/relationships/oleObject" Target="embeddings/oleObject45.bin"/><Relationship Id="rId91" Type="http://schemas.openxmlformats.org/officeDocument/2006/relationships/oleObject" Target="embeddings/oleObject44.bin"/><Relationship Id="rId90" Type="http://schemas.openxmlformats.org/officeDocument/2006/relationships/image" Target="media/image39.wmf"/><Relationship Id="rId9" Type="http://schemas.openxmlformats.org/officeDocument/2006/relationships/image" Target="media/image1.png"/><Relationship Id="rId89" Type="http://schemas.openxmlformats.org/officeDocument/2006/relationships/oleObject" Target="embeddings/oleObject43.bin"/><Relationship Id="rId88" Type="http://schemas.openxmlformats.org/officeDocument/2006/relationships/oleObject" Target="embeddings/oleObject42.bin"/><Relationship Id="rId87" Type="http://schemas.openxmlformats.org/officeDocument/2006/relationships/image" Target="media/image38.wmf"/><Relationship Id="rId86" Type="http://schemas.openxmlformats.org/officeDocument/2006/relationships/oleObject" Target="embeddings/oleObject41.bin"/><Relationship Id="rId85" Type="http://schemas.openxmlformats.org/officeDocument/2006/relationships/image" Target="media/image37.wmf"/><Relationship Id="rId84" Type="http://schemas.openxmlformats.org/officeDocument/2006/relationships/oleObject" Target="embeddings/oleObject40.bin"/><Relationship Id="rId83" Type="http://schemas.openxmlformats.org/officeDocument/2006/relationships/image" Target="media/image36.wmf"/><Relationship Id="rId82" Type="http://schemas.openxmlformats.org/officeDocument/2006/relationships/oleObject" Target="embeddings/oleObject39.bin"/><Relationship Id="rId81" Type="http://schemas.openxmlformats.org/officeDocument/2006/relationships/oleObject" Target="embeddings/oleObject38.bin"/><Relationship Id="rId80" Type="http://schemas.openxmlformats.org/officeDocument/2006/relationships/image" Target="media/image35.wmf"/><Relationship Id="rId8" Type="http://schemas.openxmlformats.org/officeDocument/2006/relationships/theme" Target="theme/theme1.xml"/><Relationship Id="rId79" Type="http://schemas.openxmlformats.org/officeDocument/2006/relationships/oleObject" Target="embeddings/oleObject37.bin"/><Relationship Id="rId78" Type="http://schemas.openxmlformats.org/officeDocument/2006/relationships/oleObject" Target="embeddings/oleObject36.bin"/><Relationship Id="rId77" Type="http://schemas.openxmlformats.org/officeDocument/2006/relationships/oleObject" Target="embeddings/oleObject35.bin"/><Relationship Id="rId76" Type="http://schemas.openxmlformats.org/officeDocument/2006/relationships/image" Target="media/image34.wmf"/><Relationship Id="rId75" Type="http://schemas.openxmlformats.org/officeDocument/2006/relationships/oleObject" Target="embeddings/oleObject34.bin"/><Relationship Id="rId74" Type="http://schemas.openxmlformats.org/officeDocument/2006/relationships/oleObject" Target="embeddings/oleObject33.bin"/><Relationship Id="rId73" Type="http://schemas.openxmlformats.org/officeDocument/2006/relationships/oleObject" Target="embeddings/oleObject32.bin"/><Relationship Id="rId72" Type="http://schemas.openxmlformats.org/officeDocument/2006/relationships/image" Target="media/image33.wmf"/><Relationship Id="rId71" Type="http://schemas.openxmlformats.org/officeDocument/2006/relationships/oleObject" Target="embeddings/oleObject31.bin"/><Relationship Id="rId70" Type="http://schemas.openxmlformats.org/officeDocument/2006/relationships/image" Target="media/image32.wmf"/><Relationship Id="rId7" Type="http://schemas.openxmlformats.org/officeDocument/2006/relationships/footer" Target="footer3.xml"/><Relationship Id="rId69" Type="http://schemas.openxmlformats.org/officeDocument/2006/relationships/oleObject" Target="embeddings/oleObject30.bin"/><Relationship Id="rId68" Type="http://schemas.openxmlformats.org/officeDocument/2006/relationships/oleObject" Target="embeddings/oleObject29.bin"/><Relationship Id="rId67" Type="http://schemas.openxmlformats.org/officeDocument/2006/relationships/oleObject" Target="embeddings/oleObject28.bin"/><Relationship Id="rId66" Type="http://schemas.openxmlformats.org/officeDocument/2006/relationships/image" Target="media/image31.wmf"/><Relationship Id="rId65" Type="http://schemas.openxmlformats.org/officeDocument/2006/relationships/oleObject" Target="embeddings/oleObject27.bin"/><Relationship Id="rId64" Type="http://schemas.openxmlformats.org/officeDocument/2006/relationships/image" Target="media/image30.wmf"/><Relationship Id="rId63" Type="http://schemas.openxmlformats.org/officeDocument/2006/relationships/oleObject" Target="embeddings/oleObject26.bin"/><Relationship Id="rId62" Type="http://schemas.openxmlformats.org/officeDocument/2006/relationships/oleObject" Target="embeddings/oleObject25.bin"/><Relationship Id="rId61" Type="http://schemas.openxmlformats.org/officeDocument/2006/relationships/image" Target="media/image29.wmf"/><Relationship Id="rId60" Type="http://schemas.openxmlformats.org/officeDocument/2006/relationships/oleObject" Target="embeddings/oleObject24.bin"/><Relationship Id="rId6" Type="http://schemas.openxmlformats.org/officeDocument/2006/relationships/footer" Target="footer2.xml"/><Relationship Id="rId59" Type="http://schemas.openxmlformats.org/officeDocument/2006/relationships/image" Target="media/image28.wmf"/><Relationship Id="rId58" Type="http://schemas.openxmlformats.org/officeDocument/2006/relationships/oleObject" Target="embeddings/oleObject23.bin"/><Relationship Id="rId57" Type="http://schemas.openxmlformats.org/officeDocument/2006/relationships/image" Target="media/image27.wmf"/><Relationship Id="rId56" Type="http://schemas.openxmlformats.org/officeDocument/2006/relationships/oleObject" Target="embeddings/oleObject22.bin"/><Relationship Id="rId55" Type="http://schemas.openxmlformats.org/officeDocument/2006/relationships/image" Target="media/image26.wmf"/><Relationship Id="rId54" Type="http://schemas.openxmlformats.org/officeDocument/2006/relationships/oleObject" Target="embeddings/oleObject21.bin"/><Relationship Id="rId53" Type="http://schemas.openxmlformats.org/officeDocument/2006/relationships/image" Target="media/image25.wmf"/><Relationship Id="rId52" Type="http://schemas.openxmlformats.org/officeDocument/2006/relationships/oleObject" Target="embeddings/oleObject20.bin"/><Relationship Id="rId51" Type="http://schemas.openxmlformats.org/officeDocument/2006/relationships/image" Target="media/image24.wmf"/><Relationship Id="rId50" Type="http://schemas.openxmlformats.org/officeDocument/2006/relationships/oleObject" Target="embeddings/oleObject19.bin"/><Relationship Id="rId5" Type="http://schemas.openxmlformats.org/officeDocument/2006/relationships/footer" Target="footer1.xml"/><Relationship Id="rId49" Type="http://schemas.openxmlformats.org/officeDocument/2006/relationships/image" Target="media/image23.wmf"/><Relationship Id="rId48" Type="http://schemas.openxmlformats.org/officeDocument/2006/relationships/oleObject" Target="embeddings/oleObject18.bin"/><Relationship Id="rId47" Type="http://schemas.openxmlformats.org/officeDocument/2006/relationships/image" Target="media/image22.wmf"/><Relationship Id="rId46" Type="http://schemas.openxmlformats.org/officeDocument/2006/relationships/oleObject" Target="embeddings/oleObject17.bin"/><Relationship Id="rId45" Type="http://schemas.openxmlformats.org/officeDocument/2006/relationships/image" Target="media/image21.wmf"/><Relationship Id="rId44" Type="http://schemas.openxmlformats.org/officeDocument/2006/relationships/oleObject" Target="embeddings/oleObject16.bin"/><Relationship Id="rId43" Type="http://schemas.openxmlformats.org/officeDocument/2006/relationships/image" Target="media/image20.wmf"/><Relationship Id="rId42" Type="http://schemas.openxmlformats.org/officeDocument/2006/relationships/oleObject" Target="embeddings/oleObject15.bin"/><Relationship Id="rId41" Type="http://schemas.openxmlformats.org/officeDocument/2006/relationships/image" Target="media/image19.wmf"/><Relationship Id="rId40" Type="http://schemas.openxmlformats.org/officeDocument/2006/relationships/oleObject" Target="embeddings/oleObject14.bin"/><Relationship Id="rId4" Type="http://schemas.openxmlformats.org/officeDocument/2006/relationships/endnotes" Target="endnotes.xml"/><Relationship Id="rId39" Type="http://schemas.openxmlformats.org/officeDocument/2006/relationships/image" Target="media/image18.wmf"/><Relationship Id="rId38" Type="http://schemas.openxmlformats.org/officeDocument/2006/relationships/oleObject" Target="embeddings/oleObject13.bin"/><Relationship Id="rId37" Type="http://schemas.openxmlformats.org/officeDocument/2006/relationships/image" Target="media/image17.wmf"/><Relationship Id="rId36" Type="http://schemas.openxmlformats.org/officeDocument/2006/relationships/oleObject" Target="embeddings/oleObject12.bin"/><Relationship Id="rId35" Type="http://schemas.openxmlformats.org/officeDocument/2006/relationships/image" Target="media/image16.wmf"/><Relationship Id="rId34" Type="http://schemas.openxmlformats.org/officeDocument/2006/relationships/oleObject" Target="embeddings/oleObject11.bin"/><Relationship Id="rId33" Type="http://schemas.openxmlformats.org/officeDocument/2006/relationships/image" Target="media/image15.wmf"/><Relationship Id="rId32" Type="http://schemas.openxmlformats.org/officeDocument/2006/relationships/oleObject" Target="embeddings/oleObject10.bin"/><Relationship Id="rId31" Type="http://schemas.openxmlformats.org/officeDocument/2006/relationships/image" Target="media/image14.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oleObject" Target="embeddings/oleObject8.bin"/><Relationship Id="rId28" Type="http://schemas.openxmlformats.org/officeDocument/2006/relationships/image" Target="media/image13.wmf"/><Relationship Id="rId27" Type="http://schemas.openxmlformats.org/officeDocument/2006/relationships/oleObject" Target="embeddings/oleObject7.bin"/><Relationship Id="rId26" Type="http://schemas.openxmlformats.org/officeDocument/2006/relationships/image" Target="media/image12.wmf"/><Relationship Id="rId25" Type="http://schemas.openxmlformats.org/officeDocument/2006/relationships/oleObject" Target="embeddings/oleObject6.bin"/><Relationship Id="rId24" Type="http://schemas.openxmlformats.org/officeDocument/2006/relationships/image" Target="media/image11.wmf"/><Relationship Id="rId23" Type="http://schemas.openxmlformats.org/officeDocument/2006/relationships/oleObject" Target="embeddings/oleObject5.bin"/><Relationship Id="rId22" Type="http://schemas.openxmlformats.org/officeDocument/2006/relationships/image" Target="media/image10.wmf"/><Relationship Id="rId21" Type="http://schemas.openxmlformats.org/officeDocument/2006/relationships/oleObject" Target="embeddings/oleObject4.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8.wmf"/><Relationship Id="rId17" Type="http://schemas.openxmlformats.org/officeDocument/2006/relationships/oleObject" Target="embeddings/oleObject2.bin"/><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9" Type="http://schemas.openxmlformats.org/officeDocument/2006/relationships/fontTable" Target="fontTable.xml"/><Relationship Id="rId108" Type="http://schemas.openxmlformats.org/officeDocument/2006/relationships/customXml" Target="../customXml/item1.xml"/><Relationship Id="rId107" Type="http://schemas.openxmlformats.org/officeDocument/2006/relationships/numbering" Target="numbering.xml"/><Relationship Id="rId106" Type="http://schemas.openxmlformats.org/officeDocument/2006/relationships/image" Target="media/image46.wmf"/><Relationship Id="rId105" Type="http://schemas.openxmlformats.org/officeDocument/2006/relationships/oleObject" Target="embeddings/oleObject52.bin"/><Relationship Id="rId104" Type="http://schemas.openxmlformats.org/officeDocument/2006/relationships/image" Target="media/image45.wmf"/><Relationship Id="rId103" Type="http://schemas.openxmlformats.org/officeDocument/2006/relationships/oleObject" Target="embeddings/oleObject51.bin"/><Relationship Id="rId102" Type="http://schemas.openxmlformats.org/officeDocument/2006/relationships/image" Target="media/image44.wmf"/><Relationship Id="rId101" Type="http://schemas.openxmlformats.org/officeDocument/2006/relationships/oleObject" Target="embeddings/oleObject50.bin"/><Relationship Id="rId100" Type="http://schemas.openxmlformats.org/officeDocument/2006/relationships/image" Target="media/image43.wmf"/><Relationship Id="rId10" Type="http://schemas.openxmlformats.org/officeDocument/2006/relationships/image" Target="media/image2.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DC43-C6F5-4BE6-B28B-E3D3D9B82290}">
  <ds:schemaRefs/>
</ds:datastoreItem>
</file>

<file path=docProps/app.xml><?xml version="1.0" encoding="utf-8"?>
<Properties xmlns="http://schemas.openxmlformats.org/officeDocument/2006/extended-properties" xmlns:vt="http://schemas.openxmlformats.org/officeDocument/2006/docPropsVTypes">
  <Template>Normal</Template>
  <Pages>50</Pages>
  <Words>32808</Words>
  <Characters>36693</Characters>
  <Lines>382</Lines>
  <Paragraphs>107</Paragraphs>
  <TotalTime>28</TotalTime>
  <ScaleCrop>false</ScaleCrop>
  <LinksUpToDate>false</LinksUpToDate>
  <CharactersWithSpaces>37518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2024-03-05T06:35:00Z</dcterms:created>
  <dc:creator>Administrator</dc:creator>
  <cp:lastModifiedBy>zhouzhi</cp:lastModifiedBy>
  <cp:lastPrinted>2024-05-29T08:11:00Z</cp:lastPrinted>
  <dcterms:modified xsi:type="dcterms:W3CDTF">2024-06-04T03:12:41Z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B9F50A72EF864407BF139FE1DC8C8FDD_13</vt:lpwstr>
  </property>
</Properties>
</file>