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hAnsi="仿宋_GB2312" w:eastAsia="仿宋_GB2312" w:cs="仿宋_GB2312"/>
          <w:color w:val="000000" w:themeColor="text1"/>
          <w:sz w:val="36"/>
          <w:szCs w:val="36"/>
          <w14:textFill>
            <w14:solidFill>
              <w14:schemeClr w14:val="tx1"/>
            </w14:solidFill>
          </w14:textFill>
        </w:rPr>
      </w:pPr>
      <w:bookmarkStart w:id="0" w:name="_Hlk57883707"/>
    </w:p>
    <w:p>
      <w:pPr>
        <w:jc w:val="center"/>
        <w:rPr>
          <w:rFonts w:ascii="仿宋_GB2312" w:hAnsi="仿宋_GB2312" w:eastAsia="仿宋_GB2312" w:cs="仿宋_GB2312"/>
          <w:color w:val="000000" w:themeColor="text1"/>
          <w:sz w:val="36"/>
          <w:szCs w:val="36"/>
          <w14:textFill>
            <w14:solidFill>
              <w14:schemeClr w14:val="tx1"/>
            </w14:solidFill>
          </w14:textFill>
        </w:rPr>
      </w:pPr>
    </w:p>
    <w:p>
      <w:pPr>
        <w:jc w:val="center"/>
        <w:rPr>
          <w:rFonts w:ascii="仿宋_GB2312" w:hAnsi="仿宋_GB2312" w:eastAsia="仿宋_GB2312" w:cs="仿宋_GB2312"/>
          <w:color w:val="000000" w:themeColor="text1"/>
          <w:sz w:val="36"/>
          <w:szCs w:val="36"/>
          <w14:textFill>
            <w14:solidFill>
              <w14:schemeClr w14:val="tx1"/>
            </w14:solidFill>
          </w14:textFill>
        </w:rPr>
      </w:pPr>
    </w:p>
    <w:p>
      <w:pPr>
        <w:jc w:val="center"/>
        <w:rPr>
          <w:rFonts w:ascii="仿宋_GB2312" w:hAnsi="仿宋_GB2312" w:eastAsia="仿宋_GB2312" w:cs="仿宋_GB2312"/>
          <w:color w:val="000000" w:themeColor="text1"/>
          <w:sz w:val="36"/>
          <w:szCs w:val="36"/>
          <w14:textFill>
            <w14:solidFill>
              <w14:schemeClr w14:val="tx1"/>
            </w14:solidFill>
          </w14:textFill>
        </w:rPr>
      </w:pPr>
    </w:p>
    <w:bookmarkEnd w:id="0"/>
    <w:p>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（生态影响类）</w:t>
      </w:r>
    </w:p>
    <w:p>
      <w:pPr>
        <w:jc w:val="center"/>
        <w:rPr>
          <w:rFonts w:ascii="华文仿宋" w:hAnsi="华文仿宋" w:eastAsia="华文仿宋" w:cs="华文仿宋"/>
          <w:color w:val="000000" w:themeColor="text1"/>
          <w:kern w:val="44"/>
          <w:sz w:val="44"/>
          <w:szCs w:val="44"/>
          <w14:textFill>
            <w14:solidFill>
              <w14:schemeClr w14:val="tx1"/>
            </w14:solidFill>
          </w14:textFill>
        </w:rPr>
      </w:pPr>
      <w:bookmarkStart w:id="1" w:name="_Hlk57883728"/>
    </w:p>
    <w:p>
      <w:pPr>
        <w:jc w:val="center"/>
        <w:rPr>
          <w:rFonts w:eastAsia="仿宋"/>
          <w:color w:val="000000" w:themeColor="text1"/>
          <w:sz w:val="44"/>
          <w:szCs w:val="44"/>
          <w14:textFill>
            <w14:solidFill>
              <w14:schemeClr w14:val="tx1"/>
            </w14:solidFill>
          </w14:textFill>
        </w:rPr>
      </w:pPr>
    </w:p>
    <w:p>
      <w:pPr>
        <w:jc w:val="center"/>
        <w:rPr>
          <w:rFonts w:eastAsia="仿宋"/>
          <w:color w:val="000000" w:themeColor="text1"/>
          <w:sz w:val="44"/>
          <w:szCs w:val="44"/>
          <w14:textFill>
            <w14:solidFill>
              <w14:schemeClr w14:val="tx1"/>
            </w14:solidFill>
          </w14:textFill>
        </w:rPr>
      </w:pPr>
    </w:p>
    <w:p>
      <w:pPr>
        <w:jc w:val="center"/>
        <w:rPr>
          <w:rFonts w:eastAsia="仿宋"/>
          <w:color w:val="000000" w:themeColor="text1"/>
          <w:sz w:val="44"/>
          <w:szCs w:val="44"/>
          <w14:textFill>
            <w14:solidFill>
              <w14:schemeClr w14:val="tx1"/>
            </w14:solidFill>
          </w14:textFill>
        </w:rPr>
      </w:pPr>
    </w:p>
    <w:p>
      <w:pPr>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p>
      <w:pPr>
        <w:pStyle w:val="9"/>
        <w:jc w:val="center"/>
        <w:rPr>
          <w:rFonts w:eastAsia="仿宋"/>
          <w:color w:val="000000" w:themeColor="text1"/>
          <w:sz w:val="44"/>
          <w:szCs w:val="44"/>
          <w14:textFill>
            <w14:solidFill>
              <w14:schemeClr w14:val="tx1"/>
            </w14:solidFill>
          </w14:textFill>
        </w:rPr>
      </w:pPr>
    </w:p>
    <w:bookmarkEnd w:id="1"/>
    <w:p>
      <w:pPr>
        <w:adjustRightInd w:val="0"/>
        <w:snapToGrid w:val="0"/>
        <w:spacing w:line="288" w:lineRule="auto"/>
        <w:ind w:left="2518" w:leftChars="342" w:hanging="1800" w:hangingChars="500"/>
        <w:rPr>
          <w:rFonts w:hint="eastAsia" w:ascii="仿宋_GB2312" w:eastAsia="仿宋_GB2312"/>
          <w:color w:val="000000" w:themeColor="text1"/>
          <w:sz w:val="36"/>
          <w:szCs w:val="36"/>
          <w:u w:val="single"/>
          <w:lang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color w:val="000000" w:themeColor="text1"/>
          <w:sz w:val="36"/>
          <w:szCs w:val="36"/>
          <w:u w:val="single"/>
          <w:lang w:eastAsia="zh-CN"/>
          <w14:textFill>
            <w14:solidFill>
              <w14:schemeClr w14:val="tx1"/>
            </w14:solidFill>
          </w14:textFill>
        </w:rPr>
        <w:t>潏河流域上游水土保持及河道水生态</w:t>
      </w: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left="2514" w:leftChars="1197" w:firstLine="0" w:firstLineChars="0"/>
        <w:rPr>
          <w:rFonts w:hint="default"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color w:val="000000" w:themeColor="text1"/>
          <w:sz w:val="36"/>
          <w:szCs w:val="36"/>
          <w:u w:val="single"/>
          <w:lang w:eastAsia="zh-CN"/>
          <w14:textFill>
            <w14:solidFill>
              <w14:schemeClr w14:val="tx1"/>
            </w14:solidFill>
          </w14:textFill>
        </w:rPr>
        <w:t>保护修复工程</w:t>
      </w:r>
      <w:r>
        <w:rPr>
          <w:rFonts w:hint="eastAsia" w:ascii="仿宋_GB2312" w:eastAsia="仿宋_GB2312"/>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firstLine="720" w:firstLineChars="200"/>
        <w:rPr>
          <w:rFonts w:hint="default" w:ascii="仿宋_GB2312" w:eastAsia="仿宋_GB2312"/>
          <w:color w:val="000000" w:themeColor="text1"/>
          <w:sz w:val="36"/>
          <w:szCs w:val="36"/>
          <w:u w:val="single"/>
          <w:lang w:val="en-US" w:eastAsia="zh-CN"/>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lang w:val="en-US" w:eastAsia="zh-CN"/>
          <w14:textFill>
            <w14:solidFill>
              <w14:schemeClr w14:val="tx1"/>
            </w14:solidFill>
          </w14:textFill>
        </w:rPr>
        <w:t xml:space="preserve">   西安城投建设有限公司   </w:t>
      </w:r>
    </w:p>
    <w:p>
      <w:pPr>
        <w:adjustRightInd w:val="0"/>
        <w:snapToGrid w:val="0"/>
        <w:spacing w:line="288" w:lineRule="auto"/>
        <w:ind w:firstLine="720" w:firstLineChars="200"/>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202</w:t>
      </w:r>
      <w:r>
        <w:rPr>
          <w:rFonts w:hint="eastAsia" w:ascii="仿宋_GB2312" w:eastAsia="仿宋_GB2312"/>
          <w:color w:val="000000" w:themeColor="text1"/>
          <w:sz w:val="36"/>
          <w:szCs w:val="36"/>
          <w:u w:val="single"/>
          <w:lang w:val="en-US" w:eastAsia="zh-CN"/>
          <w14:textFill>
            <w14:solidFill>
              <w14:schemeClr w14:val="tx1"/>
            </w14:solidFill>
          </w14:textFill>
        </w:rPr>
        <w:t>4</w:t>
      </w:r>
      <w:r>
        <w:rPr>
          <w:rFonts w:hint="eastAsia" w:ascii="仿宋_GB2312" w:eastAsia="仿宋_GB2312"/>
          <w:color w:val="000000" w:themeColor="text1"/>
          <w:sz w:val="36"/>
          <w:szCs w:val="36"/>
          <w:u w:val="single"/>
          <w14:textFill>
            <w14:solidFill>
              <w14:schemeClr w14:val="tx1"/>
            </w14:solidFill>
          </w14:textFill>
        </w:rPr>
        <w:t>年</w:t>
      </w:r>
      <w:r>
        <w:rPr>
          <w:rFonts w:hint="eastAsia" w:ascii="仿宋_GB2312" w:eastAsia="仿宋_GB2312"/>
          <w:color w:val="000000" w:themeColor="text1"/>
          <w:sz w:val="36"/>
          <w:szCs w:val="36"/>
          <w:u w:val="single"/>
          <w:lang w:val="en-US" w:eastAsia="zh-CN"/>
          <w14:textFill>
            <w14:solidFill>
              <w14:schemeClr w14:val="tx1"/>
            </w14:solidFill>
          </w14:textFill>
        </w:rPr>
        <w:t>4</w:t>
      </w:r>
      <w:r>
        <w:rPr>
          <w:rFonts w:hint="eastAsia" w:ascii="仿宋_GB2312" w:eastAsia="仿宋_GB2312"/>
          <w:color w:val="000000" w:themeColor="text1"/>
          <w:sz w:val="36"/>
          <w:szCs w:val="36"/>
          <w:u w:val="single"/>
          <w14:textFill>
            <w14:solidFill>
              <w14:schemeClr w14:val="tx1"/>
            </w14:solidFill>
          </w14:textFill>
        </w:rPr>
        <w:t>月</w:t>
      </w:r>
      <w:r>
        <w:rPr>
          <w:rFonts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jc w:val="center"/>
        <w:rPr>
          <w:rFonts w:ascii="仿宋_GB2312" w:eastAsia="仿宋_GB2312"/>
          <w:color w:val="000000" w:themeColor="text1"/>
          <w:sz w:val="36"/>
          <w:szCs w:val="36"/>
          <w:u w:val="single"/>
          <w14:textFill>
            <w14:solidFill>
              <w14:schemeClr w14:val="tx1"/>
            </w14:solidFill>
          </w14:textFill>
        </w:rPr>
      </w:pPr>
    </w:p>
    <w:p>
      <w:pPr>
        <w:adjustRightInd w:val="0"/>
        <w:snapToGrid w:val="0"/>
        <w:spacing w:line="288" w:lineRule="auto"/>
        <w:jc w:val="center"/>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jc w:val="center"/>
        <w:rPr>
          <w:rFonts w:hint="eastAsia"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pPr>
        <w:rPr>
          <w:rFonts w:hint="eastAsia"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br w:type="page"/>
      </w:r>
    </w:p>
    <w:p>
      <w:pPr>
        <w:pStyle w:val="2"/>
      </w:pPr>
    </w:p>
    <w:p>
      <w:pPr>
        <w:adjustRightInd w:val="0"/>
        <w:snapToGrid w:val="0"/>
        <w:spacing w:line="288" w:lineRule="auto"/>
        <w:rPr>
          <w:rFonts w:ascii="仿宋_GB2312"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22"/>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25"/>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64"/>
        <w:gridCol w:w="2705"/>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475" w:type="dxa"/>
            <w:gridSpan w:val="4"/>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潏河流域上游水土保持及河道水生态保护修复工程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475" w:type="dxa"/>
            <w:gridSpan w:val="4"/>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2203-610100-04-05-321562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联系人</w:t>
            </w:r>
          </w:p>
        </w:tc>
        <w:tc>
          <w:tcPr>
            <w:tcW w:w="2705" w:type="dxa"/>
            <w:vAlign w:val="center"/>
          </w:tcPr>
          <w:p>
            <w:pPr>
              <w:adjustRightInd w:val="0"/>
              <w:snapToGrid w:val="0"/>
              <w:jc w:val="center"/>
              <w:rPr>
                <w:color w:val="000000" w:themeColor="text1"/>
                <w:sz w:val="24"/>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白羽东</w:t>
            </w:r>
          </w:p>
        </w:tc>
        <w:tc>
          <w:tcPr>
            <w:tcW w:w="2228" w:type="dxa"/>
            <w:gridSpan w:val="2"/>
            <w:vAlign w:val="center"/>
          </w:tcPr>
          <w:p>
            <w:pPr>
              <w:adjustRightInd w:val="0"/>
              <w:snapToGrid w:val="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联系方式</w:t>
            </w:r>
          </w:p>
        </w:tc>
        <w:tc>
          <w:tcPr>
            <w:tcW w:w="2542" w:type="dxa"/>
            <w:vAlign w:val="center"/>
          </w:tcPr>
          <w:p>
            <w:pPr>
              <w:adjustRightInd w:val="0"/>
              <w:snapToGrid w:val="0"/>
              <w:jc w:val="center"/>
              <w:rPr>
                <w:rFonts w:hint="default"/>
                <w:color w:val="000000" w:themeColor="text1"/>
                <w:sz w:val="24"/>
                <w:lang w:val="en-US"/>
                <w14:textFill>
                  <w14:solidFill>
                    <w14:schemeClr w14:val="tx1"/>
                  </w14:solidFill>
                </w14:textFill>
              </w:rPr>
            </w:pPr>
            <w:bookmarkStart w:id="4" w:name="_GoBack"/>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475" w:type="dxa"/>
            <w:gridSpan w:val="4"/>
            <w:vAlign w:val="center"/>
          </w:tcPr>
          <w:p>
            <w:pPr>
              <w:adjustRightInd w:val="0"/>
              <w:snapToGrid w:val="0"/>
              <w:jc w:val="center"/>
              <w:rPr>
                <w:color w:val="000000" w:themeColor="text1"/>
                <w:sz w:val="24"/>
                <w:u w:val="single"/>
                <w14:textFill>
                  <w14:solidFill>
                    <w14:schemeClr w14:val="tx1"/>
                  </w14:solidFill>
                </w14:textFill>
              </w:rPr>
            </w:pPr>
            <w:r>
              <w:rPr>
                <w:color w:val="000000" w:themeColor="text1"/>
                <w:sz w:val="24"/>
                <w:u w:val="single"/>
                <w14:textFill>
                  <w14:solidFill>
                    <w14:schemeClr w14:val="tx1"/>
                  </w14:solidFill>
                </w14:textFill>
              </w:rPr>
              <w:t>陕西</w:t>
            </w:r>
            <w:r>
              <w:rPr>
                <w:color w:val="000000" w:themeColor="text1"/>
                <w:sz w:val="24"/>
                <w14:textFill>
                  <w14:solidFill>
                    <w14:schemeClr w14:val="tx1"/>
                  </w14:solidFill>
                </w14:textFill>
              </w:rPr>
              <w:t>省</w:t>
            </w:r>
            <w:r>
              <w:rPr>
                <w:rFonts w:hint="eastAsia"/>
                <w:color w:val="000000" w:themeColor="text1"/>
                <w:sz w:val="24"/>
                <w:u w:val="single"/>
                <w:lang w:eastAsia="zh-CN"/>
                <w14:textFill>
                  <w14:solidFill>
                    <w14:schemeClr w14:val="tx1"/>
                  </w14:solidFill>
                </w14:textFill>
              </w:rPr>
              <w:t>西安</w:t>
            </w:r>
            <w:r>
              <w:rPr>
                <w:rFonts w:hint="eastAsia"/>
                <w:color w:val="000000" w:themeColor="text1"/>
                <w:sz w:val="24"/>
                <w14:textFill>
                  <w14:solidFill>
                    <w14:schemeClr w14:val="tx1"/>
                  </w14:solidFill>
                </w14:textFill>
              </w:rPr>
              <w:t>市</w:t>
            </w:r>
            <w:r>
              <w:rPr>
                <w:rFonts w:hint="eastAsia"/>
                <w:color w:val="000000" w:themeColor="text1"/>
                <w:sz w:val="24"/>
                <w:u w:val="single"/>
                <w:lang w:eastAsia="zh-CN"/>
                <w14:textFill>
                  <w14:solidFill>
                    <w14:schemeClr w14:val="tx1"/>
                  </w14:solidFill>
                </w14:textFill>
              </w:rPr>
              <w:t>长安</w:t>
            </w:r>
            <w:r>
              <w:rPr>
                <w:rFonts w:hint="eastAsia"/>
                <w:color w:val="000000" w:themeColor="text1"/>
                <w:sz w:val="24"/>
                <w:u w:val="none"/>
                <w:lang w:eastAsia="zh-CN"/>
                <w14:textFill>
                  <w14:solidFill>
                    <w14:schemeClr w14:val="tx1"/>
                  </w14:solidFill>
                </w14:textFill>
              </w:rPr>
              <w:t>区</w:t>
            </w:r>
            <w:r>
              <w:rPr>
                <w:rFonts w:hint="eastAsia"/>
                <w:color w:val="000000" w:themeColor="text1"/>
                <w:sz w:val="24"/>
                <w:u w:val="single"/>
                <w:lang w:eastAsia="zh-CN"/>
                <w14:textFill>
                  <w14:solidFill>
                    <w14:schemeClr w14:val="tx1"/>
                  </w14:solidFill>
                </w14:textFill>
              </w:rPr>
              <w:t>潏河流域上游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67" w:hRule="atLeast"/>
        </w:trPr>
        <w:tc>
          <w:tcPr>
            <w:tcW w:w="1564"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7475" w:type="dxa"/>
            <w:gridSpan w:val="4"/>
            <w:vAlign w:val="center"/>
          </w:tcPr>
          <w:p>
            <w:pPr>
              <w:adjustRightInd w:val="0"/>
              <w:snapToGrid w:val="0"/>
              <w:jc w:val="center"/>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 xml:space="preserve">表1-1   </w:t>
            </w:r>
            <w:r>
              <w:rPr>
                <w:rFonts w:hint="eastAsia"/>
                <w:b/>
                <w:bCs/>
                <w:color w:val="000000" w:themeColor="text1"/>
                <w:sz w:val="24"/>
                <w:highlight w:val="none"/>
                <w:lang w:eastAsia="zh-CN"/>
                <w14:textFill>
                  <w14:solidFill>
                    <w14:schemeClr w14:val="tx1"/>
                  </w14:solidFill>
                </w14:textFill>
              </w:rPr>
              <w:t>项目</w:t>
            </w:r>
            <w:r>
              <w:rPr>
                <w:rFonts w:hint="eastAsia"/>
                <w:b/>
                <w:bCs/>
                <w:color w:val="000000" w:themeColor="text1"/>
                <w:sz w:val="24"/>
                <w:highlight w:val="none"/>
                <w14:textFill>
                  <w14:solidFill>
                    <w14:schemeClr w14:val="tx1"/>
                  </w14:solidFill>
                </w14:textFill>
              </w:rPr>
              <w:t>地理坐标</w:t>
            </w:r>
          </w:p>
          <w:tbl>
            <w:tblPr>
              <w:tblStyle w:val="26"/>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192"/>
              <w:gridCol w:w="2443"/>
              <w:gridCol w:w="25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tcBorders>
                    <w:tl2br w:val="nil"/>
                    <w:tr2bl w:val="nil"/>
                  </w:tcBorders>
                  <w:vAlign w:val="center"/>
                </w:tcPr>
                <w:p>
                  <w:pPr>
                    <w:adjustRightInd w:val="0"/>
                    <w:snapToGrid w:val="0"/>
                    <w:jc w:val="center"/>
                    <w:rPr>
                      <w:rFonts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b/>
                      <w:bCs/>
                      <w:color w:val="000000" w:themeColor="text1"/>
                      <w:szCs w:val="21"/>
                      <w:highlight w:val="none"/>
                      <w14:textFill>
                        <w14:solidFill>
                          <w14:schemeClr w14:val="tx1"/>
                        </w14:solidFill>
                      </w14:textFill>
                    </w:rPr>
                    <w:t>工程名称</w:t>
                  </w:r>
                </w:p>
              </w:tc>
              <w:tc>
                <w:tcPr>
                  <w:tcW w:w="807" w:type="pct"/>
                  <w:tcBorders>
                    <w:tl2br w:val="nil"/>
                    <w:tr2bl w:val="nil"/>
                  </w:tcBorders>
                  <w:vAlign w:val="center"/>
                </w:tcPr>
                <w:p>
                  <w:pPr>
                    <w:adjustRightInd w:val="0"/>
                    <w:snapToGrid w:val="0"/>
                    <w:jc w:val="cente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b/>
                      <w:bCs/>
                      <w:color w:val="000000" w:themeColor="text1"/>
                      <w:szCs w:val="21"/>
                      <w:highlight w:val="none"/>
                      <w:lang w:eastAsia="zh-CN"/>
                      <w14:textFill>
                        <w14:solidFill>
                          <w14:schemeClr w14:val="tx1"/>
                        </w14:solidFill>
                      </w14:textFill>
                    </w:rPr>
                    <w:t>涉及河道</w:t>
                  </w:r>
                </w:p>
              </w:tc>
              <w:tc>
                <w:tcPr>
                  <w:tcW w:w="1654" w:type="pct"/>
                  <w:tcBorders>
                    <w:tl2br w:val="nil"/>
                    <w:tr2bl w:val="nil"/>
                  </w:tcBorders>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起点坐标</w:t>
                  </w:r>
                </w:p>
              </w:tc>
              <w:tc>
                <w:tcPr>
                  <w:tcW w:w="1715" w:type="pct"/>
                  <w:tcBorders>
                    <w:tl2br w:val="nil"/>
                    <w:tr2bl w:val="nil"/>
                  </w:tcBorders>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终点坐标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23" w:type="pct"/>
                  <w:vMerge w:val="restart"/>
                  <w:tcBorders>
                    <w:tl2br w:val="nil"/>
                    <w:tr2bl w:val="nil"/>
                  </w:tcBorders>
                  <w:vAlign w:val="center"/>
                </w:tcPr>
                <w:p>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河道岸堤修复工程</w:t>
                  </w:r>
                </w:p>
              </w:tc>
              <w:tc>
                <w:tcPr>
                  <w:tcW w:w="807" w:type="pct"/>
                  <w:tcBorders>
                    <w:tl2br w:val="nil"/>
                    <w:tr2bl w:val="nil"/>
                  </w:tcBorders>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Cs w:val="21"/>
                      <w:highlight w:val="none"/>
                      <w:lang w:eastAsia="zh-CN"/>
                      <w14:textFill>
                        <w14:solidFill>
                          <w14:schemeClr w14:val="tx1"/>
                        </w14:solidFill>
                      </w14:textFill>
                    </w:rPr>
                    <w:t>大峪河</w:t>
                  </w:r>
                </w:p>
              </w:tc>
              <w:tc>
                <w:tcPr>
                  <w:tcW w:w="1654" w:type="pct"/>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r>
                    <w:rPr>
                      <w:rFonts w:hint="eastAsia"/>
                      <w:color w:val="000000" w:themeColor="text1"/>
                      <w:szCs w:val="21"/>
                      <w:highlight w:val="none"/>
                      <w:lang w:val="en-US" w:eastAsia="zh-CN"/>
                      <w14:textFill>
                        <w14:solidFill>
                          <w14:schemeClr w14:val="tx1"/>
                        </w14:solidFill>
                      </w14:textFill>
                    </w:rPr>
                    <w:t>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21.686</w:t>
                  </w:r>
                  <w:r>
                    <w:rPr>
                      <w:color w:val="000000" w:themeColor="text1"/>
                      <w:szCs w:val="21"/>
                      <w:highlight w:val="none"/>
                      <w14:textFill>
                        <w14:solidFill>
                          <w14:schemeClr w14:val="tx1"/>
                        </w14:solidFill>
                      </w14:textFill>
                    </w:rPr>
                    <w:t>″</w:t>
                  </w:r>
                </w:p>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45.684</w:t>
                  </w:r>
                  <w:r>
                    <w:rPr>
                      <w:color w:val="000000" w:themeColor="text1"/>
                      <w:szCs w:val="21"/>
                      <w:highlight w:val="none"/>
                      <w14:textFill>
                        <w14:solidFill>
                          <w14:schemeClr w14:val="tx1"/>
                        </w14:solidFill>
                      </w14:textFill>
                    </w:rPr>
                    <w:t>″</w:t>
                  </w:r>
                </w:p>
              </w:tc>
              <w:tc>
                <w:tcPr>
                  <w:tcW w:w="1715" w:type="pct"/>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r>
                    <w:rPr>
                      <w:rFonts w:hint="eastAsia"/>
                      <w:color w:val="000000" w:themeColor="text1"/>
                      <w:szCs w:val="21"/>
                      <w:highlight w:val="none"/>
                      <w:lang w:val="en-US" w:eastAsia="zh-CN"/>
                      <w14:textFill>
                        <w14:solidFill>
                          <w14:schemeClr w14:val="tx1"/>
                        </w14:solidFill>
                      </w14:textFill>
                    </w:rPr>
                    <w:t>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6</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32.779</w:t>
                  </w:r>
                  <w:r>
                    <w:rPr>
                      <w:color w:val="000000" w:themeColor="text1"/>
                      <w:szCs w:val="21"/>
                      <w:highlight w:val="none"/>
                      <w14:textFill>
                        <w14:solidFill>
                          <w14:schemeClr w14:val="tx1"/>
                        </w14:solidFill>
                      </w14:textFill>
                    </w:rPr>
                    <w:t>″</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45.552</w:t>
                  </w:r>
                  <w:r>
                    <w:rPr>
                      <w:color w:val="000000" w:themeColor="text1"/>
                      <w:szCs w:val="21"/>
                      <w:highlight w:val="none"/>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3" w:type="pct"/>
                  <w:vMerge w:val="continue"/>
                  <w:tcBorders>
                    <w:tl2br w:val="nil"/>
                    <w:tr2bl w:val="nil"/>
                  </w:tcBorders>
                  <w:vAlign w:val="center"/>
                </w:tcPr>
                <w:p>
                  <w:pPr>
                    <w:adjustRightInd w:val="0"/>
                    <w:snapToGrid w:val="0"/>
                    <w:jc w:val="center"/>
                    <w:rPr>
                      <w:rFonts w:hint="eastAsia" w:eastAsia="宋体"/>
                      <w:color w:val="000000" w:themeColor="text1"/>
                      <w:szCs w:val="21"/>
                      <w:highlight w:val="none"/>
                      <w:lang w:eastAsia="zh-CN"/>
                      <w14:textFill>
                        <w14:solidFill>
                          <w14:schemeClr w14:val="tx1"/>
                        </w14:solidFill>
                      </w14:textFill>
                    </w:rPr>
                  </w:pPr>
                </w:p>
              </w:tc>
              <w:tc>
                <w:tcPr>
                  <w:tcW w:w="807" w:type="pct"/>
                  <w:tcBorders>
                    <w:tl2br w:val="nil"/>
                    <w:tr2bl w:val="nil"/>
                  </w:tcBorders>
                  <w:vAlign w:val="center"/>
                </w:tcPr>
                <w:p>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b w:val="0"/>
                      <w:bCs w:val="0"/>
                      <w:color w:val="000000" w:themeColor="text1"/>
                      <w:szCs w:val="21"/>
                      <w:highlight w:val="none"/>
                      <w:lang w:eastAsia="zh-CN"/>
                      <w14:textFill>
                        <w14:solidFill>
                          <w14:schemeClr w14:val="tx1"/>
                        </w14:solidFill>
                      </w14:textFill>
                    </w:rPr>
                    <w:t>小峪河</w:t>
                  </w:r>
                </w:p>
              </w:tc>
              <w:tc>
                <w:tcPr>
                  <w:tcW w:w="1654" w:type="pct"/>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r>
                    <w:rPr>
                      <w:rFonts w:hint="eastAsia"/>
                      <w:color w:val="000000" w:themeColor="text1"/>
                      <w:szCs w:val="21"/>
                      <w:highlight w:val="none"/>
                      <w:lang w:val="en-US" w:eastAsia="zh-CN"/>
                      <w14:textFill>
                        <w14:solidFill>
                          <w14:schemeClr w14:val="tx1"/>
                        </w14:solidFill>
                      </w14:textFill>
                    </w:rPr>
                    <w:t>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36.393</w:t>
                  </w:r>
                  <w:r>
                    <w:rPr>
                      <w:color w:val="000000" w:themeColor="text1"/>
                      <w:szCs w:val="21"/>
                      <w:highlight w:val="none"/>
                      <w14:textFill>
                        <w14:solidFill>
                          <w14:schemeClr w14:val="tx1"/>
                        </w14:solidFill>
                      </w14:textFill>
                    </w:rPr>
                    <w:t>″</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57</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55.039</w:t>
                  </w:r>
                  <w:r>
                    <w:rPr>
                      <w:color w:val="000000" w:themeColor="text1"/>
                      <w:szCs w:val="21"/>
                      <w:highlight w:val="none"/>
                      <w14:textFill>
                        <w14:solidFill>
                          <w14:schemeClr w14:val="tx1"/>
                        </w14:solidFill>
                      </w14:textFill>
                    </w:rPr>
                    <w:t>″</w:t>
                  </w:r>
                </w:p>
              </w:tc>
              <w:tc>
                <w:tcPr>
                  <w:tcW w:w="1715" w:type="pct"/>
                  <w:tcBorders>
                    <w:tl2br w:val="nil"/>
                    <w:tr2bl w:val="nil"/>
                  </w:tcBorders>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r>
                    <w:rPr>
                      <w:rFonts w:hint="eastAsia"/>
                      <w:color w:val="000000" w:themeColor="text1"/>
                      <w:szCs w:val="21"/>
                      <w:highlight w:val="none"/>
                      <w:lang w:val="en-US" w:eastAsia="zh-CN"/>
                      <w14:textFill>
                        <w14:solidFill>
                          <w14:schemeClr w14:val="tx1"/>
                        </w14:solidFill>
                      </w14:textFill>
                    </w:rPr>
                    <w:t>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4</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4.217</w:t>
                  </w:r>
                  <w:r>
                    <w:rPr>
                      <w:color w:val="000000" w:themeColor="text1"/>
                      <w:szCs w:val="21"/>
                      <w:highlight w:val="none"/>
                      <w14:textFill>
                        <w14:solidFill>
                          <w14:schemeClr w14:val="tx1"/>
                        </w14:solidFill>
                      </w14:textFill>
                    </w:rPr>
                    <w:t>″</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3</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58.100</w:t>
                  </w:r>
                  <w:r>
                    <w:rPr>
                      <w:color w:val="000000" w:themeColor="text1"/>
                      <w:szCs w:val="21"/>
                      <w:highlight w:val="none"/>
                      <w14:textFill>
                        <w14:solidFill>
                          <w14:schemeClr w14:val="tx1"/>
                        </w14:solidFill>
                      </w14:textFill>
                    </w:rPr>
                    <w:t>″</w:t>
                  </w:r>
                </w:p>
              </w:tc>
            </w:tr>
          </w:tbl>
          <w:p>
            <w:pPr>
              <w:adjustRightInd w:val="0"/>
              <w:snapToGrid w:val="0"/>
              <w:jc w:val="left"/>
              <w:rPr>
                <w:color w:val="000000" w:themeColor="text1"/>
                <w:sz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6"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705" w:type="dxa"/>
            <w:vAlign w:val="center"/>
          </w:tcPr>
          <w:p>
            <w:pPr>
              <w:adjustRightInd w:val="0"/>
              <w:snapToGrid w:val="0"/>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五十一、水利—127.防洪除涝工程—其他（小型沟渠的护坡除外；城镇排涝河流水闸、排涝泵站除外）</w:t>
            </w:r>
          </w:p>
        </w:tc>
        <w:tc>
          <w:tcPr>
            <w:tcW w:w="22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用地（用海）面积（m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）/长度（km）</w:t>
            </w:r>
          </w:p>
        </w:tc>
        <w:tc>
          <w:tcPr>
            <w:tcW w:w="2552" w:type="dxa"/>
            <w:gridSpan w:val="2"/>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护岸工程总长度</w:t>
            </w:r>
            <w:r>
              <w:rPr>
                <w:rFonts w:hint="eastAsia"/>
                <w:color w:val="000000" w:themeColor="text1"/>
                <w:sz w:val="24"/>
                <w:lang w:val="en-US" w:eastAsia="zh-CN"/>
                <w14:textFill>
                  <w14:solidFill>
                    <w14:schemeClr w14:val="tx1"/>
                  </w14:solidFill>
                </w14:textFill>
              </w:rPr>
              <w:t>1.965</w:t>
            </w:r>
            <w:r>
              <w:rPr>
                <w:rFonts w:hint="eastAsia"/>
                <w:color w:val="000000" w:themeColor="text1"/>
                <w:sz w:val="24"/>
                <w14:textFill>
                  <w14:solidFill>
                    <w14:schemeClr w14:val="tx1"/>
                  </w14:solidFill>
                </w14:textFill>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705" w:type="dxa"/>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22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552" w:type="dxa"/>
            <w:gridSpan w:val="2"/>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（核准/备案）部门（选填）</w:t>
            </w:r>
          </w:p>
        </w:tc>
        <w:tc>
          <w:tcPr>
            <w:tcW w:w="2705" w:type="dxa"/>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西安市发展和改革委员会</w:t>
            </w:r>
          </w:p>
        </w:tc>
        <w:tc>
          <w:tcPr>
            <w:tcW w:w="22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2552" w:type="dxa"/>
            <w:gridSpan w:val="2"/>
            <w:vAlign w:val="center"/>
          </w:tcPr>
          <w:p>
            <w:pPr>
              <w:adjustRightInd w:val="0"/>
              <w:snapToGrid w:val="0"/>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市发改审批〔2023〕159号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6"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705"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795.17</w:t>
            </w:r>
          </w:p>
        </w:tc>
        <w:tc>
          <w:tcPr>
            <w:tcW w:w="2218"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2552" w:type="dxa"/>
            <w:gridSpan w:val="2"/>
            <w:vAlign w:val="center"/>
          </w:tcPr>
          <w:p>
            <w:pPr>
              <w:adjustRightInd w:val="0"/>
              <w:snapToGrid w:val="0"/>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795.17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trPr>
        <w:tc>
          <w:tcPr>
            <w:tcW w:w="1564"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p>
        </w:tc>
        <w:tc>
          <w:tcPr>
            <w:tcW w:w="2705" w:type="dxa"/>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100</w:t>
            </w:r>
          </w:p>
        </w:tc>
        <w:tc>
          <w:tcPr>
            <w:tcW w:w="2218"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552" w:type="dxa"/>
            <w:gridSpan w:val="2"/>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7475" w:type="dxa"/>
            <w:gridSpan w:val="4"/>
            <w:vAlign w:val="center"/>
          </w:tcPr>
          <w:p>
            <w:pPr>
              <w:adjustRightInd w:val="0"/>
              <w:snapToGrid w:val="0"/>
              <w:ind w:firstLine="105"/>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pPr>
              <w:adjustRightInd w:val="0"/>
              <w:snapToGrid w:val="0"/>
              <w:ind w:firstLine="9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475" w:type="dxa"/>
            <w:gridSpan w:val="4"/>
            <w:tcMar>
              <w:top w:w="16" w:type="dxa"/>
              <w:left w:w="16" w:type="dxa"/>
              <w:right w:w="16" w:type="dxa"/>
            </w:tcMar>
            <w:vAlign w:val="center"/>
          </w:tcPr>
          <w:p>
            <w:pPr>
              <w:pStyle w:val="56"/>
              <w:spacing w:line="380" w:lineRule="atLeast"/>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475" w:type="dxa"/>
            <w:gridSpan w:val="4"/>
            <w:tcMar>
              <w:top w:w="16" w:type="dxa"/>
              <w:left w:w="16" w:type="dxa"/>
              <w:right w:w="16" w:type="dxa"/>
            </w:tcMar>
            <w:vAlign w:val="center"/>
          </w:tcPr>
          <w:p>
            <w:pPr>
              <w:pStyle w:val="8"/>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2"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7475" w:type="dxa"/>
            <w:gridSpan w:val="4"/>
            <w:tcMar>
              <w:top w:w="16" w:type="dxa"/>
              <w:left w:w="16" w:type="dxa"/>
              <w:right w:w="16" w:type="dxa"/>
            </w:tcMar>
            <w:vAlign w:val="center"/>
          </w:tcPr>
          <w:p>
            <w:pPr>
              <w:pStyle w:val="8"/>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3" w:hRule="atLeast"/>
        </w:trPr>
        <w:tc>
          <w:tcPr>
            <w:tcW w:w="1564" w:type="dxa"/>
            <w:tcMar>
              <w:top w:w="16" w:type="dxa"/>
              <w:left w:w="16" w:type="dxa"/>
              <w:right w:w="16" w:type="dxa"/>
            </w:tcMar>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w:t>
            </w:r>
            <w:r>
              <w:rPr>
                <w:color w:val="000000" w:themeColor="text1"/>
                <w:sz w:val="24"/>
                <w14:textFill>
                  <w14:solidFill>
                    <w14:schemeClr w14:val="tx1"/>
                  </w14:solidFill>
                </w14:textFill>
              </w:rPr>
              <w:t>规划环境影响评价</w:t>
            </w:r>
            <w:r>
              <w:rPr>
                <w:color w:val="000000" w:themeColor="text1"/>
                <w:kern w:val="0"/>
                <w:sz w:val="24"/>
                <w14:textFill>
                  <w14:solidFill>
                    <w14:schemeClr w14:val="tx1"/>
                  </w14:solidFill>
                </w14:textFill>
              </w:rPr>
              <w:t>符合性分析</w:t>
            </w:r>
          </w:p>
        </w:tc>
        <w:tc>
          <w:tcPr>
            <w:tcW w:w="7475" w:type="dxa"/>
            <w:gridSpan w:val="4"/>
            <w:tcMar>
              <w:top w:w="16" w:type="dxa"/>
              <w:left w:w="16" w:type="dxa"/>
              <w:right w:w="16" w:type="dxa"/>
            </w:tcMar>
            <w:vAlign w:val="center"/>
          </w:tcPr>
          <w:p>
            <w:pPr>
              <w:pStyle w:val="56"/>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64" w:type="dxa"/>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bookmarkStart w:id="2" w:name="_Hlk56690880"/>
            <w:r>
              <w:rPr>
                <w:rFonts w:hint="eastAsia"/>
                <w:color w:val="000000" w:themeColor="text1"/>
                <w:kern w:val="0"/>
                <w:sz w:val="24"/>
                <w14:textFill>
                  <w14:solidFill>
                    <w14:schemeClr w14:val="tx1"/>
                  </w14:solidFill>
                </w14:textFill>
              </w:rPr>
              <w:t>其他符合性分析</w:t>
            </w:r>
            <w:bookmarkEnd w:id="2"/>
          </w:p>
        </w:tc>
        <w:tc>
          <w:tcPr>
            <w:tcW w:w="7475" w:type="dxa"/>
            <w:gridSpan w:val="4"/>
            <w:tcMar>
              <w:top w:w="16" w:type="dxa"/>
              <w:left w:w="16" w:type="dxa"/>
              <w:right w:w="16" w:type="dxa"/>
            </w:tcMar>
          </w:tcPr>
          <w:p>
            <w:pPr>
              <w:pStyle w:val="20"/>
              <w:ind w:firstLine="48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1、产业政策符合性分析</w:t>
            </w:r>
          </w:p>
          <w:p>
            <w:pPr>
              <w:pStyle w:val="20"/>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本项目为防洪除涝工程，</w:t>
            </w:r>
            <w:r>
              <w:rPr>
                <w:rFonts w:hint="eastAsia"/>
                <w:color w:val="000000" w:themeColor="text1"/>
                <w:lang w:eastAsia="zh-CN"/>
                <w14:textFill>
                  <w14:solidFill>
                    <w14:schemeClr w14:val="tx1"/>
                  </w14:solidFill>
                </w14:textFill>
              </w:rPr>
              <w:t>不</w:t>
            </w:r>
            <w:r>
              <w:rPr>
                <w:rFonts w:hint="eastAsia"/>
                <w:color w:val="000000" w:themeColor="text1"/>
                <w14:textFill>
                  <w14:solidFill>
                    <w14:schemeClr w14:val="tx1"/>
                  </w14:solidFill>
                </w14:textFill>
              </w:rPr>
              <w:t>属于《产业结构调整指导目录（202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年本）</w:t>
            </w:r>
            <w:r>
              <w:rPr>
                <w:rFonts w:hint="eastAsia"/>
                <w:color w:val="000000" w:themeColor="text1"/>
                <w:highlight w:val="none"/>
                <w14:textFill>
                  <w14:solidFill>
                    <w14:schemeClr w14:val="tx1"/>
                  </w14:solidFill>
                </w14:textFill>
              </w:rPr>
              <w:t>》中</w:t>
            </w:r>
            <w:r>
              <w:rPr>
                <w:rFonts w:hint="eastAsia"/>
                <w:color w:val="000000" w:themeColor="text1"/>
                <w:highlight w:val="none"/>
                <w:lang w:eastAsia="zh-CN"/>
                <w14:textFill>
                  <w14:solidFill>
                    <w14:schemeClr w14:val="tx1"/>
                  </w14:solidFill>
                </w14:textFill>
              </w:rPr>
              <w:t>限制类、淘汰类</w:t>
            </w:r>
            <w:r>
              <w:rPr>
                <w:rFonts w:hint="eastAsia"/>
                <w:color w:val="000000" w:themeColor="text1"/>
                <w14:textFill>
                  <w14:solidFill>
                    <w14:schemeClr w14:val="tx1"/>
                  </w14:solidFill>
                </w14:textFill>
              </w:rPr>
              <w:t>；本项目亦不属于《市场准入负面清单（2022年版）》中禁止准入类及许可准入类事项，符合国家产业政策；</w:t>
            </w:r>
            <w:r>
              <w:rPr>
                <w:rFonts w:hint="eastAsia"/>
                <w:color w:val="000000" w:themeColor="text1"/>
                <w:lang w:eastAsia="zh-CN"/>
                <w14:textFill>
                  <w14:solidFill>
                    <w14:schemeClr w14:val="tx1"/>
                  </w14:solidFill>
                </w14:textFill>
              </w:rPr>
              <w:t>对照</w:t>
            </w:r>
            <w:r>
              <w:rPr>
                <w:rFonts w:hint="eastAsia"/>
                <w:color w:val="000000" w:themeColor="text1"/>
                <w14:textFill>
                  <w14:solidFill>
                    <w14:schemeClr w14:val="tx1"/>
                  </w14:solidFill>
                </w14:textFill>
              </w:rPr>
              <w:t>《陕西省秦岭重点保护区、一般保护区产业准入清单》（陕发改秦岭</w:t>
            </w:r>
            <w:r>
              <w:rPr>
                <w:rFonts w:hint="eastAsia" w:ascii="宋体" w:hAnsi="宋体" w:eastAsia="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2023</w:t>
            </w:r>
            <w:r>
              <w:rPr>
                <w:rFonts w:hint="eastAsia" w:ascii="宋体" w:hAnsi="宋体" w:eastAsia="宋体" w:cs="宋体"/>
                <w:color w:val="000000" w:themeColor="text1"/>
                <w14:textFill>
                  <w14:solidFill>
                    <w14:schemeClr w14:val="tx1"/>
                  </w14:solidFill>
                </w14:textFill>
              </w:rPr>
              <w:t>〕</w:t>
            </w:r>
            <w:r>
              <w:rPr>
                <w:rFonts w:hint="eastAsia"/>
                <w:color w:val="000000" w:themeColor="text1"/>
                <w14:textFill>
                  <w14:solidFill>
                    <w14:schemeClr w14:val="tx1"/>
                  </w14:solidFill>
                </w14:textFill>
              </w:rPr>
              <w:t>632号）</w:t>
            </w:r>
            <w:r>
              <w:rPr>
                <w:rFonts w:hint="eastAsia"/>
                <w:color w:val="000000" w:themeColor="text1"/>
                <w:lang w:eastAsia="zh-CN"/>
                <w14:textFill>
                  <w14:solidFill>
                    <w14:schemeClr w14:val="tx1"/>
                  </w14:solidFill>
                </w14:textFill>
              </w:rPr>
              <w:t>，属于秦岭重点保护区产业允许目录项目。</w:t>
            </w:r>
          </w:p>
          <w:p>
            <w:pPr>
              <w:pStyle w:val="20"/>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综上，本项目符合相关产业政策。</w:t>
            </w:r>
          </w:p>
          <w:p>
            <w:pPr>
              <w:pStyle w:val="20"/>
              <w:keepNext w:val="0"/>
              <w:keepLines w:val="0"/>
              <w:pageBreakBefore w:val="0"/>
              <w:widowControl w:val="0"/>
              <w:kinsoku/>
              <w:wordWrap/>
              <w:overflowPunct/>
              <w:topLinePunct w:val="0"/>
              <w:autoSpaceDE/>
              <w:autoSpaceDN/>
              <w:bidi w:val="0"/>
              <w:adjustRightInd w:val="0"/>
              <w:snapToGrid w:val="0"/>
              <w:ind w:left="0" w:firstLine="482" w:firstLineChars="200"/>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与长安区“三区三线”数据数据套合分析</w:t>
            </w:r>
          </w:p>
          <w:p>
            <w:pPr>
              <w:pStyle w:val="20"/>
              <w:keepNext w:val="0"/>
              <w:keepLines w:val="0"/>
              <w:pageBreakBefore w:val="0"/>
              <w:widowControl w:val="0"/>
              <w:kinsoku/>
              <w:wordWrap/>
              <w:overflowPunct/>
              <w:topLinePunct w:val="0"/>
              <w:autoSpaceDE/>
              <w:autoSpaceDN/>
              <w:bidi w:val="0"/>
              <w:adjustRightInd w:val="0"/>
              <w:snapToGrid w:val="0"/>
              <w:ind w:left="0" w:firstLine="480" w:firstLineChars="200"/>
              <w:textAlignment w:val="auto"/>
              <w:rPr>
                <w:rFonts w:hint="eastAsia"/>
                <w:b/>
                <w:bCs/>
                <w:color w:val="000000" w:themeColor="text1"/>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根据《</w:t>
            </w:r>
            <w:r>
              <w:rPr>
                <w:rFonts w:hint="eastAsia"/>
                <w:color w:val="000000" w:themeColor="text1"/>
                <w:sz w:val="24"/>
                <w14:textFill>
                  <w14:solidFill>
                    <w14:schemeClr w14:val="tx1"/>
                  </w14:solidFill>
                </w14:textFill>
              </w:rPr>
              <w:t>西安市自然资源和规划局长安分局关于1宗土地性质的复函</w:t>
            </w:r>
            <w:r>
              <w:rPr>
                <w:rFonts w:hint="eastAsia"/>
                <w:color w:val="000000" w:themeColor="text1"/>
                <w:sz w:val="24"/>
                <w:lang w:eastAsia="zh-CN"/>
                <w14:textFill>
                  <w14:solidFill>
                    <w14:schemeClr w14:val="tx1"/>
                  </w14:solidFill>
                </w14:textFill>
              </w:rPr>
              <w:t>》（附件</w:t>
            </w:r>
            <w:r>
              <w:rPr>
                <w:rFonts w:hint="eastAsia"/>
                <w:color w:val="000000" w:themeColor="text1"/>
                <w:sz w:val="24"/>
                <w:lang w:val="en-US" w:eastAsia="zh-CN"/>
                <w14:textFill>
                  <w14:solidFill>
                    <w14:schemeClr w14:val="tx1"/>
                  </w14:solidFill>
                </w14:textFill>
              </w:rPr>
              <w:t>6</w:t>
            </w:r>
            <w:r>
              <w:rPr>
                <w:rFonts w:hint="eastAsia"/>
                <w:color w:val="000000" w:themeColor="text1"/>
                <w:sz w:val="24"/>
                <w:lang w:eastAsia="zh-CN"/>
                <w14:textFill>
                  <w14:solidFill>
                    <w14:schemeClr w14:val="tx1"/>
                  </w14:solidFill>
                </w14:textFill>
              </w:rPr>
              <w:t>），本项目用地位于城镇开发边界外，不涉及永久基本农田，涉及生态保护区（水土保持）1.528亩。</w:t>
            </w:r>
          </w:p>
          <w:p>
            <w:pPr>
              <w:pStyle w:val="20"/>
              <w:keepNext w:val="0"/>
              <w:keepLines w:val="0"/>
              <w:pageBreakBefore w:val="0"/>
              <w:widowControl w:val="0"/>
              <w:kinsoku/>
              <w:wordWrap/>
              <w:overflowPunct/>
              <w:topLinePunct w:val="0"/>
              <w:autoSpaceDE/>
              <w:autoSpaceDN/>
              <w:bidi w:val="0"/>
              <w:adjustRightInd w:val="0"/>
              <w:snapToGrid w:val="0"/>
              <w:ind w:left="0" w:firstLine="482" w:firstLineChars="200"/>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w:t>
            </w:r>
            <w:r>
              <w:rPr>
                <w:rFonts w:hint="eastAsia"/>
                <w:b/>
                <w:bCs/>
                <w:color w:val="000000" w:themeColor="text1"/>
                <w14:textFill>
                  <w14:solidFill>
                    <w14:schemeClr w14:val="tx1"/>
                  </w14:solidFill>
                </w14:textFill>
              </w:rPr>
              <w:t>三线一单</w:t>
            </w:r>
            <w:r>
              <w:rPr>
                <w:rFonts w:hint="eastAsia"/>
                <w:b/>
                <w:bCs/>
                <w:color w:val="000000" w:themeColor="text1"/>
                <w:lang w:eastAsia="zh-CN"/>
                <w14:textFill>
                  <w14:solidFill>
                    <w14:schemeClr w14:val="tx1"/>
                  </w14:solidFill>
                </w14:textFill>
              </w:rPr>
              <w:t>”及其他政策</w:t>
            </w:r>
            <w:r>
              <w:rPr>
                <w:rFonts w:hint="eastAsia"/>
                <w:b/>
                <w:bCs/>
                <w:color w:val="000000" w:themeColor="text1"/>
                <w14:textFill>
                  <w14:solidFill>
                    <w14:schemeClr w14:val="tx1"/>
                  </w14:solidFill>
                </w14:textFill>
              </w:rPr>
              <w:t>符合性分析</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对照《陕西省</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三线一单</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生态环境分区管控应用技术指南：环境影响评价（试行）》（陕环办发〔2022〕76号）</w:t>
            </w:r>
            <w:r>
              <w:rPr>
                <w:rFonts w:hint="eastAsia"/>
                <w:color w:val="000000" w:themeColor="text1"/>
                <w:sz w:val="24"/>
                <w:lang w:eastAsia="zh-CN"/>
                <w14:textFill>
                  <w14:solidFill>
                    <w14:schemeClr w14:val="tx1"/>
                  </w14:solidFill>
                </w14:textFill>
              </w:rPr>
              <w:t>、《西安市人民政府关于印发“三线一单”生态环境分区管控方案的通知》（市政发〔2021〕22号）</w:t>
            </w:r>
            <w:r>
              <w:rPr>
                <w:rFonts w:hint="eastAsia"/>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本项目位于西安市长安区，涉及优先管控单元和重点管控单元。</w:t>
            </w:r>
          </w:p>
          <w:p>
            <w:pPr>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①一图：本项目与环境管控单元空间冲突分析见附图</w:t>
            </w:r>
            <w:r>
              <w:rPr>
                <w:rFonts w:hint="eastAsia"/>
                <w:color w:val="000000" w:themeColor="text1"/>
                <w:sz w:val="24"/>
                <w:lang w:val="en-US" w:eastAsia="zh-CN"/>
                <w14:textFill>
                  <w14:solidFill>
                    <w14:schemeClr w14:val="tx1"/>
                  </w14:solidFill>
                </w14:textFill>
              </w:rPr>
              <w:t>1-1、附图1-2</w:t>
            </w:r>
            <w:r>
              <w:rPr>
                <w:rFonts w:hint="eastAsia"/>
                <w:color w:val="000000" w:themeColor="text1"/>
                <w:sz w:val="24"/>
                <w:lang w:eastAsia="zh-CN"/>
                <w14:textFill>
                  <w14:solidFill>
                    <w14:schemeClr w14:val="tx1"/>
                  </w14:solidFill>
                </w14:textFill>
              </w:rPr>
              <w:t>。</w:t>
            </w:r>
          </w:p>
          <w:p>
            <w:pPr>
              <w:spacing w:line="360" w:lineRule="auto"/>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②一表：本项目与西安市生态环境要素分区管控准入要求对照分析见表</w:t>
            </w:r>
            <w:r>
              <w:rPr>
                <w:rFonts w:hint="eastAsia"/>
                <w:color w:val="000000" w:themeColor="text1"/>
                <w:sz w:val="24"/>
                <w:lang w:val="en-US" w:eastAsia="zh-CN"/>
                <w14:textFill>
                  <w14:solidFill>
                    <w14:schemeClr w14:val="tx1"/>
                  </w14:solidFill>
                </w14:textFill>
              </w:rPr>
              <w:t>1-2</w:t>
            </w:r>
            <w:r>
              <w:rPr>
                <w:rFonts w:hint="eastAsia"/>
                <w:color w:val="000000" w:themeColor="text1"/>
                <w:sz w:val="24"/>
                <w:lang w:eastAsia="zh-CN"/>
                <w14:textFill>
                  <w14:solidFill>
                    <w14:schemeClr w14:val="tx1"/>
                  </w14:solidFill>
                </w14:textFill>
              </w:rPr>
              <w:t>。</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③一</w:t>
            </w:r>
            <w:r>
              <w:rPr>
                <w:rFonts w:hint="eastAsia"/>
                <w:color w:val="000000" w:themeColor="text1"/>
                <w:sz w:val="24"/>
                <w14:textFill>
                  <w14:solidFill>
                    <w14:schemeClr w14:val="tx1"/>
                  </w14:solidFill>
                </w14:textFill>
              </w:rPr>
              <w:t>说明：本项目施工涉及秦岭重点保护区</w:t>
            </w:r>
            <w:r>
              <w:rPr>
                <w:rFonts w:hint="eastAsia"/>
                <w:color w:val="000000" w:themeColor="text1"/>
                <w:sz w:val="24"/>
                <w:lang w:eastAsia="zh-CN"/>
                <w14:textFill>
                  <w14:solidFill>
                    <w14:schemeClr w14:val="tx1"/>
                  </w14:solidFill>
                </w14:textFill>
              </w:rPr>
              <w:t>、秦岭一般保护区和陕西省太兴山森林公园</w:t>
            </w:r>
            <w:r>
              <w:rPr>
                <w:rFonts w:hint="eastAsia"/>
                <w:color w:val="000000" w:themeColor="text1"/>
                <w:sz w:val="24"/>
                <w14:textFill>
                  <w14:solidFill>
                    <w14:schemeClr w14:val="tx1"/>
                  </w14:solidFill>
                </w14:textFill>
              </w:rPr>
              <w:t>，本项目为河道岸堤修复工程，不属于秦岭重点保护区秦岭重点保护区禁止行为；</w:t>
            </w:r>
            <w:r>
              <w:rPr>
                <w:rFonts w:hint="eastAsia"/>
                <w:color w:val="000000" w:themeColor="text1"/>
                <w:sz w:val="24"/>
                <w:lang w:eastAsia="zh-CN"/>
                <w14:textFill>
                  <w14:solidFill>
                    <w14:schemeClr w14:val="tx1"/>
                  </w14:solidFill>
                </w14:textFill>
              </w:rPr>
              <w:t>项目为必须且无法避让的河道岸堤修复工程，符合长安区国土空间规划及西安市国土空间规划，符合陕西太兴山森林公园生态保护红线空间布局约束要求；</w:t>
            </w:r>
            <w:r>
              <w:rPr>
                <w:rFonts w:hint="eastAsia"/>
                <w:color w:val="000000" w:themeColor="text1"/>
                <w:sz w:val="24"/>
                <w14:textFill>
                  <w14:solidFill>
                    <w14:schemeClr w14:val="tx1"/>
                  </w14:solidFill>
                </w14:textFill>
              </w:rPr>
              <w:t>项目在秦岭保护区外设沉淀池2个用于处理车辆冲洗废水，施工车辆经冲洗后方可进出秦岭保护区，施工废水经沉淀罐处理后，在秦岭保护区外回用于洗车，生活污水依托现有居民生活化粪池处理后清掏肥田。项目建设符合</w:t>
            </w:r>
            <w:r>
              <w:rPr>
                <w:rFonts w:hint="eastAsia"/>
                <w:color w:val="000000" w:themeColor="text1"/>
                <w:sz w:val="24"/>
                <w:lang w:eastAsia="zh-CN"/>
                <w14:textFill>
                  <w14:solidFill>
                    <w14:schemeClr w14:val="tx1"/>
                  </w14:solidFill>
                </w14:textFill>
              </w:rPr>
              <w:t>《西安市人民政府关于印发“三线一单”生态环境分区管控方案的通知》（市政发〔2021〕22号）相关管控要求</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000000" w:themeColor="text1"/>
                <w:sz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537075" cy="6417945"/>
                  <wp:effectExtent l="0" t="0" r="1587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4537075" cy="6417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000000" w:themeColor="text1"/>
                <w:sz w:val="24"/>
                <w:lang w:val="en-US" w:eastAsia="zh-CN"/>
                <w14:textFill>
                  <w14:solidFill>
                    <w14:schemeClr w14:val="tx1"/>
                  </w14:solidFill>
                </w14:textFill>
              </w:rPr>
            </w:pPr>
            <w:r>
              <w:rPr>
                <w:b/>
                <w:color w:val="000000" w:themeColor="text1"/>
                <w:sz w:val="24"/>
                <w:lang w:val="zh-CN"/>
                <w14:textFill>
                  <w14:solidFill>
                    <w14:schemeClr w14:val="tx1"/>
                  </w14:solidFill>
                </w14:textFill>
              </w:rPr>
              <w:t>图</w:t>
            </w:r>
            <w:r>
              <w:rPr>
                <w:rFonts w:hint="eastAsia"/>
                <w:b/>
                <w:color w:val="000000" w:themeColor="text1"/>
                <w:sz w:val="24"/>
                <w:lang w:val="en-US" w:eastAsia="zh-CN"/>
                <w14:textFill>
                  <w14:solidFill>
                    <w14:schemeClr w14:val="tx1"/>
                  </w14:solidFill>
                </w14:textFill>
              </w:rPr>
              <w:t>1</w:t>
            </w: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1</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本项目大峪河段与“三线一单”分区管控位置关系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000000" w:themeColor="text1"/>
                <w:sz w:val="24"/>
                <w:lang w:val="zh-CN"/>
                <w14:textFill>
                  <w14:solidFill>
                    <w14:schemeClr w14:val="tx1"/>
                  </w14:solidFill>
                </w14:textFill>
              </w:rPr>
            </w:pPr>
            <w:r>
              <w:rPr>
                <w:color w:val="000000" w:themeColor="text1"/>
                <w14:textFill>
                  <w14:solidFill>
                    <w14:schemeClr w14:val="tx1"/>
                  </w14:solidFill>
                </w14:textFill>
              </w:rPr>
              <w:drawing>
                <wp:inline distT="0" distB="0" distL="114300" distR="114300">
                  <wp:extent cx="4386580" cy="6205220"/>
                  <wp:effectExtent l="0" t="0" r="1397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4386580" cy="6205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r>
              <w:rPr>
                <w:b/>
                <w:color w:val="000000" w:themeColor="text1"/>
                <w:sz w:val="24"/>
                <w:lang w:val="zh-CN"/>
                <w14:textFill>
                  <w14:solidFill>
                    <w14:schemeClr w14:val="tx1"/>
                  </w14:solidFill>
                </w14:textFill>
              </w:rPr>
              <w:t>图</w:t>
            </w:r>
            <w:r>
              <w:rPr>
                <w:rFonts w:hint="eastAsia"/>
                <w:b/>
                <w:color w:val="000000" w:themeColor="text1"/>
                <w:sz w:val="24"/>
                <w:lang w:val="en-US" w:eastAsia="zh-CN"/>
                <w14:textFill>
                  <w14:solidFill>
                    <w14:schemeClr w14:val="tx1"/>
                  </w14:solidFill>
                </w14:textFill>
              </w:rPr>
              <w:t>1</w:t>
            </w: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lang w:val="en-US" w:eastAsia="zh-CN"/>
                <w14:textFill>
                  <w14:solidFill>
                    <w14:schemeClr w14:val="tx1"/>
                  </w14:solidFill>
                </w14:textFill>
              </w:rPr>
              <w:t>本项目小峪河段与“三线一单”分区管控位置关系</w:t>
            </w: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5"/>
        <w:tblW w:w="13594"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86"/>
        <w:gridCol w:w="128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786" w:type="dxa"/>
            <w:tcMar>
              <w:top w:w="16" w:type="dxa"/>
              <w:left w:w="16" w:type="dxa"/>
              <w:right w:w="16" w:type="dxa"/>
            </w:tcMar>
            <w:vAlign w:val="center"/>
          </w:tcPr>
          <w:p>
            <w:pPr>
              <w:autoSpaceDE w:val="0"/>
              <w:autoSpaceDN w:val="0"/>
              <w:adjustRightInd w:val="0"/>
              <w:snapToGrid w:val="0"/>
              <w:jc w:val="center"/>
              <w:rPr>
                <w:rFonts w:ascii="宋体" w:hAnsi="宋体" w:cs="宋体"/>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其他符合性分析</w:t>
            </w:r>
          </w:p>
        </w:tc>
        <w:tc>
          <w:tcPr>
            <w:tcW w:w="12808" w:type="dxa"/>
            <w:tcMar>
              <w:top w:w="16" w:type="dxa"/>
              <w:left w:w="16" w:type="dxa"/>
              <w:right w:w="16" w:type="dxa"/>
            </w:tcMa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表1</w:t>
            </w: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潏河流域上游水土保持及河道水生态保护修复工程范围涉及的生态环境管控单元分析</w:t>
            </w:r>
            <w:r>
              <w:rPr>
                <w:rFonts w:hint="eastAsia"/>
                <w:b/>
                <w:color w:val="000000" w:themeColor="text1"/>
                <w:sz w:val="24"/>
                <w:lang w:eastAsia="zh-CN"/>
                <w14:textFill>
                  <w14:solidFill>
                    <w14:schemeClr w14:val="tx1"/>
                  </w14:solidFill>
                </w14:textFill>
              </w:rPr>
              <w:t>及其他政策符合性</w:t>
            </w:r>
          </w:p>
          <w:tbl>
            <w:tblPr>
              <w:tblStyle w:val="26"/>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
              <w:gridCol w:w="450"/>
              <w:gridCol w:w="375"/>
              <w:gridCol w:w="390"/>
              <w:gridCol w:w="420"/>
              <w:gridCol w:w="360"/>
              <w:gridCol w:w="6780"/>
              <w:gridCol w:w="930"/>
              <w:gridCol w:w="2067"/>
              <w:gridCol w:w="5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5" w:type="dxa"/>
                  <w:tcBorders>
                    <w:tl2br w:val="nil"/>
                    <w:tr2bl w:val="nil"/>
                  </w:tcBorders>
                  <w:vAlign w:val="center"/>
                </w:tcPr>
                <w:p>
                  <w:pPr>
                    <w:widowControl/>
                    <w:jc w:val="center"/>
                    <w:rPr>
                      <w:rFonts w:hint="default" w:eastAsia="宋体"/>
                      <w:b/>
                      <w:bCs/>
                      <w:color w:val="000000" w:themeColor="text1"/>
                      <w:kern w:val="0"/>
                      <w:sz w:val="21"/>
                      <w:szCs w:val="21"/>
                      <w:lang w:val="en-US" w:eastAsia="zh-CN" w:bidi="ar"/>
                      <w14:textFill>
                        <w14:solidFill>
                          <w14:schemeClr w14:val="tx1"/>
                        </w14:solidFill>
                      </w14:textFill>
                    </w:rPr>
                  </w:pPr>
                  <w:r>
                    <w:rPr>
                      <w:rFonts w:hint="eastAsia"/>
                      <w:b/>
                      <w:bCs/>
                      <w:color w:val="000000" w:themeColor="text1"/>
                      <w:kern w:val="0"/>
                      <w:sz w:val="21"/>
                      <w:szCs w:val="21"/>
                      <w:lang w:val="en-US" w:eastAsia="zh-CN" w:bidi="ar"/>
                      <w14:textFill>
                        <w14:solidFill>
                          <w14:schemeClr w14:val="tx1"/>
                        </w14:solidFill>
                      </w14:textFill>
                    </w:rPr>
                    <w:t>序号</w:t>
                  </w:r>
                </w:p>
              </w:tc>
              <w:tc>
                <w:tcPr>
                  <w:tcW w:w="450" w:type="dxa"/>
                  <w:tcBorders>
                    <w:tl2br w:val="nil"/>
                    <w:tr2bl w:val="nil"/>
                  </w:tcBorders>
                  <w:vAlign w:val="center"/>
                </w:tcPr>
                <w:p>
                  <w:pPr>
                    <w:widowControl/>
                    <w:jc w:val="center"/>
                    <w:rPr>
                      <w:rFonts w:hint="default" w:eastAsia="宋体"/>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环境管控</w:t>
                  </w:r>
                </w:p>
                <w:p>
                  <w:pPr>
                    <w:widowControl/>
                    <w:jc w:val="center"/>
                    <w:rPr>
                      <w:rFonts w:hint="default" w:eastAsia="宋体"/>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单元名称</w:t>
                  </w:r>
                </w:p>
              </w:tc>
              <w:tc>
                <w:tcPr>
                  <w:tcW w:w="375"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b/>
                      <w:bCs/>
                      <w:color w:val="000000" w:themeColor="text1"/>
                      <w:kern w:val="0"/>
                      <w:sz w:val="21"/>
                      <w:szCs w:val="21"/>
                      <w:lang w:val="en-US" w:eastAsia="zh-CN" w:bidi="ar"/>
                      <w14:textFill>
                        <w14:solidFill>
                          <w14:schemeClr w14:val="tx1"/>
                        </w14:solidFill>
                      </w14:textFill>
                    </w:rPr>
                    <w:t>市</w:t>
                  </w:r>
                </w:p>
              </w:tc>
              <w:tc>
                <w:tcPr>
                  <w:tcW w:w="39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区县</w:t>
                  </w:r>
                </w:p>
              </w:tc>
              <w:tc>
                <w:tcPr>
                  <w:tcW w:w="420" w:type="dxa"/>
                  <w:tcBorders>
                    <w:tl2br w:val="nil"/>
                    <w:tr2bl w:val="nil"/>
                  </w:tcBorders>
                  <w:vAlign w:val="center"/>
                </w:tcPr>
                <w:p>
                  <w:pPr>
                    <w:widowControl/>
                    <w:jc w:val="center"/>
                    <w:rPr>
                      <w:rFonts w:hint="default" w:eastAsia="宋体"/>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单元要</w:t>
                  </w:r>
                </w:p>
                <w:p>
                  <w:pPr>
                    <w:widowControl/>
                    <w:jc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素属性</w:t>
                  </w:r>
                </w:p>
              </w:tc>
              <w:tc>
                <w:tcPr>
                  <w:tcW w:w="360" w:type="dxa"/>
                  <w:tcBorders>
                    <w:tl2br w:val="nil"/>
                    <w:tr2bl w:val="nil"/>
                  </w:tcBorders>
                  <w:vAlign w:val="center"/>
                </w:tcPr>
                <w:p>
                  <w:pPr>
                    <w:widowControl/>
                    <w:jc w:val="cente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管控要求分类</w:t>
                  </w:r>
                </w:p>
              </w:tc>
              <w:tc>
                <w:tcPr>
                  <w:tcW w:w="6780" w:type="dxa"/>
                  <w:tcBorders>
                    <w:tl2br w:val="nil"/>
                    <w:tr2bl w:val="nil"/>
                  </w:tcBorders>
                  <w:vAlign w:val="center"/>
                </w:tcPr>
                <w:p>
                  <w:pPr>
                    <w:widowControl/>
                    <w:jc w:val="center"/>
                    <w:rPr>
                      <w:rFonts w:hint="default" w:eastAsia="宋体"/>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管控要求</w:t>
                  </w:r>
                </w:p>
              </w:tc>
              <w:tc>
                <w:tcPr>
                  <w:tcW w:w="930" w:type="dxa"/>
                  <w:tcBorders>
                    <w:tl2br w:val="nil"/>
                    <w:tr2bl w:val="nil"/>
                  </w:tcBorders>
                  <w:vAlign w:val="center"/>
                </w:tcPr>
                <w:p>
                  <w:pPr>
                    <w:widowControl/>
                    <w:jc w:val="center"/>
                    <w:rPr>
                      <w:rFonts w:hint="default" w:eastAsia="宋体"/>
                      <w:b/>
                      <w:bCs/>
                      <w:color w:val="000000" w:themeColor="text1"/>
                      <w:kern w:val="0"/>
                      <w:sz w:val="21"/>
                      <w:szCs w:val="21"/>
                      <w:lang w:val="en-US" w:eastAsia="zh-CN" w:bidi="ar"/>
                      <w14:textFill>
                        <w14:solidFill>
                          <w14:schemeClr w14:val="tx1"/>
                        </w14:solidFill>
                      </w14:textFill>
                    </w:rPr>
                  </w:pPr>
                  <w:r>
                    <w:rPr>
                      <w:rFonts w:hint="default" w:eastAsia="宋体"/>
                      <w:b/>
                      <w:bCs/>
                      <w:color w:val="000000" w:themeColor="text1"/>
                      <w:kern w:val="0"/>
                      <w:sz w:val="21"/>
                      <w:szCs w:val="21"/>
                      <w:lang w:val="en-US" w:eastAsia="zh-CN" w:bidi="ar"/>
                      <w14:textFill>
                        <w14:solidFill>
                          <w14:schemeClr w14:val="tx1"/>
                        </w14:solidFill>
                      </w14:textFill>
                    </w:rPr>
                    <w:t>面积/长度(</w:t>
                  </w:r>
                  <w:r>
                    <w:rPr>
                      <w:rFonts w:hint="eastAsia"/>
                      <w:b/>
                      <w:bCs/>
                      <w:color w:val="000000" w:themeColor="text1"/>
                      <w:kern w:val="0"/>
                      <w:sz w:val="21"/>
                      <w:szCs w:val="21"/>
                      <w:lang w:val="en-US" w:eastAsia="zh-CN" w:bidi="ar"/>
                      <w14:textFill>
                        <w14:solidFill>
                          <w14:schemeClr w14:val="tx1"/>
                        </w14:solidFill>
                      </w14:textFill>
                    </w:rPr>
                    <w:t>m</w:t>
                  </w:r>
                  <w:r>
                    <w:rPr>
                      <w:rFonts w:hint="eastAsia"/>
                      <w:b/>
                      <w:bCs/>
                      <w:color w:val="000000" w:themeColor="text1"/>
                      <w:kern w:val="0"/>
                      <w:sz w:val="21"/>
                      <w:szCs w:val="21"/>
                      <w:vertAlign w:val="superscript"/>
                      <w:lang w:val="en-US" w:eastAsia="zh-CN" w:bidi="ar"/>
                      <w14:textFill>
                        <w14:solidFill>
                          <w14:schemeClr w14:val="tx1"/>
                        </w14:solidFill>
                      </w14:textFill>
                    </w:rPr>
                    <w:t>2</w:t>
                  </w:r>
                  <w:r>
                    <w:rPr>
                      <w:rFonts w:hint="default" w:eastAsia="宋体"/>
                      <w:b/>
                      <w:bCs/>
                      <w:color w:val="000000" w:themeColor="text1"/>
                      <w:kern w:val="0"/>
                      <w:sz w:val="21"/>
                      <w:szCs w:val="21"/>
                      <w:lang w:val="en-US" w:eastAsia="zh-CN" w:bidi="ar"/>
                      <w14:textFill>
                        <w14:solidFill>
                          <w14:schemeClr w14:val="tx1"/>
                        </w14:solidFill>
                      </w14:textFill>
                    </w:rPr>
                    <w:t>/</w:t>
                  </w:r>
                  <w:r>
                    <w:rPr>
                      <w:rFonts w:hint="eastAsia"/>
                      <w:b/>
                      <w:bCs/>
                      <w:color w:val="000000" w:themeColor="text1"/>
                      <w:kern w:val="0"/>
                      <w:sz w:val="21"/>
                      <w:szCs w:val="21"/>
                      <w:lang w:val="en-US" w:eastAsia="zh-CN" w:bidi="ar"/>
                      <w14:textFill>
                        <w14:solidFill>
                          <w14:schemeClr w14:val="tx1"/>
                        </w14:solidFill>
                      </w14:textFill>
                    </w:rPr>
                    <w:t>m</w:t>
                  </w:r>
                  <w:r>
                    <w:rPr>
                      <w:rFonts w:hint="default" w:eastAsia="宋体"/>
                      <w:b/>
                      <w:bCs/>
                      <w:color w:val="000000" w:themeColor="text1"/>
                      <w:kern w:val="0"/>
                      <w:sz w:val="21"/>
                      <w:szCs w:val="21"/>
                      <w:lang w:val="en-US" w:eastAsia="zh-CN" w:bidi="ar"/>
                      <w14:textFill>
                        <w14:solidFill>
                          <w14:schemeClr w14:val="tx1"/>
                        </w14:solidFill>
                      </w14:textFill>
                    </w:rPr>
                    <w:t>)</w:t>
                  </w:r>
                </w:p>
              </w:tc>
              <w:tc>
                <w:tcPr>
                  <w:tcW w:w="2067" w:type="dxa"/>
                  <w:tcBorders>
                    <w:tl2br w:val="nil"/>
                    <w:tr2bl w:val="nil"/>
                  </w:tcBorders>
                  <w:vAlign w:val="center"/>
                </w:tcPr>
                <w:p>
                  <w:pPr>
                    <w:widowControl/>
                    <w:jc w:val="center"/>
                    <w:rPr>
                      <w:rFonts w:hint="default" w:eastAsia="宋体"/>
                      <w:b/>
                      <w:bCs/>
                      <w:color w:val="000000" w:themeColor="text1"/>
                      <w:kern w:val="0"/>
                      <w:sz w:val="21"/>
                      <w:szCs w:val="21"/>
                      <w:lang w:val="en-US" w:eastAsia="zh-CN" w:bidi="ar"/>
                      <w14:textFill>
                        <w14:solidFill>
                          <w14:schemeClr w14:val="tx1"/>
                        </w14:solidFill>
                      </w14:textFill>
                    </w:rPr>
                  </w:pPr>
                  <w:r>
                    <w:rPr>
                      <w:rFonts w:hint="eastAsia"/>
                      <w:b/>
                      <w:bCs/>
                      <w:color w:val="000000" w:themeColor="text1"/>
                      <w:kern w:val="0"/>
                      <w:sz w:val="21"/>
                      <w:szCs w:val="21"/>
                      <w:lang w:val="en-US" w:eastAsia="zh-CN" w:bidi="ar"/>
                      <w14:textFill>
                        <w14:solidFill>
                          <w14:schemeClr w14:val="tx1"/>
                        </w14:solidFill>
                      </w14:textFill>
                    </w:rPr>
                    <w:t>本项目情况</w:t>
                  </w:r>
                </w:p>
              </w:tc>
              <w:tc>
                <w:tcPr>
                  <w:tcW w:w="519" w:type="dxa"/>
                  <w:tcBorders>
                    <w:tl2br w:val="nil"/>
                    <w:tr2bl w:val="nil"/>
                  </w:tcBorders>
                  <w:vAlign w:val="center"/>
                </w:tcPr>
                <w:p>
                  <w:pPr>
                    <w:widowControl/>
                    <w:jc w:val="center"/>
                    <w:rPr>
                      <w:rFonts w:hint="default" w:eastAsia="宋体"/>
                      <w:b/>
                      <w:bCs/>
                      <w:color w:val="000000" w:themeColor="text1"/>
                      <w:kern w:val="0"/>
                      <w:szCs w:val="21"/>
                      <w:lang w:val="en-US" w:eastAsia="zh-CN" w:bidi="ar"/>
                      <w14:textFill>
                        <w14:solidFill>
                          <w14:schemeClr w14:val="tx1"/>
                        </w14:solidFill>
                      </w14:textFill>
                    </w:rPr>
                  </w:pPr>
                  <w:r>
                    <w:rPr>
                      <w:rFonts w:hint="eastAsia"/>
                      <w:b/>
                      <w:bCs/>
                      <w:color w:val="000000" w:themeColor="text1"/>
                      <w:kern w:val="0"/>
                      <w:szCs w:val="21"/>
                      <w:lang w:val="en-US" w:eastAsia="zh-CN" w:bidi="ar"/>
                      <w14:textFill>
                        <w14:solidFill>
                          <w14:schemeClr w14:val="tx1"/>
                        </w14:solidFill>
                      </w14:textFill>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w:t>
                  </w:r>
                </w:p>
              </w:tc>
              <w:tc>
                <w:tcPr>
                  <w:tcW w:w="45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陕西太兴山森林公园</w:t>
                  </w:r>
                </w:p>
              </w:tc>
              <w:tc>
                <w:tcPr>
                  <w:tcW w:w="37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西安市</w:t>
                  </w:r>
                </w:p>
              </w:tc>
              <w:tc>
                <w:tcPr>
                  <w:tcW w:w="39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长安区</w:t>
                  </w:r>
                </w:p>
              </w:tc>
              <w:tc>
                <w:tcPr>
                  <w:tcW w:w="42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生态保护红线、水环境优先保护区</w:t>
                  </w:r>
                </w:p>
              </w:tc>
              <w:tc>
                <w:tcPr>
                  <w:tcW w:w="36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空间约束布局</w:t>
                  </w:r>
                </w:p>
              </w:tc>
              <w:tc>
                <w:tcPr>
                  <w:tcW w:w="6780" w:type="dxa"/>
                  <w:tcBorders>
                    <w:tl2br w:val="nil"/>
                    <w:tr2bl w:val="nil"/>
                  </w:tcBorders>
                  <w:vAlign w:val="center"/>
                </w:tcPr>
                <w:p>
                  <w:pPr>
                    <w:widowControl/>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生态保护红线：按照《中共中央办公厅 国务院办公厅关于在国土空间规划中统筹划定落实三条控制线的指导意见》《自然资源部 生态环境部 国家林业和草原局关于加强生态保护红线管理的通知（试行）》《陕西省自然资源厅陕西省生态环境厅陕西省林业局关于加强生态保护红线管理的通知（试行）》等相关要求进行管控。 一、加强人为活动管控 （一）规范有限人为活动准入 生态保护红线内自然保护地核心保护区外，禁止开发性、生产性建设活动，在符合法律法规的前提下，仅允许以下对生态功能不造成破坏的有限人为活动。 1.管护巡护、保护执法、科学研究、调查监测、测绘导航、防灾减灾救灾、军事国防、疫情防控、应急救援等活动及相关的必要设施修筑。2.原住居民和其他合法权益主体，允许在不扩大现有建设用地、耕地、水产养殖规模和放牧强度的前提下，开展种植、放牧、捕捞、养殖等活动，修筑生产生活设施。 3.经依法批准的考古调查勘探发掘、古生物化石调查发掘、标本采集和文物保护（工程）等活动。 4.按规定对人工商品林进行抚育采伐，或以提升森林质量、优化栖息地、建设生物防火隔离带等为目的的树种更新，依法开展的竹林采伐经营。 5.不破坏生态功能的适度参观旅游、科普宣教及符合相关规划的配套性服务设施和相关的必要公共设施建设及维护。6.必须且无法避让、符合县级以上国土空间规划的线性基础设施、通讯和防洪、供水、水文设施建设和船舶航行、航道疏浚清淤等活动；已有的合法水利、交通运输等设施运行维护改造。 7.地质调查与矿产资源勘查开采。包括：基础地质调查和战略性矿产资源远景调查等公益性工作；铀矿勘查开采活动，可办理矿业权登记；巳依法设立的油气探矿权继续勘查活动，可办理探矿权延续变更（不含扩大勘查区块范围）、保留、注销，当发现可供开采油气资源并探明储量时，可将开采拟占用的地表范围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银、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 8.依据县级以上国土空间规划和生态保护修复专项规划开展的生态修复。9.法律法规规定允许的其他人为活动。生态保护红线内自然保护区、风景名胜区、饮用水水源保护区等区域，依照法律法规执行。生态保护红线内允许的有限人为活动及涉及上述区域的，应当征求相关主管部门意见，涉及自然保护地的，应征求林业主管部门或自然保护地管理机构意见。 （二）加强有限人为活动管理 1. 有限人为活动不涉及新增建设用地审批的，应严格控制活动强度和规模，避免对生态功能造成破坏。其中，无具体建设活动的，由相关部门按规定做好管理；有具体建设活动的，由建设活动所在地县级政府组织自然资源、生态环境、林业等主管部门进行审查，对符合要求的，形成认定意见，明确建设活动符合生态保护红线内允许有限人为活动要求，作为有关部门做好建设活动管理的依据和办理有关手续的要件。原住居民和其他合法权益主体在不扩大现有建设用地范围和规模前提下修筑生活设施的，可免于审查。 2.有限人为活动涉及新增建设用地审批的，在建设项目用地预审时，由建设项目所在地市、县级政府逐级组织自然资源、生态环</w:t>
                  </w:r>
                </w:p>
                <w:p>
                  <w:pPr>
                    <w:widowControl/>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境、林业等主管部门开展论证。符合要求的，由市、县分别提出初步认定意见，并明确“建设活动符合生态保护红线内允许有限人为活动要求”初步认定意见纳入预审材料中，同时逐级向省政府提出出具认定意见的申请。申请材料包括：①请示文件；②市、县级政府出具的符合允许有限人为活动的初步认定意见；③市、县级政府组织的专家论证有关材料。包括论证报告、专家意见等；④法律法规规定的其他材料。省自然资源厅按照省政府批办意见组织开展审查，并根据实际情况征求省生态环境厅、省林业局以及其他省级相关部门意见。符合要求的，报请省政府出具认定意见，明确“建设活动符合生态保护红线内允许有限人为活动要求”。省政府的认定意见在报批农用地转用和土地征收时，作为要件纳入用地报批材料中。 （三）妥善有序处理生态保护红线内的历史遗留问题 1.对生态保护红线内需逐步有序退出的矿业权等，由市级人民政府按照尊重历史、实事求是的原则，结合实际制定退出方案，明确时序安排、补偿安置、生态修复等要求，确保生态安全和社会稳定，退出实施方案报省政府备案。 2.鼓励有条件的地方通过租赁、置换、赎买等方式，取得生态保护红线内的人工商品林所有权或者经营权，实施统一管护，按规定逐步将其调整为公益林。3.零星分布的已有水电、风电、光伏设施按照相关法律法规规定进行管理，严禁扩大现有规模与范围，项目到期后由建设单位负责做好生态修复。 二、严格生态保护红线占用审批 生态保护红线内允许有限人为活动之外，确需占用生态保护红线的国家重大项目，按照《陕西省自然资源厅 陕西省生态环境厅陕西省林业局关于加强生态保护红线管理的通知（试行）》要求办理用地审批。 1.国家重大项目范围。党中央、国务院发布文件或批准准规划中明确具体名称的项目和国务院批准的项目。中夹军委及其有关部门批准的军事国防项目。国家级规划（指国务院及其有关部门正式颁布）明确的交通、水利项目。国家级规划明确的电网项目。国家级规划明确的且符合国家产业政策的能源矿产勘查开采、油气管线、水电、核电项目。为贯彻落实党中夹、国务院重大决策部署，国务院投资主管部门或国务院投资主管部门会同有关部门确认的交通、能源、水利等基础设施项目。按照国家重大项目用地保障工作机制要求，国家发展改革委会同有关部门确认的需中央加大建设用地保障力度，确实难以避让的国家重大项目。</w:t>
                  </w:r>
                </w:p>
                <w:p>
                  <w:pPr>
                    <w:widowControl/>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水环境优先保护区： 1.强化江河源头和饮用水水源地保护。加强主要江河源头、重要水源涵养地的水环境保护，划定禁止开发范围。依法划定和保护饮用水水源保护区，加强水土流失和面源污染防治，严格管控入河排污口，严格河道采砂管理，维系江河湖库健康生命。</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1722.96</w:t>
                  </w:r>
                </w:p>
              </w:tc>
              <w:tc>
                <w:tcPr>
                  <w:tcW w:w="2067"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本项目为河道修复工程，项目大峪河段3+429—3+667工程部分施工范围位于陕西太兴山森林公园内，项目不新增用地，为必须且无法避让、符合县级以上国土空间规划的河道岸堤修复工程。本项目为“秦岭北麓主体山水林田湖草沙一体化保护和修复工程”子项目之一。“山水工程”是指按照山水林田湖草是生命共同体理念，依据国土空间总体规划以及国土空间生态保护修复等相关专项规划，在一定区域范围内，为提升生态系统自我恢复能力，增强生态系统稳定性，促进自然生态系统质量的整体改善和生态产品供应能力的全面增强，遵循自然生态系统演替规律和内在机理，对受损、退化、服务功能下降的生态系统进行整体保护、系统修复、综合治理的过程和活动。因此本项目符合国土空间总体规划以及国土空间生态保护修复等相关专项规划。</w:t>
                  </w:r>
                </w:p>
              </w:tc>
              <w:tc>
                <w:tcPr>
                  <w:tcW w:w="519"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p>
              </w:tc>
              <w:tc>
                <w:tcPr>
                  <w:tcW w:w="45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陕西省西安市长安区优先保护单元2</w:t>
                  </w:r>
                </w:p>
              </w:tc>
              <w:tc>
                <w:tcPr>
                  <w:tcW w:w="37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西安市</w:t>
                  </w:r>
                </w:p>
              </w:tc>
              <w:tc>
                <w:tcPr>
                  <w:tcW w:w="39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长安区</w:t>
                  </w:r>
                </w:p>
              </w:tc>
              <w:tc>
                <w:tcPr>
                  <w:tcW w:w="42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水环境优先保护区</w:t>
                  </w:r>
                </w:p>
              </w:tc>
              <w:tc>
                <w:tcPr>
                  <w:tcW w:w="36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空间布局约束</w:t>
                  </w:r>
                </w:p>
              </w:tc>
              <w:tc>
                <w:tcPr>
                  <w:tcW w:w="6780"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优先保护区：1.强化江河源头和饮用水水源地保护。加强主要江河源头、重要水源涵养地的水环境保护，划定禁止开发范围。依法划定和保护饮用水水源保护区，加强水土流失和面源污染防治，严格管控入河排污口，严格河道采砂管理，维系江河湖库健康生命。</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3744.23</w:t>
                  </w:r>
                </w:p>
              </w:tc>
              <w:tc>
                <w:tcPr>
                  <w:tcW w:w="2067"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本项目所在大峪河为潏河源头，大峪河、小峪河承担了西安市部分景点生态用水需求。</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本项目为河道岸堤修复工程，</w:t>
                  </w:r>
                  <w:r>
                    <w:rPr>
                      <w:rFonts w:hint="eastAsia" w:cs="Times New Roman"/>
                      <w:color w:val="000000" w:themeColor="text1"/>
                      <w:kern w:val="0"/>
                      <w:sz w:val="21"/>
                      <w:szCs w:val="21"/>
                      <w:lang w:val="en-US" w:eastAsia="zh-CN" w:bidi="ar"/>
                      <w14:textFill>
                        <w14:solidFill>
                          <w14:schemeClr w14:val="tx1"/>
                        </w14:solidFill>
                      </w14:textFill>
                    </w:rPr>
                    <w:t>部分工程范围位于大峪河、小峪河河道内，河道施工安排在枯水期进行，不涉及入河排污口及河道采砂。</w:t>
                  </w:r>
                </w:p>
              </w:tc>
              <w:tc>
                <w:tcPr>
                  <w:tcW w:w="519"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3</w:t>
                  </w:r>
                </w:p>
              </w:tc>
              <w:tc>
                <w:tcPr>
                  <w:tcW w:w="450"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陕西省西安市长安区重点管控单元6</w:t>
                  </w:r>
                </w:p>
              </w:tc>
              <w:tc>
                <w:tcPr>
                  <w:tcW w:w="375"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西安市</w:t>
                  </w:r>
                </w:p>
              </w:tc>
              <w:tc>
                <w:tcPr>
                  <w:tcW w:w="390"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长安区</w:t>
                  </w:r>
                </w:p>
              </w:tc>
              <w:tc>
                <w:tcPr>
                  <w:tcW w:w="420"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大气环境弱扩散重点管控区、水环境农业污染重点管控区</w:t>
                  </w:r>
                </w:p>
              </w:tc>
              <w:tc>
                <w:tcPr>
                  <w:tcW w:w="36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空间布局约束</w:t>
                  </w:r>
                </w:p>
              </w:tc>
              <w:tc>
                <w:tcPr>
                  <w:tcW w:w="6780"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大气环境弱扩散重点管控区：1.严格控制新增《陕西省“两高”项目管理暂行目录》行业项目（民生等项目除外，后续对“两高”范围国家如有新规定的，从其规定）。 2.严禁新增钢铁、焦化、水泥熟料、平板玻璃、电解铝、氧化铝、煤化工产能。 3.推动重污染企业搬迁入园或依法关闭</w:t>
                  </w:r>
                </w:p>
              </w:tc>
              <w:tc>
                <w:tcPr>
                  <w:tcW w:w="930" w:type="dxa"/>
                  <w:vMerge w:val="restart"/>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2347.3</w:t>
                  </w:r>
                </w:p>
              </w:tc>
              <w:tc>
                <w:tcPr>
                  <w:tcW w:w="2067"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本项目为河道岸堤修复工程，不属于“两高”项目。</w:t>
                  </w:r>
                </w:p>
              </w:tc>
              <w:tc>
                <w:tcPr>
                  <w:tcW w:w="519"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450"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375"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390"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420"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36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污染物排放管控</w:t>
                  </w:r>
                </w:p>
              </w:tc>
              <w:tc>
                <w:tcPr>
                  <w:tcW w:w="6780"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大气环境弱扩散重点管控区：1.鼓励将老旧车辆和非道路移动机械替换为清洁能源车辆。推进新能源或清洁能源汽车使用。 </w:t>
                  </w:r>
                </w:p>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水环境农业污染重点管控区：1.深入实施化肥农药减量行动，推动精准施肥、科学用药，加强农业投入品规范化管理，到2025年，化肥农药使用量实现零增长， 2.畜禽养殖场配套建设粪污处理设施，加强规模以下养殖户畜禽污染防治。在养殖大县散养密集区推广“截污建池、收运还田”等畜禽粪污治理模式，加快建设粪污集中处理中心，统筹建立农村有机废弃物收集转化利用网络体系和市场化运营机制。 3.严格水产养殖投入品管理，严禁非法使用农药。推广大水面生态养殖等健康养殖方式，修复水域生态环境，加快水产养殖尾水治理。2025年，规模以上水产养殖尾水实现达标排放。 4.提升农村生活污染治理水平。对于可形成径流，并进入自然水体的农村生活污水直排区域，按照分散与集中相结合的原则，优先开展农村生活污水资源化利用，因地制宜完善农村生活污水设施及管网建设。</w:t>
                  </w:r>
                </w:p>
              </w:tc>
              <w:tc>
                <w:tcPr>
                  <w:tcW w:w="930" w:type="dxa"/>
                  <w:vMerge w:val="continue"/>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2067"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本项目为河道岸堤修复工程，仅施工期间使用符合新国标要求工程机械及汽车。项目不涉及化肥农药、不涉及畜禽养殖。生活污水依托现有居民生活污水处理设施，不外排。</w:t>
                  </w:r>
                </w:p>
              </w:tc>
              <w:tc>
                <w:tcPr>
                  <w:tcW w:w="519"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4</w:t>
                  </w:r>
                </w:p>
              </w:tc>
              <w:tc>
                <w:tcPr>
                  <w:tcW w:w="45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陕西省西安市长安区重点管控单元7</w:t>
                  </w:r>
                </w:p>
              </w:tc>
              <w:tc>
                <w:tcPr>
                  <w:tcW w:w="37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西安市</w:t>
                  </w:r>
                </w:p>
              </w:tc>
              <w:tc>
                <w:tcPr>
                  <w:tcW w:w="39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长安区</w:t>
                  </w:r>
                </w:p>
              </w:tc>
              <w:tc>
                <w:tcPr>
                  <w:tcW w:w="42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水环境农业污染重点管控区</w:t>
                  </w:r>
                </w:p>
              </w:tc>
              <w:tc>
                <w:tcPr>
                  <w:tcW w:w="36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污染物排放管控</w:t>
                  </w:r>
                </w:p>
              </w:tc>
              <w:tc>
                <w:tcPr>
                  <w:tcW w:w="6780"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水环境农业污染重点管控区： 1.深入实施化肥农药减量行动，推动精准施肥、科学用药，加强农业投入品规范化管理，到 2025 年，化肥农药使用量实现零增长， 2.畜禽养殖场配套建设粪污处理设施，加强规模以下养殖户畜禽污染防治。在养殖大县散养密集区推广“截污建池、收运还田”等畜禽粪污治理模式，加快建设粪污集中处理中心，统筹建立农村有机废弃物收集转化利用网络体系和市场化运营机制。 3.严格水产养殖投入品管理，严禁非法使用农药。推广大水面生态养殖等健康养殖方式，修复水域生态环境，加快水产养殖尾水治理。2025 年，规模以上水产养殖尾水实现达标排放。 4.提升农村生活污染治理水平。对于可形成径流，并进入自然水体的农村生活污水直排区域，按照分散与集中相结合的原则，优先开展农村生活污水资源化利用，因地制宜完善农村生活污水设施及管网建设。</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5703.14</w:t>
                  </w:r>
                </w:p>
              </w:tc>
              <w:tc>
                <w:tcPr>
                  <w:tcW w:w="2067"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本项目为河道岸堤修复工程，不涉及化肥农药、不涉及畜禽养殖。生活污水依托现有居民生活污水处理设施，不外排。</w:t>
                  </w:r>
                </w:p>
              </w:tc>
              <w:tc>
                <w:tcPr>
                  <w:tcW w:w="519"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5</w:t>
                  </w:r>
                </w:p>
              </w:tc>
              <w:tc>
                <w:tcPr>
                  <w:tcW w:w="45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陕西省西安市秦岭重点保护区</w:t>
                  </w:r>
                </w:p>
              </w:tc>
              <w:tc>
                <w:tcPr>
                  <w:tcW w:w="375"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西安市</w:t>
                  </w:r>
                </w:p>
              </w:tc>
              <w:tc>
                <w:tcPr>
                  <w:tcW w:w="39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蓝田县</w:t>
                  </w:r>
                </w:p>
              </w:tc>
              <w:tc>
                <w:tcPr>
                  <w:tcW w:w="42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水环境优先保护区、一般生态空间、秦岭重点保护区</w:t>
                  </w:r>
                </w:p>
              </w:tc>
              <w:tc>
                <w:tcPr>
                  <w:tcW w:w="36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空间布局约束</w:t>
                  </w:r>
                </w:p>
              </w:tc>
              <w:tc>
                <w:tcPr>
                  <w:tcW w:w="6780"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水环境优先保护区： 1.强化江河源头和饮用水水源地保护。加强主要江河源头、重要水源涵养地的水环境保护，划定禁止开发范围。依法划定和保护饮用水水源保护区，加强水土流失和面源污染防治，严格管控入河排污口，严格河道采砂管理，维系江河湖库健康生命。一般生态空间：原则上按照限制开发区进行管理。功能属性单一、管控要求明确的一般生态空间，按照生态功能属性的既有规定实施管理；具有多重功能属性、且均有既有管理要求的一般生态空间，按照管控要求的严格程度，从严管理；尚未明确管理要求的一般生态空间，以保护为主，限制有损主导生态服务功能的开发建设活动。 秦岭重点保护区： 按照《陕西省秦岭生态环境保护条例》《陕西省秦岭重点保护区、一般保护区产业准入清单（试行）》《陕西省秦岭生态环境保护总体规划》《西安市秦岭生态环境保护规划》《西安市秦岭生态环境保护负面清单》《西安市秦岭生态环境保护建设工作任务》等相关规定及要求进行管控。 1.除《陕西省秦岭生态环境保护条例》另有规定外，不得进行与其保护功能不相符的开发建设活动；实施能源、交通、水利、国防等重大基础设施建设和战略性矿产资源勘查项目，应当依法进行环境影响评价，报省人民政府审定。在秦岭范围内的生产、生活和建设活动应当符合秦岭生态环境保护规划，依法采取相应生态环境保护措施，保证秦岭生态功能不降低。 2. 汰高污染、高耗能、高排放落后产能，鼓励发展绿色循环经济。 3. 不得新建水电站、开发风电项目，已建成或者在建的水电站，由县级以上人民政府依法组织限期退出、拆除，恢复生态；禁止房地产开发、新建高尔夫球场。不得新建、扩建、异地重建宗教活动场所，新建、扩建经营性公墓，新建宾馆、招待所、培训中心、疗养院、度假山庄；削山造地、挖地造湖。4.禁止勘探、开发矿产资源和开山采石，禁止在秦岭主梁以北的秦岭范围内开山采石。已取得矿业权的企业和现有采石企业，由县级以上人民政府依法组织限期退出。 5.禁止从检疫性林业有害生物发生区和疫区调入林木种苗和其他可能携带检疫性林业有害生物的木材及产品；调入松材线虫寄主植物及其制品。 6.法律法规禁止的其他活动。 7.重点保护区施行《陕西省秦岭重点保护区、一般保护区产业准入清单（试行）》的“允许目录”，禁止允许目录之外产业、项目进入。 8.秦岭范围内国家公园、自然保护区、自然公园、生态保护红线、饮用水水源保护区、天然林、不可移动文物等特定地理区域、空间的管控措施，依照相关法律、法规和规定、规划执行。 9.法律、行政法规对重点保护区的产业、项目有相关规定的，从其相关规定。县级以上人民政府对“产业准入清单”中的产业、项目，有更严格准入规定的，从其规定。</w:t>
                  </w:r>
                </w:p>
              </w:tc>
              <w:tc>
                <w:tcPr>
                  <w:tcW w:w="93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905.51</w:t>
                  </w:r>
                </w:p>
              </w:tc>
              <w:tc>
                <w:tcPr>
                  <w:tcW w:w="2067" w:type="dxa"/>
                  <w:tcBorders>
                    <w:tl2br w:val="nil"/>
                    <w:tr2bl w:val="nil"/>
                  </w:tcBorders>
                  <w:vAlign w:val="center"/>
                </w:tcPr>
                <w:p>
                  <w:pPr>
                    <w:widowControl/>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为河道岸堤修复工程，不属于秦岭重点保护区禁止行为。本项目在秦岭保护区外设沉淀池2个用于处理车辆冲洗废水，施工车辆经冲洗后方可进出秦岭保护区，施工废水经沉淀罐处理后，在秦岭保护区外回用于洗车。生活污水依托现有居民生活污水处理设施，不外排</w:t>
                  </w:r>
                  <w:r>
                    <w:rPr>
                      <w:rFonts w:hint="eastAsia" w:cs="Times New Roman"/>
                      <w:color w:val="000000" w:themeColor="text1"/>
                      <w:kern w:val="0"/>
                      <w:sz w:val="21"/>
                      <w:szCs w:val="21"/>
                      <w:lang w:val="en-US" w:eastAsia="zh-CN" w:bidi="ar"/>
                      <w14:textFill>
                        <w14:solidFill>
                          <w14:schemeClr w14:val="tx1"/>
                        </w14:solidFill>
                      </w14:textFill>
                    </w:rPr>
                    <w:t>。</w:t>
                  </w:r>
                </w:p>
              </w:tc>
              <w:tc>
                <w:tcPr>
                  <w:tcW w:w="519" w:type="dxa"/>
                  <w:tcBorders>
                    <w:tl2br w:val="nil"/>
                    <w:tr2bl w:val="nil"/>
                  </w:tcBorders>
                  <w:vAlign w:val="center"/>
                </w:tcPr>
                <w:p>
                  <w:pPr>
                    <w:widowControl/>
                    <w:jc w:val="center"/>
                    <w:rPr>
                      <w:rFonts w:hint="eastAsia" w:ascii="Times New Roman" w:hAnsi="Times New Roman" w:cs="Times New Roman"/>
                      <w:color w:val="000000" w:themeColor="text1"/>
                      <w:kern w:val="0"/>
                      <w:sz w:val="21"/>
                      <w:szCs w:val="21"/>
                      <w:lang w:val="en-US" w:eastAsia="zh-CN" w:bidi="ar"/>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tcBorders>
                    <w:tl2br w:val="nil"/>
                    <w:tr2bl w:val="nil"/>
                  </w:tcBorders>
                  <w:vAlign w:val="center"/>
                </w:tcPr>
                <w:p>
                  <w:pPr>
                    <w:jc w:val="center"/>
                    <w:rPr>
                      <w:rFonts w:hint="eastAsia"/>
                      <w:color w:val="000000" w:themeColor="text1"/>
                      <w:kern w:val="0"/>
                      <w:sz w:val="21"/>
                      <w:szCs w:val="21"/>
                      <w:lang w:bidi="ar"/>
                      <w14:textFill>
                        <w14:solidFill>
                          <w14:schemeClr w14:val="tx1"/>
                        </w14:solidFill>
                      </w14:textFill>
                    </w:rPr>
                  </w:pPr>
                  <w:r>
                    <w:rPr>
                      <w:b/>
                      <w:bCs w:val="0"/>
                      <w:color w:val="000000" w:themeColor="text1"/>
                      <w:sz w:val="21"/>
                      <w:szCs w:val="21"/>
                      <w14:textFill>
                        <w14:solidFill>
                          <w14:schemeClr w14:val="tx1"/>
                        </w14:solidFill>
                      </w14:textFill>
                    </w:rPr>
                    <w:t>相关政策</w:t>
                  </w:r>
                </w:p>
              </w:tc>
              <w:tc>
                <w:tcPr>
                  <w:tcW w:w="8880" w:type="dxa"/>
                  <w:gridSpan w:val="5"/>
                  <w:tcBorders>
                    <w:tl2br w:val="nil"/>
                    <w:tr2bl w:val="nil"/>
                  </w:tcBorders>
                  <w:vAlign w:val="center"/>
                </w:tcPr>
                <w:p>
                  <w:pPr>
                    <w:jc w:val="center"/>
                    <w:rPr>
                      <w:rFonts w:hint="eastAsia"/>
                      <w:color w:val="000000" w:themeColor="text1"/>
                      <w:kern w:val="0"/>
                      <w:sz w:val="21"/>
                      <w:szCs w:val="21"/>
                      <w:lang w:eastAsia="zh-CN" w:bidi="ar"/>
                      <w14:textFill>
                        <w14:solidFill>
                          <w14:schemeClr w14:val="tx1"/>
                        </w14:solidFill>
                      </w14:textFill>
                    </w:rPr>
                  </w:pPr>
                  <w:r>
                    <w:rPr>
                      <w:b/>
                      <w:bCs w:val="0"/>
                      <w:color w:val="000000" w:themeColor="text1"/>
                      <w:sz w:val="21"/>
                      <w:szCs w:val="21"/>
                      <w14:textFill>
                        <w14:solidFill>
                          <w14:schemeClr w14:val="tx1"/>
                        </w14:solidFill>
                      </w14:textFill>
                    </w:rPr>
                    <w:t>政策要求</w:t>
                  </w:r>
                </w:p>
              </w:tc>
              <w:tc>
                <w:tcPr>
                  <w:tcW w:w="2067" w:type="dxa"/>
                  <w:tcBorders>
                    <w:tl2br w:val="nil"/>
                    <w:tr2bl w:val="nil"/>
                  </w:tcBorders>
                  <w:vAlign w:val="center"/>
                </w:tcPr>
                <w:p>
                  <w:pPr>
                    <w:jc w:val="center"/>
                    <w:rPr>
                      <w:rFonts w:hint="eastAsia"/>
                      <w:color w:val="000000" w:themeColor="text1"/>
                      <w:kern w:val="0"/>
                      <w:sz w:val="21"/>
                      <w:szCs w:val="21"/>
                      <w:lang w:eastAsia="zh-CN" w:bidi="ar"/>
                      <w14:textFill>
                        <w14:solidFill>
                          <w14:schemeClr w14:val="tx1"/>
                        </w14:solidFill>
                      </w14:textFill>
                    </w:rPr>
                  </w:pPr>
                  <w:r>
                    <w:rPr>
                      <w:b/>
                      <w:bCs w:val="0"/>
                      <w:color w:val="000000" w:themeColor="text1"/>
                      <w:sz w:val="21"/>
                      <w:szCs w:val="21"/>
                      <w14:textFill>
                        <w14:solidFill>
                          <w14:schemeClr w14:val="tx1"/>
                        </w14:solidFill>
                      </w14:textFill>
                    </w:rPr>
                    <w:t>本工程情况</w:t>
                  </w:r>
                </w:p>
              </w:tc>
              <w:tc>
                <w:tcPr>
                  <w:tcW w:w="519" w:type="dxa"/>
                  <w:tcBorders>
                    <w:tl2br w:val="nil"/>
                    <w:tr2bl w:val="nil"/>
                  </w:tcBorders>
                  <w:vAlign w:val="center"/>
                </w:tcPr>
                <w:p>
                  <w:pPr>
                    <w:jc w:val="center"/>
                    <w:rPr>
                      <w:rFonts w:hint="eastAsia"/>
                      <w:color w:val="000000" w:themeColor="text1"/>
                      <w:kern w:val="0"/>
                      <w:szCs w:val="21"/>
                      <w:lang w:val="en-US" w:eastAsia="zh-CN" w:bidi="ar"/>
                      <w14:textFill>
                        <w14:solidFill>
                          <w14:schemeClr w14:val="tx1"/>
                        </w14:solidFill>
                      </w14:textFill>
                    </w:rPr>
                  </w:pPr>
                  <w:r>
                    <w:rPr>
                      <w:b/>
                      <w:bCs w:val="0"/>
                      <w:color w:val="000000" w:themeColor="text1"/>
                      <w:szCs w:val="21"/>
                      <w14:textFill>
                        <w14:solidFill>
                          <w14:schemeClr w14:val="tx1"/>
                        </w14:solidFill>
                      </w14:textFill>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180" w:type="dxa"/>
                  <w:gridSpan w:val="3"/>
                  <w:vMerge w:val="restart"/>
                  <w:tcBorders>
                    <w:tl2br w:val="nil"/>
                    <w:tr2bl w:val="nil"/>
                  </w:tcBorders>
                  <w:vAlign w:val="center"/>
                </w:tcPr>
                <w:p>
                  <w:pPr>
                    <w:jc w:val="center"/>
                    <w:rPr>
                      <w:rFonts w:hint="default" w:eastAsia="宋体"/>
                      <w:b/>
                      <w:bCs w:val="0"/>
                      <w:color w:val="000000" w:themeColor="text1"/>
                      <w:sz w:val="21"/>
                      <w:szCs w:val="21"/>
                      <w:lang w:val="en-US" w:eastAsia="zh-CN"/>
                      <w14:textFill>
                        <w14:solidFill>
                          <w14:schemeClr w14:val="tx1"/>
                        </w14:solidFill>
                      </w14:textFill>
                    </w:rPr>
                  </w:pPr>
                  <w:r>
                    <w:rPr>
                      <w:color w:val="000000" w:themeColor="text1"/>
                      <w:kern w:val="0"/>
                      <w:sz w:val="21"/>
                      <w:szCs w:val="21"/>
                      <w:lang w:bidi="ar"/>
                      <w14:textFill>
                        <w14:solidFill>
                          <w14:schemeClr w14:val="tx1"/>
                        </w14:solidFill>
                      </w14:textFill>
                    </w:rPr>
                    <w:t>陕西省大气污染防治条例</w:t>
                  </w:r>
                  <w:r>
                    <w:rPr>
                      <w:rFonts w:hint="eastAsia"/>
                      <w:color w:val="000000" w:themeColor="text1"/>
                      <w:kern w:val="0"/>
                      <w:sz w:val="21"/>
                      <w:szCs w:val="21"/>
                      <w:lang w:eastAsia="zh-CN" w:bidi="ar"/>
                      <w14:textFill>
                        <w14:solidFill>
                          <w14:schemeClr w14:val="tx1"/>
                        </w14:solidFill>
                      </w14:textFill>
                    </w:rPr>
                    <w:t>（</w:t>
                  </w:r>
                  <w:r>
                    <w:rPr>
                      <w:rFonts w:hint="eastAsia"/>
                      <w:color w:val="000000" w:themeColor="text1"/>
                      <w:kern w:val="0"/>
                      <w:sz w:val="21"/>
                      <w:szCs w:val="21"/>
                      <w:lang w:val="en-US" w:eastAsia="zh-CN" w:bidi="ar"/>
                      <w14:textFill>
                        <w14:solidFill>
                          <w14:schemeClr w14:val="tx1"/>
                        </w14:solidFill>
                      </w14:textFill>
                    </w:rPr>
                    <w:t>2023年11月30日修正</w:t>
                  </w:r>
                  <w:r>
                    <w:rPr>
                      <w:color w:val="000000" w:themeColor="text1"/>
                      <w:kern w:val="0"/>
                      <w:sz w:val="21"/>
                      <w:szCs w:val="21"/>
                      <w:lang w:bidi="ar"/>
                      <w14:textFill>
                        <w14:solidFill>
                          <w14:schemeClr w14:val="tx1"/>
                        </w14:solidFill>
                      </w14:textFill>
                    </w:rPr>
                    <w:t>）</w:t>
                  </w:r>
                </w:p>
              </w:tc>
              <w:tc>
                <w:tcPr>
                  <w:tcW w:w="8880" w:type="dxa"/>
                  <w:gridSpan w:val="5"/>
                  <w:tcBorders>
                    <w:tl2br w:val="nil"/>
                    <w:tr2bl w:val="nil"/>
                  </w:tcBorders>
                  <w:vAlign w:val="center"/>
                </w:tcPr>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第五十</w:t>
                  </w:r>
                  <w:r>
                    <w:rPr>
                      <w:rFonts w:hint="eastAsia"/>
                      <w:bCs/>
                      <w:color w:val="000000" w:themeColor="text1"/>
                      <w:sz w:val="21"/>
                      <w:szCs w:val="21"/>
                      <w:lang w:eastAsia="zh-CN"/>
                      <w14:textFill>
                        <w14:solidFill>
                          <w14:schemeClr w14:val="tx1"/>
                        </w14:solidFill>
                      </w14:textFill>
                    </w:rPr>
                    <w:t>五</w:t>
                  </w:r>
                  <w:r>
                    <w:rPr>
                      <w:bCs/>
                      <w:color w:val="000000" w:themeColor="text1"/>
                      <w:sz w:val="21"/>
                      <w:szCs w:val="21"/>
                      <w14:textFill>
                        <w14:solidFill>
                          <w14:schemeClr w14:val="tx1"/>
                        </w14:solidFill>
                      </w14:textFill>
                    </w:rPr>
                    <w:t>条</w:t>
                  </w:r>
                  <w:r>
                    <w:rPr>
                      <w:rFonts w:hint="eastAsia"/>
                      <w:bCs/>
                      <w:color w:val="000000" w:themeColor="text1"/>
                      <w:sz w:val="21"/>
                      <w:szCs w:val="21"/>
                      <w:lang w:val="en-US" w:eastAsia="zh-CN"/>
                      <w14:textFill>
                        <w14:solidFill>
                          <w14:schemeClr w14:val="tx1"/>
                        </w14:solidFill>
                      </w14:textFill>
                    </w:rPr>
                    <w:t xml:space="preserve"> </w:t>
                  </w:r>
                  <w:r>
                    <w:rPr>
                      <w:rFonts w:hint="eastAsia"/>
                      <w:bCs/>
                      <w:color w:val="000000" w:themeColor="text1"/>
                      <w:sz w:val="21"/>
                      <w:szCs w:val="21"/>
                      <w14:textFill>
                        <w14:solidFill>
                          <w14:schemeClr w14:val="tx1"/>
                        </w14:solidFill>
                      </w14:textFill>
                    </w:rPr>
                    <w:t>从事房屋建筑、道路、市政基础设施、矿产资源开发、河道整治及建筑拆除等施工工程、物料运输和堆放及其他产生扬尘污染的活动，必须采取防治措施</w:t>
                  </w:r>
                </w:p>
              </w:tc>
              <w:tc>
                <w:tcPr>
                  <w:tcW w:w="2067" w:type="dxa"/>
                  <w:vMerge w:val="restart"/>
                  <w:tcBorders>
                    <w:tl2br w:val="nil"/>
                    <w:tr2bl w:val="nil"/>
                  </w:tcBorders>
                  <w:vAlign w:val="center"/>
                </w:tcPr>
                <w:p>
                  <w:pPr>
                    <w:autoSpaceDE w:val="0"/>
                    <w:autoSpaceDN w:val="0"/>
                    <w:rPr>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本项</w:t>
                  </w:r>
                  <w:r>
                    <w:rPr>
                      <w:rFonts w:hint="eastAsia"/>
                      <w:color w:val="000000" w:themeColor="text1"/>
                      <w:sz w:val="21"/>
                      <w:szCs w:val="21"/>
                      <w:highlight w:val="none"/>
                      <w14:textFill>
                        <w14:solidFill>
                          <w14:schemeClr w14:val="tx1"/>
                        </w14:solidFill>
                      </w14:textFill>
                    </w:rPr>
                    <w:t>目</w:t>
                  </w:r>
                  <w:r>
                    <w:rPr>
                      <w:color w:val="000000" w:themeColor="text1"/>
                      <w:sz w:val="21"/>
                      <w:szCs w:val="21"/>
                      <w:highlight w:val="none"/>
                      <w14:textFill>
                        <w14:solidFill>
                          <w14:schemeClr w14:val="tx1"/>
                        </w14:solidFill>
                      </w14:textFill>
                    </w:rPr>
                    <w:t>施工过程严格执行</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14:textFill>
                        <w14:solidFill>
                          <w14:schemeClr w14:val="tx1"/>
                        </w14:solidFill>
                      </w14:textFill>
                    </w:rPr>
                    <w:t>六个百分之百</w:t>
                  </w:r>
                  <w:r>
                    <w:rPr>
                      <w:rFonts w:hint="eastAsia" w:ascii="宋体" w:hAnsi="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，渣土车运输过程保持密闭，实施围挡封闭化施工。</w:t>
                  </w:r>
                </w:p>
                <w:p>
                  <w:pPr>
                    <w:autoSpaceDE w:val="0"/>
                    <w:autoSpaceDN w:val="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项目临时占地主要用于临时堆放外购石料，</w:t>
                  </w:r>
                  <w:r>
                    <w:rPr>
                      <w:rFonts w:hint="eastAsia"/>
                      <w:bCs/>
                      <w:color w:val="000000" w:themeColor="text1"/>
                      <w:sz w:val="21"/>
                      <w:szCs w:val="21"/>
                      <w14:textFill>
                        <w14:solidFill>
                          <w14:schemeClr w14:val="tx1"/>
                        </w14:solidFill>
                      </w14:textFill>
                    </w:rPr>
                    <w:t>采用密闭式防尘网遮盖</w:t>
                  </w:r>
                  <w:r>
                    <w:rPr>
                      <w:rFonts w:hint="eastAsia"/>
                      <w:bCs/>
                      <w:color w:val="000000" w:themeColor="text1"/>
                      <w:sz w:val="21"/>
                      <w:szCs w:val="21"/>
                      <w:lang w:eastAsia="zh-CN"/>
                      <w14:textFill>
                        <w14:solidFill>
                          <w14:schemeClr w14:val="tx1"/>
                        </w14:solidFill>
                      </w14:textFill>
                    </w:rPr>
                    <w:t>。</w:t>
                  </w:r>
                </w:p>
                <w:p>
                  <w:pPr>
                    <w:autoSpaceDE w:val="0"/>
                    <w:autoSpaceDN w:val="0"/>
                    <w:rPr>
                      <w:rFonts w:hint="eastAsia" w:eastAsia="宋体"/>
                      <w:b/>
                      <w:bCs w:val="0"/>
                      <w:color w:val="000000" w:themeColor="text1"/>
                      <w:sz w:val="21"/>
                      <w:szCs w:val="21"/>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本项目在秦岭保护区外设沉淀池2个用于处理车辆冲洗废水，施工车辆经冲洗后方可进出秦岭保护区，</w:t>
                  </w:r>
                  <w:r>
                    <w:rPr>
                      <w:rFonts w:hint="eastAsia"/>
                      <w:color w:val="000000" w:themeColor="text1"/>
                      <w:sz w:val="21"/>
                      <w:szCs w:val="21"/>
                      <w:highlight w:val="none"/>
                      <w14:textFill>
                        <w14:solidFill>
                          <w14:schemeClr w14:val="tx1"/>
                        </w14:solidFill>
                      </w14:textFill>
                    </w:rPr>
                    <w:t>施工废水经沉淀罐处理后，在秦岭保护区外回用于洗车</w:t>
                  </w:r>
                  <w:r>
                    <w:rPr>
                      <w:rFonts w:hint="eastAsia"/>
                      <w:color w:val="000000" w:themeColor="text1"/>
                      <w:sz w:val="21"/>
                      <w:szCs w:val="21"/>
                      <w:highlight w:val="none"/>
                      <w:lang w:eastAsia="zh-CN"/>
                      <w14:textFill>
                        <w14:solidFill>
                          <w14:schemeClr w14:val="tx1"/>
                        </w14:solidFill>
                      </w14:textFill>
                    </w:rPr>
                    <w:t>。</w:t>
                  </w:r>
                </w:p>
              </w:tc>
              <w:tc>
                <w:tcPr>
                  <w:tcW w:w="519" w:type="dxa"/>
                  <w:vMerge w:val="restart"/>
                  <w:tcBorders>
                    <w:tl2br w:val="nil"/>
                    <w:tr2bl w:val="nil"/>
                  </w:tcBorders>
                  <w:vAlign w:val="center"/>
                </w:tcPr>
                <w:p>
                  <w:pPr>
                    <w:jc w:val="center"/>
                    <w:rPr>
                      <w:b/>
                      <w:bCs w:val="0"/>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1180" w:type="dxa"/>
                  <w:gridSpan w:val="3"/>
                  <w:vMerge w:val="continue"/>
                  <w:tcBorders>
                    <w:tl2br w:val="nil"/>
                    <w:tr2bl w:val="nil"/>
                  </w:tcBorders>
                  <w:vAlign w:val="center"/>
                </w:tcPr>
                <w:p>
                  <w:pPr>
                    <w:jc w:val="center"/>
                    <w:rPr>
                      <w:color w:val="000000" w:themeColor="text1"/>
                      <w:kern w:val="0"/>
                      <w:sz w:val="21"/>
                      <w:szCs w:val="21"/>
                      <w:lang w:bidi="ar"/>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rFonts w:hint="eastAsia"/>
                      <w:bCs/>
                      <w:color w:val="000000" w:themeColor="text1"/>
                      <w:sz w:val="21"/>
                      <w:szCs w:val="21"/>
                      <w:lang w:eastAsia="zh-CN"/>
                      <w14:textFill>
                        <w14:solidFill>
                          <w14:schemeClr w14:val="tx1"/>
                        </w14:solidFill>
                      </w14:textFill>
                    </w:rPr>
                  </w:pPr>
                  <w:r>
                    <w:rPr>
                      <w:bCs/>
                      <w:color w:val="000000" w:themeColor="text1"/>
                      <w:sz w:val="21"/>
                      <w:szCs w:val="21"/>
                      <w14:textFill>
                        <w14:solidFill>
                          <w14:schemeClr w14:val="tx1"/>
                        </w14:solidFill>
                      </w14:textFill>
                    </w:rPr>
                    <w:t>第五十</w:t>
                  </w:r>
                  <w:r>
                    <w:rPr>
                      <w:rFonts w:hint="eastAsia"/>
                      <w:bCs/>
                      <w:color w:val="000000" w:themeColor="text1"/>
                      <w:sz w:val="21"/>
                      <w:szCs w:val="21"/>
                      <w:lang w:eastAsia="zh-CN"/>
                      <w14:textFill>
                        <w14:solidFill>
                          <w14:schemeClr w14:val="tx1"/>
                        </w14:solidFill>
                      </w14:textFill>
                    </w:rPr>
                    <w:t>七</w:t>
                  </w:r>
                  <w:r>
                    <w:rPr>
                      <w:bCs/>
                      <w:color w:val="000000" w:themeColor="text1"/>
                      <w:sz w:val="21"/>
                      <w:szCs w:val="21"/>
                      <w14:textFill>
                        <w14:solidFill>
                          <w14:schemeClr w14:val="tx1"/>
                        </w14:solidFill>
                      </w14:textFill>
                    </w:rPr>
                    <w:t>条</w:t>
                  </w:r>
                  <w:r>
                    <w:rPr>
                      <w:rFonts w:hint="eastAsia"/>
                      <w:bCs/>
                      <w:color w:val="000000" w:themeColor="text1"/>
                      <w:sz w:val="21"/>
                      <w:szCs w:val="21"/>
                      <w:lang w:val="en-US" w:eastAsia="zh-CN"/>
                      <w14:textFill>
                        <w14:solidFill>
                          <w14:schemeClr w14:val="tx1"/>
                        </w14:solidFill>
                      </w14:textFill>
                    </w:rPr>
                    <w:t xml:space="preserve"> </w:t>
                  </w:r>
                  <w:r>
                    <w:rPr>
                      <w:rFonts w:hint="eastAsia"/>
                      <w:bCs/>
                      <w:color w:val="000000" w:themeColor="text1"/>
                      <w:sz w:val="21"/>
                      <w:szCs w:val="21"/>
                      <w14:textFill>
                        <w14:solidFill>
                          <w14:schemeClr w14:val="tx1"/>
                        </w14:solidFill>
                      </w14:textFill>
                    </w:rPr>
                    <w:t>施工工地内堆放水泥、灰土、砂石等易产生扬尘污染物料和建筑垃圾、工程渣土，应当遮盖或者在库房内存放。建筑土方、工程渣土、建筑垃圾应当及时清运，在场地内堆存的，应当采用密闭式防尘网遮盖</w:t>
                  </w:r>
                  <w:r>
                    <w:rPr>
                      <w:rFonts w:hint="eastAsia"/>
                      <w:bCs/>
                      <w:color w:val="000000" w:themeColor="text1"/>
                      <w:sz w:val="21"/>
                      <w:szCs w:val="21"/>
                      <w:lang w:eastAsia="zh-CN"/>
                      <w14:textFill>
                        <w14:solidFill>
                          <w14:schemeClr w14:val="tx1"/>
                        </w14:solidFill>
                      </w14:textFill>
                    </w:rPr>
                    <w:t>。</w:t>
                  </w:r>
                </w:p>
                <w:p>
                  <w:pPr>
                    <w:autoSpaceDE w:val="0"/>
                    <w:autoSpaceDN w:val="0"/>
                    <w:adjustRightInd w:val="0"/>
                    <w:snapToGrid w:val="0"/>
                    <w:rPr>
                      <w:rFonts w:hint="eastAsia"/>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建筑施工工地进出口处应当设置车辆清洗设施及配套的排水、泥浆沉淀设施，运送建筑物料、土方、渣土的车辆驶出工地应当进行冲洗，防止泥水溢流</w:t>
                  </w:r>
                </w:p>
              </w:tc>
              <w:tc>
                <w:tcPr>
                  <w:tcW w:w="2067" w:type="dxa"/>
                  <w:vMerge w:val="continue"/>
                  <w:tcBorders>
                    <w:tl2br w:val="nil"/>
                    <w:tr2bl w:val="nil"/>
                  </w:tcBorders>
                  <w:vAlign w:val="center"/>
                </w:tcPr>
                <w:p>
                  <w:pPr>
                    <w:autoSpaceDE w:val="0"/>
                    <w:autoSpaceDN w:val="0"/>
                    <w:rPr>
                      <w:rFonts w:hint="eastAsia"/>
                      <w:color w:val="000000" w:themeColor="text1"/>
                      <w:sz w:val="21"/>
                      <w:szCs w:val="21"/>
                      <w14:textFill>
                        <w14:solidFill>
                          <w14:schemeClr w14:val="tx1"/>
                        </w14:solidFill>
                      </w14:textFill>
                    </w:rPr>
                  </w:pPr>
                </w:p>
              </w:tc>
              <w:tc>
                <w:tcPr>
                  <w:tcW w:w="519" w:type="dxa"/>
                  <w:vMerge w:val="continue"/>
                  <w:tcBorders>
                    <w:tl2br w:val="nil"/>
                    <w:tr2bl w:val="nil"/>
                  </w:tcBorders>
                  <w:vAlign w:val="center"/>
                </w:tcPr>
                <w:p>
                  <w:pPr>
                    <w:jc w:val="center"/>
                    <w:rPr>
                      <w:color w:val="000000" w:themeColor="text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jc w:val="center"/>
                    <w:rPr>
                      <w:b/>
                      <w:bCs w:val="0"/>
                      <w:color w:val="000000" w:themeColor="text1"/>
                      <w:sz w:val="21"/>
                      <w:szCs w:val="21"/>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第五十</w:t>
                  </w:r>
                  <w:r>
                    <w:rPr>
                      <w:rFonts w:hint="eastAsia"/>
                      <w:bCs/>
                      <w:color w:val="000000" w:themeColor="text1"/>
                      <w:sz w:val="21"/>
                      <w:szCs w:val="21"/>
                      <w:lang w:eastAsia="zh-CN"/>
                      <w14:textFill>
                        <w14:solidFill>
                          <w14:schemeClr w14:val="tx1"/>
                        </w14:solidFill>
                      </w14:textFill>
                    </w:rPr>
                    <w:t>八</w:t>
                  </w:r>
                  <w:r>
                    <w:rPr>
                      <w:bCs/>
                      <w:color w:val="000000" w:themeColor="text1"/>
                      <w:sz w:val="21"/>
                      <w:szCs w:val="21"/>
                      <w14:textFill>
                        <w14:solidFill>
                          <w14:schemeClr w14:val="tx1"/>
                        </w14:solidFill>
                      </w14:textFill>
                    </w:rPr>
                    <w:t xml:space="preserve">条 </w:t>
                  </w:r>
                  <w:r>
                    <w:rPr>
                      <w:rFonts w:hint="eastAsia"/>
                      <w:bCs/>
                      <w:color w:val="000000" w:themeColor="text1"/>
                      <w:sz w:val="21"/>
                      <w:szCs w:val="21"/>
                      <w14:textFill>
                        <w14:solidFill>
                          <w14:schemeClr w14:val="tx1"/>
                        </w14:solidFill>
                      </w14:textFill>
                    </w:rPr>
                    <w:t>运输煤炭、水泥、石灰、石膏、垃圾、渣土、砂石、土方、灰浆等散装、流体物料的车辆应当采取密闭或者其他措施防止物料遗撒造成扬尘污染，并按照规定路线行驶</w:t>
                  </w:r>
                  <w:r>
                    <w:rPr>
                      <w:bCs/>
                      <w:color w:val="000000" w:themeColor="text1"/>
                      <w:sz w:val="21"/>
                      <w:szCs w:val="21"/>
                      <w14:textFill>
                        <w14:solidFill>
                          <w14:schemeClr w14:val="tx1"/>
                        </w14:solidFill>
                      </w14:textFill>
                    </w:rPr>
                    <w:t>。</w:t>
                  </w:r>
                </w:p>
              </w:tc>
              <w:tc>
                <w:tcPr>
                  <w:tcW w:w="2067" w:type="dxa"/>
                  <w:vMerge w:val="continue"/>
                  <w:tcBorders>
                    <w:tl2br w:val="nil"/>
                    <w:tr2bl w:val="nil"/>
                  </w:tcBorders>
                  <w:vAlign w:val="center"/>
                </w:tcPr>
                <w:p>
                  <w:pPr>
                    <w:autoSpaceDE w:val="0"/>
                    <w:autoSpaceDN w:val="0"/>
                    <w:jc w:val="center"/>
                    <w:rPr>
                      <w:b/>
                      <w:bCs w:val="0"/>
                      <w:color w:val="000000" w:themeColor="text1"/>
                      <w:sz w:val="21"/>
                      <w:szCs w:val="21"/>
                      <w14:textFill>
                        <w14:solidFill>
                          <w14:schemeClr w14:val="tx1"/>
                        </w14:solidFill>
                      </w14:textFill>
                    </w:rPr>
                  </w:pPr>
                </w:p>
              </w:tc>
              <w:tc>
                <w:tcPr>
                  <w:tcW w:w="519" w:type="dxa"/>
                  <w:vMerge w:val="continue"/>
                  <w:tcBorders>
                    <w:tl2br w:val="nil"/>
                    <w:tr2bl w:val="nil"/>
                  </w:tcBorders>
                  <w:vAlign w:val="center"/>
                </w:tcPr>
                <w:p>
                  <w:pPr>
                    <w:jc w:val="center"/>
                    <w:rPr>
                      <w:b/>
                      <w:bCs w:val="0"/>
                      <w:color w:val="000000" w:themeColor="text1"/>
                      <w:szCs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restart"/>
                  <w:tcBorders>
                    <w:tl2br w:val="nil"/>
                    <w:tr2bl w:val="nil"/>
                  </w:tcBorders>
                  <w:vAlign w:val="center"/>
                </w:tcPr>
                <w:p>
                  <w:pPr>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《水利建设项目（河湖整治与防洪除涝工程）环境影响评价文件审批原则（试行）》</w:t>
                  </w:r>
                </w:p>
              </w:tc>
              <w:tc>
                <w:tcPr>
                  <w:tcW w:w="8880" w:type="dxa"/>
                  <w:gridSpan w:val="5"/>
                  <w:tcBorders>
                    <w:tl2br w:val="nil"/>
                    <w:tr2bl w:val="nil"/>
                  </w:tcBorders>
                  <w:vAlign w:val="center"/>
                </w:tcPr>
                <w:p>
                  <w:pPr>
                    <w:autoSpaceDE w:val="0"/>
                    <w:autoSpaceDN w:val="0"/>
                    <w:adjustRightInd w:val="0"/>
                    <w:snapToGrid w:val="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 w:val="21"/>
                      <w:szCs w:val="21"/>
                      <w14:textFill>
                        <w14:solidFill>
                          <w14:schemeClr w14:val="tx1"/>
                        </w14:solidFill>
                      </w14:textFill>
                    </w:rPr>
                    <w:t>第三条</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14:textFill>
                        <w14:solidFill>
                          <w14:schemeClr w14:val="tx1"/>
                        </w14:solidFill>
                      </w14:textFill>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eastAsia="zh-CN"/>
                      <w14:textFill>
                        <w14:solidFill>
                          <w14:schemeClr w14:val="tx1"/>
                        </w14:solidFill>
                      </w14:textFill>
                    </w:rPr>
                    <w:t>本工程选址不</w:t>
                  </w:r>
                  <w:r>
                    <w:rPr>
                      <w:rFonts w:hint="eastAsia" w:ascii="Times New Roman" w:hAnsi="Times New Roman"/>
                      <w:bCs/>
                      <w:color w:val="000000" w:themeColor="text1"/>
                      <w:sz w:val="21"/>
                      <w:szCs w:val="21"/>
                      <w:lang w:eastAsia="zh-CN"/>
                      <w14:textFill>
                        <w14:solidFill>
                          <w14:schemeClr w14:val="tx1"/>
                        </w14:solidFill>
                      </w14:textFill>
                    </w:rPr>
                    <w:t>占用环境敏感区中法律法规禁止占用的区域</w:t>
                  </w:r>
                  <w:r>
                    <w:rPr>
                      <w:rFonts w:ascii="Times New Roman" w:hAnsi="Times New Roman"/>
                      <w:bCs/>
                      <w:color w:val="000000" w:themeColor="text1"/>
                      <w:sz w:val="21"/>
                      <w:szCs w:val="21"/>
                      <w:lang w:eastAsia="zh-CN"/>
                      <w14:textFill>
                        <w14:solidFill>
                          <w14:schemeClr w14:val="tx1"/>
                        </w14:solidFill>
                      </w14:textFill>
                    </w:rPr>
                    <w:t>。</w:t>
                  </w:r>
                </w:p>
              </w:tc>
              <w:tc>
                <w:tcPr>
                  <w:tcW w:w="5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jc w:val="center"/>
                    <w:rPr>
                      <w:rFonts w:hint="eastAsia" w:cs="Times New Roman"/>
                      <w:color w:val="000000" w:themeColor="text1"/>
                      <w:sz w:val="21"/>
                      <w:szCs w:val="21"/>
                      <w:lang w:eastAsia="zh-CN"/>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第七条</w:t>
                  </w:r>
                  <w:r>
                    <w:rPr>
                      <w:rFonts w:hint="eastAsia"/>
                      <w:bCs/>
                      <w:color w:val="000000" w:themeColor="text1"/>
                      <w:sz w:val="21"/>
                      <w:szCs w:val="21"/>
                      <w:lang w:val="en-US" w:eastAsia="zh-CN"/>
                      <w14:textFill>
                        <w14:solidFill>
                          <w14:schemeClr w14:val="tx1"/>
                        </w14:solidFill>
                      </w14:textFill>
                    </w:rPr>
                    <w:t xml:space="preserve"> </w:t>
                  </w:r>
                  <w:r>
                    <w:rPr>
                      <w:bCs/>
                      <w:color w:val="000000" w:themeColor="text1"/>
                      <w:sz w:val="21"/>
                      <w:szCs w:val="21"/>
                      <w14:textFill>
                        <w14:solidFill>
                          <w14:schemeClr w14:val="tx1"/>
                        </w14:solidFill>
                      </w14:textFill>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p>
                  <w:pPr>
                    <w:autoSpaceDE w:val="0"/>
                    <w:autoSpaceDN w:val="0"/>
                    <w:adjustRightInd w:val="0"/>
                    <w:snapToGrid w:val="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 w:val="21"/>
                      <w:szCs w:val="21"/>
                      <w14:textFill>
                        <w14:solidFill>
                          <w14:schemeClr w14:val="tx1"/>
                        </w14:solidFill>
                      </w14:textFill>
                    </w:rPr>
                    <w:t>在采取上述措施后，施工期的不利环境影响能够得到缓解和控制，不会对周围环境和敏感保护目标造成重大不利影响。</w:t>
                  </w:r>
                </w:p>
              </w:tc>
              <w:tc>
                <w:tcPr>
                  <w:tcW w:w="2067" w:type="dxa"/>
                  <w:tcBorders>
                    <w:tl2br w:val="nil"/>
                    <w:tr2bl w:val="nil"/>
                  </w:tcBorders>
                  <w:vAlign w:val="center"/>
                </w:tcPr>
                <w:p>
                  <w:pPr>
                    <w:pStyle w:val="66"/>
                    <w:adjustRightInd w:val="0"/>
                    <w:snapToGrid w:val="0"/>
                    <w:spacing w:after="0" w:line="240" w:lineRule="auto"/>
                    <w:jc w:val="both"/>
                    <w:rPr>
                      <w:rFonts w:ascii="Times New Roman" w:hAnsi="Times New Roman"/>
                      <w:bCs/>
                      <w:color w:val="000000" w:themeColor="text1"/>
                      <w:sz w:val="21"/>
                      <w:szCs w:val="21"/>
                      <w:lang w:eastAsia="zh-CN"/>
                      <w14:textFill>
                        <w14:solidFill>
                          <w14:schemeClr w14:val="tx1"/>
                        </w14:solidFill>
                      </w14:textFill>
                    </w:rPr>
                  </w:pPr>
                  <w:r>
                    <w:rPr>
                      <w:rFonts w:ascii="Times New Roman" w:hAnsi="Times New Roman"/>
                      <w:bCs/>
                      <w:color w:val="000000" w:themeColor="text1"/>
                      <w:sz w:val="21"/>
                      <w:szCs w:val="21"/>
                      <w:lang w:eastAsia="zh-CN"/>
                      <w14:textFill>
                        <w14:solidFill>
                          <w14:schemeClr w14:val="tx1"/>
                        </w14:solidFill>
                      </w14:textFill>
                    </w:rPr>
                    <w:t>本工程对施工期各类废（污）水、扬尘、废气、噪声、固体废物等均提出了防治或处置措施。</w:t>
                  </w:r>
                </w:p>
                <w:p>
                  <w:pPr>
                    <w:pStyle w:val="66"/>
                    <w:adjustRightInd w:val="0"/>
                    <w:snapToGrid w:val="0"/>
                    <w:spacing w:after="0" w:line="240" w:lineRule="auto"/>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项目施工区不涉及饮用水水源保护区。</w:t>
                  </w:r>
                  <w:r>
                    <w:rPr>
                      <w:rFonts w:ascii="Times New Roman" w:hAnsi="Times New Roman"/>
                      <w:bCs/>
                      <w:color w:val="000000" w:themeColor="text1"/>
                      <w:sz w:val="21"/>
                      <w:szCs w:val="21"/>
                      <w:lang w:eastAsia="zh-CN"/>
                      <w14:textFill>
                        <w14:solidFill>
                          <w14:schemeClr w14:val="tx1"/>
                        </w14:solidFill>
                      </w14:textFill>
                    </w:rPr>
                    <w:t>不</w:t>
                  </w:r>
                  <w:r>
                    <w:rPr>
                      <w:rFonts w:hint="eastAsia" w:ascii="Times New Roman" w:hAnsi="Times New Roman"/>
                      <w:bCs/>
                      <w:color w:val="000000" w:themeColor="text1"/>
                      <w:sz w:val="21"/>
                      <w:szCs w:val="21"/>
                      <w:lang w:eastAsia="zh-CN"/>
                      <w14:textFill>
                        <w14:solidFill>
                          <w14:schemeClr w14:val="tx1"/>
                        </w14:solidFill>
                      </w14:textFill>
                    </w:rPr>
                    <w:t>会</w:t>
                  </w:r>
                  <w:r>
                    <w:rPr>
                      <w:rFonts w:ascii="Times New Roman" w:hAnsi="Times New Roman"/>
                      <w:bCs/>
                      <w:color w:val="000000" w:themeColor="text1"/>
                      <w:sz w:val="21"/>
                      <w:szCs w:val="21"/>
                      <w:lang w:eastAsia="zh-CN"/>
                      <w14:textFill>
                        <w14:solidFill>
                          <w14:schemeClr w14:val="tx1"/>
                        </w14:solidFill>
                      </w14:textFill>
                    </w:rPr>
                    <w:t>对鱼类等水生生物及其重要生境造成不利影响。</w:t>
                  </w:r>
                </w:p>
              </w:tc>
              <w:tc>
                <w:tcPr>
                  <w:tcW w:w="5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restart"/>
                  <w:tcBorders>
                    <w:tl2br w:val="nil"/>
                    <w:tr2bl w:val="nil"/>
                  </w:tcBorders>
                  <w:vAlign w:val="center"/>
                </w:tcPr>
                <w:p>
                  <w:pPr>
                    <w:pStyle w:val="66"/>
                    <w:adjustRightInd w:val="0"/>
                    <w:snapToGrid w:val="0"/>
                    <w:spacing w:after="0"/>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《陕西省河道管理条例》</w:t>
                  </w:r>
                </w:p>
              </w:tc>
              <w:tc>
                <w:tcPr>
                  <w:tcW w:w="8880" w:type="dxa"/>
                  <w:gridSpan w:val="5"/>
                  <w:tcBorders>
                    <w:tl2br w:val="nil"/>
                    <w:tr2bl w:val="nil"/>
                  </w:tcBorders>
                  <w:vAlign w:val="center"/>
                </w:tcPr>
                <w:p>
                  <w:pPr>
                    <w:pStyle w:val="68"/>
                    <w:adjustRightInd w:val="0"/>
                    <w:snapToGrid w:val="0"/>
                    <w:spacing w:line="240" w:lineRule="auto"/>
                    <w:ind w:left="0" w:leftChars="0" w:firstLine="0" w:firstLine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第二十一条 在河道管理范围内禁止下列为：</w:t>
                  </w:r>
                </w:p>
                <w:p>
                  <w:pPr>
                    <w:pStyle w:val="68"/>
                    <w:adjustRightInd w:val="0"/>
                    <w:snapToGrid w:val="0"/>
                    <w:spacing w:line="240" w:lineRule="auto"/>
                    <w:ind w:left="0" w:leftChars="0" w:firstLine="0" w:firstLine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（一）</w:t>
                  </w: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修建违章丁坝、顺坝、围堤、生产堤、高路、高渠、房屋；</w:t>
                  </w:r>
                </w:p>
                <w:p>
                  <w:pPr>
                    <w:pStyle w:val="68"/>
                    <w:adjustRightInd w:val="0"/>
                    <w:snapToGrid w:val="0"/>
                    <w:spacing w:line="240" w:lineRule="auto"/>
                    <w:ind w:left="0" w:leftChars="0" w:firstLine="0" w:firstLineChars="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（二）</w:t>
                  </w: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存放物料，倾倒垃圾、矿渣、煤灰、废弃土石料和其他废弃物；</w:t>
                  </w:r>
                </w:p>
                <w:p>
                  <w:pPr>
                    <w:autoSpaceDE w:val="0"/>
                    <w:autoSpaceDN w:val="0"/>
                    <w:adjustRightInd w:val="0"/>
                    <w:snapToGrid w:val="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（三）</w:t>
                  </w: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围河造田、种植阻水林木和高秆作物。</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本项目为水土保持及河道水生态修复工程</w:t>
                  </w:r>
                  <w:r>
                    <w:rPr>
                      <w:rFonts w:hint="eastAsia" w:ascii="Times New Roman" w:hAnsi="Times New Roman"/>
                      <w:bCs/>
                      <w:color w:val="000000" w:themeColor="text1"/>
                      <w:sz w:val="21"/>
                      <w:szCs w:val="21"/>
                      <w:lang w:eastAsia="zh-CN"/>
                      <w14:textFill>
                        <w14:solidFill>
                          <w14:schemeClr w14:val="tx1"/>
                        </w14:solidFill>
                      </w14:textFill>
                    </w:rPr>
                    <w:t>，</w:t>
                  </w:r>
                  <w:r>
                    <w:rPr>
                      <w:rFonts w:ascii="Times New Roman" w:hAnsi="Times New Roman"/>
                      <w:bCs/>
                      <w:color w:val="000000" w:themeColor="text1"/>
                      <w:sz w:val="21"/>
                      <w:szCs w:val="21"/>
                      <w:lang w:eastAsia="zh-CN"/>
                      <w14:textFill>
                        <w14:solidFill>
                          <w14:schemeClr w14:val="tx1"/>
                        </w14:solidFill>
                      </w14:textFill>
                    </w:rPr>
                    <w:t>属于</w:t>
                  </w:r>
                  <w:r>
                    <w:rPr>
                      <w:rFonts w:hint="eastAsia" w:ascii="Times New Roman" w:hAnsi="Times New Roman"/>
                      <w:color w:val="000000" w:themeColor="text1"/>
                      <w:sz w:val="21"/>
                      <w:szCs w:val="21"/>
                      <w:lang w:eastAsia="zh-CN"/>
                      <w14:textFill>
                        <w14:solidFill>
                          <w14:schemeClr w14:val="tx1"/>
                        </w14:solidFill>
                      </w14:textFill>
                    </w:rPr>
                    <w:t>防</w:t>
                  </w:r>
                  <w:r>
                    <w:rPr>
                      <w:rFonts w:hint="eastAsia" w:ascii="Times New Roman" w:hAnsi="Times New Roman"/>
                      <w:bCs/>
                      <w:color w:val="000000" w:themeColor="text1"/>
                      <w:sz w:val="21"/>
                      <w:szCs w:val="21"/>
                      <w:lang w:eastAsia="zh-CN"/>
                      <w14:textFill>
                        <w14:solidFill>
                          <w14:schemeClr w14:val="tx1"/>
                        </w14:solidFill>
                      </w14:textFill>
                    </w:rPr>
                    <w:t>洪除涝工程</w:t>
                  </w:r>
                  <w:r>
                    <w:rPr>
                      <w:rFonts w:ascii="Times New Roman" w:hAnsi="Times New Roman"/>
                      <w:bCs/>
                      <w:color w:val="000000" w:themeColor="text1"/>
                      <w:sz w:val="21"/>
                      <w:szCs w:val="21"/>
                      <w:lang w:eastAsia="zh-CN"/>
                      <w14:textFill>
                        <w14:solidFill>
                          <w14:schemeClr w14:val="tx1"/>
                        </w14:solidFill>
                      </w14:textFill>
                    </w:rPr>
                    <w:t>，不属于条例中禁止的行为。</w:t>
                  </w:r>
                </w:p>
              </w:tc>
              <w:tc>
                <w:tcPr>
                  <w:tcW w:w="519"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jc w:val="center"/>
                    <w:rPr>
                      <w:rFonts w:hint="eastAsia" w:cs="Times New Roman"/>
                      <w:color w:val="000000" w:themeColor="text1"/>
                      <w:sz w:val="21"/>
                      <w:szCs w:val="21"/>
                      <w:lang w:eastAsia="zh-CN"/>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t>第二十三条 在河道管理范围内采运砂、石、土料以及淘金等，必须报经水行政主管部门批准，按照指定范围和要求作业，并按规定向水行政主管部门缴纳管理费。</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ascii="Times New Roman" w:hAnsi="Times New Roman"/>
                      <w:bCs/>
                      <w:color w:val="000000" w:themeColor="text1"/>
                      <w:sz w:val="21"/>
                      <w:szCs w:val="21"/>
                      <w:lang w:eastAsia="zh-CN"/>
                      <w14:textFill>
                        <w14:solidFill>
                          <w14:schemeClr w14:val="tx1"/>
                        </w14:solidFill>
                      </w14:textFill>
                    </w:rPr>
                    <w:t>本项目不涉及在河道管理范围内采运砂、石、土料以及淘金等行为。</w:t>
                  </w:r>
                </w:p>
              </w:tc>
              <w:tc>
                <w:tcPr>
                  <w:tcW w:w="519" w:type="dxa"/>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restart"/>
                  <w:tcBorders>
                    <w:tl2br w:val="nil"/>
                    <w:tr2bl w:val="nil"/>
                  </w:tcBorders>
                  <w:vAlign w:val="center"/>
                </w:tcPr>
                <w:p>
                  <w:pPr>
                    <w:pStyle w:val="66"/>
                    <w:adjustRightInd w:val="0"/>
                    <w:snapToGrid w:val="0"/>
                    <w:spacing w:after="0"/>
                    <w:jc w:val="cente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《西安市秦岭生态环境保护条例》</w:t>
                  </w:r>
                </w:p>
              </w:tc>
              <w:tc>
                <w:tcPr>
                  <w:tcW w:w="8880" w:type="dxa"/>
                  <w:gridSpan w:val="5"/>
                  <w:tcBorders>
                    <w:tl2br w:val="nil"/>
                    <w:tr2bl w:val="nil"/>
                  </w:tcBorders>
                  <w:vAlign w:val="center"/>
                </w:tcPr>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第三十三条秦岭范围下列区域，除国土空间规划确定的城镇开发边界范围外，应当划为核心保护区：</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（一）海拔2000米以上区域，秦岭山系主梁两侧各1000米以内、主要支脉两侧各500米以内的区域；</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（二）国家公园、自然保护区的核心保护区，世界遗产；</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（三）饮用水水源一级保护区；</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（四）自然保护区一般控制区中珍稀濒危野生动物栖息地与其他重要生态功能区集中连片，需要整体性、系统性保护的区域。</w:t>
                  </w:r>
                </w:p>
                <w:p>
                  <w:pPr>
                    <w:autoSpaceDE w:val="0"/>
                    <w:autoSpaceDN w:val="0"/>
                    <w:adjustRightInd w:val="0"/>
                    <w:snapToGrid w:val="0"/>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 w:val="21"/>
                      <w:szCs w:val="21"/>
                      <w14:textFill>
                        <w14:solidFill>
                          <w14:schemeClr w14:val="tx1"/>
                        </w14:solidFill>
                      </w14:textFill>
                    </w:rPr>
                    <w:t>第三十七条核心保护区内，实施生态功能全方位保护，严格控制人为因素对自然生态和自然文化遗产原真性、完整性的干扰和影响。</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项目各工程建设段海拔高度</w:t>
                  </w:r>
                  <w:r>
                    <w:rPr>
                      <w:rFonts w:hint="eastAsia" w:ascii="Times New Roman" w:hAnsi="Times New Roman"/>
                      <w:bCs/>
                      <w:color w:val="000000" w:themeColor="text1"/>
                      <w:sz w:val="21"/>
                      <w:szCs w:val="21"/>
                      <w:lang w:val="en-US" w:eastAsia="zh-CN"/>
                      <w14:textFill>
                        <w14:solidFill>
                          <w14:schemeClr w14:val="tx1"/>
                        </w14:solidFill>
                      </w14:textFill>
                    </w:rPr>
                    <w:t>范围</w:t>
                  </w:r>
                  <w:r>
                    <w:rPr>
                      <w:rFonts w:hint="eastAsia" w:ascii="Times New Roman" w:hAnsi="Times New Roman"/>
                      <w:bCs/>
                      <w:color w:val="000000" w:themeColor="text1"/>
                      <w:sz w:val="21"/>
                      <w:szCs w:val="21"/>
                      <w:lang w:eastAsia="zh-CN"/>
                      <w14:textFill>
                        <w14:solidFill>
                          <w14:schemeClr w14:val="tx1"/>
                        </w14:solidFill>
                      </w14:textFill>
                    </w:rPr>
                    <w:t>在</w:t>
                  </w:r>
                  <w:r>
                    <w:rPr>
                      <w:rFonts w:hint="eastAsia" w:ascii="Times New Roman" w:hAnsi="Times New Roman"/>
                      <w:bCs/>
                      <w:color w:val="000000" w:themeColor="text1"/>
                      <w:sz w:val="21"/>
                      <w:szCs w:val="21"/>
                      <w:lang w:val="en-US" w:eastAsia="zh-CN"/>
                      <w14:textFill>
                        <w14:solidFill>
                          <w14:schemeClr w14:val="tx1"/>
                        </w14:solidFill>
                      </w14:textFill>
                    </w:rPr>
                    <w:t>771.2-1429.7m内，</w:t>
                  </w:r>
                  <w:r>
                    <w:rPr>
                      <w:rFonts w:hint="eastAsia" w:ascii="Times New Roman" w:hAnsi="Times New Roman"/>
                      <w:bCs/>
                      <w:color w:val="000000" w:themeColor="text1"/>
                      <w:sz w:val="21"/>
                      <w:szCs w:val="21"/>
                      <w:lang w:eastAsia="zh-CN"/>
                      <w14:textFill>
                        <w14:solidFill>
                          <w14:schemeClr w14:val="tx1"/>
                        </w14:solidFill>
                      </w14:textFill>
                    </w:rPr>
                    <w:t>低于</w:t>
                  </w:r>
                  <w:r>
                    <w:rPr>
                      <w:rFonts w:hint="eastAsia" w:ascii="Times New Roman" w:hAnsi="Times New Roman"/>
                      <w:bCs/>
                      <w:color w:val="000000" w:themeColor="text1"/>
                      <w:sz w:val="21"/>
                      <w:szCs w:val="21"/>
                      <w:lang w:val="en-US" w:eastAsia="zh-CN"/>
                      <w14:textFill>
                        <w14:solidFill>
                          <w14:schemeClr w14:val="tx1"/>
                        </w14:solidFill>
                      </w14:textFill>
                    </w:rPr>
                    <w:t>1500</w:t>
                  </w:r>
                  <w:r>
                    <w:rPr>
                      <w:rFonts w:hint="eastAsia" w:ascii="Times New Roman" w:hAnsi="Times New Roman"/>
                      <w:bCs/>
                      <w:color w:val="000000" w:themeColor="text1"/>
                      <w:sz w:val="21"/>
                      <w:szCs w:val="21"/>
                      <w:lang w:eastAsia="zh-CN"/>
                      <w14:textFill>
                        <w14:solidFill>
                          <w14:schemeClr w14:val="tx1"/>
                        </w14:solidFill>
                      </w14:textFill>
                    </w:rPr>
                    <w:t>m，不属于</w:t>
                  </w:r>
                  <w:r>
                    <w:rPr>
                      <w:bCs/>
                      <w:color w:val="000000" w:themeColor="text1"/>
                      <w:sz w:val="21"/>
                      <w:szCs w:val="21"/>
                      <w:lang w:eastAsia="zh-CN"/>
                      <w14:textFill>
                        <w14:solidFill>
                          <w14:schemeClr w14:val="tx1"/>
                        </w14:solidFill>
                      </w14:textFill>
                    </w:rPr>
                    <w:t>国家公园、自然保护区的核心保护区</w:t>
                  </w:r>
                  <w:r>
                    <w:rPr>
                      <w:rFonts w:hint="eastAsia"/>
                      <w:bCs/>
                      <w:color w:val="000000" w:themeColor="text1"/>
                      <w:sz w:val="21"/>
                      <w:szCs w:val="21"/>
                      <w:lang w:eastAsia="zh-CN"/>
                      <w14:textFill>
                        <w14:solidFill>
                          <w14:schemeClr w14:val="tx1"/>
                        </w14:solidFill>
                      </w14:textFill>
                    </w:rPr>
                    <w:t>、</w:t>
                  </w:r>
                  <w:r>
                    <w:rPr>
                      <w:bCs/>
                      <w:color w:val="000000" w:themeColor="text1"/>
                      <w:sz w:val="21"/>
                      <w:szCs w:val="21"/>
                      <w:lang w:eastAsia="zh-CN"/>
                      <w14:textFill>
                        <w14:solidFill>
                          <w14:schemeClr w14:val="tx1"/>
                        </w14:solidFill>
                      </w14:textFill>
                    </w:rPr>
                    <w:t>世界遗产</w:t>
                  </w:r>
                  <w:r>
                    <w:rPr>
                      <w:rFonts w:hint="eastAsia"/>
                      <w:bCs/>
                      <w:color w:val="000000" w:themeColor="text1"/>
                      <w:sz w:val="21"/>
                      <w:szCs w:val="21"/>
                      <w:lang w:eastAsia="zh-CN"/>
                      <w14:textFill>
                        <w14:solidFill>
                          <w14:schemeClr w14:val="tx1"/>
                        </w14:solidFill>
                      </w14:textFill>
                    </w:rPr>
                    <w:t>、</w:t>
                  </w:r>
                  <w:r>
                    <w:rPr>
                      <w:bCs/>
                      <w:color w:val="000000" w:themeColor="text1"/>
                      <w:sz w:val="21"/>
                      <w:szCs w:val="21"/>
                      <w:lang w:eastAsia="zh-CN"/>
                      <w14:textFill>
                        <w14:solidFill>
                          <w14:schemeClr w14:val="tx1"/>
                        </w14:solidFill>
                      </w14:textFill>
                    </w:rPr>
                    <w:t>饮用水水源一级保护区</w:t>
                  </w:r>
                  <w:r>
                    <w:rPr>
                      <w:rFonts w:hint="eastAsia" w:ascii="Times New Roman" w:hAnsi="Times New Roman"/>
                      <w:bCs/>
                      <w:color w:val="000000" w:themeColor="text1"/>
                      <w:kern w:val="2"/>
                      <w:sz w:val="21"/>
                      <w:szCs w:val="21"/>
                      <w:lang w:eastAsia="zh-CN"/>
                      <w14:textFill>
                        <w14:solidFill>
                          <w14:schemeClr w14:val="tx1"/>
                        </w14:solidFill>
                      </w14:textFill>
                    </w:rPr>
                    <w:t>，项目所在工程区域不位于秦岭核心保护区，建设范围涉及重点保护区及一般保护区。</w:t>
                  </w:r>
                </w:p>
              </w:tc>
              <w:tc>
                <w:tcPr>
                  <w:tcW w:w="5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jc w:val="center"/>
                    <w:rPr>
                      <w:rFonts w:hint="eastAsia" w:cs="Times New Roman"/>
                      <w:color w:val="000000" w:themeColor="text1"/>
                      <w:sz w:val="21"/>
                      <w:szCs w:val="21"/>
                      <w:lang w:eastAsia="zh-CN"/>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第三十四条秦岭范围下列区域，除核心保护区、国土空间规划确定的城镇开发边界范围外，应当划为重点保护区：</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（一）海拔1500米至2000米之间的区域；</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（二）国家公园、自然保护区的一般控制区，饮用水水源二级保护区；</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（三）国家级和省级风景名胜区、地质公园、森林公园、湿地公园等自然公园的重要功能区，植物园、水利风景区；</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（四）水产种质资源保护区、野生植物原生境保护区（点）、野生动物重要栖息地，国有天然林分布区，重要湿地，重要的大中型水库、天然湖泊；</w:t>
                  </w:r>
                </w:p>
                <w:p>
                  <w:pPr>
                    <w:autoSpaceDE w:val="0"/>
                    <w:autoSpaceDN w:val="0"/>
                    <w:adjustRightInd w:val="0"/>
                    <w:snapToGrid w:val="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（五）全国重点文物保护单位、省级文物保护单位。</w:t>
                  </w:r>
                </w:p>
                <w:p>
                  <w:pPr>
                    <w:autoSpaceDE w:val="0"/>
                    <w:autoSpaceDN w:val="0"/>
                    <w:adjustRightInd w:val="0"/>
                    <w:snapToGrid w:val="0"/>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14:textFill>
                        <w14:solidFill>
                          <w14:schemeClr w14:val="tx1"/>
                        </w14:solidFill>
                      </w14:textFill>
                    </w:rPr>
                    <w:t>第三十八条重点保护区内， 应当以植被、水源地和生物多样性保护为主，恢复植被、退耕还林还草。</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根据“三线一单”比对结果，项目部分工程位于秦岭重点保护区范围内。</w:t>
                  </w:r>
                  <w:r>
                    <w:rPr>
                      <w:rFonts w:hint="eastAsia" w:ascii="Times New Roman" w:hAnsi="Times New Roman"/>
                      <w:bCs/>
                      <w:color w:val="000000" w:themeColor="text1"/>
                      <w:kern w:val="2"/>
                      <w:sz w:val="21"/>
                      <w:szCs w:val="21"/>
                      <w:lang w:eastAsia="zh-CN"/>
                      <w14:textFill>
                        <w14:solidFill>
                          <w14:schemeClr w14:val="tx1"/>
                        </w14:solidFill>
                      </w14:textFill>
                    </w:rPr>
                    <w:t>本项目</w:t>
                  </w:r>
                  <w:r>
                    <w:rPr>
                      <w:rFonts w:hint="eastAsia" w:ascii="Times New Roman" w:hAnsi="Times New Roman"/>
                      <w:bCs/>
                      <w:color w:val="000000" w:themeColor="text1"/>
                      <w:sz w:val="21"/>
                      <w:szCs w:val="21"/>
                      <w:lang w:eastAsia="zh-CN"/>
                      <w14:textFill>
                        <w14:solidFill>
                          <w14:schemeClr w14:val="tx1"/>
                        </w14:solidFill>
                      </w14:textFill>
                    </w:rPr>
                    <w:t>主要建设内容为河道岸堤修复工程和水土流失治理工程，符合条例中</w:t>
                  </w:r>
                  <w:r>
                    <w:rPr>
                      <w:rFonts w:hint="eastAsia"/>
                      <w:bCs/>
                      <w:color w:val="000000" w:themeColor="text1"/>
                      <w:sz w:val="21"/>
                      <w:szCs w:val="21"/>
                      <w:lang w:eastAsia="zh-CN"/>
                      <w14:textFill>
                        <w14:solidFill>
                          <w14:schemeClr w14:val="tx1"/>
                        </w14:solidFill>
                      </w14:textFill>
                    </w:rPr>
                    <w:t>重点保护区保护要求</w:t>
                  </w:r>
                  <w:r>
                    <w:rPr>
                      <w:rFonts w:hint="eastAsia" w:ascii="Times New Roman" w:hAnsi="Times New Roman"/>
                      <w:bCs/>
                      <w:color w:val="000000" w:themeColor="text1"/>
                      <w:sz w:val="21"/>
                      <w:szCs w:val="21"/>
                      <w:lang w:eastAsia="zh-CN"/>
                      <w14:textFill>
                        <w14:solidFill>
                          <w14:schemeClr w14:val="tx1"/>
                        </w14:solidFill>
                      </w14:textFill>
                    </w:rPr>
                    <w:t>。</w:t>
                  </w:r>
                </w:p>
              </w:tc>
              <w:tc>
                <w:tcPr>
                  <w:tcW w:w="5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jc w:val="center"/>
                    <w:rPr>
                      <w:rFonts w:hint="eastAsia" w:cs="Times New Roman"/>
                      <w:color w:val="000000" w:themeColor="text1"/>
                      <w:sz w:val="21"/>
                      <w:szCs w:val="21"/>
                      <w:lang w:eastAsia="zh-CN"/>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14:textFill>
                        <w14:solidFill>
                          <w14:schemeClr w14:val="tx1"/>
                        </w14:solidFill>
                      </w14:textFill>
                    </w:rPr>
                    <w:t>第三十六条秦岭范围内，禁止下列活动：</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一</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房地产开发；</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二</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开山采石；</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三</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新建宗教活动场所；</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四</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新建、扩建经营性公墓；</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五</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新建高尔夫球场；</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六</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法律、法规禁止的其他活动。秦岭山体坡底以上区域，除实施能源、交通、水利、国防等重大基础设施建设和战略性矿产资源勘查项目外，还禁止下列活动：</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一</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勘查、开采矿产资源；</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二</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扩建、异地重建宗教活动场所；</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三</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新建水电站；</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四</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新建宾馆、招待所、培训中心、疗养院、度假山庄；</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五</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削山造地、挖地造湖。</w:t>
                  </w:r>
                </w:p>
              </w:tc>
              <w:tc>
                <w:tcPr>
                  <w:tcW w:w="2067" w:type="dxa"/>
                  <w:tcBorders>
                    <w:tl2br w:val="nil"/>
                    <w:tr2bl w:val="nil"/>
                  </w:tcBorders>
                  <w:vAlign w:val="center"/>
                </w:tcPr>
                <w:p>
                  <w:pPr>
                    <w:pStyle w:val="66"/>
                    <w:adjustRightInd w:val="0"/>
                    <w:snapToGrid w:val="0"/>
                    <w:spacing w:after="0" w:line="240" w:lineRule="auto"/>
                    <w:jc w:val="both"/>
                    <w:rPr>
                      <w:rFonts w:hint="eastAsia" w:ascii="Calibri" w:hAnsi="Calibri" w:eastAsia="宋体" w:cs="Times New Roman"/>
                      <w:bCs/>
                      <w:color w:val="000000" w:themeColor="text1"/>
                      <w:sz w:val="21"/>
                      <w:szCs w:val="21"/>
                      <w:lang w:val="en-US" w:eastAsia="zh-CN" w:bidi="ar-SA"/>
                      <w14:textFill>
                        <w14:solidFill>
                          <w14:schemeClr w14:val="tx1"/>
                        </w14:solidFill>
                      </w14:textFill>
                    </w:rPr>
                  </w:pPr>
                  <w:r>
                    <w:rPr>
                      <w:rFonts w:hint="eastAsia"/>
                      <w:bCs/>
                      <w:color w:val="000000" w:themeColor="text1"/>
                      <w:sz w:val="21"/>
                      <w:szCs w:val="21"/>
                      <w:lang w:eastAsia="zh-CN"/>
                      <w14:textFill>
                        <w14:solidFill>
                          <w14:schemeClr w14:val="tx1"/>
                        </w14:solidFill>
                      </w14:textFill>
                    </w:rPr>
                    <w:t>本项目的建设内容不属于禁止活动范围。</w:t>
                  </w:r>
                </w:p>
              </w:tc>
              <w:tc>
                <w:tcPr>
                  <w:tcW w:w="5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jc w:val="center"/>
                    <w:rPr>
                      <w:rFonts w:hint="eastAsia" w:cs="Times New Roman"/>
                      <w:color w:val="000000" w:themeColor="text1"/>
                      <w:sz w:val="21"/>
                      <w:szCs w:val="21"/>
                      <w:lang w:eastAsia="zh-CN"/>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14:textFill>
                        <w14:solidFill>
                          <w14:schemeClr w14:val="tx1"/>
                        </w14:solidFill>
                      </w14:textFill>
                    </w:rPr>
                    <w:t>第三十九条一般保护区内，应当以提高绿化面积，发展生态农业、生态旅游为主，可以发展区域环境资源可承载的产业和进行必要的村镇建设。</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bCs/>
                      <w:color w:val="000000" w:themeColor="text1"/>
                      <w:sz w:val="21"/>
                      <w:szCs w:val="21"/>
                      <w:lang w:eastAsia="zh-CN"/>
                      <w14:textFill>
                        <w14:solidFill>
                          <w14:schemeClr w14:val="tx1"/>
                        </w14:solidFill>
                      </w14:textFill>
                    </w:rPr>
                    <w:t>本项目主要建设内容为河道岸堤修复工程和水土流失治理工程，符合条例要求。</w:t>
                  </w:r>
                </w:p>
              </w:tc>
              <w:tc>
                <w:tcPr>
                  <w:tcW w:w="5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jc w:val="center"/>
                    <w:rPr>
                      <w:rFonts w:hint="eastAsia" w:cs="Times New Roman"/>
                      <w:color w:val="000000" w:themeColor="text1"/>
                      <w:sz w:val="21"/>
                      <w:szCs w:val="21"/>
                      <w:lang w:eastAsia="zh-CN"/>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14:textFill>
                        <w14:solidFill>
                          <w14:schemeClr w14:val="tx1"/>
                        </w14:solidFill>
                      </w14:textFill>
                    </w:rPr>
                    <w:t>第四十七条严格保护饮用水水源安全。饮用水水源保护区内，禁止设置排污口，已有的排污口应当限期拆除。</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bCs/>
                      <w:color w:val="000000" w:themeColor="text1"/>
                      <w:sz w:val="21"/>
                      <w:szCs w:val="21"/>
                      <w:lang w:eastAsia="zh-CN"/>
                      <w14:textFill>
                        <w14:solidFill>
                          <w14:schemeClr w14:val="tx1"/>
                        </w14:solidFill>
                      </w14:textFill>
                    </w:rPr>
                    <w:t>本项目不涉及</w:t>
                  </w:r>
                  <w:r>
                    <w:rPr>
                      <w:rFonts w:hint="eastAsia"/>
                      <w:bCs/>
                      <w:color w:val="000000" w:themeColor="text1"/>
                      <w:sz w:val="21"/>
                      <w:szCs w:val="21"/>
                      <w14:textFill>
                        <w14:solidFill>
                          <w14:schemeClr w14:val="tx1"/>
                        </w14:solidFill>
                      </w14:textFill>
                    </w:rPr>
                    <w:t>饮用水水源保护区</w:t>
                  </w:r>
                  <w:r>
                    <w:rPr>
                      <w:rFonts w:hint="eastAsia"/>
                      <w:bCs/>
                      <w:color w:val="000000" w:themeColor="text1"/>
                      <w:sz w:val="21"/>
                      <w:szCs w:val="21"/>
                      <w:lang w:eastAsia="zh-CN"/>
                      <w14:textFill>
                        <w14:solidFill>
                          <w14:schemeClr w14:val="tx1"/>
                        </w14:solidFill>
                      </w14:textFill>
                    </w:rPr>
                    <w:t>，运行过程中不产生污染物，不新增排污口。</w:t>
                  </w:r>
                </w:p>
              </w:tc>
              <w:tc>
                <w:tcPr>
                  <w:tcW w:w="519" w:type="dxa"/>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tcBorders>
                    <w:tl2br w:val="nil"/>
                    <w:tr2bl w:val="nil"/>
                  </w:tcBorders>
                  <w:vAlign w:val="center"/>
                </w:tcPr>
                <w:p>
                  <w:pPr>
                    <w:pStyle w:val="66"/>
                    <w:adjustRightInd w:val="0"/>
                    <w:snapToGrid w:val="0"/>
                    <w:spacing w:after="0"/>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《西安市长安区”十四五“生态文明建设和环境保护规划（2021-2025）》</w:t>
                  </w:r>
                </w:p>
              </w:tc>
              <w:tc>
                <w:tcPr>
                  <w:tcW w:w="8880" w:type="dxa"/>
                  <w:gridSpan w:val="5"/>
                  <w:tcBorders>
                    <w:tl2br w:val="nil"/>
                    <w:tr2bl w:val="nil"/>
                  </w:tcBorders>
                  <w:vAlign w:val="center"/>
                </w:tcPr>
                <w:p>
                  <w:pPr>
                    <w:autoSpaceDE w:val="0"/>
                    <w:autoSpaceDN w:val="0"/>
                    <w:adjustRightInd w:val="0"/>
                    <w:snapToGrid w:val="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快生态环境修复治理。以保护和恢复森林植被为核心，实施天然林、原生植被保护工程，开展退化林修复，不断提升水源涵养能力和生态系统稳定性。强化森林资源管理，完成全区野生珍稀植物种植资源和古树名木调查，编制长安区珍稀野生植物保护利用方案。加强珍稀濒危物种栖息地保护和恢复，积极推进生态廊道建设，扩大野生动植物生存空间，丰富野生珍稀植物种群强化森林防火、有害生物防治体系建设，保护存量森林资源。建立林产品质量检验实验室，加快湿地保护系统工程建设，整合优化自然保护地体系，维护秦岭生态平衡。</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本项目为水土保持及河道水生态修复工程</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，施工过程采取合理措施后对生态环境影响较小，施工结束后</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对</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生态环境有补强作用</w:t>
                  </w:r>
                </w:p>
              </w:tc>
              <w:tc>
                <w:tcPr>
                  <w:tcW w:w="519" w:type="dxa"/>
                  <w:tcBorders>
                    <w:tl2br w:val="nil"/>
                    <w:tr2bl w:val="nil"/>
                  </w:tcBorders>
                  <w:vAlign w:val="center"/>
                </w:tcPr>
                <w:p>
                  <w:pPr>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restart"/>
                  <w:tcBorders>
                    <w:tl2br w:val="nil"/>
                    <w:tr2bl w:val="nil"/>
                  </w:tcBorders>
                  <w:vAlign w:val="center"/>
                </w:tcPr>
                <w:p>
                  <w:pPr>
                    <w:pStyle w:val="66"/>
                    <w:adjustRightInd w:val="0"/>
                    <w:snapToGrid w:val="0"/>
                    <w:spacing w:after="0"/>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《西安市大气污染治理专项行动方案（2023-2027年）》</w:t>
                  </w:r>
                </w:p>
              </w:tc>
              <w:tc>
                <w:tcPr>
                  <w:tcW w:w="8880" w:type="dxa"/>
                  <w:gridSpan w:val="5"/>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eastAsia" w:ascii="Times New Roman" w:hAnsi="Times New Roman" w:eastAsia="宋体" w:cs="Times New Roman"/>
                      <w:bCs/>
                      <w:smallCap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Cs/>
                      <w:smallCaps w:val="0"/>
                      <w:color w:val="000000" w:themeColor="text1"/>
                      <w:sz w:val="21"/>
                      <w:szCs w:val="21"/>
                      <w14:textFill>
                        <w14:solidFill>
                          <w14:schemeClr w14:val="tx1"/>
                        </w14:solidFill>
                      </w14:textFill>
                    </w:rPr>
                    <w:t>强化源头管控。严格落实国家和我省产业规划、产业政策、</w:t>
                  </w:r>
                  <w:r>
                    <w:rPr>
                      <w:rFonts w:hint="eastAsia"/>
                      <w:bCs/>
                      <w:smallCaps w:val="0"/>
                      <w:color w:val="000000" w:themeColor="text1"/>
                      <w:sz w:val="21"/>
                      <w:szCs w:val="21"/>
                      <w:lang w:eastAsia="zh-CN"/>
                      <w14:textFill>
                        <w14:solidFill>
                          <w14:schemeClr w14:val="tx1"/>
                        </w14:solidFill>
                      </w14:textFill>
                    </w:rPr>
                    <w:t>“</w:t>
                  </w:r>
                  <w:r>
                    <w:rPr>
                      <w:rFonts w:hint="eastAsia" w:ascii="Times New Roman" w:hAnsi="Times New Roman" w:eastAsia="宋体"/>
                      <w:bCs/>
                      <w:smallCaps w:val="0"/>
                      <w:color w:val="000000" w:themeColor="text1"/>
                      <w:sz w:val="21"/>
                      <w:szCs w:val="21"/>
                      <w14:textFill>
                        <w14:solidFill>
                          <w14:schemeClr w14:val="tx1"/>
                        </w14:solidFill>
                      </w14:textFill>
                    </w:rPr>
                    <w:t>三线一单</w:t>
                  </w:r>
                  <w:r>
                    <w:rPr>
                      <w:rFonts w:hint="eastAsia"/>
                      <w:bCs/>
                      <w:smallCaps w:val="0"/>
                      <w:color w:val="000000" w:themeColor="text1"/>
                      <w:sz w:val="21"/>
                      <w:szCs w:val="21"/>
                      <w:lang w:eastAsia="zh-CN"/>
                      <w14:textFill>
                        <w14:solidFill>
                          <w14:schemeClr w14:val="tx1"/>
                        </w14:solidFill>
                      </w14:textFill>
                    </w:rPr>
                    <w:t>”</w:t>
                  </w:r>
                  <w:r>
                    <w:rPr>
                      <w:rFonts w:hint="eastAsia" w:ascii="Times New Roman" w:hAnsi="Times New Roman" w:eastAsia="宋体"/>
                      <w:bCs/>
                      <w:smallCaps w:val="0"/>
                      <w:color w:val="000000" w:themeColor="text1"/>
                      <w:sz w:val="21"/>
                      <w:szCs w:val="21"/>
                      <w14:textFill>
                        <w14:solidFill>
                          <w14:schemeClr w14:val="tx1"/>
                        </w14:solidFill>
                      </w14:textFill>
                    </w:rPr>
                    <w:t>、规划环评等要求，深入开展我市区域空间生态环境评价工作，积极推行区域、规划环境影响评价。</w:t>
                  </w:r>
                </w:p>
              </w:tc>
              <w:tc>
                <w:tcPr>
                  <w:tcW w:w="206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宋体" w:cs="Times New Roman"/>
                      <w:bCs/>
                      <w:smallCap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Cs/>
                      <w:smallCaps w:val="0"/>
                      <w:color w:val="000000" w:themeColor="text1"/>
                      <w:sz w:val="21"/>
                      <w:szCs w:val="21"/>
                      <w14:textFill>
                        <w14:solidFill>
                          <w14:schemeClr w14:val="tx1"/>
                        </w14:solidFill>
                      </w14:textFill>
                    </w:rPr>
                    <w:t>本项目落实国家和我省的产业政策、</w:t>
                  </w:r>
                  <w:r>
                    <w:rPr>
                      <w:rFonts w:hint="eastAsia"/>
                      <w:bCs/>
                      <w:smallCaps w:val="0"/>
                      <w:color w:val="000000" w:themeColor="text1"/>
                      <w:sz w:val="21"/>
                      <w:szCs w:val="21"/>
                      <w:lang w:eastAsia="zh-CN"/>
                      <w14:textFill>
                        <w14:solidFill>
                          <w14:schemeClr w14:val="tx1"/>
                        </w14:solidFill>
                      </w14:textFill>
                    </w:rPr>
                    <w:t>“</w:t>
                  </w:r>
                  <w:r>
                    <w:rPr>
                      <w:rFonts w:hint="eastAsia" w:ascii="Times New Roman" w:hAnsi="Times New Roman" w:eastAsia="宋体"/>
                      <w:bCs/>
                      <w:smallCaps w:val="0"/>
                      <w:color w:val="000000" w:themeColor="text1"/>
                      <w:sz w:val="21"/>
                      <w:szCs w:val="21"/>
                      <w14:textFill>
                        <w14:solidFill>
                          <w14:schemeClr w14:val="tx1"/>
                        </w14:solidFill>
                      </w14:textFill>
                    </w:rPr>
                    <w:t>三线一单</w:t>
                  </w:r>
                  <w:r>
                    <w:rPr>
                      <w:rFonts w:hint="eastAsia"/>
                      <w:bCs/>
                      <w:smallCaps w:val="0"/>
                      <w:color w:val="000000" w:themeColor="text1"/>
                      <w:sz w:val="21"/>
                      <w:szCs w:val="21"/>
                      <w:lang w:eastAsia="zh-CN"/>
                      <w14:textFill>
                        <w14:solidFill>
                          <w14:schemeClr w14:val="tx1"/>
                        </w14:solidFill>
                      </w14:textFill>
                    </w:rPr>
                    <w:t>”</w:t>
                  </w:r>
                  <w:r>
                    <w:rPr>
                      <w:rFonts w:hint="eastAsia" w:ascii="Times New Roman" w:hAnsi="Times New Roman" w:eastAsia="宋体"/>
                      <w:bCs/>
                      <w:smallCaps w:val="0"/>
                      <w:color w:val="000000" w:themeColor="text1"/>
                      <w:sz w:val="21"/>
                      <w:szCs w:val="21"/>
                      <w14:textFill>
                        <w14:solidFill>
                          <w14:schemeClr w14:val="tx1"/>
                        </w14:solidFill>
                      </w14:textFill>
                    </w:rPr>
                    <w:t>等要求，开展项目所在区域的空间生态环境相关内容。</w:t>
                  </w:r>
                </w:p>
              </w:tc>
              <w:tc>
                <w:tcPr>
                  <w:tcW w:w="519" w:type="dxa"/>
                  <w:tcBorders>
                    <w:tl2br w:val="nil"/>
                    <w:tr2bl w:val="nil"/>
                  </w:tcBorders>
                  <w:vAlign w:val="center"/>
                </w:tcPr>
                <w:p>
                  <w:pPr>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gridSpan w:val="3"/>
                  <w:vMerge w:val="continue"/>
                  <w:tcBorders>
                    <w:tl2br w:val="nil"/>
                    <w:tr2bl w:val="nil"/>
                  </w:tcBorders>
                  <w:vAlign w:val="center"/>
                </w:tcPr>
                <w:p>
                  <w:pPr>
                    <w:pStyle w:val="66"/>
                    <w:adjustRightInd w:val="0"/>
                    <w:snapToGrid w:val="0"/>
                    <w:spacing w:after="0"/>
                    <w:jc w:val="center"/>
                    <w:rPr>
                      <w:rFonts w:hint="eastAsia" w:ascii="Times New Roman" w:hAnsi="Times New Roman"/>
                      <w:color w:val="000000" w:themeColor="text1"/>
                      <w:sz w:val="21"/>
                      <w:szCs w:val="21"/>
                      <w:lang w:eastAsia="zh-CN"/>
                      <w14:textFill>
                        <w14:solidFill>
                          <w14:schemeClr w14:val="tx1"/>
                        </w14:solidFill>
                      </w14:textFill>
                    </w:rPr>
                  </w:pPr>
                </w:p>
              </w:tc>
              <w:tc>
                <w:tcPr>
                  <w:tcW w:w="8880" w:type="dxa"/>
                  <w:gridSpan w:val="5"/>
                  <w:tcBorders>
                    <w:tl2br w:val="nil"/>
                    <w:tr2bl w:val="nil"/>
                  </w:tcBorders>
                  <w:vAlign w:val="center"/>
                </w:tcPr>
                <w:p>
                  <w:pPr>
                    <w:autoSpaceDE w:val="0"/>
                    <w:autoSpaceDN w:val="0"/>
                    <w:adjustRightInd w:val="0"/>
                    <w:snapToGrid w:val="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以降低PM。指标为导向建立动态管控机制，施工场地严格执行</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六个百分百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七个到位</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，施工工地扬尘排放超过《施工扬尘排放限值》 (DB61/1078-2017)的立即停工整改</w:t>
                  </w:r>
                  <w:r>
                    <w:rPr>
                      <w:rFonts w:hint="eastAsia"/>
                      <w:color w:val="000000" w:themeColor="text1"/>
                      <w:sz w:val="21"/>
                      <w:szCs w:val="21"/>
                      <w:lang w:eastAsia="zh-CN"/>
                      <w14:textFill>
                        <w14:solidFill>
                          <w14:schemeClr w14:val="tx1"/>
                        </w14:solidFill>
                      </w14:textFill>
                    </w:rPr>
                    <w:t>。</w:t>
                  </w:r>
                </w:p>
              </w:tc>
              <w:tc>
                <w:tcPr>
                  <w:tcW w:w="2067" w:type="dxa"/>
                  <w:tcBorders>
                    <w:tl2br w:val="nil"/>
                    <w:tr2bl w:val="nil"/>
                  </w:tcBorders>
                  <w:vAlign w:val="center"/>
                </w:tcPr>
                <w:p>
                  <w:pPr>
                    <w:pStyle w:val="66"/>
                    <w:adjustRightInd w:val="0"/>
                    <w:snapToGrid w:val="0"/>
                    <w:spacing w:after="0" w:line="240" w:lineRule="auto"/>
                    <w:jc w:val="both"/>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项目施工期严格执行</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六个百分百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七个到位</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渣土车运输过程保持密闭，实施围挡封闭化施工。</w:t>
                  </w:r>
                </w:p>
              </w:tc>
              <w:tc>
                <w:tcPr>
                  <w:tcW w:w="519" w:type="dxa"/>
                  <w:tcBorders>
                    <w:tl2br w:val="nil"/>
                    <w:tr2bl w:val="nil"/>
                  </w:tcBorders>
                  <w:vAlign w:val="center"/>
                </w:tcPr>
                <w:p>
                  <w:pPr>
                    <w:jc w:val="center"/>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符合</w:t>
                  </w:r>
                </w:p>
              </w:tc>
            </w:tr>
          </w:tbl>
          <w:p>
            <w:pPr>
              <w:pStyle w:val="20"/>
              <w:ind w:left="0" w:leftChars="0" w:firstLine="0" w:firstLineChars="0"/>
              <w:rPr>
                <w:color w:val="000000" w:themeColor="text1"/>
                <w14:textFill>
                  <w14:solidFill>
                    <w14:schemeClr w14:val="tx1"/>
                  </w14:solidFill>
                </w14:textFill>
              </w:rPr>
            </w:pPr>
          </w:p>
        </w:tc>
      </w:tr>
    </w:tbl>
    <w:p>
      <w:pPr>
        <w:pStyle w:val="8"/>
        <w:rPr>
          <w:color w:val="000000" w:themeColor="text1"/>
          <w14:textFill>
            <w14:solidFill>
              <w14:schemeClr w14:val="tx1"/>
            </w14:solidFill>
          </w14:textFill>
        </w:rPr>
      </w:pPr>
    </w:p>
    <w:p>
      <w:pPr>
        <w:pStyle w:val="8"/>
        <w:rPr>
          <w:color w:val="000000" w:themeColor="text1"/>
          <w14:textFill>
            <w14:solidFill>
              <w14:schemeClr w14:val="tx1"/>
            </w14:solidFill>
          </w14:textFill>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51"/>
        <w:rPr>
          <w:color w:val="000000" w:themeColor="text1"/>
          <w14:textFill>
            <w14:solidFill>
              <w14:schemeClr w14:val="tx1"/>
            </w14:solidFill>
          </w14:textFill>
        </w:rPr>
      </w:pPr>
      <w:r>
        <w:rPr>
          <w:rFonts w:hint="eastAsia"/>
          <w:color w:val="000000" w:themeColor="text1"/>
          <w14:textFill>
            <w14:solidFill>
              <w14:schemeClr w14:val="tx1"/>
            </w14:solidFill>
          </w14:textFill>
        </w:rPr>
        <w:t>二、建设内容</w:t>
      </w:r>
    </w:p>
    <w:tbl>
      <w:tblPr>
        <w:tblStyle w:val="25"/>
        <w:tblW w:w="91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86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508" w:type="dxa"/>
            <w:vAlign w:val="center"/>
          </w:tcPr>
          <w:p>
            <w:pPr>
              <w:pStyle w:val="20"/>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地理位置</w:t>
            </w:r>
          </w:p>
        </w:tc>
        <w:tc>
          <w:tcPr>
            <w:tcW w:w="8677" w:type="dxa"/>
            <w:vAlign w:val="center"/>
          </w:tcPr>
          <w:p>
            <w:pPr>
              <w:pStyle w:val="20"/>
              <w:numPr>
                <w:ilvl w:val="0"/>
                <w:numId w:val="0"/>
              </w:numPr>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本项目位于陕西省西安市长安区潏河流域上游，工程涉及范围主要分为大峪河段及小峪河段，大峪河段起点为板庙子村，终点为五里庙村；小峪河段起点为大金坪村，终点为小峪村</w:t>
            </w:r>
            <w:r>
              <w:rPr>
                <w:rFonts w:hint="eastAsia"/>
                <w:color w:val="000000" w:themeColor="text1"/>
                <w14:textFill>
                  <w14:solidFill>
                    <w14:schemeClr w14:val="tx1"/>
                  </w14:solidFill>
                </w14:textFill>
              </w:rPr>
              <w:t>。具体地理位置见附图1。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508" w:type="dxa"/>
            <w:vAlign w:val="center"/>
          </w:tcPr>
          <w:p>
            <w:pPr>
              <w:pStyle w:val="20"/>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项目组成及规模</w:t>
            </w:r>
          </w:p>
        </w:tc>
        <w:tc>
          <w:tcPr>
            <w:tcW w:w="8677" w:type="dxa"/>
          </w:tcPr>
          <w:p>
            <w:pPr>
              <w:pStyle w:val="21"/>
              <w:ind w:firstLine="482" w:firstLineChars="200"/>
              <w:rPr>
                <w:rFonts w:hint="eastAsia" w:eastAsia="宋体"/>
                <w:b w:val="0"/>
                <w:bCs/>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b/>
                <w:bCs w:val="0"/>
                <w:color w:val="000000" w:themeColor="text1"/>
                <w14:textFill>
                  <w14:solidFill>
                    <w14:schemeClr w14:val="tx1"/>
                  </w14:solidFill>
                </w14:textFill>
              </w:rPr>
              <w:t>、项目</w:t>
            </w:r>
            <w:r>
              <w:rPr>
                <w:rFonts w:hint="eastAsia"/>
                <w:b/>
                <w:bCs w:val="0"/>
                <w:color w:val="000000" w:themeColor="text1"/>
                <w:lang w:eastAsia="zh-CN"/>
                <w14:textFill>
                  <w14:solidFill>
                    <w14:schemeClr w14:val="tx1"/>
                  </w14:solidFill>
                </w14:textFill>
              </w:rPr>
              <w:t>由来</w:t>
            </w:r>
          </w:p>
          <w:p>
            <w:pPr>
              <w:pStyle w:val="20"/>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b/>
                <w:bCs/>
                <w:color w:val="000000" w:themeColor="text1"/>
                <w:lang w:eastAsia="zh-CN"/>
                <w14:textFill>
                  <w14:solidFill>
                    <w14:schemeClr w14:val="tx1"/>
                  </w14:solidFill>
                </w14:textFill>
              </w:rPr>
            </w:pPr>
            <w:r>
              <w:rPr>
                <w:rFonts w:hint="eastAsia"/>
                <w:b w:val="0"/>
                <w:bCs/>
                <w:color w:val="000000" w:themeColor="text1"/>
                <w:lang w:eastAsia="zh-CN"/>
                <w14:textFill>
                  <w14:solidFill>
                    <w14:schemeClr w14:val="tx1"/>
                  </w14:solidFill>
                </w14:textFill>
              </w:rPr>
              <w:t>项目为贯彻落实党中央、国务院决策部署和习近平总书记对秦岭的重要讲话和重要指示批示精神，西安市人民政府编制了《陕西秦岭北麓主体山水林田湖草沙一体化项目实施方案》（简称《方案》），大力实施山水林田湖草沙一体化治理，坚决防止生态恶化，保护秦岭生态安全屏障和中央水塔，修复生态环境，让祖脉秦岭永葆生机，为秦岭生态治理保护做出应有的贡献。《方案》中明确，将秦岭北麓主体划分为“一屏、一带、一山、六水”4个修复分区，规划建设地下水补给、生物多样性保护、水源涵养提升、土地整治与地质环境治理、水土流失治理、流域生态环境综合整治以及智慧化管控体系7大类工程，分类布署35个子项目。子项目由子工程项目组成，子工程项目明确了具体绩效目标。潏河流域上游水土保持与河道水生态保护修复项目是《陕西秦岭北麓主体山水林田湖草沙一体化保护和修复工程项目》中的“潏河流域水土保持与生境修复单元”中子项目“潏河流域上游生态环境综合整治项目”的工程之一，也是属于“陕西秦岭北麓主体山水林田湖草沙一体化保护和修复工程项目第四批4个市级子工程”中</w:t>
            </w:r>
            <w:r>
              <w:rPr>
                <w:rFonts w:hint="eastAsia"/>
                <w:b w:val="0"/>
                <w:bCs/>
                <w:color w:val="000000" w:themeColor="text1"/>
                <w:lang w:val="en-US" w:eastAsia="zh-CN"/>
                <w14:textFill>
                  <w14:solidFill>
                    <w14:schemeClr w14:val="tx1"/>
                  </w14:solidFill>
                </w14:textFill>
              </w:rPr>
              <w:t>4个子工程之一，对于逐步构建潏河完整的流域生态系统，促进潏河流域上游生态功能提升具有重要意义</w:t>
            </w:r>
            <w:r>
              <w:rPr>
                <w:rFonts w:hint="eastAsia"/>
                <w:b w:val="0"/>
                <w:bCs/>
                <w:color w:val="000000" w:themeColor="text1"/>
                <w:lang w:eastAsia="zh-CN"/>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本项目的主要实施内容及预期目标：工程内容包括</w:t>
            </w:r>
            <w:r>
              <w:rPr>
                <w:rFonts w:hint="eastAsia" w:cs="Times New Roman"/>
                <w:color w:val="000000" w:themeColor="text1"/>
                <w14:textFill>
                  <w14:solidFill>
                    <w14:schemeClr w14:val="tx1"/>
                  </w14:solidFill>
                </w14:textFill>
              </w:rPr>
              <w:t>水土流失治理面积30hm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vertAlign w:val="baseline"/>
                <w:lang w:val="en-US" w:eastAsia="zh-CN"/>
                <w14:textFill>
                  <w14:solidFill>
                    <w14:schemeClr w14:val="tx1"/>
                  </w14:solidFill>
                </w14:textFill>
              </w:rPr>
              <w:t>，包括大峪河段水土流失治理地块2块，小峪河段水土流失治理地块5块。建设内容为种植水保林，种植油松25048株，栓皮栎25048株</w:t>
            </w:r>
            <w:r>
              <w:rPr>
                <w:rFonts w:hint="eastAsia" w:cs="Times New Roman"/>
                <w:color w:val="000000" w:themeColor="text1"/>
                <w:lang w:val="en-US" w:eastAsia="zh-CN"/>
                <w14:textFill>
                  <w14:solidFill>
                    <w14:schemeClr w14:val="tx1"/>
                  </w14:solidFill>
                </w14:textFill>
              </w:rPr>
              <w:t>；</w:t>
            </w:r>
            <w:r>
              <w:rPr>
                <w:rFonts w:hint="eastAsia" w:cs="Times New Roman"/>
                <w:color w:val="000000" w:themeColor="text1"/>
                <w14:textFill>
                  <w14:solidFill>
                    <w14:schemeClr w14:val="tx1"/>
                  </w14:solidFill>
                </w14:textFill>
              </w:rPr>
              <w:t>河道岸堤修复15.61km</w:t>
            </w:r>
            <w:r>
              <w:rPr>
                <w:rFonts w:hint="eastAsia" w:cs="Times New Roman"/>
                <w:color w:val="000000" w:themeColor="text1"/>
                <w:lang w:eastAsia="zh-CN"/>
                <w14:textFill>
                  <w14:solidFill>
                    <w14:schemeClr w14:val="tx1"/>
                  </w14:solidFill>
                </w14:textFill>
              </w:rPr>
              <w:t>，主要建设内容为浆砌石挡墙护岸工程1.513km（大峪河0.969km，小峪河0.544km），格宾石笼挡墙工程0.452km（大峪河0.238km，小峪河0.214km），防护林带1.738km（种植柳树290株、杨树290株），其余段位自然恢复，长度为11.907km。经过综合治理后，项目区的生态效益将发生很大的变化，通过生态复绿等治理措施，改变了原有单一林种的结构，初步形成乔、灌、草多层次多结构的植被群落，生态环境逐步向良性方向发展</w:t>
            </w:r>
            <w:r>
              <w:rPr>
                <w:rFonts w:hint="eastAsia"/>
                <w:b w:val="0"/>
                <w:bCs w:val="0"/>
                <w:color w:val="000000" w:themeColor="text1"/>
                <w:lang w:eastAsia="zh-CN"/>
                <w14:textFill>
                  <w14:solidFill>
                    <w14:schemeClr w14:val="tx1"/>
                  </w14:solidFill>
                </w14:textFill>
              </w:rPr>
              <w:t>。流失区植被恢复速度加快，提高了植被根系的固土功能，增加了土壤的下渗能力和保水能力，进而降低了土壤的可蚀能力，减少了坡面径流量，减轻了其侵蚀能力。实施本工程后增强蓄水、保土能力，保护土地不遭受破坏，避免水土流失面积继续扩大。土壤侵蚀强度达到轻度（含轻度）以下，面源污染得到有效控制，水土资源得到有效保护和合理利用。</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本项目工程实施后，通过各项水土保持治理措施的合理布设，形成了立体的水土保持综合防治体系，使水土流失得到有效控制，水土资源得到合理利用，蓄水、能力增强，保护土地不遭受破坏。潏河生态环境趋向良性转化，在河道冲毁、滑坡发生沟道，建设生态护岸，实现河道稳定，满足生态需水，提升河道面源污染的处理能力和水质净化，进一步改善生态环境。各项措施完成并充分发挥效益后，将进一步改善生态环境，减轻洪涝、崩塌等自然灾害，对保护农田、交通、村镇，为群众构建安居乐业的生产生活环境，维护社会安定有重要的作用。</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建设项目行业类别判定：</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本项目主要建设内容为河道岸堤修复工程和水土流失治理工程。因建设单位水土流失治理工程部分内容正在调整，且对照《建设项目环境影响评价分类管理名录（2021年）》，水土流失治理工程不需要进行环境影响评价，故本次评价只评价河道岸堤修复工程中的格宾石笼挡墙护岸工程和浆砌石挡墙护岸工程。</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根据水利部《水利基本建设投资计划管理暂行办法》（水规计〔2003〕344号）第二章“水利基本建设项目类型划分”第九条“水利基本建设项目根据其建设规模和投资额分为大中型和小型项目”。堤防工程大中型项目是指满足下列条件之一的项目：1、一、二级堤防；</w:t>
            </w:r>
            <w:r>
              <w:rPr>
                <w:rFonts w:hint="eastAsia"/>
                <w:b w:val="0"/>
                <w:bCs w:val="0"/>
                <w:color w:val="000000" w:themeColor="text1"/>
                <w:lang w:val="en-US" w:eastAsia="zh-CN"/>
                <w14:textFill>
                  <w14:solidFill>
                    <w14:schemeClr w14:val="tx1"/>
                  </w14:solidFill>
                </w14:textFill>
              </w:rPr>
              <w:t>2</w:t>
            </w:r>
            <w:r>
              <w:rPr>
                <w:rFonts w:hint="eastAsia"/>
                <w:b w:val="0"/>
                <w:bCs w:val="0"/>
                <w:color w:val="000000" w:themeColor="text1"/>
                <w:lang w:eastAsia="zh-CN"/>
                <w14:textFill>
                  <w14:solidFill>
                    <w14:schemeClr w14:val="tx1"/>
                  </w14:solidFill>
                </w14:textFill>
              </w:rPr>
              <w:t>、总投资在国家规定限额以上的项目。</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根据《潏河流域上游水土保持及河道水生态保护修复工程防洪评价报告》和《堤防工程设计规范》（GB50286-2013），本项目采用10年一遇洪水标准，堤防工程级别为五级，不属于一、二级堤防。</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eastAsia"/>
                <w:b w:val="0"/>
                <w:bCs w:val="0"/>
                <w:color w:val="000000" w:themeColor="text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根据中华人民共和国水利部2017年11月1日规划计划司回复：水利建设项目均按照基本建设项目管理；根据《国务院关于放宽固定资产投资审批权限和简化审批手续的通知》（国发〔1987〕23号），按总投资金额划分的大中型项目，国家计委审批限额由1000万元以上提高到：能源、交通、原材料工业项目5000万元以上，其他项目3000万元以上。本项目为防洪除涝工程，项目总投资额1174.12万元，小于3000万元。</w:t>
            </w:r>
          </w:p>
          <w:p>
            <w:pPr>
              <w:pStyle w:val="20"/>
              <w:keepNext w:val="0"/>
              <w:keepLines w:val="0"/>
              <w:pageBreakBefore w:val="0"/>
              <w:widowControl w:val="0"/>
              <w:kinsoku/>
              <w:wordWrap/>
              <w:overflowPunct/>
              <w:topLinePunct w:val="0"/>
              <w:autoSpaceDE/>
              <w:autoSpaceDN/>
              <w:bidi w:val="0"/>
              <w:adjustRightInd w:val="0"/>
              <w:snapToGrid w:val="0"/>
              <w:textAlignment w:val="auto"/>
              <w:rPr>
                <w:rFonts w:hint="eastAsia"/>
                <w:color w:val="000000" w:themeColor="text1"/>
                <w14:textFill>
                  <w14:solidFill>
                    <w14:schemeClr w14:val="tx1"/>
                  </w14:solidFill>
                </w14:textFill>
              </w:rPr>
            </w:pPr>
            <w:r>
              <w:rPr>
                <w:rFonts w:hint="eastAsia"/>
                <w:b w:val="0"/>
                <w:bCs w:val="0"/>
                <w:color w:val="000000" w:themeColor="text1"/>
                <w:lang w:eastAsia="zh-CN"/>
                <w14:textFill>
                  <w14:solidFill>
                    <w14:schemeClr w14:val="tx1"/>
                  </w14:solidFill>
                </w14:textFill>
              </w:rPr>
              <w:t>综上所述，根据《建设项目环境影响评价分类管理名录（2021年）》，本项目河道岸堤修复工程不属于“五十一、水利”中“127防洪除涝工程”里的“新建大中型”工程和“城镇排涝河流水闸、排涝泵站”工程，属于“其他（小型沟渠的护坡除外；城镇排涝河流水闸、排涝泵站除外）”，需编写环境影响报告表。</w:t>
            </w:r>
          </w:p>
          <w:p>
            <w:pPr>
              <w:pStyle w:val="21"/>
              <w:ind w:firstLine="482"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、项目基本概况</w:t>
            </w:r>
          </w:p>
          <w:p>
            <w:pPr>
              <w:pStyle w:val="20"/>
              <w:ind w:left="719" w:leftChars="228" w:hanging="240" w:hangingChars="10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（1）项目名称：</w:t>
            </w:r>
            <w:r>
              <w:rPr>
                <w:rFonts w:hint="eastAsia"/>
                <w:color w:val="000000" w:themeColor="text1"/>
                <w:lang w:eastAsia="zh-CN"/>
                <w14:textFill>
                  <w14:solidFill>
                    <w14:schemeClr w14:val="tx1"/>
                  </w14:solidFill>
                </w14:textFill>
              </w:rPr>
              <w:t>潏河流域上游水土保持及河道水生态保护修复工程</w:t>
            </w:r>
          </w:p>
          <w:p>
            <w:pPr>
              <w:pStyle w:val="2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（2）建设地点：陕西省西安市长安区潏河流域上游</w:t>
            </w:r>
          </w:p>
          <w:p>
            <w:pPr>
              <w:pStyle w:val="20"/>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（3）建设单位：</w:t>
            </w:r>
            <w:r>
              <w:rPr>
                <w:rFonts w:hint="eastAsia"/>
                <w:color w:val="000000" w:themeColor="text1"/>
                <w:lang w:eastAsia="zh-CN"/>
                <w14:textFill>
                  <w14:solidFill>
                    <w14:schemeClr w14:val="tx1"/>
                  </w14:solidFill>
                </w14:textFill>
              </w:rPr>
              <w:t>西安城投建设有限公司</w:t>
            </w:r>
          </w:p>
          <w:p>
            <w:pPr>
              <w:pStyle w:val="20"/>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（4）建设性质：新建</w:t>
            </w:r>
          </w:p>
          <w:p>
            <w:pPr>
              <w:pStyle w:val="2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）建设内容：浆砌石挡墙护岸工程1.513km（大峪河0.969km，小峪河0.544km），格宾石笼挡墙工程0.452km（大峪河0.238km，小峪河0.214km）。</w:t>
            </w:r>
          </w:p>
          <w:p>
            <w:pPr>
              <w:pStyle w:val="20"/>
              <w:ind w:firstLine="48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）项目投资：</w:t>
            </w:r>
            <w:r>
              <w:rPr>
                <w:rFonts w:hint="eastAsia"/>
                <w:color w:val="000000" w:themeColor="text1"/>
                <w:lang w:eastAsia="zh-CN"/>
                <w14:textFill>
                  <w14:solidFill>
                    <w14:schemeClr w14:val="tx1"/>
                  </w14:solidFill>
                </w14:textFill>
              </w:rPr>
              <w:t>根据《</w:t>
            </w:r>
            <w:r>
              <w:rPr>
                <w:rFonts w:hint="eastAsia"/>
                <w:color w:val="000000" w:themeColor="text1"/>
                <w14:textFill>
                  <w14:solidFill>
                    <w14:schemeClr w14:val="tx1"/>
                  </w14:solidFill>
                </w14:textFill>
              </w:rPr>
              <w:t>陕西秦岭北麓主体山水林田湖草沙一体化保护和修复工程潏河流域上游水土保持及河道水生态保护修复工程</w:t>
            </w:r>
            <w:r>
              <w:rPr>
                <w:rFonts w:hint="eastAsia"/>
                <w:color w:val="000000" w:themeColor="text1"/>
                <w:lang w:eastAsia="zh-CN"/>
                <w14:textFill>
                  <w14:solidFill>
                    <w14:schemeClr w14:val="tx1"/>
                  </w14:solidFill>
                </w14:textFill>
              </w:rPr>
              <w:t>初步设计报告》，项目</w:t>
            </w:r>
            <w:r>
              <w:rPr>
                <w:rFonts w:hint="eastAsia"/>
                <w:color w:val="000000" w:themeColor="text1"/>
                <w14:textFill>
                  <w14:solidFill>
                    <w14:schemeClr w14:val="tx1"/>
                  </w14:solidFill>
                </w14:textFill>
              </w:rPr>
              <w:t>工程</w:t>
            </w:r>
            <w:r>
              <w:rPr>
                <w:rFonts w:hint="eastAsia"/>
                <w:color w:val="000000" w:themeColor="text1"/>
                <w:lang w:eastAsia="zh-CN"/>
                <w14:textFill>
                  <w14:solidFill>
                    <w14:schemeClr w14:val="tx1"/>
                  </w14:solidFill>
                </w14:textFill>
              </w:rPr>
              <w:t>总</w:t>
            </w:r>
            <w:r>
              <w:rPr>
                <w:rFonts w:hint="eastAsia"/>
                <w:color w:val="000000" w:themeColor="text1"/>
                <w14:textFill>
                  <w14:solidFill>
                    <w14:schemeClr w14:val="tx1"/>
                  </w14:solidFill>
                </w14:textFill>
              </w:rPr>
              <w:t>投资</w:t>
            </w:r>
            <w:r>
              <w:rPr>
                <w:rFonts w:hint="eastAsia"/>
                <w:color w:val="000000" w:themeColor="text1"/>
                <w:lang w:eastAsia="zh-CN"/>
                <w14:textFill>
                  <w14:solidFill>
                    <w14:schemeClr w14:val="tx1"/>
                  </w14:solidFill>
                </w14:textFill>
              </w:rPr>
              <w:t>1174.12</w:t>
            </w:r>
            <w:r>
              <w:rPr>
                <w:rFonts w:hint="eastAsia"/>
                <w:color w:val="000000" w:themeColor="text1"/>
                <w14:textFill>
                  <w14:solidFill>
                    <w14:schemeClr w14:val="tx1"/>
                  </w14:solidFill>
                </w14:textFill>
              </w:rPr>
              <w:t>万元</w:t>
            </w:r>
            <w:r>
              <w:rPr>
                <w:rFonts w:hint="eastAsia"/>
                <w:color w:val="000000" w:themeColor="text1"/>
                <w:lang w:eastAsia="zh-CN"/>
                <w14:textFill>
                  <w14:solidFill>
                    <w14:schemeClr w14:val="tx1"/>
                  </w14:solidFill>
                </w14:textFill>
              </w:rPr>
              <w:t>，本次评价河道岸堤修复工程中格宾石笼挡墙工程和浆砌石挡墙工程总投资</w:t>
            </w:r>
            <w:r>
              <w:rPr>
                <w:rFonts w:hint="eastAsia"/>
                <w:color w:val="000000" w:themeColor="text1"/>
                <w:lang w:val="en-US" w:eastAsia="zh-CN"/>
                <w14:textFill>
                  <w14:solidFill>
                    <w14:schemeClr w14:val="tx1"/>
                  </w14:solidFill>
                </w14:textFill>
              </w:rPr>
              <w:t>795.17万元，</w:t>
            </w:r>
            <w:r>
              <w:rPr>
                <w:rFonts w:hint="eastAsia"/>
                <w:color w:val="000000" w:themeColor="text1"/>
                <w:kern w:val="0"/>
                <w:sz w:val="24"/>
                <w:lang w:eastAsia="zh-CN" w:bidi="ar"/>
                <w14:textFill>
                  <w14:solidFill>
                    <w14:schemeClr w14:val="tx1"/>
                  </w14:solidFill>
                </w14:textFill>
              </w:rPr>
              <w:t>全部为环保投资，占比</w:t>
            </w:r>
            <w:r>
              <w:rPr>
                <w:rFonts w:hint="eastAsia"/>
                <w:color w:val="000000" w:themeColor="text1"/>
                <w:kern w:val="0"/>
                <w:sz w:val="24"/>
                <w:lang w:val="en-US" w:eastAsia="zh-CN" w:bidi="ar"/>
                <w14:textFill>
                  <w14:solidFill>
                    <w14:schemeClr w14:val="tx1"/>
                  </w14:solidFill>
                </w14:textFill>
              </w:rPr>
              <w:t>100</w:t>
            </w:r>
            <w:r>
              <w:rPr>
                <w:rFonts w:hint="eastAsia"/>
                <w:color w:val="000000" w:themeColor="text1"/>
                <w:lang w:val="en-US" w:eastAsia="zh-CN"/>
                <w14:textFill>
                  <w14:solidFill>
                    <w14:schemeClr w14:val="tx1"/>
                  </w14:solidFill>
                </w14:textFill>
              </w:rPr>
              <w:t>%。</w:t>
            </w:r>
          </w:p>
          <w:p>
            <w:pPr>
              <w:pStyle w:val="21"/>
              <w:ind w:firstLine="482" w:firstLineChars="200"/>
              <w:rPr>
                <w:rFonts w:hint="eastAsia" w:cs="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、项目建设内容</w:t>
            </w:r>
          </w:p>
          <w:p>
            <w:pPr>
              <w:pStyle w:val="20"/>
              <w:ind w:firstLine="480"/>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河道</w:t>
            </w:r>
            <w:r>
              <w:rPr>
                <w:rFonts w:hint="eastAsia" w:cs="Times New Roman"/>
                <w:color w:val="000000" w:themeColor="text1"/>
                <w14:textFill>
                  <w14:solidFill>
                    <w14:schemeClr w14:val="tx1"/>
                  </w14:solidFill>
                </w14:textFill>
              </w:rPr>
              <w:t>岸堤</w:t>
            </w:r>
            <w:r>
              <w:rPr>
                <w:rFonts w:hint="eastAsia" w:cs="Times New Roman"/>
                <w:color w:val="000000" w:themeColor="text1"/>
                <w:lang w:eastAsia="zh-CN"/>
                <w14:textFill>
                  <w14:solidFill>
                    <w14:schemeClr w14:val="tx1"/>
                  </w14:solidFill>
                </w14:textFill>
              </w:rPr>
              <w:t>修复工程：</w:t>
            </w:r>
            <w:r>
              <w:rPr>
                <w:rFonts w:hint="eastAsia" w:cs="Times New Roman"/>
                <w:color w:val="000000" w:themeColor="text1"/>
                <w14:textFill>
                  <w14:solidFill>
                    <w14:schemeClr w14:val="tx1"/>
                  </w14:solidFill>
                </w14:textFill>
              </w:rPr>
              <w:t>完成</w:t>
            </w:r>
            <w:r>
              <w:rPr>
                <w:rFonts w:hint="eastAsia" w:cs="Times New Roman"/>
                <w:color w:val="000000" w:themeColor="text1"/>
                <w:lang w:eastAsia="zh-CN"/>
                <w14:textFill>
                  <w14:solidFill>
                    <w14:schemeClr w14:val="tx1"/>
                  </w14:solidFill>
                </w14:textFill>
              </w:rPr>
              <w:t>护岸工程</w:t>
            </w:r>
            <w:r>
              <w:rPr>
                <w:rFonts w:hint="eastAsia" w:cs="Times New Roman"/>
                <w:color w:val="000000" w:themeColor="text1"/>
                <w:lang w:val="en-US" w:eastAsia="zh-CN"/>
                <w14:textFill>
                  <w14:solidFill>
                    <w14:schemeClr w14:val="tx1"/>
                  </w14:solidFill>
                </w14:textFill>
              </w:rPr>
              <w:t>1.965km</w:t>
            </w:r>
            <w:r>
              <w:rPr>
                <w:rFonts w:hint="eastAsia" w:cs="Times New Roman"/>
                <w:color w:val="000000" w:themeColor="text1"/>
                <w14:textFill>
                  <w14:solidFill>
                    <w14:schemeClr w14:val="tx1"/>
                  </w14:solidFill>
                </w14:textFill>
              </w:rPr>
              <w:t>。主要建设内容为浆砌石挡墙护岸工程</w:t>
            </w:r>
            <w:r>
              <w:rPr>
                <w:rFonts w:hint="eastAsia" w:cs="Times New Roman"/>
                <w:color w:val="000000" w:themeColor="text1"/>
                <w:lang w:eastAsia="zh-CN"/>
                <w14:textFill>
                  <w14:solidFill>
                    <w14:schemeClr w14:val="tx1"/>
                  </w14:solidFill>
                </w14:textFill>
              </w:rPr>
              <w:t>1.513</w:t>
            </w:r>
            <w:r>
              <w:rPr>
                <w:rFonts w:hint="eastAsia" w:cs="Times New Roman"/>
                <w:color w:val="000000" w:themeColor="text1"/>
                <w14:textFill>
                  <w14:solidFill>
                    <w14:schemeClr w14:val="tx1"/>
                  </w14:solidFill>
                </w14:textFill>
              </w:rPr>
              <w:t>km（大峪河0.969km，小峪河0.544km），</w:t>
            </w:r>
            <w:r>
              <w:rPr>
                <w:rFonts w:hint="eastAsia" w:cs="Times New Roman"/>
                <w:color w:val="000000" w:themeColor="text1"/>
                <w:lang w:eastAsia="zh-CN"/>
                <w14:textFill>
                  <w14:solidFill>
                    <w14:schemeClr w14:val="tx1"/>
                  </w14:solidFill>
                </w14:textFill>
              </w:rPr>
              <w:t>格宾</w:t>
            </w:r>
            <w:r>
              <w:rPr>
                <w:rFonts w:hint="eastAsia" w:cs="Times New Roman"/>
                <w:color w:val="000000" w:themeColor="text1"/>
                <w14:textFill>
                  <w14:solidFill>
                    <w14:schemeClr w14:val="tx1"/>
                  </w14:solidFill>
                </w14:textFill>
              </w:rPr>
              <w:t>石笼挡墙工程0.452km（大峪河0.238km，小峪河0.214km</w:t>
            </w:r>
            <w:r>
              <w:rPr>
                <w:rFonts w:hint="eastAsia" w:cs="Times New Roman"/>
                <w:color w:val="000000" w:themeColor="text1"/>
                <w:lang w:eastAsia="zh-CN"/>
                <w14:textFill>
                  <w14:solidFill>
                    <w14:schemeClr w14:val="tx1"/>
                  </w14:solidFill>
                </w14:textFill>
              </w:rPr>
              <w:t>）。</w:t>
            </w:r>
          </w:p>
          <w:p>
            <w:pPr>
              <w:pStyle w:val="20"/>
              <w:ind w:firstLine="480"/>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pPr>
            <w:r>
              <w:rPr>
                <w:rFonts w:hint="eastAsia" w:cs="Times New Roman"/>
                <w:color w:val="000000" w:themeColor="text1"/>
                <w:lang w:eastAsia="zh-CN"/>
                <w14:textFill>
                  <w14:solidFill>
                    <w14:schemeClr w14:val="tx1"/>
                  </w14:solidFill>
                </w14:textFill>
              </w:rPr>
              <w:t>项目大峪河大峪河道岸堤修复工程各工程段河基本情况见表</w:t>
            </w:r>
            <w:r>
              <w:rPr>
                <w:rFonts w:hint="eastAsia" w:cs="Times New Roman"/>
                <w:color w:val="000000" w:themeColor="text1"/>
                <w:lang w:val="en-US" w:eastAsia="zh-CN"/>
                <w14:textFill>
                  <w14:solidFill>
                    <w14:schemeClr w14:val="tx1"/>
                  </w14:solidFill>
                </w14:textFill>
              </w:rPr>
              <w:t>2-1，项目小峪河</w:t>
            </w:r>
            <w:r>
              <w:rPr>
                <w:rFonts w:hint="eastAsia" w:cs="Times New Roman"/>
                <w:color w:val="000000" w:themeColor="text1"/>
                <w:lang w:eastAsia="zh-CN"/>
                <w14:textFill>
                  <w14:solidFill>
                    <w14:schemeClr w14:val="tx1"/>
                  </w14:solidFill>
                </w14:textFill>
              </w:rPr>
              <w:t>道岸堤修复工程</w:t>
            </w:r>
            <w:r>
              <w:rPr>
                <w:rFonts w:hint="eastAsia" w:cs="Times New Roman"/>
                <w:color w:val="000000" w:themeColor="text1"/>
                <w:lang w:val="en-US" w:eastAsia="zh-CN"/>
                <w14:textFill>
                  <w14:solidFill>
                    <w14:schemeClr w14:val="tx1"/>
                  </w14:solidFill>
                </w14:textFill>
              </w:rPr>
              <w:t>各工程段基本情况见表2-2。</w:t>
            </w: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cs="Times New Roman"/>
                <w:color w:val="000000" w:themeColor="text1"/>
                <w14:textFill>
                  <w14:solidFill>
                    <w14:schemeClr w14:val="tx1"/>
                  </w14:solidFill>
                </w14:textFill>
              </w:rPr>
            </w:pPr>
            <w:r>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t>表2-1  大峪河各工程段护岸工程基本情况统计表</w:t>
            </w:r>
          </w:p>
          <w:tbl>
            <w:tblPr>
              <w:tblStyle w:val="25"/>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17"/>
              <w:gridCol w:w="1692"/>
              <w:gridCol w:w="477"/>
              <w:gridCol w:w="842"/>
              <w:gridCol w:w="1300"/>
              <w:gridCol w:w="908"/>
              <w:gridCol w:w="1734"/>
              <w:gridCol w:w="8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i w:val="0"/>
                      <w:color w:val="000000" w:themeColor="text1"/>
                      <w:kern w:val="0"/>
                      <w:sz w:val="21"/>
                      <w:szCs w:val="21"/>
                      <w:u w:val="none"/>
                      <w:lang w:val="en-US" w:eastAsia="zh-CN" w:bidi="ar"/>
                      <w14:textFill>
                        <w14:solidFill>
                          <w14:schemeClr w14:val="tx1"/>
                        </w14:solidFill>
                      </w14:textFill>
                    </w:rPr>
                    <w:t>河段</w:t>
                  </w:r>
                  <w:r>
                    <w:rPr>
                      <w:rFonts w:hint="eastAsia" w:cs="Times New Roman"/>
                      <w:b/>
                      <w:bCs/>
                      <w:i w:val="0"/>
                      <w:color w:val="000000" w:themeColor="text1"/>
                      <w:kern w:val="0"/>
                      <w:sz w:val="21"/>
                      <w:szCs w:val="21"/>
                      <w:u w:val="none"/>
                      <w:lang w:val="en-US" w:eastAsia="zh-CN" w:bidi="ar"/>
                      <w14:textFill>
                        <w14:solidFill>
                          <w14:schemeClr w14:val="tx1"/>
                        </w14:solidFill>
                      </w14:textFill>
                    </w:rPr>
                    <w:t>工程</w:t>
                  </w:r>
                  <w:r>
                    <w:rPr>
                      <w:rFonts w:hint="default" w:ascii="Times New Roman" w:hAnsi="Times New Roman" w:cs="Times New Roman"/>
                      <w:b/>
                      <w:bCs/>
                      <w:i w:val="0"/>
                      <w:color w:val="000000" w:themeColor="text1"/>
                      <w:kern w:val="0"/>
                      <w:sz w:val="21"/>
                      <w:szCs w:val="21"/>
                      <w:u w:val="none"/>
                      <w:lang w:val="en-US" w:eastAsia="zh-CN" w:bidi="ar"/>
                      <w14:textFill>
                        <w14:solidFill>
                          <w14:schemeClr w14:val="tx1"/>
                        </w14:solidFill>
                      </w14:textFill>
                    </w:rPr>
                    <w:t>编号</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桩号</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岸别</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长度（m）</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型式</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河底深泓以上高度（m）</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顶高程（m）</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基础埋深（m）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①</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0+171—0+384</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右</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177</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M7.5浆砌石</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1429.71—1417.29</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②</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0+448—0+638</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右</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190</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M7.5浆砌石</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1414.86—1407.02</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③</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3+429—3+667</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右</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238</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格宾石笼</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1235.84—1224.56</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④</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4+676—4+712</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左</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36</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M7.5浆砌石</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1152.18—1149.80</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⑤</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4+800—4+898</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左</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98</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M7.5浆砌石</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1141.71—1136.05</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⑥</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4+832—4+946</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右</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M7.5浆砌石</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1140.31—1132.41</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⑦</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9+383—9+472</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右</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89</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M7.5浆砌石</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826.26—822.17</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1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⑧</w:t>
                  </w:r>
                </w:p>
              </w:tc>
              <w:tc>
                <w:tcPr>
                  <w:tcW w:w="169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9+542—9+807</w:t>
                  </w:r>
                </w:p>
              </w:tc>
              <w:tc>
                <w:tcPr>
                  <w:tcW w:w="47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右</w:t>
                  </w:r>
                </w:p>
              </w:tc>
              <w:tc>
                <w:tcPr>
                  <w:tcW w:w="84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265</w:t>
                  </w:r>
                </w:p>
              </w:tc>
              <w:tc>
                <w:tcPr>
                  <w:tcW w:w="1300"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M7.5浆砌石</w:t>
                  </w:r>
                </w:p>
              </w:tc>
              <w:tc>
                <w:tcPr>
                  <w:tcW w:w="908"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w:t>
                  </w:r>
                </w:p>
              </w:tc>
              <w:tc>
                <w:tcPr>
                  <w:tcW w:w="173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818.96—803.89</w:t>
                  </w:r>
                </w:p>
              </w:tc>
              <w:tc>
                <w:tcPr>
                  <w:tcW w:w="88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r>
          </w:tbl>
          <w:p>
            <w:pPr>
              <w:pStyle w:val="20"/>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rPr>
                <w:rFonts w:cs="Times New Roman"/>
                <w:color w:val="000000" w:themeColor="text1"/>
                <w14:textFill>
                  <w14:solidFill>
                    <w14:schemeClr w14:val="tx1"/>
                  </w14:solidFill>
                </w14:textFill>
              </w:rPr>
            </w:pPr>
            <w:r>
              <w:rPr>
                <w:rFonts w:hint="eastAsia" w:ascii="Times New Roman" w:hAnsi="Times New Roman" w:eastAsia="宋体" w:cs="宋体"/>
                <w:b/>
                <w:color w:val="000000" w:themeColor="text1"/>
                <w:kern w:val="0"/>
                <w:sz w:val="24"/>
                <w:szCs w:val="24"/>
                <w:lang w:val="en-US" w:eastAsia="zh-CN" w:bidi="ar-SA"/>
                <w14:textFill>
                  <w14:solidFill>
                    <w14:schemeClr w14:val="tx1"/>
                  </w14:solidFill>
                </w14:textFill>
              </w:rPr>
              <w:t>表2-2  大峪河各工程段护岸工程基本情况统计表</w:t>
            </w:r>
          </w:p>
          <w:tbl>
            <w:tblPr>
              <w:tblStyle w:val="25"/>
              <w:tblW w:w="4997"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4"/>
              <w:gridCol w:w="1706"/>
              <w:gridCol w:w="478"/>
              <w:gridCol w:w="842"/>
              <w:gridCol w:w="1301"/>
              <w:gridCol w:w="825"/>
              <w:gridCol w:w="1816"/>
              <w:gridCol w:w="8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40"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i w:val="0"/>
                      <w:color w:val="000000" w:themeColor="text1"/>
                      <w:kern w:val="0"/>
                      <w:sz w:val="21"/>
                      <w:szCs w:val="21"/>
                      <w:u w:val="none"/>
                      <w:lang w:val="en-US" w:eastAsia="zh-CN" w:bidi="ar"/>
                      <w14:textFill>
                        <w14:solidFill>
                          <w14:schemeClr w14:val="tx1"/>
                        </w14:solidFill>
                      </w14:textFill>
                    </w:rPr>
                    <w:t>河段</w:t>
                  </w:r>
                  <w:r>
                    <w:rPr>
                      <w:rFonts w:hint="eastAsia" w:cs="Times New Roman"/>
                      <w:b/>
                      <w:bCs/>
                      <w:i w:val="0"/>
                      <w:color w:val="000000" w:themeColor="text1"/>
                      <w:kern w:val="0"/>
                      <w:sz w:val="21"/>
                      <w:szCs w:val="21"/>
                      <w:u w:val="none"/>
                      <w:lang w:val="en-US" w:eastAsia="zh-CN" w:bidi="ar"/>
                      <w14:textFill>
                        <w14:solidFill>
                          <w14:schemeClr w14:val="tx1"/>
                        </w14:solidFill>
                      </w14:textFill>
                    </w:rPr>
                    <w:t>工程</w:t>
                  </w:r>
                  <w:r>
                    <w:rPr>
                      <w:rFonts w:hint="default" w:ascii="Times New Roman" w:hAnsi="Times New Roman" w:cs="Times New Roman"/>
                      <w:b/>
                      <w:bCs/>
                      <w:i w:val="0"/>
                      <w:color w:val="000000" w:themeColor="text1"/>
                      <w:kern w:val="0"/>
                      <w:sz w:val="21"/>
                      <w:szCs w:val="21"/>
                      <w:u w:val="none"/>
                      <w:lang w:val="en-US" w:eastAsia="zh-CN" w:bidi="ar"/>
                      <w14:textFill>
                        <w14:solidFill>
                          <w14:schemeClr w14:val="tx1"/>
                        </w14:solidFill>
                      </w14:textFill>
                    </w:rPr>
                    <w:t>编号</w:t>
                  </w:r>
                </w:p>
              </w:tc>
              <w:tc>
                <w:tcPr>
                  <w:tcW w:w="174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桩号</w:t>
                  </w:r>
                </w:p>
              </w:tc>
              <w:tc>
                <w:tcPr>
                  <w:tcW w:w="501"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岸别</w:t>
                  </w:r>
                </w:p>
              </w:tc>
              <w:tc>
                <w:tcPr>
                  <w:tcW w:w="864"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长度（m）</w:t>
                  </w:r>
                </w:p>
              </w:tc>
              <w:tc>
                <w:tcPr>
                  <w:tcW w:w="1382"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型式</w:t>
                  </w:r>
                </w:p>
              </w:tc>
              <w:tc>
                <w:tcPr>
                  <w:tcW w:w="846"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河底深泓以上高度（m）</w:t>
                  </w:r>
                </w:p>
              </w:tc>
              <w:tc>
                <w:tcPr>
                  <w:tcW w:w="1837"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顶高程（m）</w:t>
                  </w:r>
                </w:p>
              </w:tc>
              <w:tc>
                <w:tcPr>
                  <w:tcW w:w="911" w:type="dxa"/>
                  <w:tcBorders>
                    <w:tl2br w:val="nil"/>
                    <w:tr2bl w:val="nil"/>
                  </w:tcBorders>
                  <w:tcMar>
                    <w:top w:w="15" w:type="dxa"/>
                    <w:left w:w="15" w:type="dxa"/>
                    <w:right w:w="15" w:type="dxa"/>
                  </w:tcMar>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基础埋深（m）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40"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①</w:t>
                  </w:r>
                </w:p>
              </w:tc>
              <w:tc>
                <w:tcPr>
                  <w:tcW w:w="174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0+067—0+405</w:t>
                  </w:r>
                </w:p>
              </w:tc>
              <w:tc>
                <w:tcPr>
                  <w:tcW w:w="50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右</w:t>
                  </w:r>
                </w:p>
              </w:tc>
              <w:tc>
                <w:tcPr>
                  <w:tcW w:w="86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338</w:t>
                  </w:r>
                </w:p>
              </w:tc>
              <w:tc>
                <w:tcPr>
                  <w:tcW w:w="1382"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M7.5浆砌石</w:t>
                  </w:r>
                </w:p>
              </w:tc>
              <w:tc>
                <w:tcPr>
                  <w:tcW w:w="846"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183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1140.00—1112.62</w:t>
                  </w:r>
                </w:p>
              </w:tc>
              <w:tc>
                <w:tcPr>
                  <w:tcW w:w="91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40"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②</w:t>
                  </w:r>
                </w:p>
              </w:tc>
              <w:tc>
                <w:tcPr>
                  <w:tcW w:w="174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1+342—1+400</w:t>
                  </w:r>
                </w:p>
              </w:tc>
              <w:tc>
                <w:tcPr>
                  <w:tcW w:w="50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左</w:t>
                  </w:r>
                </w:p>
              </w:tc>
              <w:tc>
                <w:tcPr>
                  <w:tcW w:w="86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w:t>
                  </w:r>
                </w:p>
              </w:tc>
              <w:tc>
                <w:tcPr>
                  <w:tcW w:w="1382"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M7.5浆砌石</w:t>
                  </w:r>
                </w:p>
              </w:tc>
              <w:tc>
                <w:tcPr>
                  <w:tcW w:w="846"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c>
                <w:tcPr>
                  <w:tcW w:w="183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1046.16—1041.83</w:t>
                  </w:r>
                </w:p>
              </w:tc>
              <w:tc>
                <w:tcPr>
                  <w:tcW w:w="91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40"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③</w:t>
                  </w:r>
                </w:p>
              </w:tc>
              <w:tc>
                <w:tcPr>
                  <w:tcW w:w="174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2+223—2+300</w:t>
                  </w:r>
                </w:p>
              </w:tc>
              <w:tc>
                <w:tcPr>
                  <w:tcW w:w="50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右</w:t>
                  </w:r>
                </w:p>
              </w:tc>
              <w:tc>
                <w:tcPr>
                  <w:tcW w:w="86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77</w:t>
                  </w:r>
                </w:p>
              </w:tc>
              <w:tc>
                <w:tcPr>
                  <w:tcW w:w="1382"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格宾石笼</w:t>
                  </w:r>
                </w:p>
              </w:tc>
              <w:tc>
                <w:tcPr>
                  <w:tcW w:w="846"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183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976.38—982.97</w:t>
                  </w:r>
                </w:p>
              </w:tc>
              <w:tc>
                <w:tcPr>
                  <w:tcW w:w="91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40"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④</w:t>
                  </w:r>
                </w:p>
              </w:tc>
              <w:tc>
                <w:tcPr>
                  <w:tcW w:w="174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2+472—2+554</w:t>
                  </w:r>
                </w:p>
              </w:tc>
              <w:tc>
                <w:tcPr>
                  <w:tcW w:w="50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左</w:t>
                  </w:r>
                </w:p>
              </w:tc>
              <w:tc>
                <w:tcPr>
                  <w:tcW w:w="86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82</w:t>
                  </w:r>
                </w:p>
              </w:tc>
              <w:tc>
                <w:tcPr>
                  <w:tcW w:w="1382"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M7.5浆砌石</w:t>
                  </w:r>
                </w:p>
              </w:tc>
              <w:tc>
                <w:tcPr>
                  <w:tcW w:w="846"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c>
                <w:tcPr>
                  <w:tcW w:w="183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966.29—962.16</w:t>
                  </w:r>
                </w:p>
              </w:tc>
              <w:tc>
                <w:tcPr>
                  <w:tcW w:w="91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40"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⑤</w:t>
                  </w:r>
                </w:p>
              </w:tc>
              <w:tc>
                <w:tcPr>
                  <w:tcW w:w="174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4+430—4+505</w:t>
                  </w:r>
                </w:p>
              </w:tc>
              <w:tc>
                <w:tcPr>
                  <w:tcW w:w="50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左</w:t>
                  </w:r>
                </w:p>
              </w:tc>
              <w:tc>
                <w:tcPr>
                  <w:tcW w:w="86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75</w:t>
                  </w:r>
                </w:p>
              </w:tc>
              <w:tc>
                <w:tcPr>
                  <w:tcW w:w="1382"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M7.5浆砌石</w:t>
                  </w:r>
                </w:p>
              </w:tc>
              <w:tc>
                <w:tcPr>
                  <w:tcW w:w="846"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183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851.27—847.59</w:t>
                  </w:r>
                </w:p>
              </w:tc>
              <w:tc>
                <w:tcPr>
                  <w:tcW w:w="91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40"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i w:val="0"/>
                      <w:color w:val="000000" w:themeColor="text1"/>
                      <w:kern w:val="0"/>
                      <w:sz w:val="21"/>
                      <w:szCs w:val="21"/>
                      <w:u w:val="none"/>
                      <w:lang w:val="en-US" w:eastAsia="zh-CN" w:bidi="ar"/>
                      <w14:textFill>
                        <w14:solidFill>
                          <w14:schemeClr w14:val="tx1"/>
                        </w14:solidFill>
                      </w14:textFill>
                    </w:rPr>
                    <w:t>⑥</w:t>
                  </w:r>
                </w:p>
              </w:tc>
              <w:tc>
                <w:tcPr>
                  <w:tcW w:w="174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5+897—6+034</w:t>
                  </w:r>
                </w:p>
              </w:tc>
              <w:tc>
                <w:tcPr>
                  <w:tcW w:w="50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左</w:t>
                  </w:r>
                </w:p>
              </w:tc>
              <w:tc>
                <w:tcPr>
                  <w:tcW w:w="864"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137</w:t>
                  </w:r>
                </w:p>
              </w:tc>
              <w:tc>
                <w:tcPr>
                  <w:tcW w:w="1382"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格宾石笼</w:t>
                  </w:r>
                </w:p>
              </w:tc>
              <w:tc>
                <w:tcPr>
                  <w:tcW w:w="846"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2.5</w:t>
                  </w:r>
                </w:p>
              </w:tc>
              <w:tc>
                <w:tcPr>
                  <w:tcW w:w="1837"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771.17—767.03</w:t>
                  </w:r>
                </w:p>
              </w:tc>
              <w:tc>
                <w:tcPr>
                  <w:tcW w:w="911" w:type="dxa"/>
                  <w:tcBorders>
                    <w:tl2br w:val="nil"/>
                    <w:tr2bl w:val="nil"/>
                  </w:tcBorders>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1.5</w:t>
                  </w:r>
                </w:p>
              </w:tc>
            </w:tr>
          </w:tbl>
          <w:p>
            <w:pPr>
              <w:pStyle w:val="2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本项目工程组成见表</w:t>
            </w:r>
            <w:r>
              <w:rPr>
                <w:rFonts w:hint="eastAsia" w:cs="Times New Roman"/>
                <w:color w:val="000000" w:themeColor="text1"/>
                <w:lang w:val="en-US" w:eastAsia="zh-CN"/>
                <w14:textFill>
                  <w14:solidFill>
                    <w14:schemeClr w14:val="tx1"/>
                  </w14:solidFill>
                </w14:textFill>
              </w:rPr>
              <w:t>2</w:t>
            </w:r>
            <w:r>
              <w:rPr>
                <w:rFonts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cs="Times New Roman"/>
                <w:color w:val="000000" w:themeColor="text1"/>
                <w14:textFill>
                  <w14:solidFill>
                    <w14:schemeClr w14:val="tx1"/>
                  </w14:solidFill>
                </w14:textFill>
              </w:rPr>
              <w:t>。</w:t>
            </w:r>
          </w:p>
          <w:p>
            <w:pPr>
              <w:pStyle w:val="54"/>
              <w:ind w:firstLine="422"/>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表</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项目组成一览表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3"/>
              <w:gridCol w:w="528"/>
              <w:gridCol w:w="491"/>
              <w:gridCol w:w="6149"/>
              <w:gridCol w:w="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noWrap w:val="0"/>
                  <w:vAlign w:val="center"/>
                </w:tcPr>
                <w:p>
                  <w:pPr>
                    <w:pStyle w:val="66"/>
                    <w:adjustRightInd w:val="0"/>
                    <w:snapToGrid w:val="0"/>
                    <w:spacing w:after="0" w:line="240" w:lineRule="auto"/>
                    <w:jc w:val="center"/>
                    <w:rPr>
                      <w:rFonts w:ascii="Times New Roman" w:hAnsi="Times New Roman"/>
                      <w:b/>
                      <w:bCs/>
                      <w:color w:val="000000" w:themeColor="text1"/>
                      <w:sz w:val="21"/>
                      <w:szCs w:val="21"/>
                      <w:lang w:eastAsia="zh-CN"/>
                      <w14:textFill>
                        <w14:solidFill>
                          <w14:schemeClr w14:val="tx1"/>
                        </w14:solidFill>
                      </w14:textFill>
                    </w:rPr>
                  </w:pPr>
                  <w:r>
                    <w:rPr>
                      <w:rFonts w:ascii="Times New Roman" w:hAnsi="Times New Roman"/>
                      <w:b/>
                      <w:bCs/>
                      <w:color w:val="000000" w:themeColor="text1"/>
                      <w:sz w:val="21"/>
                      <w:szCs w:val="21"/>
                      <w:lang w:eastAsia="zh-CN"/>
                      <w14:textFill>
                        <w14:solidFill>
                          <w14:schemeClr w14:val="tx1"/>
                        </w14:solidFill>
                      </w14:textFill>
                    </w:rPr>
                    <w:t>类别</w:t>
                  </w:r>
                </w:p>
              </w:tc>
              <w:tc>
                <w:tcPr>
                  <w:tcW w:w="4236" w:type="pct"/>
                  <w:gridSpan w:val="3"/>
                  <w:noWrap w:val="0"/>
                  <w:vAlign w:val="center"/>
                </w:tcPr>
                <w:p>
                  <w:pPr>
                    <w:pStyle w:val="66"/>
                    <w:adjustRightInd w:val="0"/>
                    <w:snapToGrid w:val="0"/>
                    <w:spacing w:after="0" w:line="240" w:lineRule="auto"/>
                    <w:jc w:val="center"/>
                    <w:rPr>
                      <w:rFonts w:ascii="Times New Roman" w:hAnsi="Times New Roman"/>
                      <w:b/>
                      <w:bCs/>
                      <w:color w:val="000000" w:themeColor="text1"/>
                      <w:sz w:val="21"/>
                      <w:szCs w:val="21"/>
                      <w:lang w:eastAsia="zh-CN"/>
                      <w14:textFill>
                        <w14:solidFill>
                          <w14:schemeClr w14:val="tx1"/>
                        </w14:solidFill>
                      </w14:textFill>
                    </w:rPr>
                  </w:pPr>
                  <w:r>
                    <w:rPr>
                      <w:rFonts w:ascii="Times New Roman" w:hAnsi="Times New Roman"/>
                      <w:b/>
                      <w:bCs/>
                      <w:color w:val="000000" w:themeColor="text1"/>
                      <w:sz w:val="21"/>
                      <w:szCs w:val="21"/>
                      <w:lang w:eastAsia="zh-CN"/>
                      <w14:textFill>
                        <w14:solidFill>
                          <w14:schemeClr w14:val="tx1"/>
                        </w14:solidFill>
                      </w14:textFill>
                    </w:rPr>
                    <w:t>主要建设内容</w:t>
                  </w:r>
                </w:p>
              </w:tc>
              <w:tc>
                <w:tcPr>
                  <w:tcW w:w="477" w:type="pct"/>
                  <w:noWrap w:val="0"/>
                  <w:vAlign w:val="center"/>
                </w:tcPr>
                <w:p>
                  <w:pPr>
                    <w:pStyle w:val="66"/>
                    <w:adjustRightInd w:val="0"/>
                    <w:snapToGrid w:val="0"/>
                    <w:spacing w:after="0" w:line="240" w:lineRule="auto"/>
                    <w:jc w:val="center"/>
                    <w:rPr>
                      <w:rFonts w:ascii="Times New Roman" w:hAnsi="Times New Roman"/>
                      <w:b/>
                      <w:bCs/>
                      <w:color w:val="000000" w:themeColor="text1"/>
                      <w:sz w:val="21"/>
                      <w:szCs w:val="21"/>
                      <w:lang w:eastAsia="zh-CN"/>
                      <w14:textFill>
                        <w14:solidFill>
                          <w14:schemeClr w14:val="tx1"/>
                        </w14:solidFill>
                      </w14:textFill>
                    </w:rPr>
                  </w:pPr>
                  <w:r>
                    <w:rPr>
                      <w:rFonts w:hint="eastAsia" w:ascii="Times New Roman" w:hAnsi="Times New Roman"/>
                      <w:b/>
                      <w:bCs/>
                      <w:color w:val="000000" w:themeColor="text1"/>
                      <w:sz w:val="21"/>
                      <w:szCs w:val="21"/>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主体工程</w:t>
                  </w:r>
                </w:p>
              </w:tc>
              <w:tc>
                <w:tcPr>
                  <w:tcW w:w="602" w:type="pct"/>
                  <w:gridSpan w:val="2"/>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河道岸堤修复工程</w:t>
                  </w:r>
                </w:p>
              </w:tc>
              <w:tc>
                <w:tcPr>
                  <w:tcW w:w="3634"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护岸工程总长度约</w:t>
                  </w:r>
                  <w:r>
                    <w:rPr>
                      <w:rFonts w:hint="eastAsia" w:ascii="Times New Roman" w:hAnsi="Times New Roman"/>
                      <w:color w:val="000000" w:themeColor="text1"/>
                      <w:sz w:val="21"/>
                      <w:szCs w:val="21"/>
                      <w:lang w:val="en-US" w:eastAsia="zh-CN"/>
                      <w14:textFill>
                        <w14:solidFill>
                          <w14:schemeClr w14:val="tx1"/>
                        </w14:solidFill>
                      </w14:textFill>
                    </w:rPr>
                    <w:t>1.965</w:t>
                  </w:r>
                  <w:r>
                    <w:rPr>
                      <w:rFonts w:hint="eastAsia" w:ascii="Times New Roman" w:hAnsi="Times New Roman"/>
                      <w:color w:val="000000" w:themeColor="text1"/>
                      <w:sz w:val="21"/>
                      <w:szCs w:val="21"/>
                      <w:lang w:eastAsia="zh-CN"/>
                      <w14:textFill>
                        <w14:solidFill>
                          <w14:schemeClr w14:val="tx1"/>
                        </w14:solidFill>
                      </w14:textFill>
                    </w:rPr>
                    <w:t>km，浆砌石挡墙护岸工程1.513km（大峪河0.969km，小峪河0.544km），格宾石笼挡墙工程0.452km（大峪河0.238km，小峪河0.214km）。</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辅助工程</w:t>
                  </w: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施工便道</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本工程需修建一定长度的临时道路。因项目分多段施工，部分河段需修建临时连接段与已有道路相连。沿左右岸防洪堤轴线各布置临时施工连接道路，对道路布置原则为满足重车通行宽度及坡度要求，最大坡度控制在10%以内，泥结石路面，路面宽</w:t>
                  </w:r>
                  <w:r>
                    <w:rPr>
                      <w:rFonts w:hint="eastAsia" w:ascii="Times New Roman" w:hAnsi="Times New Roman"/>
                      <w:color w:val="000000" w:themeColor="text1"/>
                      <w:sz w:val="21"/>
                      <w:szCs w:val="21"/>
                      <w:lang w:val="en-US" w:eastAsia="zh-CN"/>
                      <w14:textFill>
                        <w14:solidFill>
                          <w14:schemeClr w14:val="tx1"/>
                        </w14:solidFill>
                      </w14:textFill>
                    </w:rPr>
                    <w:t>3.5</w:t>
                  </w:r>
                  <w:r>
                    <w:rPr>
                      <w:rFonts w:hint="eastAsia" w:ascii="Times New Roman" w:hAnsi="Times New Roman"/>
                      <w:color w:val="000000" w:themeColor="text1"/>
                      <w:sz w:val="21"/>
                      <w:szCs w:val="21"/>
                      <w:lang w:eastAsia="zh-CN"/>
                      <w14:textFill>
                        <w14:solidFill>
                          <w14:schemeClr w14:val="tx1"/>
                        </w14:solidFill>
                      </w14:textFill>
                    </w:rPr>
                    <w:t>m，道路总长</w:t>
                  </w:r>
                  <w:r>
                    <w:rPr>
                      <w:rFonts w:hint="eastAsia" w:ascii="Times New Roman" w:hAnsi="Times New Roman"/>
                      <w:color w:val="000000" w:themeColor="text1"/>
                      <w:sz w:val="21"/>
                      <w:szCs w:val="21"/>
                      <w:lang w:val="en-US" w:eastAsia="zh-CN"/>
                      <w14:textFill>
                        <w14:solidFill>
                          <w14:schemeClr w14:val="tx1"/>
                        </w14:solidFill>
                      </w14:textFill>
                    </w:rPr>
                    <w:t>460m（大峪河段工程350m，小峪河段工程110m）</w:t>
                  </w:r>
                  <w:r>
                    <w:rPr>
                      <w:rFonts w:hint="eastAsia" w:ascii="Times New Roman" w:hAnsi="Times New Roman"/>
                      <w:color w:val="000000" w:themeColor="text1"/>
                      <w:sz w:val="21"/>
                      <w:szCs w:val="21"/>
                      <w:lang w:eastAsia="zh-CN"/>
                      <w14:textFill>
                        <w14:solidFill>
                          <w14:schemeClr w14:val="tx1"/>
                        </w14:solidFill>
                      </w14:textFill>
                    </w:rPr>
                    <w:t>。</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新建，施工结束后生态恢复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临时用地</w:t>
                  </w:r>
                </w:p>
              </w:tc>
              <w:tc>
                <w:tcPr>
                  <w:tcW w:w="3634"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本工程临时占地总计10580m</w:t>
                  </w:r>
                  <w:r>
                    <w:rPr>
                      <w:rFonts w:hint="eastAsia" w:ascii="Times New Roman" w:hAnsi="Times New Roman"/>
                      <w:color w:val="000000" w:themeColor="text1"/>
                      <w:sz w:val="21"/>
                      <w:szCs w:val="21"/>
                      <w:vertAlign w:val="superscript"/>
                      <w:lang w:eastAsia="zh-CN"/>
                      <w14:textFill>
                        <w14:solidFill>
                          <w14:schemeClr w14:val="tx1"/>
                        </w14:solidFill>
                      </w14:textFill>
                    </w:rPr>
                    <w:t>2</w:t>
                  </w:r>
                  <w:r>
                    <w:rPr>
                      <w:rFonts w:hint="eastAsia" w:ascii="Times New Roman" w:hAnsi="Times New Roman"/>
                      <w:color w:val="000000" w:themeColor="text1"/>
                      <w:sz w:val="21"/>
                      <w:szCs w:val="21"/>
                      <w:lang w:eastAsia="zh-CN"/>
                      <w14:textFill>
                        <w14:solidFill>
                          <w14:schemeClr w14:val="tx1"/>
                        </w14:solidFill>
                      </w14:textFill>
                    </w:rPr>
                    <w:t>，主要用于临时堆放外购石料，停放机械设备。占地选择位置位于项目区河道生态修复区域内相对开阔、平缓、无安全隐患的地块内，不涉及临时占地补偿费用。</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新建，施工结束后生态恢复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弃渣场</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本项目实施过程土石方平衡，不产生弃渣，不设弃渣场。</w:t>
                  </w:r>
                </w:p>
              </w:tc>
              <w:tc>
                <w:tcPr>
                  <w:tcW w:w="477" w:type="pct"/>
                  <w:noWrap w:val="0"/>
                  <w:vAlign w:val="center"/>
                </w:tcPr>
                <w:p>
                  <w:pPr>
                    <w:pStyle w:val="66"/>
                    <w:adjustRightInd w:val="0"/>
                    <w:snapToGrid w:val="0"/>
                    <w:spacing w:after="0"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施工营地</w:t>
                  </w:r>
                </w:p>
              </w:tc>
              <w:tc>
                <w:tcPr>
                  <w:tcW w:w="3634"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设置</w:t>
                  </w:r>
                  <w:r>
                    <w:rPr>
                      <w:rFonts w:ascii="Times New Roman" w:hAnsi="Times New Roman"/>
                      <w:color w:val="000000" w:themeColor="text1"/>
                      <w:sz w:val="21"/>
                      <w:szCs w:val="21"/>
                      <w:lang w:eastAsia="zh-CN"/>
                      <w14:textFill>
                        <w14:solidFill>
                          <w14:schemeClr w14:val="tx1"/>
                        </w14:solidFill>
                      </w14:textFill>
                    </w:rPr>
                    <w:t>1</w:t>
                  </w:r>
                  <w:r>
                    <w:rPr>
                      <w:rFonts w:hint="eastAsia" w:ascii="Times New Roman" w:hAnsi="Times New Roman"/>
                      <w:color w:val="000000" w:themeColor="text1"/>
                      <w:sz w:val="21"/>
                      <w:szCs w:val="21"/>
                      <w:lang w:eastAsia="zh-CN"/>
                      <w14:textFill>
                        <w14:solidFill>
                          <w14:schemeClr w14:val="tx1"/>
                        </w14:solidFill>
                      </w14:textFill>
                    </w:rPr>
                    <w:t>个项目指挥部和</w:t>
                  </w:r>
                  <w:r>
                    <w:rPr>
                      <w:rFonts w:hint="eastAsia" w:ascii="Times New Roman" w:hAnsi="Times New Roman"/>
                      <w:color w:val="000000" w:themeColor="text1"/>
                      <w:sz w:val="21"/>
                      <w:szCs w:val="21"/>
                      <w:lang w:val="en-US" w:eastAsia="zh-CN"/>
                      <w14:textFill>
                        <w14:solidFill>
                          <w14:schemeClr w14:val="tx1"/>
                        </w14:solidFill>
                      </w14:textFill>
                    </w:rPr>
                    <w:t>4</w:t>
                  </w:r>
                  <w:r>
                    <w:rPr>
                      <w:rFonts w:hint="eastAsia" w:ascii="Times New Roman" w:hAnsi="Times New Roman"/>
                      <w:color w:val="000000" w:themeColor="text1"/>
                      <w:sz w:val="21"/>
                      <w:szCs w:val="21"/>
                      <w:lang w:eastAsia="zh-CN"/>
                      <w14:textFill>
                        <w14:solidFill>
                          <w14:schemeClr w14:val="tx1"/>
                        </w14:solidFill>
                      </w14:textFill>
                    </w:rPr>
                    <w:t>个主要的工区营地（大、小峪河各</w:t>
                  </w:r>
                  <w:r>
                    <w:rPr>
                      <w:rFonts w:hint="eastAsia" w:ascii="Times New Roman" w:hAnsi="Times New Roman"/>
                      <w:color w:val="000000" w:themeColor="text1"/>
                      <w:sz w:val="21"/>
                      <w:szCs w:val="21"/>
                      <w:lang w:val="en-US" w:eastAsia="zh-CN"/>
                      <w14:textFill>
                        <w14:solidFill>
                          <w14:schemeClr w14:val="tx1"/>
                        </w14:solidFill>
                      </w14:textFill>
                    </w:rPr>
                    <w:t>2个</w:t>
                  </w:r>
                  <w:r>
                    <w:rPr>
                      <w:rFonts w:hint="eastAsia" w:ascii="Times New Roman" w:hAnsi="Times New Roman"/>
                      <w:color w:val="000000" w:themeColor="text1"/>
                      <w:sz w:val="21"/>
                      <w:szCs w:val="21"/>
                      <w:lang w:eastAsia="zh-CN"/>
                      <w14:textFill>
                        <w14:solidFill>
                          <w14:schemeClr w14:val="tx1"/>
                        </w14:solidFill>
                      </w14:textFill>
                    </w:rPr>
                    <w:t>），项目指挥部及营地皆租用民房建筑。</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施工场地</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采用商品混凝土，施工现场不布置砼拌和系统；</w:t>
                  </w:r>
                </w:p>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施工机械的修理可利用乡镇附近已有的修配厂，施工现场仅考虑机械零配件的更换。</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施工导流</w:t>
                  </w:r>
                </w:p>
              </w:tc>
              <w:tc>
                <w:tcPr>
                  <w:tcW w:w="3634" w:type="pct"/>
                  <w:noWrap w:val="0"/>
                  <w:vAlign w:val="center"/>
                </w:tcPr>
                <w:p>
                  <w:pPr>
                    <w:pStyle w:val="66"/>
                    <w:adjustRightInd w:val="0"/>
                    <w:snapToGrid w:val="0"/>
                    <w:spacing w:after="0" w:line="240" w:lineRule="auto"/>
                    <w:jc w:val="left"/>
                    <w:rPr>
                      <w:rFonts w:hint="eastAsia"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施工导流标准为3年一遇施工洪水。采用的导流建筑物为土石围堰，顶宽1m，两侧坡比为1：1，高1m。</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公用工程</w:t>
                  </w: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供水</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施工期生活用水依托附近</w:t>
                  </w:r>
                  <w:r>
                    <w:rPr>
                      <w:rFonts w:hint="eastAsia" w:ascii="Times New Roman" w:hAnsi="Times New Roman"/>
                      <w:color w:val="000000" w:themeColor="text1"/>
                      <w:sz w:val="21"/>
                      <w:szCs w:val="21"/>
                      <w:lang w:eastAsia="zh-CN"/>
                      <w14:textFill>
                        <w14:solidFill>
                          <w14:schemeClr w14:val="tx1"/>
                        </w14:solidFill>
                      </w14:textFill>
                    </w:rPr>
                    <w:t>村民</w:t>
                  </w:r>
                  <w:r>
                    <w:rPr>
                      <w:rFonts w:ascii="Times New Roman" w:hAnsi="Times New Roman"/>
                      <w:color w:val="000000" w:themeColor="text1"/>
                      <w:sz w:val="21"/>
                      <w:szCs w:val="21"/>
                      <w:lang w:eastAsia="zh-CN"/>
                      <w14:textFill>
                        <w14:solidFill>
                          <w14:schemeClr w14:val="tx1"/>
                        </w14:solidFill>
                      </w14:textFill>
                    </w:rPr>
                    <w:t>用水，生产用水就近取</w:t>
                  </w:r>
                  <w:r>
                    <w:rPr>
                      <w:rFonts w:hint="eastAsia" w:ascii="Times New Roman" w:hAnsi="Times New Roman"/>
                      <w:color w:val="000000" w:themeColor="text1"/>
                      <w:sz w:val="21"/>
                      <w:szCs w:val="21"/>
                      <w:lang w:eastAsia="zh-CN"/>
                      <w14:textFill>
                        <w14:solidFill>
                          <w14:schemeClr w14:val="tx1"/>
                        </w14:solidFill>
                      </w14:textFill>
                    </w:rPr>
                    <w:t>大峪河、小峪河河</w:t>
                  </w:r>
                  <w:r>
                    <w:rPr>
                      <w:rFonts w:ascii="Times New Roman" w:hAnsi="Times New Roman"/>
                      <w:color w:val="000000" w:themeColor="text1"/>
                      <w:sz w:val="21"/>
                      <w:szCs w:val="21"/>
                      <w:lang w:eastAsia="zh-CN"/>
                      <w14:textFill>
                        <w14:solidFill>
                          <w14:schemeClr w14:val="tx1"/>
                        </w14:solidFill>
                      </w14:textFill>
                    </w:rPr>
                    <w:t>水。</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vMerge w:val="restart"/>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施工人员生活污水：</w:t>
                  </w:r>
                  <w:r>
                    <w:rPr>
                      <w:rFonts w:hint="eastAsia" w:ascii="Times New Roman" w:hAnsi="Times New Roman"/>
                      <w:color w:val="000000" w:themeColor="text1"/>
                      <w:sz w:val="21"/>
                      <w:szCs w:val="21"/>
                      <w:lang w:eastAsia="zh-CN"/>
                      <w14:textFill>
                        <w14:solidFill>
                          <w14:schemeClr w14:val="tx1"/>
                        </w14:solidFill>
                      </w14:textFill>
                    </w:rPr>
                    <w:t>依托周边村民现有的污水设施</w:t>
                  </w:r>
                  <w:r>
                    <w:rPr>
                      <w:rFonts w:ascii="Times New Roman" w:hAnsi="Times New Roman"/>
                      <w:color w:val="000000" w:themeColor="text1"/>
                      <w:sz w:val="21"/>
                      <w:szCs w:val="21"/>
                      <w:lang w:eastAsia="zh-CN"/>
                      <w14:textFill>
                        <w14:solidFill>
                          <w14:schemeClr w14:val="tx1"/>
                        </w14:solidFill>
                      </w14:textFill>
                    </w:rPr>
                    <w:t>。</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vMerge w:val="continue"/>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施工废水：</w:t>
                  </w:r>
                  <w:r>
                    <w:rPr>
                      <w:rFonts w:hint="eastAsia" w:ascii="Times New Roman" w:hAnsi="Times New Roman"/>
                      <w:color w:val="000000" w:themeColor="text1"/>
                      <w:sz w:val="21"/>
                      <w:szCs w:val="21"/>
                      <w:lang w:eastAsia="zh-CN"/>
                      <w14:textFill>
                        <w14:solidFill>
                          <w14:schemeClr w14:val="tx1"/>
                        </w14:solidFill>
                      </w14:textFill>
                    </w:rPr>
                    <w:t>项目在秦岭保护区外设沉淀池2个用于处理车辆冲洗废水，施工车辆经冲洗后方可进出秦岭保护区，施工废水经沉淀罐处理后，在秦岭保护区外回用于洗车，</w:t>
                  </w:r>
                  <w:r>
                    <w:rPr>
                      <w:rFonts w:ascii="Times New Roman" w:hAnsi="Times New Roman"/>
                      <w:color w:val="000000" w:themeColor="text1"/>
                      <w:sz w:val="21"/>
                      <w:szCs w:val="21"/>
                      <w:lang w:eastAsia="zh-CN"/>
                      <w14:textFill>
                        <w14:solidFill>
                          <w14:schemeClr w14:val="tx1"/>
                        </w14:solidFill>
                      </w14:textFill>
                    </w:rPr>
                    <w:t>不外排。</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施工期用电从就近村庄引进。</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restart"/>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环保工程</w:t>
                  </w: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施工人员生活污水：</w:t>
                  </w:r>
                  <w:r>
                    <w:rPr>
                      <w:rFonts w:hint="eastAsia" w:ascii="Times New Roman" w:hAnsi="Times New Roman"/>
                      <w:color w:val="000000" w:themeColor="text1"/>
                      <w:sz w:val="21"/>
                      <w:szCs w:val="21"/>
                      <w:lang w:eastAsia="zh-CN"/>
                      <w14:textFill>
                        <w14:solidFill>
                          <w14:schemeClr w14:val="tx1"/>
                        </w14:solidFill>
                      </w14:textFill>
                    </w:rPr>
                    <w:t>依托周边村民现有的污水设施</w:t>
                  </w:r>
                  <w:r>
                    <w:rPr>
                      <w:rFonts w:ascii="Times New Roman" w:hAnsi="Times New Roman"/>
                      <w:color w:val="000000" w:themeColor="text1"/>
                      <w:sz w:val="21"/>
                      <w:szCs w:val="21"/>
                      <w:lang w:eastAsia="zh-CN"/>
                      <w14:textFill>
                        <w14:solidFill>
                          <w14:schemeClr w14:val="tx1"/>
                        </w14:solidFill>
                      </w14:textFill>
                    </w:rPr>
                    <w:t>。</w:t>
                  </w:r>
                </w:p>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施工废水：</w:t>
                  </w:r>
                  <w:r>
                    <w:rPr>
                      <w:rFonts w:hint="eastAsia"/>
                      <w:color w:val="000000" w:themeColor="text1"/>
                      <w:sz w:val="21"/>
                      <w:szCs w:val="21"/>
                      <w:highlight w:val="none"/>
                      <w:lang w:eastAsia="zh-CN"/>
                      <w14:textFill>
                        <w14:solidFill>
                          <w14:schemeClr w14:val="tx1"/>
                        </w14:solidFill>
                      </w14:textFill>
                    </w:rPr>
                    <w:t>项目在秦岭保护区外设沉淀池2个用于处理车辆冲洗废水，施工车辆经冲洗后方可进出秦岭保护区，</w:t>
                  </w:r>
                  <w:r>
                    <w:rPr>
                      <w:rFonts w:hint="eastAsia"/>
                      <w:color w:val="000000" w:themeColor="text1"/>
                      <w:sz w:val="21"/>
                      <w:szCs w:val="21"/>
                      <w:highlight w:val="none"/>
                      <w14:textFill>
                        <w14:solidFill>
                          <w14:schemeClr w14:val="tx1"/>
                        </w14:solidFill>
                      </w14:textFill>
                    </w:rPr>
                    <w:t>施工废水经沉淀罐处理后，在秦岭保护区外回用于洗车</w:t>
                  </w:r>
                  <w:r>
                    <w:rPr>
                      <w:rFonts w:hint="eastAsia" w:ascii="Times New Roman" w:hAnsi="Times New Roman"/>
                      <w:color w:val="000000" w:themeColor="text1"/>
                      <w:sz w:val="21"/>
                      <w:szCs w:val="21"/>
                      <w:lang w:eastAsia="zh-CN"/>
                      <w14:textFill>
                        <w14:solidFill>
                          <w14:schemeClr w14:val="tx1"/>
                        </w14:solidFill>
                      </w14:textFill>
                    </w:rPr>
                    <w:t>，不外排</w:t>
                  </w:r>
                  <w:r>
                    <w:rPr>
                      <w:rFonts w:ascii="Times New Roman" w:hAnsi="Times New Roman"/>
                      <w:color w:val="000000" w:themeColor="text1"/>
                      <w:sz w:val="21"/>
                      <w:szCs w:val="21"/>
                      <w:lang w:eastAsia="zh-CN"/>
                      <w14:textFill>
                        <w14:solidFill>
                          <w14:schemeClr w14:val="tx1"/>
                        </w14:solidFill>
                      </w14:textFill>
                    </w:rPr>
                    <w:t>。</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ascii="Times New Roman" w:hAnsi="Times New Roman"/>
                      <w:color w:val="000000" w:themeColor="text1"/>
                      <w:sz w:val="21"/>
                      <w:szCs w:val="21"/>
                      <w:lang w:eastAsia="zh-CN"/>
                      <w14:textFill>
                        <w14:solidFill>
                          <w14:schemeClr w14:val="tx1"/>
                        </w14:solidFill>
                      </w14:textFill>
                    </w:rPr>
                    <w:t>施工场地扬尘：建筑材料堆</w:t>
                  </w:r>
                  <w:r>
                    <w:rPr>
                      <w:rFonts w:hint="eastAsia" w:ascii="Times New Roman" w:hAnsi="Times New Roman"/>
                      <w:color w:val="000000" w:themeColor="text1"/>
                      <w:sz w:val="21"/>
                      <w:szCs w:val="21"/>
                      <w:lang w:eastAsia="zh-CN"/>
                      <w14:textFill>
                        <w14:solidFill>
                          <w14:schemeClr w14:val="tx1"/>
                        </w14:solidFill>
                      </w14:textFill>
                    </w:rPr>
                    <w:t>放</w:t>
                  </w:r>
                  <w:r>
                    <w:rPr>
                      <w:rFonts w:ascii="Times New Roman" w:hAnsi="Times New Roman"/>
                      <w:color w:val="000000" w:themeColor="text1"/>
                      <w:sz w:val="21"/>
                      <w:szCs w:val="21"/>
                      <w:lang w:eastAsia="zh-CN"/>
                      <w14:textFill>
                        <w14:solidFill>
                          <w14:schemeClr w14:val="tx1"/>
                        </w14:solidFill>
                      </w14:textFill>
                    </w:rPr>
                    <w:t>全部覆盖防尘网，洒水抑尘。</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3634" w:type="pct"/>
                  <w:noWrap w:val="0"/>
                  <w:vAlign w:val="center"/>
                </w:tcPr>
                <w:p>
                  <w:pPr>
                    <w:pStyle w:val="66"/>
                    <w:adjustRightInd w:val="0"/>
                    <w:snapToGrid w:val="0"/>
                    <w:spacing w:after="0" w:line="240" w:lineRule="auto"/>
                    <w:jc w:val="left"/>
                    <w:rPr>
                      <w:rFonts w:ascii="Times New Roman" w:hAnsi="Times New Roman"/>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选用低噪声设备、加强设备的维护和保养、设置移动式围挡、隔离施工作业场地、设备减振、合理安排施工时间，禁止夜间施工等措施</w:t>
                  </w:r>
                  <w:r>
                    <w:rPr>
                      <w:rFonts w:ascii="Times New Roman" w:hAnsi="Times New Roman"/>
                      <w:color w:val="000000" w:themeColor="text1"/>
                      <w:sz w:val="21"/>
                      <w:szCs w:val="21"/>
                      <w:lang w:eastAsia="zh-CN"/>
                      <w14:textFill>
                        <w14:solidFill>
                          <w14:schemeClr w14:val="tx1"/>
                        </w14:solidFill>
                      </w14:textFill>
                    </w:rPr>
                    <w:t>。</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602" w:type="pct"/>
                  <w:gridSpan w:val="2"/>
                  <w:noWrap w:val="0"/>
                  <w:vAlign w:val="center"/>
                </w:tcPr>
                <w:p>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3634" w:type="pct"/>
                  <w:noWrap w:val="0"/>
                  <w:vAlign w:val="center"/>
                </w:tcPr>
                <w:p>
                  <w:pPr>
                    <w:pStyle w:val="66"/>
                    <w:adjustRightInd w:val="0"/>
                    <w:snapToGrid w:val="0"/>
                    <w:spacing w:after="0" w:line="240" w:lineRule="auto"/>
                    <w:jc w:val="left"/>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生活垃圾：</w:t>
                  </w:r>
                  <w:r>
                    <w:rPr>
                      <w:rFonts w:hint="default" w:ascii="Times New Roman" w:hAnsi="Times New Roman" w:cs="Times New Roman"/>
                      <w:color w:val="000000" w:themeColor="text1"/>
                      <w:sz w:val="21"/>
                      <w:szCs w:val="21"/>
                      <w:lang w:eastAsia="zh-CN"/>
                      <w14:textFill>
                        <w14:solidFill>
                          <w14:schemeClr w14:val="tx1"/>
                        </w14:solidFill>
                      </w14:textFill>
                    </w:rPr>
                    <w:t>依托周边村民现有的生活垃圾处理设施。</w:t>
                  </w:r>
                </w:p>
                <w:p>
                  <w:pPr>
                    <w:pStyle w:val="66"/>
                    <w:adjustRightInd w:val="0"/>
                    <w:snapToGrid w:val="0"/>
                    <w:spacing w:after="0" w:line="240" w:lineRule="auto"/>
                    <w:jc w:val="left"/>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本项目实施过程土石方平衡，不产生弃渣。</w:t>
                  </w:r>
                </w:p>
              </w:tc>
              <w:tc>
                <w:tcPr>
                  <w:tcW w:w="477" w:type="pct"/>
                  <w:noWrap w:val="0"/>
                  <w:vAlign w:val="center"/>
                </w:tcPr>
                <w:p>
                  <w:pPr>
                    <w:pStyle w:val="66"/>
                    <w:adjustRightInd w:val="0"/>
                    <w:snapToGrid w:val="0"/>
                    <w:spacing w:after="0" w:line="240" w:lineRule="auto"/>
                    <w:jc w:val="center"/>
                    <w:rPr>
                      <w:rFonts w:hint="default"/>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312" w:type="pct"/>
                  <w:vMerge w:val="restart"/>
                  <w:noWrap w:val="0"/>
                  <w:vAlign w:val="center"/>
                </w:tcPr>
                <w:p>
                  <w:pPr>
                    <w:autoSpaceDE w:val="0"/>
                    <w:autoSpaceDN w:val="0"/>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生态环境</w:t>
                  </w:r>
                </w:p>
              </w:tc>
              <w:tc>
                <w:tcPr>
                  <w:tcW w:w="290" w:type="pct"/>
                  <w:noWrap w:val="0"/>
                  <w:vAlign w:val="center"/>
                </w:tcPr>
                <w:p>
                  <w:pPr>
                    <w:autoSpaceDE w:val="0"/>
                    <w:autoSpaceDN w:val="0"/>
                    <w:adjustRightInd w:val="0"/>
                    <w:snapToGrid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施工</w:t>
                  </w:r>
                </w:p>
                <w:p>
                  <w:pPr>
                    <w:autoSpaceDE w:val="0"/>
                    <w:autoSpaceDN w:val="0"/>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便道</w:t>
                  </w:r>
                </w:p>
              </w:tc>
              <w:tc>
                <w:tcPr>
                  <w:tcW w:w="3634" w:type="pct"/>
                  <w:noWrap w:val="0"/>
                  <w:vAlign w:val="center"/>
                </w:tcPr>
                <w:p>
                  <w:pPr>
                    <w:pStyle w:val="66"/>
                    <w:adjustRightInd w:val="0"/>
                    <w:snapToGrid w:val="0"/>
                    <w:spacing w:after="0" w:line="240" w:lineRule="auto"/>
                    <w:jc w:val="left"/>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本项目施工便道长</w:t>
                  </w:r>
                  <w:r>
                    <w:rPr>
                      <w:rFonts w:hint="default" w:ascii="Times New Roman" w:hAnsi="Times New Roman" w:cs="Times New Roman"/>
                      <w:color w:val="000000" w:themeColor="text1"/>
                      <w:sz w:val="21"/>
                      <w:szCs w:val="21"/>
                      <w:lang w:val="en-US" w:eastAsia="zh-CN"/>
                      <w14:textFill>
                        <w14:solidFill>
                          <w14:schemeClr w14:val="tx1"/>
                        </w14:solidFill>
                      </w14:textFill>
                    </w:rPr>
                    <w:t>460m，施工便道</w:t>
                  </w:r>
                  <w:r>
                    <w:rPr>
                      <w:rFonts w:hint="default" w:ascii="Times New Roman" w:hAnsi="Times New Roman" w:cs="Times New Roman"/>
                      <w:color w:val="000000" w:themeColor="text1"/>
                      <w:sz w:val="21"/>
                      <w:szCs w:val="21"/>
                      <w:lang w:eastAsia="zh-CN"/>
                      <w14:textFill>
                        <w14:solidFill>
                          <w14:schemeClr w14:val="tx1"/>
                        </w14:solidFill>
                      </w14:textFill>
                    </w:rPr>
                    <w:t>的开挖应按照不同的地质条件，设置不同的开挖边坡，以保证边坡的安全稳定，路基坡底已设排水沟，以利于排水。在施工完毕后对所有临时施工道路区域进行清理，拆除地上建筑物。</w:t>
                  </w:r>
                </w:p>
              </w:tc>
              <w:tc>
                <w:tcPr>
                  <w:tcW w:w="477" w:type="pct"/>
                  <w:noWrap w:val="0"/>
                  <w:vAlign w:val="center"/>
                </w:tcPr>
                <w:p>
                  <w:pPr>
                    <w:pStyle w:val="66"/>
                    <w:adjustRightInd w:val="0"/>
                    <w:snapToGrid w:val="0"/>
                    <w:spacing w:after="0" w:line="240" w:lineRule="auto"/>
                    <w:jc w:val="center"/>
                    <w:rPr>
                      <w:rFonts w:hint="default"/>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312" w:type="pct"/>
                  <w:vMerge w:val="continue"/>
                  <w:noWrap w:val="0"/>
                  <w:vAlign w:val="center"/>
                </w:tcPr>
                <w:p>
                  <w:pPr>
                    <w:autoSpaceDE w:val="0"/>
                    <w:autoSpaceDN w:val="0"/>
                    <w:adjustRightInd w:val="0"/>
                    <w:snapToGrid w:val="0"/>
                    <w:jc w:val="center"/>
                    <w:rPr>
                      <w:rFonts w:hint="eastAsia"/>
                      <w:color w:val="000000" w:themeColor="text1"/>
                      <w:sz w:val="21"/>
                      <w:szCs w:val="21"/>
                      <w:lang w:eastAsia="zh-CN"/>
                      <w14:textFill>
                        <w14:solidFill>
                          <w14:schemeClr w14:val="tx1"/>
                        </w14:solidFill>
                      </w14:textFill>
                    </w:rPr>
                  </w:pPr>
                </w:p>
              </w:tc>
              <w:tc>
                <w:tcPr>
                  <w:tcW w:w="290" w:type="pct"/>
                  <w:noWrap w:val="0"/>
                  <w:vAlign w:val="center"/>
                </w:tcPr>
                <w:p>
                  <w:pPr>
                    <w:autoSpaceDE w:val="0"/>
                    <w:autoSpaceDN w:val="0"/>
                    <w:adjustRightInd w:val="0"/>
                    <w:snapToGrid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临时</w:t>
                  </w:r>
                </w:p>
                <w:p>
                  <w:pPr>
                    <w:autoSpaceDE w:val="0"/>
                    <w:autoSpaceDN w:val="0"/>
                    <w:adjustRightInd w:val="0"/>
                    <w:snapToGrid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占地</w:t>
                  </w:r>
                </w:p>
              </w:tc>
              <w:tc>
                <w:tcPr>
                  <w:tcW w:w="3634" w:type="pct"/>
                  <w:noWrap w:val="0"/>
                  <w:vAlign w:val="center"/>
                </w:tcPr>
                <w:p>
                  <w:pPr>
                    <w:pStyle w:val="66"/>
                    <w:adjustRightInd w:val="0"/>
                    <w:snapToGrid w:val="0"/>
                    <w:spacing w:after="0" w:line="240" w:lineRule="auto"/>
                    <w:jc w:val="left"/>
                    <w:rPr>
                      <w:rFonts w:hint="eastAsia"/>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项目分段施工，施工期设备及外购石料堆放于临时占地内，本工程临时占地总计10580m</w:t>
                  </w:r>
                  <w:r>
                    <w:rPr>
                      <w:rFonts w:hint="eastAsia" w:ascii="Times New Roman" w:hAnsi="Times New Roman"/>
                      <w:color w:val="000000" w:themeColor="text1"/>
                      <w:sz w:val="21"/>
                      <w:szCs w:val="21"/>
                      <w:vertAlign w:val="superscript"/>
                      <w:lang w:eastAsia="zh-CN"/>
                      <w14:textFill>
                        <w14:solidFill>
                          <w14:schemeClr w14:val="tx1"/>
                        </w14:solidFill>
                      </w14:textFill>
                    </w:rPr>
                    <w:t>2</w:t>
                  </w:r>
                  <w:r>
                    <w:rPr>
                      <w:rFonts w:hint="eastAsia" w:ascii="Times New Roman" w:hAnsi="Times New Roman"/>
                      <w:color w:val="000000" w:themeColor="text1"/>
                      <w:sz w:val="21"/>
                      <w:szCs w:val="21"/>
                      <w:lang w:eastAsia="zh-CN"/>
                      <w14:textFill>
                        <w14:solidFill>
                          <w14:schemeClr w14:val="tx1"/>
                        </w14:solidFill>
                      </w14:textFill>
                    </w:rPr>
                    <w:t>，占地类型主要为内陆滩涂、荒草地及未利用地。临时占地将破坏原有地貌类型，施工结束后期，对临时占地进行生态恢复。</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312" w:type="pct"/>
                  <w:vMerge w:val="continue"/>
                  <w:noWrap w:val="0"/>
                  <w:vAlign w:val="center"/>
                </w:tcPr>
                <w:p>
                  <w:pPr>
                    <w:autoSpaceDE w:val="0"/>
                    <w:autoSpaceDN w:val="0"/>
                    <w:adjustRightInd w:val="0"/>
                    <w:snapToGrid w:val="0"/>
                    <w:jc w:val="center"/>
                    <w:rPr>
                      <w:rFonts w:hint="eastAsia"/>
                      <w:color w:val="000000" w:themeColor="text1"/>
                      <w:sz w:val="21"/>
                      <w:szCs w:val="21"/>
                      <w:lang w:eastAsia="zh-CN"/>
                      <w14:textFill>
                        <w14:solidFill>
                          <w14:schemeClr w14:val="tx1"/>
                        </w14:solidFill>
                      </w14:textFill>
                    </w:rPr>
                  </w:pPr>
                </w:p>
              </w:tc>
              <w:tc>
                <w:tcPr>
                  <w:tcW w:w="290" w:type="pct"/>
                  <w:noWrap w:val="0"/>
                  <w:vAlign w:val="center"/>
                </w:tcPr>
                <w:p>
                  <w:pPr>
                    <w:autoSpaceDE w:val="0"/>
                    <w:autoSpaceDN w:val="0"/>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植被</w:t>
                  </w:r>
                </w:p>
              </w:tc>
              <w:tc>
                <w:tcPr>
                  <w:tcW w:w="3634" w:type="pct"/>
                  <w:noWrap w:val="0"/>
                  <w:vAlign w:val="center"/>
                </w:tcPr>
                <w:p>
                  <w:pPr>
                    <w:pStyle w:val="66"/>
                    <w:adjustRightInd w:val="0"/>
                    <w:snapToGrid w:val="0"/>
                    <w:spacing w:after="0" w:line="240" w:lineRule="auto"/>
                    <w:jc w:val="left"/>
                    <w:rPr>
                      <w:rFonts w:hint="eastAsia"/>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①</w:t>
                  </w:r>
                  <w:r>
                    <w:rPr>
                      <w:rFonts w:hint="eastAsia"/>
                      <w:color w:val="000000" w:themeColor="text1"/>
                      <w:sz w:val="21"/>
                      <w:szCs w:val="21"/>
                      <w:lang w:eastAsia="zh-CN"/>
                      <w14:textFill>
                        <w14:solidFill>
                          <w14:schemeClr w14:val="tx1"/>
                        </w14:solidFill>
                      </w14:textFill>
                    </w:rPr>
                    <w:t>施工期严格控制施工作业带，避免超挖破坏周围植被，严格保护临时用地内植被，减少植被损坏，保护区域生态环境功能。</w:t>
                  </w:r>
                </w:p>
                <w:p>
                  <w:pPr>
                    <w:pStyle w:val="66"/>
                    <w:adjustRightInd w:val="0"/>
                    <w:snapToGrid w:val="0"/>
                    <w:spacing w:after="0" w:line="240" w:lineRule="auto"/>
                    <w:jc w:val="left"/>
                    <w:rPr>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②</w:t>
                  </w:r>
                  <w:r>
                    <w:rPr>
                      <w:rFonts w:hint="eastAsia"/>
                      <w:color w:val="000000" w:themeColor="text1"/>
                      <w:sz w:val="21"/>
                      <w:szCs w:val="21"/>
                      <w:lang w:eastAsia="zh-CN"/>
                      <w14:textFill>
                        <w14:solidFill>
                          <w14:schemeClr w14:val="tx1"/>
                        </w14:solidFill>
                      </w14:textFill>
                    </w:rPr>
                    <w:t>加强绿化植物的管理维护，建立专门的绿化管理机构，采取浇灌抚育管护等措施，确保绿化物种的成活以及绿化效果。</w:t>
                  </w:r>
                </w:p>
              </w:tc>
              <w:tc>
                <w:tcPr>
                  <w:tcW w:w="477" w:type="pct"/>
                  <w:noWrap w:val="0"/>
                  <w:vAlign w:val="center"/>
                </w:tcPr>
                <w:p>
                  <w:pPr>
                    <w:pStyle w:val="66"/>
                    <w:adjustRightInd w:val="0"/>
                    <w:snapToGrid w:val="0"/>
                    <w:spacing w:after="0"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312" w:type="pct"/>
                  <w:vMerge w:val="continue"/>
                  <w:noWrap w:val="0"/>
                  <w:vAlign w:val="center"/>
                </w:tcPr>
                <w:p>
                  <w:pPr>
                    <w:autoSpaceDE w:val="0"/>
                    <w:autoSpaceDN w:val="0"/>
                    <w:adjustRightInd w:val="0"/>
                    <w:snapToGrid w:val="0"/>
                    <w:jc w:val="center"/>
                    <w:rPr>
                      <w:rFonts w:hint="eastAsia"/>
                      <w:color w:val="000000" w:themeColor="text1"/>
                      <w:sz w:val="21"/>
                      <w:szCs w:val="21"/>
                      <w:lang w:eastAsia="zh-CN"/>
                      <w14:textFill>
                        <w14:solidFill>
                          <w14:schemeClr w14:val="tx1"/>
                        </w14:solidFill>
                      </w14:textFill>
                    </w:rPr>
                  </w:pPr>
                </w:p>
              </w:tc>
              <w:tc>
                <w:tcPr>
                  <w:tcW w:w="290" w:type="pct"/>
                  <w:noWrap w:val="0"/>
                  <w:vAlign w:val="center"/>
                </w:tcPr>
                <w:p>
                  <w:pPr>
                    <w:autoSpaceDE w:val="0"/>
                    <w:autoSpaceDN w:val="0"/>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水生</w:t>
                  </w:r>
                </w:p>
                <w:p>
                  <w:pPr>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生物</w:t>
                  </w:r>
                </w:p>
              </w:tc>
              <w:tc>
                <w:tcPr>
                  <w:tcW w:w="3634" w:type="pct"/>
                  <w:noWrap w:val="0"/>
                  <w:vAlign w:val="center"/>
                </w:tcPr>
                <w:p>
                  <w:pPr>
                    <w:pStyle w:val="66"/>
                    <w:adjustRightInd w:val="0"/>
                    <w:snapToGrid w:val="0"/>
                    <w:spacing w:after="0" w:line="240" w:lineRule="auto"/>
                    <w:jc w:val="left"/>
                    <w:rPr>
                      <w:rFonts w:hint="eastAsia"/>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①</w:t>
                  </w:r>
                  <w:r>
                    <w:rPr>
                      <w:rFonts w:hint="eastAsia"/>
                      <w:color w:val="000000" w:themeColor="text1"/>
                      <w:sz w:val="21"/>
                      <w:szCs w:val="21"/>
                      <w:lang w:eastAsia="zh-CN"/>
                      <w14:textFill>
                        <w14:solidFill>
                          <w14:schemeClr w14:val="tx1"/>
                        </w14:solidFill>
                      </w14:textFill>
                    </w:rPr>
                    <w:t>施工期做好施工导流，以减轻施工活动对河流水体的扰动。施工期间施工废水处理后全部回用不外排，施工期员工生活均依托周边村民现有的污水处理设施。禁止在河道内存放油料和进行施工机械维修，以免油料堆放场地和维修废水等污染物质进入地表水体，影响潏河水质。</w:t>
                  </w:r>
                </w:p>
                <w:p>
                  <w:pPr>
                    <w:pStyle w:val="66"/>
                    <w:adjustRightInd w:val="0"/>
                    <w:snapToGrid w:val="0"/>
                    <w:spacing w:after="0" w:line="240" w:lineRule="auto"/>
                    <w:jc w:val="left"/>
                    <w:rPr>
                      <w:rFonts w:hint="eastAsia"/>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②</w:t>
                  </w:r>
                  <w:r>
                    <w:rPr>
                      <w:rFonts w:hint="eastAsia"/>
                      <w:color w:val="000000" w:themeColor="text1"/>
                      <w:sz w:val="21"/>
                      <w:szCs w:val="21"/>
                      <w:lang w:eastAsia="zh-CN"/>
                      <w14:textFill>
                        <w14:solidFill>
                          <w14:schemeClr w14:val="tx1"/>
                        </w14:solidFill>
                      </w14:textFill>
                    </w:rPr>
                    <w:t>施工中产生的建筑垃圾等应尽量做到回收，不能回收的拉运至建筑垃圾填埋场处理，严禁随意堆放、丢弃；生活垃圾应进行分类收集，及时清运处理，严禁向河道河流水体倾倒，防止污染水体。</w:t>
                  </w:r>
                </w:p>
                <w:p>
                  <w:pPr>
                    <w:pStyle w:val="66"/>
                    <w:adjustRightInd w:val="0"/>
                    <w:snapToGrid w:val="0"/>
                    <w:spacing w:after="0" w:line="240" w:lineRule="auto"/>
                    <w:jc w:val="left"/>
                    <w:rPr>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③</w:t>
                  </w:r>
                  <w:r>
                    <w:rPr>
                      <w:rFonts w:hint="eastAsia"/>
                      <w:color w:val="000000" w:themeColor="text1"/>
                      <w:sz w:val="21"/>
                      <w:szCs w:val="21"/>
                      <w:lang w:eastAsia="zh-CN"/>
                      <w14:textFill>
                        <w14:solidFill>
                          <w14:schemeClr w14:val="tx1"/>
                        </w14:solidFill>
                      </w14:textFill>
                    </w:rPr>
                    <w:t>施工期禁止引进外来鱼类；严禁施工人员毁坏、捕杀水生动植物。</w:t>
                  </w:r>
                </w:p>
              </w:tc>
              <w:tc>
                <w:tcPr>
                  <w:tcW w:w="477" w:type="pct"/>
                  <w:noWrap w:val="0"/>
                  <w:vAlign w:val="center"/>
                </w:tcPr>
                <w:p>
                  <w:pPr>
                    <w:pStyle w:val="66"/>
                    <w:adjustRightInd w:val="0"/>
                    <w:snapToGrid w:val="0"/>
                    <w:spacing w:after="0"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pct"/>
                  <w:vMerge w:val="continue"/>
                  <w:noWrap w:val="0"/>
                  <w:vAlign w:val="center"/>
                </w:tcPr>
                <w:p>
                  <w:pPr>
                    <w:pStyle w:val="66"/>
                    <w:adjustRightInd w:val="0"/>
                    <w:snapToGrid w:val="0"/>
                    <w:spacing w:after="0" w:line="240" w:lineRule="auto"/>
                    <w:jc w:val="center"/>
                    <w:rPr>
                      <w:rFonts w:ascii="Times New Roman" w:hAnsi="Times New Roman"/>
                      <w:color w:val="000000" w:themeColor="text1"/>
                      <w:sz w:val="21"/>
                      <w:szCs w:val="21"/>
                      <w:lang w:eastAsia="zh-CN"/>
                      <w14:textFill>
                        <w14:solidFill>
                          <w14:schemeClr w14:val="tx1"/>
                        </w14:solidFill>
                      </w14:textFill>
                    </w:rPr>
                  </w:pPr>
                </w:p>
              </w:tc>
              <w:tc>
                <w:tcPr>
                  <w:tcW w:w="312" w:type="pct"/>
                  <w:vMerge w:val="continue"/>
                  <w:noWrap w:val="0"/>
                  <w:vAlign w:val="center"/>
                </w:tcPr>
                <w:p>
                  <w:pPr>
                    <w:autoSpaceDE w:val="0"/>
                    <w:autoSpaceDN w:val="0"/>
                    <w:adjustRightInd w:val="0"/>
                    <w:snapToGrid w:val="0"/>
                    <w:jc w:val="center"/>
                    <w:rPr>
                      <w:rFonts w:hint="eastAsia"/>
                      <w:color w:val="000000" w:themeColor="text1"/>
                      <w:sz w:val="21"/>
                      <w:szCs w:val="21"/>
                      <w:lang w:eastAsia="zh-CN"/>
                      <w14:textFill>
                        <w14:solidFill>
                          <w14:schemeClr w14:val="tx1"/>
                        </w14:solidFill>
                      </w14:textFill>
                    </w:rPr>
                  </w:pPr>
                </w:p>
              </w:tc>
              <w:tc>
                <w:tcPr>
                  <w:tcW w:w="290" w:type="pct"/>
                  <w:noWrap w:val="0"/>
                  <w:vAlign w:val="center"/>
                </w:tcPr>
                <w:p>
                  <w:pPr>
                    <w:autoSpaceDE w:val="0"/>
                    <w:autoSpaceDN w:val="0"/>
                    <w:adjustRightInd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陆生</w:t>
                  </w:r>
                </w:p>
                <w:p>
                  <w:pPr>
                    <w:autoSpaceDE w:val="0"/>
                    <w:autoSpaceDN w:val="0"/>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动物</w:t>
                  </w:r>
                </w:p>
              </w:tc>
              <w:tc>
                <w:tcPr>
                  <w:tcW w:w="3634" w:type="pct"/>
                  <w:noWrap w:val="0"/>
                  <w:vAlign w:val="center"/>
                </w:tcPr>
                <w:p>
                  <w:pPr>
                    <w:pStyle w:val="66"/>
                    <w:adjustRightInd w:val="0"/>
                    <w:snapToGrid w:val="0"/>
                    <w:spacing w:after="0" w:line="240" w:lineRule="auto"/>
                    <w:jc w:val="left"/>
                    <w:rPr>
                      <w:rFonts w:hint="eastAsia"/>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①</w:t>
                  </w:r>
                  <w:r>
                    <w:rPr>
                      <w:rFonts w:hint="eastAsia"/>
                      <w:color w:val="000000" w:themeColor="text1"/>
                      <w:sz w:val="21"/>
                      <w:szCs w:val="21"/>
                      <w:lang w:eastAsia="zh-CN"/>
                      <w14:textFill>
                        <w14:solidFill>
                          <w14:schemeClr w14:val="tx1"/>
                        </w14:solidFill>
                      </w14:textFill>
                    </w:rPr>
                    <w:t>加大宣教力度，在施工期大力宣传野生动物保护法。</w:t>
                  </w:r>
                </w:p>
                <w:p>
                  <w:pPr>
                    <w:pStyle w:val="66"/>
                    <w:adjustRightInd w:val="0"/>
                    <w:snapToGrid w:val="0"/>
                    <w:spacing w:after="0" w:line="240" w:lineRule="auto"/>
                    <w:jc w:val="left"/>
                    <w:rPr>
                      <w:rFonts w:hint="eastAsia"/>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②</w:t>
                  </w:r>
                  <w:r>
                    <w:rPr>
                      <w:rFonts w:hint="eastAsia"/>
                      <w:color w:val="000000" w:themeColor="text1"/>
                      <w:sz w:val="21"/>
                      <w:szCs w:val="21"/>
                      <w:lang w:eastAsia="zh-CN"/>
                      <w14:textFill>
                        <w14:solidFill>
                          <w14:schemeClr w14:val="tx1"/>
                        </w14:solidFill>
                      </w14:textFill>
                    </w:rPr>
                    <w:t>施工单位必须禁止施工人员随意捕猎和惊吓各类野生动物。</w:t>
                  </w:r>
                </w:p>
                <w:p>
                  <w:pPr>
                    <w:pStyle w:val="66"/>
                    <w:adjustRightInd w:val="0"/>
                    <w:snapToGrid w:val="0"/>
                    <w:spacing w:after="0" w:line="240" w:lineRule="auto"/>
                    <w:jc w:val="left"/>
                    <w:rPr>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③</w:t>
                  </w:r>
                  <w:r>
                    <w:rPr>
                      <w:rFonts w:hint="eastAsia" w:eastAsia="宋体" w:cs="Times New Roman"/>
                      <w:color w:val="000000" w:themeColor="text1"/>
                      <w:sz w:val="21"/>
                      <w:szCs w:val="21"/>
                      <w:lang w:eastAsia="zh-CN"/>
                      <w14:textFill>
                        <w14:solidFill>
                          <w14:schemeClr w14:val="tx1"/>
                        </w14:solidFill>
                      </w14:textFill>
                    </w:rPr>
                    <w:t>合理组织施工生产，合理安排高噪声机械施工时间。禁止安排在夜间作业，以免惊扰动物栖息、觅食等活动。</w:t>
                  </w:r>
                </w:p>
              </w:tc>
              <w:tc>
                <w:tcPr>
                  <w:tcW w:w="477" w:type="pct"/>
                  <w:noWrap w:val="0"/>
                  <w:vAlign w:val="center"/>
                </w:tcPr>
                <w:p>
                  <w:pPr>
                    <w:pStyle w:val="66"/>
                    <w:adjustRightInd w:val="0"/>
                    <w:snapToGrid w:val="0"/>
                    <w:spacing w:after="0"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w:t>
                  </w:r>
                </w:p>
              </w:tc>
            </w:tr>
          </w:tbl>
          <w:p>
            <w:pPr>
              <w:pStyle w:val="20"/>
              <w:spacing w:before="120" w:beforeLines="50"/>
              <w:ind w:firstLine="482"/>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河道岸堤修复工程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河道岸堤修复工程分为大峪河段和小峪河段，大峪河段起点为板庙子村，终点为五里庙村；小峪河段影响范围起点为大金坪村，终点为小峪村，本工程采用10年一遇洪水标准。施工原料、石料均为外购。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（1）护岸形式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结合项目区现状，采用浆砌石挡墙护岸位于迎流顶冲段，其它护岸采用格宾石笼挡墙。浆砌石挡墙护岸工程1.513km（大峪河0.969km，小峪河0.544km），格宾石笼挡墙护岸工程0.452km（大峪河0.238km，小峪河0.214k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浆砌石挡墙是一种传统的护岸型式，其具有抗冲刷性能好，施工技术成熟，造价低等特点。但是生态效果较差，河道与岸线割裂，主要用于对抗冲刷能力要求较高或用地受限的河段。</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165090" cy="3377565"/>
                  <wp:effectExtent l="0" t="0" r="16510" b="1333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rot="10800000">
                            <a:off x="0" y="0"/>
                            <a:ext cx="5165090" cy="3377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 xml:space="preserve">-1   </w:t>
            </w:r>
            <w:r>
              <w:rPr>
                <w:rFonts w:hint="eastAsia" w:cs="Times New Roman"/>
                <w:b/>
                <w:bCs/>
                <w:color w:val="000000" w:themeColor="text1"/>
                <w:sz w:val="24"/>
                <w:lang w:eastAsia="zh-CN"/>
                <w14:textFill>
                  <w14:solidFill>
                    <w14:schemeClr w14:val="tx1"/>
                  </w14:solidFill>
                </w14:textFill>
              </w:rPr>
              <w:t>浆砌石挡墙护岸效果</w:t>
            </w:r>
            <w:r>
              <w:rPr>
                <w:rFonts w:hint="eastAsia" w:ascii="Times New Roman" w:hAnsi="Times New Roman" w:cs="Times New Roman"/>
                <w:b/>
                <w:bCs/>
                <w:color w:val="000000" w:themeColor="text1"/>
                <w:sz w:val="24"/>
                <w:lang w:eastAsia="zh-CN"/>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格宾石笼挡墙是指将经过特殊加工的机编的双铰六角形柔性金属网扎成立方体网笼，填入适当的石块，石间筑土，然后帮扎盖网，形成的石笼整体护面。</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248275" cy="2966720"/>
                  <wp:effectExtent l="0" t="0" r="9525" b="508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10"/>
                          <a:stretch>
                            <a:fillRect/>
                          </a:stretch>
                        </pic:blipFill>
                        <pic:spPr>
                          <a:xfrm rot="10800000">
                            <a:off x="0" y="0"/>
                            <a:ext cx="5248275" cy="2966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eastAsia="zh-CN"/>
                <w14:textFill>
                  <w14:solidFill>
                    <w14:schemeClr w14:val="tx1"/>
                  </w14:solidFill>
                </w14:textFill>
              </w:rPr>
              <w:t>格宾石笼挡墙护岸效果</w:t>
            </w:r>
            <w:r>
              <w:rPr>
                <w:rFonts w:hint="eastAsia" w:ascii="Times New Roman" w:hAnsi="Times New Roman" w:cs="Times New Roman"/>
                <w:b/>
                <w:bCs/>
                <w:color w:val="000000" w:themeColor="text1"/>
                <w:sz w:val="24"/>
                <w:lang w:eastAsia="zh-CN"/>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（2）断面设计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潏河道治理段根据现状实际地形以及左右岸现有建设条件，分别对应设计，既满足防洪标准，提升岸坡抗冲能力，又最大程度保留现状原有自然风貌，形成生态驳岸型式。共采用两种断面形式（下部浆砌石挡墙+上部雷诺护垫、下部格宾石笼挡墙+上部连锁块），各断面型式设计参数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断面一：下部浆砌石挡墙+上部雷诺护垫，该断面适用于河道顶冲段、水流速度较大或用地受限的区段。本次设计下部采用仰视式挡墙，为M7.5浆砌石结构，墙顶宽0.6m，迎水面坡比1:0.3，背水坡坡比1:0.15，前趾宽0.3m，高3m，墙前采用块石回填，相对密度不小于0.6，墙后采用土方夯实回填，压实度不小于0.91；挡墙上部采用雷诺护垫连接至现状地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挡墙细部结构设计如下：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1）变形缝：挡墙沿纵向每隔10m设一道变形缝，缝宽2cm，缝间采用低发泡塑料板填充，缝口用水泥砂浆抹平，砂浆抹面厚度不低于2cm。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2）排水管：挡墙内埋设DN50PVC排水管，间排距1.0m，呈梅花状布置，端头采用土工布包裹，深入反滤层内不少于5cm。</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045710" cy="3881120"/>
                  <wp:effectExtent l="0" t="0" r="2540" b="5080"/>
                  <wp:docPr id="17"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3"/>
                          <pic:cNvPicPr>
                            <a:picLocks noChangeAspect="1"/>
                          </pic:cNvPicPr>
                        </pic:nvPicPr>
                        <pic:blipFill>
                          <a:blip r:embed="rId11"/>
                          <a:stretch>
                            <a:fillRect/>
                          </a:stretch>
                        </pic:blipFill>
                        <pic:spPr>
                          <a:xfrm>
                            <a:off x="0" y="0"/>
                            <a:ext cx="5045710" cy="3881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eastAsia="zh-CN"/>
                <w14:textFill>
                  <w14:solidFill>
                    <w14:schemeClr w14:val="tx1"/>
                  </w14:solidFill>
                </w14:textFill>
              </w:rPr>
              <w:t>K2+472-K2+554段工程平面布置示意图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053965" cy="3774440"/>
                  <wp:effectExtent l="0" t="0" r="13335" b="16510"/>
                  <wp:docPr id="23" name="图片 2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4"/>
                          <pic:cNvPicPr>
                            <a:picLocks noChangeAspect="1"/>
                          </pic:cNvPicPr>
                        </pic:nvPicPr>
                        <pic:blipFill>
                          <a:blip r:embed="rId12"/>
                          <a:stretch>
                            <a:fillRect/>
                          </a:stretch>
                        </pic:blipFill>
                        <pic:spPr>
                          <a:xfrm>
                            <a:off x="0" y="0"/>
                            <a:ext cx="5053965" cy="3774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b-b</w:t>
            </w:r>
            <w:r>
              <w:rPr>
                <w:rFonts w:hint="default" w:cs="Times New Roman"/>
                <w:b/>
                <w:bCs/>
                <w:color w:val="000000" w:themeColor="text1"/>
                <w:sz w:val="24"/>
                <w:lang w:val="en-US" w:eastAsia="zh-CN"/>
                <w14:textFill>
                  <w14:solidFill>
                    <w14:schemeClr w14:val="tx1"/>
                  </w14:solidFill>
                </w14:textFill>
              </w:rPr>
              <w:t>’</w:t>
            </w:r>
            <w:r>
              <w:rPr>
                <w:rFonts w:hint="eastAsia" w:cs="Times New Roman"/>
                <w:b/>
                <w:bCs/>
                <w:color w:val="000000" w:themeColor="text1"/>
                <w:sz w:val="24"/>
                <w:lang w:eastAsia="zh-CN"/>
                <w14:textFill>
                  <w14:solidFill>
                    <w14:schemeClr w14:val="tx1"/>
                  </w14:solidFill>
                </w14:textFill>
              </w:rPr>
              <w:t>钻孔剖面示意图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100320" cy="3479165"/>
                  <wp:effectExtent l="0" t="0" r="5080" b="6985"/>
                  <wp:docPr id="27" name="图片 2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5"/>
                          <pic:cNvPicPr>
                            <a:picLocks noChangeAspect="1"/>
                          </pic:cNvPicPr>
                        </pic:nvPicPr>
                        <pic:blipFill>
                          <a:blip r:embed="rId13"/>
                          <a:stretch>
                            <a:fillRect/>
                          </a:stretch>
                        </pic:blipFill>
                        <pic:spPr>
                          <a:xfrm>
                            <a:off x="0" y="0"/>
                            <a:ext cx="5100320" cy="34791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K2+490浆砌石断面设计示意图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断面二：下部格宾石笼挡墙+上部连锁块，该断面主要适用于沿线部分区段自然驳岸两侧受限、不能向两岸扩宽、非迎流顶冲段的凸岸河段。断面下部采用格宾石笼框错层砌护，基础采用埋石砼规格第一层为2.5m×1m×1m、第二层规格为2m×1m×1m；第三至第五层石笼规格分别为1.5m×1m×1m、1m×1m×1m，错层宽度0.5m，墙体与堤身结构之间空隙采用碎石回填后并铺设300g/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2</w:t>
            </w:r>
            <w:r>
              <w:rPr>
                <w:rFonts w:hint="eastAsia" w:cs="Times New Roman"/>
                <w:color w:val="000000" w:themeColor="text1"/>
                <w:kern w:val="0"/>
                <w:sz w:val="24"/>
                <w:szCs w:val="24"/>
                <w:highlight w:val="none"/>
                <w:lang w:val="en-US" w:eastAsia="zh-CN"/>
                <w14:textFill>
                  <w14:solidFill>
                    <w14:schemeClr w14:val="tx1"/>
                  </w14:solidFill>
                </w14:textFill>
              </w:rPr>
              <w:t>土工布反滤，基础采用块石回填，粒径为20-30cm，基础采用2m×2m×1m格宾石笼基础，埋置深泓以下1.5m，挡墙上部采用连锁块连接至现状地面，再用30cm×30cm的C30混凝土压顶。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5046980" cy="3333115"/>
                  <wp:effectExtent l="0" t="0" r="1270" b="635"/>
                  <wp:docPr id="31" name="图片 3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6"/>
                          <pic:cNvPicPr>
                            <a:picLocks noChangeAspect="1"/>
                          </pic:cNvPicPr>
                        </pic:nvPicPr>
                        <pic:blipFill>
                          <a:blip r:embed="rId14"/>
                          <a:stretch>
                            <a:fillRect/>
                          </a:stretch>
                        </pic:blipFill>
                        <pic:spPr>
                          <a:xfrm>
                            <a:off x="0" y="0"/>
                            <a:ext cx="5046980" cy="33331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2</w:t>
            </w:r>
            <w:r>
              <w:rPr>
                <w:rFonts w:hint="default" w:ascii="Times New Roman" w:hAnsi="Times New Roman" w:cs="Times New Roman"/>
                <w:b/>
                <w:bCs/>
                <w:color w:val="000000" w:themeColor="text1"/>
                <w:sz w:val="24"/>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 xml:space="preserve">   </w:t>
            </w:r>
            <w:r>
              <w:rPr>
                <w:rFonts w:hint="eastAsia" w:cs="Times New Roman"/>
                <w:b/>
                <w:bCs/>
                <w:color w:val="000000" w:themeColor="text1"/>
                <w:sz w:val="24"/>
                <w:lang w:val="en-US" w:eastAsia="zh-CN"/>
                <w14:textFill>
                  <w14:solidFill>
                    <w14:schemeClr w14:val="tx1"/>
                  </w14:solidFill>
                </w14:textFill>
              </w:rPr>
              <w:t>格宾石笼断面设计示意图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4、施工机械设备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本工程主要施工机械设备详见表2-4。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b/>
                <w:bCs/>
                <w:color w:val="000000" w:themeColor="text1"/>
                <w:kern w:val="0"/>
                <w:sz w:val="24"/>
                <w14:textFill>
                  <w14:solidFill>
                    <w14:schemeClr w14:val="tx1"/>
                  </w14:solidFill>
                </w14:textFill>
              </w:rPr>
              <w:t>表2-</w:t>
            </w:r>
            <w:r>
              <w:rPr>
                <w:rFonts w:hint="eastAsia"/>
                <w:b/>
                <w:bCs/>
                <w:color w:val="000000" w:themeColor="text1"/>
                <w:kern w:val="0"/>
                <w:sz w:val="24"/>
                <w:lang w:val="en-US" w:eastAsia="zh-CN"/>
                <w14:textFill>
                  <w14:solidFill>
                    <w14:schemeClr w14:val="tx1"/>
                  </w14:solidFill>
                </w14:textFill>
              </w:rPr>
              <w:t>4</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lang w:eastAsia="zh-CN"/>
                <w14:textFill>
                  <w14:solidFill>
                    <w14:schemeClr w14:val="tx1"/>
                  </w14:solidFill>
                </w14:textFill>
              </w:rPr>
              <w:t>机械设备</w:t>
            </w:r>
            <w:r>
              <w:rPr>
                <w:b/>
                <w:bCs/>
                <w:color w:val="000000" w:themeColor="text1"/>
                <w:kern w:val="0"/>
                <w:sz w:val="24"/>
                <w14:textFill>
                  <w14:solidFill>
                    <w14:schemeClr w14:val="tx1"/>
                  </w14:solidFill>
                </w14:textFill>
              </w:rPr>
              <w:t>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573"/>
              <w:gridCol w:w="1834"/>
              <w:gridCol w:w="2687"/>
              <w:gridCol w:w="789"/>
              <w:gridCol w:w="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序号</w:t>
                  </w:r>
                </w:p>
              </w:tc>
              <w:tc>
                <w:tcPr>
                  <w:tcW w:w="929"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项目名称</w:t>
                  </w: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设备名称</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型号、规格</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数量</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w:t>
                  </w:r>
                </w:p>
              </w:tc>
              <w:tc>
                <w:tcPr>
                  <w:tcW w:w="929" w:type="pct"/>
                  <w:vMerge w:val="restar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工程施工区</w:t>
                  </w: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单斗挖掘机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液压 斗容0.6m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lang w:val="en-US" w:eastAsia="zh-CN"/>
                      <w14:textFill>
                        <w14:solidFill>
                          <w14:schemeClr w14:val="tx1"/>
                        </w14:solidFill>
                      </w14:textFill>
                    </w:rPr>
                    <w:t>反铲</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推土机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功率59k</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自卸汽车</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柴油型 载重量5t</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自卸汽车</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柴油型 载重量8t</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汽车起重机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汽油型 起重量5t</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载重汽车</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汽油型 载重量5t</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7</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蛙式夯实机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功率2.8kw</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胶轮架子车</w:t>
                  </w:r>
                </w:p>
              </w:tc>
              <w:tc>
                <w:tcPr>
                  <w:tcW w:w="1587"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12</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拖拉机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功率59kw</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振捣器</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插入式 功率1.1kw</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11</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风（砂）水枪</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耗风量6m</w:t>
                  </w:r>
                  <w:r>
                    <w:rPr>
                      <w:rFonts w:hint="eastAsia" w:ascii="Times New Roman" w:hAnsi="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olor w:val="000000" w:themeColor="text1"/>
                      <w:sz w:val="21"/>
                      <w:szCs w:val="21"/>
                      <w:lang w:val="en-US" w:eastAsia="zh-CN"/>
                      <w14:textFill>
                        <w14:solidFill>
                          <w14:schemeClr w14:val="tx1"/>
                        </w14:solidFill>
                      </w14:textFill>
                    </w:rPr>
                    <w:t>/min</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7</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12</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电焊机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交流 20-25千伏安</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13</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钢筋弯曲机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φ6-40</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14</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钢筋切断机</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功率20kW</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15</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 xml:space="preserve">潜水泵 </w:t>
                  </w:r>
                </w:p>
              </w:tc>
              <w:tc>
                <w:tcPr>
                  <w:tcW w:w="1587"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功率3—5kw</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16</w:t>
                  </w:r>
                </w:p>
              </w:tc>
              <w:tc>
                <w:tcPr>
                  <w:tcW w:w="929"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双面刨床</w:t>
                  </w:r>
                </w:p>
              </w:tc>
              <w:tc>
                <w:tcPr>
                  <w:tcW w:w="1587"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17</w:t>
                  </w:r>
                </w:p>
              </w:tc>
              <w:tc>
                <w:tcPr>
                  <w:tcW w:w="929"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施工生活区</w:t>
                  </w:r>
                </w:p>
              </w:tc>
              <w:tc>
                <w:tcPr>
                  <w:tcW w:w="1083"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洒水车</w:t>
                  </w:r>
                </w:p>
              </w:tc>
              <w:tc>
                <w:tcPr>
                  <w:tcW w:w="1587"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66" w:type="pct"/>
                  <w:tcBorders>
                    <w:tl2br w:val="nil"/>
                    <w:tr2bl w:val="nil"/>
                  </w:tcBorders>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466" w:type="pct"/>
                  <w:tcBorders>
                    <w:tl2br w:val="nil"/>
                    <w:tr2bl w:val="nil"/>
                  </w:tcBorders>
                  <w:vAlign w:val="center"/>
                </w:tcPr>
                <w:p>
                  <w:pPr>
                    <w:pStyle w:val="66"/>
                    <w:adjustRightInd w:val="0"/>
                    <w:snapToGrid w:val="0"/>
                    <w:spacing w:after="0" w:line="240" w:lineRule="auto"/>
                    <w:jc w:val="center"/>
                    <w:rPr>
                      <w:rFonts w:hint="eastAsia"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5</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施工交通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（1）对外交通运输。工项目区附近有292乡道沿河两岸村庄通过，交通较为便利，施工对外交通条件较好。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bCs/>
                <w:color w:val="000000" w:themeColor="text1"/>
                <w:sz w:val="24"/>
                <w:szCs w:val="32"/>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场内交通运输。主要利用工程项目区内有沿线村镇道路及村生产路作为运输道路，尽量利用现有生产路，距离现有道路较远部分设置部分施工便道，便道宽3.5m，施工完建期恢复原貌。可直接在道路沿线较为开阔的场地布置施工临时房屋和施工仓库等，部分施工临时用房亦可以租用附近农户的房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6</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施工导流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工程所在流域的洪水是由流域内的暴雨径流汇流而成。采用的导流建筑物为土石围堰。本项目河道修复工程等级为4级，按照《水利水电工程等级划分及洪水标准》（SL252-2017）规定，施工期洪水标准按5年一遇考虑。采用的导流建筑物为土石围堰，顶宽1m，两侧坡比为1：1，高1m；由于河道施工期洪水量较小，采用分段围堰法施工，新建围堰围住河床的左（或右）岸使河水从束窄的河床通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7</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val="en-US" w:eastAsia="zh-CN"/>
                <w14:textFill>
                  <w14:solidFill>
                    <w14:schemeClr w14:val="tx1"/>
                  </w14:solidFill>
                </w14:textFill>
              </w:rPr>
              <w:t>土石方平衡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着提高资源利用的原则，将工程施工开挖部分应用尽用。根据现场调查和工程勘察报告，本工程开挖方主要为河床砂卵石和表层土壤，砂卵石经过筛选后将达到规格要求的部分作为浆砌石挡墙护岸、格宾石笼挡墙护岸、雷诺护垫垫层等主体工程的原材料，开挖土方可利用超过30%。不可用部分回填至挡墙迎水面，消弱洪水对挡墙的冲击，提高挡墙稳定性。工程段之间可通过近距离转运少量土方满足填方需求，运距约为1km，因此本工程开挖量和利用量、回填量基本持衡，没有工程弃渣，无需设置弃渣场，项目分段施工，施工期外购石料堆放于临时占地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根据项目施工方案，本工程土石方填挖方持衡，其中挖方总量为34722.25m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，工程无客土，工程利用石料方量9133.89m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，总回填方量为25588.36m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，工程无弃方。土石方平衡见表2-5。</w:t>
            </w:r>
          </w:p>
          <w:p>
            <w:pPr>
              <w:adjustRightInd w:val="0"/>
              <w:snapToGrid w:val="0"/>
              <w:jc w:val="center"/>
              <w:rPr>
                <w:rFonts w:hint="default" w:eastAsia="宋体"/>
                <w:b w:val="0"/>
                <w:bCs w:val="0"/>
                <w:color w:val="000000" w:themeColor="text1"/>
                <w:kern w:val="0"/>
                <w:sz w:val="24"/>
                <w:lang w:val="en-US" w:eastAsia="zh-CN"/>
                <w14:textFill>
                  <w14:solidFill>
                    <w14:schemeClr w14:val="tx1"/>
                  </w14:solidFill>
                </w14:textFill>
              </w:rPr>
            </w:pPr>
            <w:r>
              <w:rPr>
                <w:b/>
                <w:bCs/>
                <w:color w:val="000000" w:themeColor="text1"/>
                <w:kern w:val="0"/>
                <w:sz w:val="24"/>
                <w14:textFill>
                  <w14:solidFill>
                    <w14:schemeClr w14:val="tx1"/>
                  </w14:solidFill>
                </w14:textFill>
              </w:rPr>
              <w:t>表2-</w:t>
            </w:r>
            <w:r>
              <w:rPr>
                <w:rFonts w:hint="eastAsia"/>
                <w:b/>
                <w:bCs/>
                <w:color w:val="000000" w:themeColor="text1"/>
                <w:kern w:val="0"/>
                <w:sz w:val="24"/>
                <w:lang w:val="en-US" w:eastAsia="zh-CN"/>
                <w14:textFill>
                  <w14:solidFill>
                    <w14:schemeClr w14:val="tx1"/>
                  </w14:solidFill>
                </w14:textFill>
              </w:rPr>
              <w:t>5</w:t>
            </w:r>
            <w:r>
              <w:rPr>
                <w:b/>
                <w:bCs/>
                <w:color w:val="000000" w:themeColor="text1"/>
                <w:kern w:val="0"/>
                <w:sz w:val="24"/>
                <w14:textFill>
                  <w14:solidFill>
                    <w14:schemeClr w14:val="tx1"/>
                  </w14:solidFill>
                </w14:textFill>
              </w:rPr>
              <w:t xml:space="preserve">  土石方平衡一览表</w:t>
            </w:r>
            <w:r>
              <w:rPr>
                <w:rFonts w:hint="eastAsia"/>
                <w:b/>
                <w:bCs/>
                <w:color w:val="000000" w:themeColor="text1"/>
                <w:kern w:val="0"/>
                <w:sz w:val="24"/>
                <w:lang w:val="en-US" w:eastAsia="zh-CN"/>
                <w14:textFill>
                  <w14:solidFill>
                    <w14:schemeClr w14:val="tx1"/>
                  </w14:solidFill>
                </w14:textFill>
              </w:rPr>
              <w:t xml:space="preserve">     单位</w:t>
            </w:r>
            <w:r>
              <w:rPr>
                <w:rFonts w:hint="eastAsia"/>
                <w:b w:val="0"/>
                <w:bCs w:val="0"/>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（m</w:t>
            </w:r>
            <w:r>
              <w:rPr>
                <w:rFonts w:hint="eastAsia" w:ascii="Times New Roman" w:hAnsi="Times New Roman" w:eastAsia="宋体" w:cs="Times New Roman"/>
                <w:b/>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64"/>
              <w:gridCol w:w="547"/>
              <w:gridCol w:w="1718"/>
              <w:gridCol w:w="1502"/>
              <w:gridCol w:w="1056"/>
              <w:gridCol w:w="1056"/>
              <w:gridCol w:w="1056"/>
              <w:gridCol w:w="1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河流</w:t>
                  </w:r>
                </w:p>
              </w:tc>
              <w:tc>
                <w:tcPr>
                  <w:tcW w:w="32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桩号</w:t>
                  </w:r>
                </w:p>
              </w:tc>
              <w:tc>
                <w:tcPr>
                  <w:tcW w:w="887"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挖方</w:t>
                  </w:r>
                </w:p>
              </w:tc>
              <w:tc>
                <w:tcPr>
                  <w:tcW w:w="624"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利用方</w:t>
                  </w:r>
                </w:p>
              </w:tc>
              <w:tc>
                <w:tcPr>
                  <w:tcW w:w="624"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回填方</w:t>
                  </w:r>
                </w:p>
              </w:tc>
              <w:tc>
                <w:tcPr>
                  <w:tcW w:w="624"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调入</w:t>
                  </w:r>
                </w:p>
              </w:tc>
              <w:tc>
                <w:tcPr>
                  <w:tcW w:w="625"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调出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restar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大峪河</w:t>
                  </w: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0+171—0+384</w:t>
                  </w:r>
                </w:p>
              </w:tc>
              <w:tc>
                <w:tcPr>
                  <w:tcW w:w="887"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3089.89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550.00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2200.00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0+448—0+638</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3316.83</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590.90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2361.59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364.85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3+429—3+667</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5188.40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2898.22</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4150.72</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1860.74</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4+676—4+712</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628.45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111.86</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447.46</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69.13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4+800—4+898</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1710.79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304.82</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1218.08</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4+832—4+946</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1990.10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354.14</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1416.95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218.91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9+383—9+472</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1553.67</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277.35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1106.22</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013" w:type="pc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9+542—9+807</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4626.11</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823.25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3293.79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508.87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37" w:type="pct"/>
                  <w:gridSpan w:val="2"/>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小计</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22104.25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5910.55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16194.80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1860.74</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1860.74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restart"/>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小峪河</w:t>
                  </w: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1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0+067—0+405</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4860.84</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865.23</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3460.92</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534.69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1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1+342—1+400</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834.11</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147.97</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593.89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91.75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01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2+223—2+300</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1678.60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560.09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1342.88</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314.77</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01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2+472—2+554</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1179.26</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210.31</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839.63</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129.72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01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4+430—4+505</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1078.59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192.39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767.96</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118.65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23"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01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5+897—6+034</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2986.60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1157.36</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2389.28</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560.04</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74" w:type="pct"/>
                  <w:vMerge w:val="continue"/>
                  <w:tcBorders>
                    <w:tl2br w:val="nil"/>
                    <w:tr2bl w:val="nil"/>
                  </w:tcBorders>
                  <w:vAlign w:val="center"/>
                </w:tcPr>
                <w:p>
                  <w:pPr>
                    <w:pStyle w:val="66"/>
                    <w:adjustRightInd w:val="0"/>
                    <w:snapToGrid w:val="0"/>
                    <w:spacing w:after="0" w:line="240" w:lineRule="auto"/>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37" w:type="pct"/>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小计</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12618.00</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3223.35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9394.55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874.81</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874.81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12" w:type="pct"/>
                  <w:gridSpan w:val="3"/>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887"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34722.25</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9133.89</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25589.36</w:t>
                  </w:r>
                </w:p>
              </w:tc>
              <w:tc>
                <w:tcPr>
                  <w:tcW w:w="624"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2735.55</w:t>
                  </w:r>
                </w:p>
              </w:tc>
              <w:tc>
                <w:tcPr>
                  <w:tcW w:w="625" w:type="pct"/>
                  <w:tcBorders>
                    <w:tl2br w:val="nil"/>
                    <w:tr2bl w:val="nil"/>
                  </w:tcBorders>
                  <w:vAlign w:val="center"/>
                </w:tcPr>
                <w:p>
                  <w:pPr>
                    <w:pStyle w:val="66"/>
                    <w:adjustRightInd w:val="0"/>
                    <w:snapToGri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2735.55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eastAsia="宋体" w:cs="Times New Roman"/>
                <w:color w:val="000000" w:themeColor="text1"/>
                <w:kern w:val="0"/>
                <w:sz w:val="24"/>
                <w:szCs w:val="24"/>
                <w:highlight w:val="none"/>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8</w:t>
            </w:r>
            <w:r>
              <w:rPr>
                <w:rFonts w:hint="eastAsia"/>
                <w:b/>
                <w:bCs/>
                <w:color w:val="000000" w:themeColor="text1"/>
                <w:sz w:val="24"/>
                <w:szCs w:val="32"/>
                <w14:textFill>
                  <w14:solidFill>
                    <w14:schemeClr w14:val="tx1"/>
                  </w14:solidFill>
                </w14:textFill>
              </w:rPr>
              <w:t>、</w:t>
            </w:r>
            <w:r>
              <w:rPr>
                <w:rFonts w:hint="eastAsia"/>
                <w:b/>
                <w:bCs/>
                <w:color w:val="000000" w:themeColor="text1"/>
                <w:sz w:val="24"/>
                <w:szCs w:val="32"/>
                <w:lang w:eastAsia="zh-CN"/>
                <w14:textFill>
                  <w14:solidFill>
                    <w14:schemeClr w14:val="tx1"/>
                  </w14:solidFill>
                </w14:textFill>
              </w:rPr>
              <w:t>工程占地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本工程不涉及征地和移民搬迁安置，无永久占地。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本工程临时占地总计10580m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2</w:t>
            </w:r>
            <w:r>
              <w:rPr>
                <w:rFonts w:hint="eastAsia" w:cs="Times New Roman"/>
                <w:color w:val="000000" w:themeColor="text1"/>
                <w:kern w:val="0"/>
                <w:sz w:val="24"/>
                <w:szCs w:val="24"/>
                <w:highlight w:val="none"/>
                <w:lang w:val="en-US" w:eastAsia="zh-CN"/>
                <w14:textFill>
                  <w14:solidFill>
                    <w14:schemeClr w14:val="tx1"/>
                  </w14:solidFill>
                </w14:textFill>
              </w:rPr>
              <w:t>，占地选择位置位于项目区河道生态修复区域内相对开阔、平缓、无安全隐患的地块内，不涉及临时占地补偿费用。项目临时道路长度460m，宽度3.5m，最大坡度控制在10%以内，泥结石路面，用于连通无法通过现有道路到达的河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临时用地处理：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（1）必须按照临时使用协议约定的用途使用土地；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000000" w:themeColor="text1"/>
                <w:kern w:val="0"/>
                <w:sz w:val="24"/>
                <w:szCs w:val="24"/>
                <w:highlight w:val="none"/>
                <w:lang w:val="en-US" w:eastAsia="zh-CN"/>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（2）不得修建永久性建筑；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3）临时使用土地的期限不得超过2年，期满确需继续使用的，应当重新办理临时用地审批。根据《中华人民共和国土地管理法》、陕西省实施《中华人民共和国土地管理法》办法等相关法律法规的规定，按照谁占用，谁恢复的原则，在规定时间内对临时占地进行复垦，恢复土地原有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1" w:hRule="atLeast"/>
          <w:jc w:val="center"/>
        </w:trPr>
        <w:tc>
          <w:tcPr>
            <w:tcW w:w="508" w:type="dxa"/>
            <w:vAlign w:val="center"/>
          </w:tcPr>
          <w:p>
            <w:pPr>
              <w:pStyle w:val="20"/>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总平面及现场布置</w:t>
            </w:r>
          </w:p>
        </w:tc>
        <w:tc>
          <w:tcPr>
            <w:tcW w:w="8677" w:type="dxa"/>
          </w:tcPr>
          <w:p>
            <w:pPr>
              <w:wordWrap w:val="0"/>
              <w:spacing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1、</w:t>
            </w:r>
            <w:r>
              <w:rPr>
                <w:rFonts w:hint="eastAsia"/>
                <w:b/>
                <w:bCs/>
                <w:color w:val="000000" w:themeColor="text1"/>
                <w:sz w:val="24"/>
                <w14:textFill>
                  <w14:solidFill>
                    <w14:schemeClr w14:val="tx1"/>
                  </w14:solidFill>
                </w14:textFill>
              </w:rPr>
              <w:t>施工布置情况</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施工总体布置遵循因地制宜，有利于生产、方便生活、易于管理、安全可靠、经济合理和少占地的原则。结合本工程规划功能区域的布置情况，施工总布置采用集中布置方式，</w:t>
            </w:r>
            <w:r>
              <w:rPr>
                <w:rFonts w:hint="eastAsia"/>
                <w:color w:val="000000" w:themeColor="text1"/>
                <w:sz w:val="24"/>
                <w:lang w:eastAsia="zh-CN"/>
                <w14:textFill>
                  <w14:solidFill>
                    <w14:schemeClr w14:val="tx1"/>
                  </w14:solidFill>
                </w14:textFill>
              </w:rPr>
              <w:t>在大峪河</w:t>
            </w:r>
            <w:r>
              <w:rPr>
                <w:rFonts w:hint="eastAsia"/>
                <w:color w:val="000000" w:themeColor="text1"/>
                <w:sz w:val="24"/>
                <w14:textFill>
                  <w14:solidFill>
                    <w14:schemeClr w14:val="tx1"/>
                  </w14:solidFill>
                </w14:textFill>
              </w:rPr>
              <w:t>布置1个项目指挥部</w:t>
            </w:r>
            <w:r>
              <w:rPr>
                <w:rFonts w:hint="eastAsia"/>
                <w:color w:val="000000" w:themeColor="text1"/>
                <w:sz w:val="24"/>
                <w:lang w:eastAsia="zh-CN"/>
                <w14:textFill>
                  <w14:solidFill>
                    <w14:schemeClr w14:val="tx1"/>
                  </w14:solidFill>
                </w14:textFill>
              </w:rPr>
              <w:t>，大峪河、小峪河分别布设</w:t>
            </w:r>
            <w:r>
              <w:rPr>
                <w:rFonts w:hint="eastAsia"/>
                <w:color w:val="000000" w:themeColor="text1"/>
                <w:sz w:val="24"/>
                <w14:textFill>
                  <w14:solidFill>
                    <w14:schemeClr w14:val="tx1"/>
                  </w14:solidFill>
                </w14:textFill>
              </w:rPr>
              <w:t>2个主要的工区营地，项目指挥部及营地皆租用民房建筑。施工工厂设置如下：</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施工供电</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全线利用沿线已有供电线路。</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施工供水</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施工期生活用水依托附近村民用水，生产用水就近取河水。</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砼拌和系统</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工程采用商品混凝土，施工现场不布置砼拌和系统。</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施工机械修配厂及加工厂</w:t>
            </w:r>
          </w:p>
          <w:p>
            <w:pPr>
              <w:wordWrap w:val="0"/>
              <w:spacing w:line="360" w:lineRule="auto"/>
              <w:ind w:firstLine="480" w:firstLineChars="20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施工机械的修理可利用乡镇附近已有的修配厂，施工现场仅考虑机械零配件的更换。</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临时房屋及公用设施</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施工工作面沿线分布，为方便管理及工程施工，生产管理用房尽量布置于附近的村庄，就近租用公房或民房；生活用房，以便利施工为原则，就近租用民房。本工程工期不长，且靠近居民区，不考虑设置专门的医疗机构和娱乐场所。</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6</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弃渣规划</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本工程工作面沿岸线布置，实施过程土石方平衡，不产生弃渣，不设弃渣场</w:t>
            </w:r>
            <w:r>
              <w:rPr>
                <w:rFonts w:hint="eastAsia"/>
                <w:color w:val="000000" w:themeColor="text1"/>
                <w:sz w:val="24"/>
                <w:lang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项目分段施工，施工期外购石料堆放于临时占地内。</w:t>
            </w:r>
          </w:p>
          <w:p>
            <w:pPr>
              <w:wordWrap w:val="0"/>
              <w:spacing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2、</w:t>
            </w:r>
            <w:r>
              <w:rPr>
                <w:rFonts w:hint="eastAsia"/>
                <w:b/>
                <w:bCs/>
                <w:color w:val="000000" w:themeColor="text1"/>
                <w:sz w:val="24"/>
                <w14:textFill>
                  <w14:solidFill>
                    <w14:schemeClr w14:val="tx1"/>
                  </w14:solidFill>
                </w14:textFill>
              </w:rPr>
              <w:t>工程布局情况</w:t>
            </w:r>
          </w:p>
          <w:p>
            <w:pPr>
              <w:wordWrap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河道岸堤修复工程</w:t>
            </w:r>
            <w:r>
              <w:rPr>
                <w:rFonts w:hint="eastAsia"/>
                <w:color w:val="000000" w:themeColor="text1"/>
                <w:sz w:val="24"/>
                <w14:textFill>
                  <w14:solidFill>
                    <w14:schemeClr w14:val="tx1"/>
                  </w14:solidFill>
                </w14:textFill>
              </w:rPr>
              <w:t>：具体包括</w:t>
            </w:r>
            <w:r>
              <w:rPr>
                <w:rFonts w:hint="eastAsia"/>
                <w:color w:val="000000" w:themeColor="text1"/>
                <w:sz w:val="24"/>
                <w:lang w:eastAsia="zh-CN"/>
                <w14:textFill>
                  <w14:solidFill>
                    <w14:schemeClr w14:val="tx1"/>
                  </w14:solidFill>
                </w14:textFill>
              </w:rPr>
              <w:t>潏河上游大峪河段、小峪河段</w:t>
            </w:r>
            <w:r>
              <w:rPr>
                <w:rFonts w:hint="eastAsia"/>
                <w:color w:val="000000" w:themeColor="text1"/>
                <w:sz w:val="24"/>
                <w14:textFill>
                  <w14:solidFill>
                    <w14:schemeClr w14:val="tx1"/>
                  </w14:solidFill>
                </w14:textFill>
              </w:rPr>
              <w:t>的沿线堤防护岸工程。工程建设内容包括浆砌石挡墙护岸工程</w:t>
            </w:r>
            <w:r>
              <w:rPr>
                <w:rFonts w:hint="eastAsia"/>
                <w:color w:val="000000" w:themeColor="text1"/>
                <w:sz w:val="24"/>
                <w:lang w:eastAsia="zh-CN"/>
                <w14:textFill>
                  <w14:solidFill>
                    <w14:schemeClr w14:val="tx1"/>
                  </w14:solidFill>
                </w14:textFill>
              </w:rPr>
              <w:t>1.513</w:t>
            </w:r>
            <w:r>
              <w:rPr>
                <w:rFonts w:hint="eastAsia"/>
                <w:color w:val="000000" w:themeColor="text1"/>
                <w:sz w:val="24"/>
                <w14:textFill>
                  <w14:solidFill>
                    <w14:schemeClr w14:val="tx1"/>
                  </w14:solidFill>
                </w14:textFill>
              </w:rPr>
              <w:t>km（大峪河0.969km，小峪河0.544km），</w:t>
            </w:r>
            <w:r>
              <w:rPr>
                <w:rFonts w:hint="eastAsia"/>
                <w:color w:val="000000" w:themeColor="text1"/>
                <w:sz w:val="24"/>
                <w:lang w:eastAsia="zh-CN"/>
                <w14:textFill>
                  <w14:solidFill>
                    <w14:schemeClr w14:val="tx1"/>
                  </w14:solidFill>
                </w14:textFill>
              </w:rPr>
              <w:t>格宾</w:t>
            </w:r>
            <w:r>
              <w:rPr>
                <w:rFonts w:hint="eastAsia"/>
                <w:color w:val="000000" w:themeColor="text1"/>
                <w:sz w:val="24"/>
                <w14:textFill>
                  <w14:solidFill>
                    <w14:schemeClr w14:val="tx1"/>
                  </w14:solidFill>
                </w14:textFill>
              </w:rPr>
              <w:t>石笼挡墙</w:t>
            </w:r>
            <w:r>
              <w:rPr>
                <w:rFonts w:hint="eastAsia"/>
                <w:color w:val="000000" w:themeColor="text1"/>
                <w:sz w:val="24"/>
                <w:lang w:eastAsia="zh-CN"/>
                <w14:textFill>
                  <w14:solidFill>
                    <w14:schemeClr w14:val="tx1"/>
                  </w14:solidFill>
                </w14:textFill>
              </w:rPr>
              <w:t>护岸</w:t>
            </w:r>
            <w:r>
              <w:rPr>
                <w:rFonts w:hint="eastAsia"/>
                <w:color w:val="000000" w:themeColor="text1"/>
                <w:sz w:val="24"/>
                <w14:textFill>
                  <w14:solidFill>
                    <w14:schemeClr w14:val="tx1"/>
                  </w14:solidFill>
                </w14:textFill>
              </w:rPr>
              <w:t>工程0.452km（大峪河0.238km，小峪河0.214km）。</w:t>
            </w:r>
          </w:p>
          <w:p>
            <w:pPr>
              <w:wordWrap w:val="0"/>
              <w:spacing w:line="360" w:lineRule="auto"/>
              <w:ind w:firstLine="480" w:firstLineChars="200"/>
              <w:rPr>
                <w:rFonts w:hint="eastAsia" w:eastAsia="宋体"/>
                <w:color w:val="000000" w:themeColor="text1"/>
                <w:lang w:eastAsia="zh-CN"/>
                <w14:textFill>
                  <w14:solidFill>
                    <w14:schemeClr w14:val="tx1"/>
                  </w14:solidFill>
                </w14:textFill>
              </w:rPr>
            </w:pPr>
            <w:r>
              <w:rPr>
                <w:rFonts w:hint="eastAsia"/>
                <w:color w:val="000000" w:themeColor="text1"/>
                <w:sz w:val="24"/>
                <w14:textFill>
                  <w14:solidFill>
                    <w14:schemeClr w14:val="tx1"/>
                  </w14:solidFill>
                </w14:textFill>
              </w:rPr>
              <w:t>工程总平面布置见附图</w:t>
            </w:r>
            <w:r>
              <w:rPr>
                <w:rFonts w:hint="eastAsia"/>
                <w:color w:val="000000" w:themeColor="text1"/>
                <w:sz w:val="24"/>
                <w:lang w:val="en-US" w:eastAsia="zh-CN"/>
                <w14:textFill>
                  <w14:solidFill>
                    <w14:schemeClr w14:val="tx1"/>
                  </w14:solidFill>
                </w14:textFill>
              </w:rPr>
              <w:t>3.1-3.5</w:t>
            </w: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508" w:type="dxa"/>
            <w:vAlign w:val="center"/>
          </w:tcPr>
          <w:p>
            <w:pPr>
              <w:pStyle w:val="20"/>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施工方案</w:t>
            </w:r>
          </w:p>
        </w:tc>
        <w:tc>
          <w:tcPr>
            <w:tcW w:w="8677" w:type="dxa"/>
          </w:tcPr>
          <w:p>
            <w:pPr>
              <w:wordWrap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1、施工工艺</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）土方工程</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土方工程包括基础开挖、土方填筑、土方压填等。施工工序：施工放线、清基、河道岸坎开挖、填筑及压实等。</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eastAsia="仿宋"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施工放线</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在施工范围内，根据设计断面，测量放线，定好施工铺底宽度。分段施工，每隔适当距离用插标、挂线的方法搭好样架，便于施工标准控制。</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eastAsia="仿宋"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清基</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 xml:space="preserve">清基范围为设计边线外50cm，清基厚度为30cm。清基范围内遇沙坑、不可利用垃圾、腐殖质等，按设计要求进行处理。清基施工方法：采用推土机推土清理堤基范围内杂草、腐植土、砂、石等，人工予以辅助，并对岸基范围内的塘坑进行回填压实处理。清基厚度不小于0.3m。河堤填筑段清基后按设计要求进行原基压实，并达到质量技术要求。 </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基深不足1.5m遇到基岩时，首先清除风化层、松散层找平后再钻孔、植筋，下一步再进行格宾石笼垒筑或浆砌石挡墙砌筑。</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eastAsia="仿宋"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土方开挖</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土方开挖工程主要以机械开挖为主，采用单斗挖掘机开挖至设计边坡，然后辅以人工整修。开挖出的土方应用铲运机就近堆放以备回填时利用。</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土方开挖10m分段跳槽开挖，当邻边主体工程施工完成后强度达到规范要求后方可开挖相邻段。</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填筑及压实</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护岸等需进行土方回填的部位，除清除回填范围内的树根、淤泥、腐殖土和杂物外，还必须将边坡开挖成台阶状（平台宽度最少为30cm），再分层回填夯实。土方回填应尽量采用机械（如蛙式打夯机等）夯实，只有局部小范围的填方才可采用人工夯实。机械夯实时分层厚度（松土厚度）不大于25cm，采用人工夯实时分层厚度（松土厚度）不大于20cm，层面间应创毛洒水。土料夯实后厚度应略大于设计厚度，以便修整成设计断面。内坡土方回填的压实系数要达到0.92，其余建筑物的填土控制干密度经试验确定。土方场内运输一般采用手推车，对工程量相对较为集中的则可以采用自卸手扶拖拉机或其它小型自卸车运输。。</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）混凝土施工工程：</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施工顺序：施工准备→测量放样→基面清理→模板安装→埋石混凝土浇筑→伸缩缝处理→混凝土拆模养护。</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仿宋"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施工准备</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在河道侧设置挡水围堰和开挖周边排水沟以及采取集水坑抽水等措施，阻止场外水流进入场地，并有效排除积水。</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仿宋"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测量放样</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测量放样必须用经纬仪、水准仪、钢尺进行，按混凝土伸缩缝间距设放样桩。施工过程中，对测量的基准点、基准线和水准点设置防护设施，以免被破坏。</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仿宋"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基面清理</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基面验收合格后，将岩基上的杂物、泥土及松动岩石清除，处理完毕再浇筑混凝土。</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4）模板制安</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模板制作：用标准钢板拼接，局部曲线面根据平面展开图用钢板加工制作。 </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模板安装：安装模板前，按结构物外形设计尺寸测量放样，多方向设立控制点，以便校正。架支模时，将模板钉固在钢支撑上，再将钢支撑支承到坚固的地面上。</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仿宋"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混凝土浇筑</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 xml:space="preserve">混凝土浇筑的主要施工工艺：拌和→运输→振捣→养护。 </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施工工艺流程：施工准备→材料采运→加工→模板→混凝土拌和→运输→浇筑振实→养护→拆模→养护→检查验收。</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混凝土拌和施工要求：砼采用0.4m3砼搅拌机拌和，拌和时间应大于2分钟。搅拌好的砼采用斗车或自卸手拖或其它小型自卸车辆运输。砼振捣采用平板振捣器振捣，平板振捣器的功率不能过小，应在1.2kw以上，以确保振捣密实。本工程砼为二级配，采用普通硅酸盐水泥本工程砼为二级配，采用普通硅酸盐水泥（42.5）、碎石、河砂拌制砼，粗骨料粒径不大4cm，原材料的质量应符合《渠道防渗工程技术规范》（GBT50600-2010）和《水工混凝土施工规范》（DL/T5144-2015）的要求。砼的配合比应由试验确定，但防渗硷配合比中水灰比不得大于0.65，水泥用量不得小于225kg，塌落度应控制在3-5cm以内。</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混凝土运输：混凝土的运输能力应与拌和、浇注能力、仓面具体情况等需要相适应；所用的运输设备，应使混凝土在运输过程中不致发生分离、漏浆、严重泌水及过多降低坍落度等现象；同时运输两种以上标号混凝土时，应设置标志，以免混淆；混凝土的自由下落高度以不大于2m为宜，否则应采用缓降措施；运输过程中砂浆损失量应控制在1.5%以内；在必要时应对混凝土做保温或遮盖等措施。</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混凝土浇筑：浇筑前应详细检查有关准备工作，如地基处理情况、模板、钢筋、预埋件等，并做好记录；老混凝土上的迎水面浇筑仓，在浇筑第一层混凝土前，必须先铺一层2-3cm的水泥砂浆；混凝土的浇筑应按一定的厚度、次序、方向，分层进行；不合格的混凝土严禁入仓，已入仓的不合格混凝土必须清除；按有关规范要求做好工作缝处理；混凝土的振捣必须密实。</w:t>
            </w:r>
          </w:p>
          <w:p>
            <w:pPr>
              <w:wordWrap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混凝土养护：采在砼浇筑完毕后应及时进行原浆收面抹光，并达到砼表面密实、平整、光滑、无石子外露的要求。砼必须按伸缩缝分块浇筑，每块必须一次浇筑完成。砼浇筑完成后应及时进行养护，养护时间不少于10天。</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）浆砌石挡墙护岸</w:t>
            </w:r>
          </w:p>
          <w:p>
            <w:pPr>
              <w:adjustRightInd w:val="0"/>
              <w:snapToGri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施工中所用石料材质应坚实表面干净，无风化，无裂缝和其它缺陷，石料中部厚度不小于15cm，单块重量不小于30kg，规格小于要求的石料，只能用于塞缝，但其总用量不得超过该处砌体重量的10%。用于砌筑的砂浆应饱满密实，并随拌随用，保持适宜的和易性和流动性。勾缝应嵌入缝内，勾缝前先清理缝槽，并用水清洗后再勾缝，勾缝应平顺，无脱落现象。勾缝完成后要按规定进行洒水养护。砌筑前完成清基整平工作，浆砌块石砌体采用铺浆法砌筑，砂浆稠度应为30-50mm，当气温变化时，应适当调整。</w:t>
            </w:r>
          </w:p>
          <w:p>
            <w:pPr>
              <w:adjustRightInd w:val="0"/>
              <w:snapToGrid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砌筑时，应先铺砂浆后砌筑，石块应分层卧砌，上、下错缝，内外搭砌，砌立稳定。相邻工作段的砌筑高差应不大于1.2m，每层应大体找平，分段位置应尽量设在沉降缝或伸缩缝处。</w:t>
            </w:r>
          </w:p>
          <w:p>
            <w:pPr>
              <w:adjustRightInd w:val="0"/>
              <w:snapToGri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在铺砂浆之前，石料应洒水湿润，使其表面充分吸水，但不得有残留积水。灰缝厚度一般为20-35mm，较大的空隙应用碎石填塞，但不得在底座上或石块的下面用高于砂浆层的小石块支垫。严禁出现通缝叠砌、浮塞、小石集中充填、半坡起砌、加空等现象，要求做到勾缝自然匀称美观，块石形态突出，表面平整。砌体外露沾染的砂浆必须清除干净。 </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砌体外露面在砌筑后12-18h之内进行养护，经常保持外露面湿润，养护时间为14d。养护期间，严禁用重锤敲打、滚动石块，在其上搬运重物等有损砌体强度的行为</w:t>
            </w:r>
            <w:r>
              <w:rPr>
                <w:rFonts w:hint="default" w:ascii="Times New Roman" w:hAnsi="Times New Roman" w:cs="Times New Roman"/>
                <w:color w:val="000000" w:themeColor="text1"/>
                <w:sz w:val="24"/>
                <w:lang w:eastAsia="zh-CN"/>
                <w14:textFill>
                  <w14:solidFill>
                    <w14:schemeClr w14:val="tx1"/>
                  </w14:solidFill>
                </w14:textFill>
              </w:rPr>
              <w:t>。</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宾格石笼护岸及基础</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1）</w:t>
            </w:r>
            <w:r>
              <w:rPr>
                <w:rFonts w:hint="default" w:ascii="Times New Roman" w:hAnsi="Times New Roman" w:cs="Times New Roman"/>
                <w:color w:val="000000" w:themeColor="text1"/>
                <w:kern w:val="0"/>
                <w:sz w:val="24"/>
                <w:lang w:val="en-US" w:eastAsia="zh-CN"/>
                <w14:textFill>
                  <w14:solidFill>
                    <w14:schemeClr w14:val="tx1"/>
                  </w14:solidFill>
                </w14:textFill>
              </w:rPr>
              <w:t>施工准备</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生态格网雷诺护垫宜作护坡或护底，按设计要求平整铺设面，坡面或基底面应平整、密实、无杂质。核查雷诺护垫、格宾石笼尺寸，并准备安装工具，网孔尺寸，网丝线径，端丝、边丝线径，均应符合设计要求。格宾石笼挡墙护岸的基底土质及其密实度，基础格宾石笼入土深度和开挖线长度和宽度，均应符合设计要求。现场遇到软弱地基时，应按设计要求进行地基处理。铺设防渗士工膜，铺设土工织物或反滤层。格宾石笼挡墙墙后回填土宜分层查实。生态格网网袋用作堤底护脚，整平地基，生态格网挂网用作路基加筋，落石防护。回填土施工应以机械摊铺为主，人工配合为辅，松铺土高50mm-100mm后进行压实。</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val="en-US" w:eastAsia="zh-CN"/>
                <w14:textFill>
                  <w14:solidFill>
                    <w14:schemeClr w14:val="tx1"/>
                  </w14:solidFill>
                </w14:textFill>
              </w:rPr>
              <w:t>施工</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①</w:t>
            </w:r>
            <w:r>
              <w:rPr>
                <w:rFonts w:hint="default" w:ascii="Times New Roman" w:hAnsi="Times New Roman" w:cs="Times New Roman"/>
                <w:color w:val="000000" w:themeColor="text1"/>
                <w:kern w:val="0"/>
                <w:sz w:val="24"/>
                <w:lang w:val="en-US" w:eastAsia="zh-CN"/>
                <w14:textFill>
                  <w14:solidFill>
                    <w14:schemeClr w14:val="tx1"/>
                  </w14:solidFill>
                </w14:textFill>
              </w:rPr>
              <w:t>生态格网格宾石笼挡墙施工</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组装格宾石笼：拉直边网片、端网片和隔片，组装时确保所有折缝位置正确，固滨笼组应按设计图示位置依次安置，并按设计要求定位，定位时应挂线调整平整度；间隔网与网身应成90°相交，经绑扎形成长方形或正方形固滨笼或固滨笼组，绑扎用扎丝由边缘起连接，绑扎丝应用与网丝同材质的钢丝，每一道绑扎应是双股线（下图）并绞紧，钢丝的末端应向里折。</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构成格宾石笼的间隔网与网身的四处交角各绑扎一道；间隔网与网身交接处每间隔200mm-250mm处绑扎一道。</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相邻格宾石笼组的上下四角各绑扎一道；相邻格宾石笼组的上下框线或折线，每间隔200mm-250mm绑扎一道（扎丝绑扎）；相邻格宾石笼组的网片结合面则每平方米绑扎处；在绑扎相邻边框线下角一道时，如下方有固滨笼组，应将下方格宾石笼一并绑扎连成一体；各层箱连接完成后，可用长6m以上的木杆或铁杆顺层箱边缘临时固定，箱体装料后边缘线顺直流畅。</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封盖在顶部石料砌垒平整的基础上进行；先固定每端相邻结点后再绑扎，封盖与格宾石笼边框相交线，每间隔200mm-250mm绑扎一道。</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回填时，重型压实机械应距离固宾格笼至少1m。格宾石笼挡墙组装施工时，应对墙前顺直度进行控制，可采用模板或者钢管固定。</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lang w:val="en-US" w:eastAsia="zh-CN"/>
                <w14:textFill>
                  <w14:solidFill>
                    <w14:schemeClr w14:val="tx1"/>
                  </w14:solidFill>
                </w14:textFill>
              </w:rPr>
              <w:t>②</w:t>
            </w:r>
            <w:r>
              <w:rPr>
                <w:rFonts w:hint="default" w:ascii="Times New Roman" w:hAnsi="Times New Roman" w:cs="Times New Roman"/>
                <w:color w:val="000000" w:themeColor="text1"/>
                <w:kern w:val="0"/>
                <w:sz w:val="24"/>
                <w:lang w:val="en-US" w:eastAsia="zh-CN"/>
                <w14:textFill>
                  <w14:solidFill>
                    <w14:schemeClr w14:val="tx1"/>
                  </w14:solidFill>
                </w14:textFill>
              </w:rPr>
              <w:t>生态格网雷诺护垫施工</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雷诺护垫组应按设计要求定位，并依次安置，定位时应挂线调整平整度。 </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拉直边网片、端网片和隔片，组装时确保所有折缝位置正确，相邻雷诺护垫可靠连接。</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间隔网与网身应成90°相交后，才可绑扎，每道绑扎应使用扎丝双股线并绞紧。</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雷诺护垫组的间隔网与网身的四处交角各绑扎一道；间隔网与网身交接处，每间隔200mm-250mm绑扎一道。</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河床铺设时，绿滨垫隔片应垂直于水流方向；岸坡铺设时，隔片应平行于水流方向；陡坡铺设时，应在距顶部网片以下2m或按工程要求打入硬木桩固定。</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封盖网与网身、间隔网间相交边框线，每间隔200mm-250mm绑扎一道。</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坝下游护坦及水流能直冲位置的绿滨垫施工时，应在雷诺护垫的底网片与顶网片之间垂直安装支撑钢筋。 </w:t>
            </w:r>
          </w:p>
          <w:p>
            <w:pPr>
              <w:wordWrap w:val="0"/>
              <w:spacing w:line="360" w:lineRule="auto"/>
              <w:ind w:firstLine="480" w:firstLineChars="200"/>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 xml:space="preserve">雷诺护垫绑扎方式宜采用螺旋式缠绕绑扎或采用扣件绑扎。 </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雷诺护垫护坡施工时，应对坡面顶部顺直度进行控制，可采用模板或者钢管固定。</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lang w:eastAsia="zh-CN"/>
                <w14:textFill>
                  <w14:solidFill>
                    <w14:schemeClr w14:val="tx1"/>
                  </w14:solidFill>
                </w14:textFill>
              </w:rPr>
              <w:t>）导流工程</w:t>
            </w:r>
          </w:p>
          <w:p>
            <w:pPr>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工程所在流域的洪水是由流域内的暴雨径流汇流而成。采用的导流建筑物为土石围堰。本项目河道修复工程等级为4级，按照《水利水电工程等级划分及洪水标准》（SL252-2017）规定，施工期洪水标准按5年一遇考虑。采用的导流建筑物为土石围堰，顶宽1m，两侧坡比为1：1，高1m；由于河道施工期洪水量较小，采用分段围堰法施工，新建围堰围住河床的左（或右）岸使河水从束窄的河床通过</w:t>
            </w:r>
            <w:r>
              <w:rPr>
                <w:rFonts w:hint="default" w:ascii="Times New Roman" w:hAnsi="Times New Roman" w:cs="Times New Roman"/>
                <w:color w:val="000000" w:themeColor="text1"/>
                <w:lang w:val="en-US" w:eastAsia="zh-CN"/>
                <w14:textFill>
                  <w14:solidFill>
                    <w14:schemeClr w14:val="tx1"/>
                  </w14:solidFill>
                </w14:textFill>
              </w:rPr>
              <w:t>。</w:t>
            </w:r>
          </w:p>
          <w:p>
            <w:pPr>
              <w:wordWrap w:val="0"/>
              <w:spacing w:line="360" w:lineRule="auto"/>
              <w:ind w:firstLine="480" w:firstLineChars="200"/>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eastAsia="zh-CN"/>
                <w14:textFill>
                  <w14:solidFill>
                    <w14:schemeClr w14:val="tx1"/>
                  </w14:solidFill>
                </w14:textFill>
              </w:rPr>
              <w:t>）临时工程</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本工程需修建一定长度的临时道路。因项目分多段施工，部分河段需修建临时连接段与已有道路相连。沿左右岸防洪堤轴线各布置临时施工连接道路，对道路布置原则为满足重车通行宽度及坡度要求，最大坡</w:t>
            </w:r>
            <w:r>
              <w:rPr>
                <w:rFonts w:hint="default" w:ascii="Times New Roman" w:hAnsi="Times New Roman" w:eastAsia="宋体" w:cs="Times New Roman"/>
                <w:color w:val="000000" w:themeColor="text1"/>
                <w:sz w:val="24"/>
                <w:lang w:eastAsia="zh-CN"/>
                <w14:textFill>
                  <w14:solidFill>
                    <w14:schemeClr w14:val="tx1"/>
                  </w14:solidFill>
                </w14:textFill>
              </w:rPr>
              <w:t>度控制在10%以内，泥结石路面，路面宽3.5m，道路总长460m（大峪河段工程350m，小峪河段工程110m）。</w:t>
            </w:r>
          </w:p>
          <w:p>
            <w:pPr>
              <w:spacing w:line="360" w:lineRule="auto"/>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本工程临时占地总计10580m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，主要用于临时堆放外购石料，停放机械设备。占地选择位置位于项目区河道生态修复区域内相对开阔、平缓、无安全隐患的地块内，其中大峪河段工程临时占地为4个地块，总占地面积5894m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；小峪河段临时占地为5个地块，总占地面积4686m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。项目不涉及临时占地补偿费用。</w:t>
            </w:r>
          </w:p>
          <w:p>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2、施工时序及建设周期</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INCLUDEPICTURE  "C:\\Users\\win10\\AppData\\Local\\Temp\\ksohtml12316\\wps2.png" \* MERGEFORMATINET </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以线性工程为主结合分散的片区生态林工程，施工网点分散，根据工程施工总体内容、投资情况、施工导流方案和主要项目施工工艺，本着早建成早受益的原则，河道岸堤修复工程尽量避开汛期，在非汛期施工，已经完成的施工要做好工程保护，岸坡植物种植基质铺设等非硬质工程要在其他保护性工程完成后进行施工。护林带工程、水保林工程主要安排在春、秋及多雨的季节。</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根据工程内容和施工条件，确定施工工期为15个月。根据施工程序和各时期施工重点不同，将施工总进度分为三个阶段：</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工程筹建期：3个月，在施工前由建设单位做好工程的勘察设计、招投标工作，选定施工单位，并做好工程对外交通、施工供电、施工通信工作等。</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主体工程施工期：</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个月，完成各主要工程施工。</w:t>
            </w:r>
          </w:p>
          <w:p>
            <w:pPr>
              <w:pStyle w:val="20"/>
              <w:ind w:firstLine="480"/>
              <w:rPr>
                <w:rFonts w:ascii="宋体" w:hAnsi="宋体"/>
                <w:color w:val="000000" w:themeColor="text1"/>
                <w14:textFill>
                  <w14:solidFill>
                    <w14:schemeClr w14:val="tx1"/>
                  </w14:solidFill>
                </w14:textFill>
              </w:rPr>
            </w:pPr>
            <w:r>
              <w:rPr>
                <w:rFonts w:hint="eastAsia"/>
                <w:color w:val="000000" w:themeColor="text1"/>
                <w14:textFill>
                  <w14:solidFill>
                    <w14:schemeClr w14:val="tx1"/>
                  </w14:solidFill>
                </w14:textFill>
              </w:rPr>
              <w:t>工程完建期：2个月，主体工程施工完后，进行施工场地恢复、建设单位退场等扫尾工作，并完成所有项目施工和验收任务。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508"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w:t>
            </w:r>
          </w:p>
        </w:tc>
        <w:tc>
          <w:tcPr>
            <w:tcW w:w="8677" w:type="dxa"/>
            <w:vAlign w:val="center"/>
          </w:tcPr>
          <w:p>
            <w:pPr>
              <w:pStyle w:val="21"/>
              <w:ind w:firstLine="482" w:firstLineChars="200"/>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1、护岸型式选取</w:t>
            </w:r>
          </w:p>
          <w:p>
            <w:pPr>
              <w:pStyle w:val="20"/>
              <w:keepNext w:val="0"/>
              <w:keepLines w:val="0"/>
              <w:pageBreakBefore w:val="0"/>
              <w:widowControl w:val="0"/>
              <w:kinsoku/>
              <w:wordWrap/>
              <w:overflowPunct/>
              <w:topLinePunct w:val="0"/>
              <w:autoSpaceDE/>
              <w:autoSpaceDN/>
              <w:bidi w:val="0"/>
              <w:adjustRightInd w:val="0"/>
              <w:snapToGrid w:val="0"/>
              <w:ind w:left="239" w:leftChars="114" w:firstLine="240" w:firstLineChars="100"/>
              <w:textAlignment w:val="auto"/>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护岸形式选择：根据河床的现状地形，对不同区段选用不同的护岸形式。</w:t>
            </w:r>
          </w:p>
          <w:p>
            <w:pPr>
              <w:pStyle w:val="20"/>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本次修复工程以项目区内河道整体提升为设计方向，结合项目区河道现状及河岸两侧农田及人口分布情况，综合考虑采取以自然恢复为主，人工修复为辅的修复方式。其中自然修复节点采用简单的补植等工程措施，最大程度上减少工程对现状生态的扰动的同时提升环境生态；人工修复节点则依据各节点不同现状情况，分别采用不同设计断面进行修复。</w:t>
            </w:r>
          </w:p>
          <w:p>
            <w:pPr>
              <w:pStyle w:val="20"/>
              <w:ind w:left="719" w:leftChars="228" w:hanging="240" w:hangingChars="100"/>
              <w:rPr>
                <w:rFonts w:hint="eastAsia" w:ascii="Times New Roman" w:hAnsi="Times New Roman" w:eastAsia="宋体" w:cs="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lang w:eastAsia="zh-CN"/>
                <w14:textFill>
                  <w14:solidFill>
                    <w14:schemeClr w14:val="tx1"/>
                  </w14:solidFill>
                </w14:textFill>
              </w:rPr>
              <w:t>（</w:t>
            </w:r>
            <w:r>
              <w:rPr>
                <w:rFonts w:hint="eastAsia" w:ascii="Times New Roman" w:hAnsi="Times New Roman" w:eastAsia="宋体" w:cs="宋体"/>
                <w:color w:val="000000" w:themeColor="text1"/>
                <w:lang w:val="en-US" w:eastAsia="zh-CN"/>
                <w14:textFill>
                  <w14:solidFill>
                    <w14:schemeClr w14:val="tx1"/>
                  </w14:solidFill>
                </w14:textFill>
              </w:rPr>
              <w:t>1</w:t>
            </w:r>
            <w:r>
              <w:rPr>
                <w:rFonts w:hint="eastAsia" w:ascii="Times New Roman" w:hAnsi="Times New Roman" w:eastAsia="宋体" w:cs="宋体"/>
                <w:color w:val="000000" w:themeColor="text1"/>
                <w:lang w:eastAsia="zh-CN"/>
                <w14:textFill>
                  <w14:solidFill>
                    <w14:schemeClr w14:val="tx1"/>
                  </w14:solidFill>
                </w14:textFill>
              </w:rPr>
              <w:t>）自嵌式植生挡土墙</w:t>
            </w:r>
          </w:p>
          <w:p>
            <w:pPr>
              <w:wordWrap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自嵌式植生挡土墙，其特点是施工速度快，柔性结构，颜色多样，可砌筑圆形、直角等不同造型，可在两级挡土墙中间种植景观植物，可以满足岸线水土交换，但是植被生长空间有限，抗冲能力也一般，主要用于城市内河等流速较缓，对生态性有一定要求的河段。</w:t>
            </w:r>
          </w:p>
          <w:p>
            <w:pPr>
              <w:pStyle w:val="2"/>
              <w:rPr>
                <w:rFonts w:hint="eastAsia" w:ascii="Times New Roman" w:hAnsi="Times New Roman" w:eastAsia="宋体" w:cs="Times New Roman"/>
                <w:color w:val="000000" w:themeColor="text1"/>
                <w:sz w:val="24"/>
                <w:lang w:val="en-US" w:eastAsia="zh-CN"/>
                <w14:textFill>
                  <w14:solidFill>
                    <w14:schemeClr w14:val="tx1"/>
                  </w14:solidFill>
                </w14:textFill>
              </w:rPr>
            </w:pPr>
          </w:p>
          <w:p>
            <w:pPr>
              <w:rPr>
                <w:rFonts w:hint="eastAsia" w:ascii="Times New Roman" w:hAnsi="Times New Roman" w:eastAsia="宋体" w:cs="Times New Roman"/>
                <w:color w:val="000000" w:themeColor="text1"/>
                <w:sz w:val="24"/>
                <w:lang w:val="en-US" w:eastAsia="zh-CN"/>
                <w14:textFill>
                  <w14:solidFill>
                    <w14:schemeClr w14:val="tx1"/>
                  </w14:solidFill>
                </w14:textFill>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438650" cy="28098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4438650" cy="2809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图2</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 xml:space="preserve">  </w:t>
            </w:r>
            <w:r>
              <w:rPr>
                <w:rFonts w:hint="eastAsia"/>
                <w:b/>
                <w:bCs/>
                <w:color w:val="000000" w:themeColor="text1"/>
                <w:sz w:val="24"/>
                <w:lang w:val="en-US" w:eastAsia="zh-CN"/>
                <w14:textFill>
                  <w14:solidFill>
                    <w14:schemeClr w14:val="tx1"/>
                  </w14:solidFill>
                </w14:textFill>
              </w:rPr>
              <w:t>自嵌式挡土墙安装效果图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2</w:t>
            </w:r>
            <w:r>
              <w:rPr>
                <w:rFonts w:hint="eastAsia"/>
                <w:color w:val="000000" w:themeColor="text1"/>
                <w:kern w:val="0"/>
                <w:sz w:val="24"/>
                <w:lang w:eastAsia="zh-CN"/>
                <w14:textFill>
                  <w14:solidFill>
                    <w14:schemeClr w14:val="tx1"/>
                  </w14:solidFill>
                </w14:textFill>
              </w:rPr>
              <w:t>）阶梯式生态框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阶梯式生态框，其特点是施工方便、耐久性高、视觉效果好、机动性强，可就地取材使用碎石和沙袋作为填充物，方便水中生物筑巢及生长从而达到绿化效果，不会随着时间的推移而发生腐蚀或被磨耗的情况，产品外观多样、绿化成效好，抗冲性能较好，植被生长空间充足，适用于城市近郊存在一定冲刷且有生态景观需求的河段。</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4"/>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781425" cy="322897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781425" cy="3228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图2</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8</w:t>
            </w:r>
            <w:r>
              <w:rPr>
                <w:b/>
                <w:bCs/>
                <w:color w:val="000000" w:themeColor="text1"/>
                <w:sz w:val="24"/>
                <w14:textFill>
                  <w14:solidFill>
                    <w14:schemeClr w14:val="tx1"/>
                  </w14:solidFill>
                </w14:textFill>
              </w:rPr>
              <w:t xml:space="preserve">  </w:t>
            </w:r>
            <w:r>
              <w:rPr>
                <w:rFonts w:hint="eastAsia"/>
                <w:b/>
                <w:bCs/>
                <w:color w:val="000000" w:themeColor="text1"/>
                <w:sz w:val="24"/>
                <w:lang w:val="en-US" w:eastAsia="zh-CN"/>
                <w14:textFill>
                  <w14:solidFill>
                    <w14:schemeClr w14:val="tx1"/>
                  </w14:solidFill>
                </w14:textFill>
              </w:rPr>
              <w:t>阶梯式生态框安装效果图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lang w:eastAsia="zh-CN"/>
                <w14:textFill>
                  <w14:solidFill>
                    <w14:schemeClr w14:val="tx1"/>
                  </w14:solidFill>
                </w14:textFill>
              </w:rPr>
              <w:t>）浆砌石挡墙护岸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浆砌石挡墙是一种传统的护岸型式，其具有抗冲刷性能好，施工技术成熟，造价低等特点。但是生态效果较差，河道与岸线割裂，主要用于对抗冲刷能力要求较高或用地受限的河段。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浆砌石挡墙护岸效果图见附图2-1。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4</w:t>
            </w:r>
            <w:r>
              <w:rPr>
                <w:rFonts w:hint="eastAsia"/>
                <w:color w:val="000000" w:themeColor="text1"/>
                <w:kern w:val="0"/>
                <w:sz w:val="24"/>
                <w:lang w:eastAsia="zh-CN"/>
                <w14:textFill>
                  <w14:solidFill>
                    <w14:schemeClr w14:val="tx1"/>
                  </w14:solidFill>
                </w14:textFill>
              </w:rPr>
              <w:t>）格宾石笼挡墙护岸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 xml:space="preserve">格宾石笼挡墙是指将经过特殊加工的机编的双铰六角形柔性金属网扎成立方体网笼，填入适当的石块，石间筑土，然后帮扎盖网，形成的石笼整体护面。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 xml:space="preserve">格宾石笼挡墙以钢丝网箱为主体，为一柔性结构，能适应各种土层性质并与之较好的结合，能很好的适应地基变形，不会削弱整体结构，更不易断裂破坏，可使地下水以及渗透水及时的从结构填石缝隙中渗透出去，能有效解决孔隙水压力的影响，利于岸坡的稳定。生态格网网片是由机械编织成双绞、蜂巢形孔网格，即使一、两条丝断裂，网状物也不会松开。有其它材料不能代替的延展性，大面（体）积组装，不设缝，整体性强。生态格网网丝经双重防腐处理，抗氧化作用强，抗腐耐磨，抗老化，使用年限长。网箱砌体石缝终会被土填充（人工或自然），植物会逐渐长出，实现工程措施和植物措施相结合，亦绿化美化景观，形成一个柔性整体护面，恢复建筑的自然生态。结构填充料之间的缝隙可保持土体与水体之间的自然交换功能，同时也利于植物的生长。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施工方便易组合，可根据设计意图，工厂内制成半成品，施工现场能组装成各种形状。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kern w:val="0"/>
                <w:sz w:val="24"/>
                <w:lang w:val="en-US"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格宾石笼挡墙护岸</w:t>
            </w:r>
            <w:r>
              <w:rPr>
                <w:rFonts w:hint="eastAsia"/>
                <w:color w:val="000000" w:themeColor="text1"/>
                <w:kern w:val="0"/>
                <w:sz w:val="24"/>
                <w:lang w:val="en-US" w:eastAsia="zh-CN"/>
                <w14:textFill>
                  <w14:solidFill>
                    <w14:schemeClr w14:val="tx1"/>
                  </w14:solidFill>
                </w14:textFill>
              </w:rPr>
              <w:t>效果图见附图2-2。</w:t>
            </w:r>
          </w:p>
          <w:p>
            <w:pPr>
              <w:pStyle w:val="2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本项目结合项目区现状，迎流顶冲段采用浆砌石挡墙护岸，其它护岸采用格宾石笼挡墙</w:t>
            </w:r>
            <w:r>
              <w:rPr>
                <w:rFonts w:hint="eastAsia" w:cs="Times New Roman"/>
                <w:b w:val="0"/>
                <w:color w:val="000000" w:themeColor="text1"/>
                <w:kern w:val="0"/>
                <w:sz w:val="24"/>
                <w:szCs w:val="24"/>
                <w:lang w:val="en-US" w:eastAsia="zh-CN" w:bidi="ar-SA"/>
                <w14:textFill>
                  <w14:solidFill>
                    <w14:schemeClr w14:val="tx1"/>
                  </w14:solidFill>
                </w14:textFill>
              </w:rPr>
              <w:t>护岸</w:t>
            </w: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w:t>
            </w:r>
          </w:p>
          <w:p>
            <w:pPr>
              <w:pStyle w:val="2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pPr>
          </w:p>
          <w:p>
            <w:pPr>
              <w:pStyle w:val="20"/>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pPr>
          </w:p>
        </w:tc>
      </w:tr>
    </w:tbl>
    <w:p>
      <w:pPr>
        <w:pStyle w:val="22"/>
        <w:jc w:val="center"/>
        <w:outlineLvl w:val="0"/>
        <w:rPr>
          <w:rFonts w:ascii="黑体" w:hAnsi="黑体" w:eastAsia="黑体"/>
          <w:snapToGrid w:val="0"/>
          <w:color w:val="000000" w:themeColor="text1"/>
          <w:sz w:val="30"/>
          <w:szCs w:val="30"/>
          <w14:textFill>
            <w14:solidFill>
              <w14:schemeClr w14:val="tx1"/>
            </w14:solidFill>
          </w14:textFill>
        </w:rPr>
      </w:pPr>
      <w:r>
        <w:rPr>
          <w:rFonts w:eastAsia="仿宋_GB2312"/>
          <w:b/>
          <w:bCs/>
          <w:color w:val="000000" w:themeColor="text1"/>
          <w14:textFill>
            <w14:solidFill>
              <w14:schemeClr w14:val="tx1"/>
            </w14:solidFill>
          </w14:textFill>
        </w:rPr>
        <w:br w:type="page"/>
      </w:r>
      <w:r>
        <w:rPr>
          <w:rFonts w:hint="eastAsia" w:ascii="黑体" w:hAnsi="黑体" w:eastAsia="黑体"/>
          <w:snapToGrid w:val="0"/>
          <w:color w:val="000000" w:themeColor="text1"/>
          <w:sz w:val="30"/>
          <w:szCs w:val="30"/>
          <w14:textFill>
            <w14:solidFill>
              <w14:schemeClr w14:val="tx1"/>
            </w14:solidFill>
          </w14:textFill>
        </w:rPr>
        <w:t>三、生态环境现状、保护目标及评价标准</w:t>
      </w:r>
    </w:p>
    <w:tbl>
      <w:tblPr>
        <w:tblStyle w:val="25"/>
        <w:tblW w:w="95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9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57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生态环境现状</w:t>
            </w:r>
          </w:p>
        </w:tc>
        <w:tc>
          <w:tcPr>
            <w:tcW w:w="8998"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1.生态环境现状</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（1）主体功能区划和生态功能区划</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根据《陕西省人民政府关于印发陕西省主体功能区划的通知》（陕政发</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2013</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15号）及《陕西省主体功能区划》报告，本工程区域属于限制开发区域（农产品主产区）。</w:t>
            </w:r>
          </w:p>
          <w:p>
            <w:pPr>
              <w:pStyle w:val="2"/>
              <w:adjustRightInd w:val="0"/>
              <w:snapToGrid w:val="0"/>
              <w:spacing w:line="360" w:lineRule="auto"/>
              <w:ind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根据《陕西省生态功能区划》，陕西省划分4个生态区、10个生态功能区、35个生态功能小区。本项目位于渭河两侧黄土台塬农业区。</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（2）土地利用现状</w:t>
            </w:r>
          </w:p>
          <w:p>
            <w:pPr>
              <w:pStyle w:val="2"/>
              <w:adjustRightInd w:val="0"/>
              <w:snapToGrid w:val="0"/>
              <w:spacing w:line="360" w:lineRule="auto"/>
              <w:ind w:firstLine="480" w:firstLineChars="200"/>
              <w:rPr>
                <w:rFonts w:hint="default"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根据现场勘查以及收集相关资料分析，本项目为河道岸堤修复工程，不新增用地</w:t>
            </w:r>
            <w:r>
              <w:rPr>
                <w:rFonts w:hint="eastAsia" w:cs="Times New Roman"/>
                <w:color w:val="000000" w:themeColor="text1"/>
                <w:sz w:val="24"/>
                <w:szCs w:val="24"/>
                <w:highlight w:val="none"/>
                <w:lang w:val="en-US" w:eastAsia="zh-CN"/>
                <w14:textFill>
                  <w14:solidFill>
                    <w14:schemeClr w14:val="tx1"/>
                  </w14:solidFill>
                </w14:textFill>
              </w:rPr>
              <w:t>。河道治理工程周边500m</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范围内</w:t>
            </w:r>
            <w:r>
              <w:rPr>
                <w:rFonts w:hint="eastAsia" w:cs="Times New Roman"/>
                <w:color w:val="000000" w:themeColor="text1"/>
                <w:sz w:val="24"/>
                <w:szCs w:val="24"/>
                <w:highlight w:val="none"/>
                <w:lang w:val="en-US" w:eastAsia="zh-CN"/>
                <w14:textFill>
                  <w14:solidFill>
                    <w14:schemeClr w14:val="tx1"/>
                  </w14:solidFill>
                </w14:textFill>
              </w:rPr>
              <w:t>土地利用类型为河流水面、内陆滩涂、乔木林地、灌木林地、公路用地和村庄，其中以乔木林地、灌木林地和河流水面占比较大。</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（3）植被类型</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经现场勘查和查找资料，河道治理工程周边500m范围内无列入《国家重点保护野生植物名录》的植物。</w:t>
            </w:r>
          </w:p>
          <w:p>
            <w:pPr>
              <w:pStyle w:val="2"/>
              <w:adjustRightInd w:val="0"/>
              <w:snapToGrid w:val="0"/>
              <w:spacing w:line="360" w:lineRule="auto"/>
              <w:ind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根据调查结果，评价区以林地和河流水面为主，植物以槲栎林、栓皮栎林和华山松林等为主，荆条、酸枣灌丛为辅，部分村民在住房周边种有少量花生、马铃薯、辣椒等农作物</w:t>
            </w:r>
            <w:r>
              <w:rPr>
                <w:rFonts w:hint="eastAsia" w:cs="Times New Roman"/>
                <w:color w:val="000000" w:themeColor="text1"/>
                <w:sz w:val="24"/>
                <w:szCs w:val="24"/>
                <w:highlight w:val="none"/>
                <w:lang w:val="en-US" w:eastAsia="zh-CN"/>
                <w14:textFill>
                  <w14:solidFill>
                    <w14:schemeClr w14:val="tx1"/>
                  </w14:solidFill>
                </w14:textFill>
              </w:rPr>
              <w:t>。</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val="en-US" w:eastAsia="zh-CN"/>
                <w14:textFill>
                  <w14:solidFill>
                    <w14:schemeClr w14:val="tx1"/>
                  </w14:solidFill>
                </w14:textFill>
              </w:rPr>
              <w:t>水生生物</w:t>
            </w:r>
          </w:p>
          <w:p>
            <w:pPr>
              <w:pStyle w:val="2"/>
              <w:adjustRightInd w:val="0"/>
              <w:snapToGrid w:val="0"/>
              <w:spacing w:line="360" w:lineRule="auto"/>
              <w:ind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施工区域涉及</w:t>
            </w:r>
            <w:r>
              <w:rPr>
                <w:rFonts w:hint="eastAsia" w:cs="Times New Roman"/>
                <w:color w:val="000000" w:themeColor="text1"/>
                <w:sz w:val="24"/>
                <w:szCs w:val="24"/>
                <w:highlight w:val="none"/>
                <w:lang w:val="en-US" w:eastAsia="zh-CN"/>
                <w14:textFill>
                  <w14:solidFill>
                    <w14:schemeClr w14:val="tx1"/>
                  </w14:solidFill>
                </w14:textFill>
              </w:rPr>
              <w:t>大峪河、小峪河</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地表水体，经现场勘查和查找资料，本项目涉及的河段无重要水生生物的自然产卵场、索饵场、越冬场和洄游通道、栖息地。经现场勘查和查找资料，浮游植物</w:t>
            </w:r>
            <w:r>
              <w:rPr>
                <w:rFonts w:hint="eastAsia"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门</w:t>
            </w:r>
            <w:r>
              <w:rPr>
                <w:rFonts w:hint="eastAsia" w:cs="Times New Roman"/>
                <w:color w:val="000000" w:themeColor="text1"/>
                <w:sz w:val="24"/>
                <w:szCs w:val="24"/>
                <w:highlight w:val="none"/>
                <w:lang w:val="en-US" w:eastAsia="zh-CN"/>
                <w14:textFill>
                  <w14:solidFill>
                    <w14:schemeClr w14:val="tx1"/>
                  </w14:solidFill>
                </w14:textFill>
              </w:rPr>
              <w:t>24</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种属</w:t>
            </w:r>
            <w:r>
              <w:rPr>
                <w:rFonts w:hint="eastAsia" w:cs="Times New Roman"/>
                <w:color w:val="000000" w:themeColor="text1"/>
                <w:sz w:val="24"/>
                <w:szCs w:val="24"/>
                <w:highlight w:val="none"/>
                <w:lang w:val="en-US" w:eastAsia="zh-CN"/>
                <w14:textFill>
                  <w14:solidFill>
                    <w14:schemeClr w14:val="tx1"/>
                  </w14:solidFill>
                </w14:textFill>
              </w:rPr>
              <w:t>（硅藻门、绿藻门、裸藻门、蓝藻门、隐藻门、甲藻门）；浮游动物4门类18种属（原生动物门、轮虫、桡足类、枝角类）；底栖动物5门8纲16目25科（节肢动物门、软体动物门、环节动物门、线性动物门、扁形动物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自然鱼类有4目</w:t>
            </w:r>
            <w:r>
              <w:rPr>
                <w:rFonts w:hint="eastAsia"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科</w:t>
            </w:r>
            <w:r>
              <w:rPr>
                <w:rFonts w:hint="eastAsia" w:cs="Times New Roman"/>
                <w:color w:val="000000" w:themeColor="text1"/>
                <w:sz w:val="24"/>
                <w:szCs w:val="24"/>
                <w:highlight w:val="none"/>
                <w:lang w:val="en-US" w:eastAsia="zh-CN"/>
                <w14:textFill>
                  <w14:solidFill>
                    <w14:schemeClr w14:val="tx1"/>
                  </w14:solidFill>
                </w14:textFill>
              </w:rPr>
              <w:t>25</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种属</w:t>
            </w:r>
            <w:r>
              <w:rPr>
                <w:rFonts w:hint="eastAsia" w:cs="Times New Roman"/>
                <w:color w:val="000000" w:themeColor="text1"/>
                <w:sz w:val="24"/>
                <w:szCs w:val="24"/>
                <w:highlight w:val="none"/>
                <w:lang w:val="en-US" w:eastAsia="zh-CN"/>
                <w14:textFill>
                  <w14:solidFill>
                    <w14:schemeClr w14:val="tx1"/>
                  </w14:solidFill>
                </w14:textFill>
              </w:rPr>
              <w:t>（鲤形目、鲇形目、鲈形目、合鳃鱼目）。调查区域四大类水生生物统计表见表3-1至表3-4。</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对项目区水生</w:t>
            </w:r>
            <w:r>
              <w:rPr>
                <w:rFonts w:hint="eastAsia" w:cs="Times New Roman"/>
                <w:color w:val="000000" w:themeColor="text1"/>
                <w:sz w:val="24"/>
                <w:szCs w:val="24"/>
                <w:highlight w:val="none"/>
                <w:lang w:val="en-US" w:eastAsia="zh-CN"/>
                <w14:textFill>
                  <w14:solidFill>
                    <w14:schemeClr w14:val="tx1"/>
                  </w14:solidFill>
                </w14:textFill>
              </w:rPr>
              <w:t>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物的现状现场勘查以及收集相关资料分析可知，治理河段无珍稀濒危保护类水生生物物种栖息。</w:t>
            </w:r>
          </w:p>
          <w:p>
            <w:pPr>
              <w:adjustRightInd w:val="0"/>
              <w:snapToGrid w:val="0"/>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表3-</w:t>
            </w:r>
            <w:r>
              <w:rPr>
                <w:rFonts w:hint="eastAsia" w:cs="Times New Roman"/>
                <w:b/>
                <w:bCs/>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kern w:val="2"/>
                <w:sz w:val="24"/>
                <w:szCs w:val="24"/>
                <w:highlight w:val="none"/>
                <w:lang w:val="en-US" w:eastAsia="zh-CN" w:bidi="ar-SA"/>
                <w14:textFill>
                  <w14:solidFill>
                    <w14:schemeClr w14:val="tx1"/>
                  </w14:solidFill>
                </w14:textFill>
              </w:rPr>
              <w:t>调查区浮游植物定量统计表</w:t>
            </w:r>
          </w:p>
          <w:tbl>
            <w:tblPr>
              <w:tblStyle w:val="26"/>
              <w:tblW w:w="87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580"/>
              <w:gridCol w:w="3563"/>
              <w:gridCol w:w="1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2580" w:type="dxa"/>
                  <w:tcBorders>
                    <w:tl2br w:val="nil"/>
                    <w:tr2bl w:val="nil"/>
                  </w:tcBorders>
                  <w:vAlign w:val="center"/>
                </w:tcPr>
                <w:p>
                  <w:pPr>
                    <w:widowControl/>
                    <w:adjustRightInd w:val="0"/>
                    <w:snapToGrid w:val="0"/>
                    <w:jc w:val="center"/>
                    <w:rPr>
                      <w:rFonts w:hint="eastAsia"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门类</w:t>
                  </w:r>
                </w:p>
              </w:tc>
              <w:tc>
                <w:tcPr>
                  <w:tcW w:w="3563"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种</w:t>
                  </w:r>
                </w:p>
              </w:tc>
              <w:tc>
                <w:tcPr>
                  <w:tcW w:w="1927" w:type="dxa"/>
                  <w:tcBorders>
                    <w:tl2br w:val="nil"/>
                    <w:tr2bl w:val="nil"/>
                  </w:tcBorders>
                  <w:vAlign w:val="center"/>
                </w:tcPr>
                <w:p>
                  <w:pPr>
                    <w:kinsoku w:val="0"/>
                    <w:overflowPunct w:val="0"/>
                    <w:autoSpaceDE w:val="0"/>
                    <w:autoSpaceDN w:val="0"/>
                    <w:adjustRightInd w:val="0"/>
                    <w:snapToGrid w:val="0"/>
                    <w:jc w:val="cente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b/>
                      <w:bCs/>
                      <w:color w:val="000000" w:themeColor="text1"/>
                      <w:kern w:val="0"/>
                      <w:szCs w:val="2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580" w:type="dxa"/>
                  <w:vMerge w:val="restart"/>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绿藻门 </w:t>
                  </w:r>
                  <w:r>
                    <w:rPr>
                      <w:rFonts w:hint="eastAsia"/>
                      <w:i/>
                      <w:iCs/>
                      <w:color w:val="000000" w:themeColor="text1"/>
                      <w:spacing w:val="-2"/>
                      <w:sz w:val="21"/>
                      <w:szCs w:val="21"/>
                      <w:lang w:val="en-US" w:eastAsia="zh-CN"/>
                      <w14:textFill>
                        <w14:solidFill>
                          <w14:schemeClr w14:val="tx1"/>
                        </w14:solidFill>
                      </w14:textFill>
                    </w:rPr>
                    <w:t>Chlorophyta</w:t>
                  </w:r>
                </w:p>
              </w:tc>
              <w:tc>
                <w:tcPr>
                  <w:tcW w:w="3563"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小球藻 </w:t>
                  </w:r>
                  <w:r>
                    <w:rPr>
                      <w:rFonts w:hint="eastAsia"/>
                      <w:i/>
                      <w:iCs/>
                      <w:color w:val="000000" w:themeColor="text1"/>
                      <w:spacing w:val="-2"/>
                      <w:sz w:val="21"/>
                      <w:szCs w:val="21"/>
                      <w:lang w:val="en-US" w:eastAsia="zh-CN"/>
                      <w14:textFill>
                        <w14:solidFill>
                          <w14:schemeClr w14:val="tx1"/>
                        </w14:solidFill>
                      </w14:textFill>
                    </w:rPr>
                    <w:t>Chlorella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2580"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栅藻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Scenedesmus</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580"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卵囊藻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Oocystis</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w:t>
                  </w:r>
                </w:p>
              </w:tc>
              <w:tc>
                <w:tcPr>
                  <w:tcW w:w="2580"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纤维藻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Ankistrodesmus</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2580" w:type="dxa"/>
                  <w:vMerge w:val="restart"/>
                  <w:tcBorders>
                    <w:tl2br w:val="nil"/>
                    <w:tr2bl w:val="nil"/>
                  </w:tcBorders>
                  <w:vAlign w:val="center"/>
                </w:tcPr>
                <w:p>
                  <w:pPr>
                    <w:pStyle w:val="69"/>
                    <w:rPr>
                      <w:rFonts w:hint="eastAsia"/>
                      <w:color w:val="000000" w:themeColor="text1"/>
                      <w:szCs w:val="21"/>
                      <w:highlight w:val="none"/>
                      <w:lang w:val="en-US" w:eastAsia="zh-CN"/>
                      <w14:textFill>
                        <w14:solidFill>
                          <w14:schemeClr w14:val="tx1"/>
                        </w14:solidFill>
                      </w14:textFill>
                    </w:rPr>
                  </w:pPr>
                  <w:r>
                    <w:rPr>
                      <w:color w:val="000000" w:themeColor="text1"/>
                      <w:spacing w:val="-2"/>
                      <w:sz w:val="21"/>
                      <w:szCs w:val="21"/>
                      <w14:textFill>
                        <w14:solidFill>
                          <w14:schemeClr w14:val="tx1"/>
                        </w14:solidFill>
                      </w14:textFill>
                    </w:rPr>
                    <w:t>裸藻门</w:t>
                  </w:r>
                  <w:r>
                    <w:rPr>
                      <w:rFonts w:hint="eastAsia"/>
                      <w:color w:val="000000" w:themeColor="text1"/>
                      <w:spacing w:val="-2"/>
                      <w:sz w:val="21"/>
                      <w:szCs w:val="21"/>
                      <w:lang w:val="en-US" w:eastAsia="zh-CN"/>
                      <w14:textFill>
                        <w14:solidFill>
                          <w14:schemeClr w14:val="tx1"/>
                        </w14:solidFill>
                      </w14:textFill>
                    </w:rPr>
                    <w:t xml:space="preserve"> </w:t>
                  </w:r>
                  <w:r>
                    <w:rPr>
                      <w:rFonts w:hint="eastAsia"/>
                      <w:i/>
                      <w:iCs/>
                      <w:color w:val="000000" w:themeColor="text1"/>
                      <w:spacing w:val="-2"/>
                      <w:sz w:val="21"/>
                      <w:szCs w:val="21"/>
                      <w:lang w:val="en-US" w:eastAsia="zh-CN"/>
                      <w14:textFill>
                        <w14:solidFill>
                          <w14:schemeClr w14:val="tx1"/>
                        </w14:solidFill>
                      </w14:textFill>
                    </w:rPr>
                    <w:t>Euglenophyta</w:t>
                  </w: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裸藻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Euglena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w:t>
                  </w:r>
                </w:p>
              </w:tc>
              <w:tc>
                <w:tcPr>
                  <w:tcW w:w="2580" w:type="dxa"/>
                  <w:vMerge w:val="continue"/>
                  <w:tcBorders>
                    <w:tl2br w:val="nil"/>
                    <w:tr2bl w:val="nil"/>
                  </w:tcBorders>
                  <w:vAlign w:val="center"/>
                </w:tcPr>
                <w:p>
                  <w:pPr>
                    <w:widowControl/>
                    <w:adjustRightInd w:val="0"/>
                    <w:snapToGrid w:val="0"/>
                    <w:jc w:val="center"/>
                    <w:rPr>
                      <w:rFonts w:hint="eastAsia"/>
                      <w:i/>
                      <w:iCs/>
                      <w:color w:val="000000" w:themeColor="text1"/>
                      <w:spacing w:val="-2"/>
                      <w:sz w:val="21"/>
                      <w:szCs w:val="21"/>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拟裸藻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Euglenopsis</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p>
              </w:tc>
              <w:tc>
                <w:tcPr>
                  <w:tcW w:w="2580"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囊裸藻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Trachelomonas</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2580"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color w:val="000000" w:themeColor="text1"/>
                      <w:spacing w:val="-2"/>
                      <w:sz w:val="21"/>
                      <w:szCs w:val="21"/>
                      <w14:textFill>
                        <w14:solidFill>
                          <w14:schemeClr w14:val="tx1"/>
                        </w14:solidFill>
                      </w14:textFill>
                    </w:rPr>
                    <w:t xml:space="preserve">蓝藻门 </w:t>
                  </w:r>
                  <w:r>
                    <w:rPr>
                      <w:rFonts w:hint="eastAsia"/>
                      <w:i/>
                      <w:iCs/>
                      <w:color w:val="000000" w:themeColor="text1"/>
                      <w:spacing w:val="-2"/>
                      <w:sz w:val="21"/>
                      <w:szCs w:val="21"/>
                      <w:lang w:val="en-US" w:eastAsia="zh-CN"/>
                      <w14:textFill>
                        <w14:solidFill>
                          <w14:schemeClr w14:val="tx1"/>
                        </w14:solidFill>
                      </w14:textFill>
                    </w:rPr>
                    <w:t>Cyanophyta</w:t>
                  </w: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颤藻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Oscillatoria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2580" w:type="dxa"/>
                  <w:tcBorders>
                    <w:tl2br w:val="nil"/>
                    <w:tr2bl w:val="nil"/>
                  </w:tcBorders>
                  <w:vAlign w:val="center"/>
                </w:tcPr>
                <w:p>
                  <w:pPr>
                    <w:pStyle w:val="69"/>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color w:val="000000" w:themeColor="text1"/>
                      <w:spacing w:val="-4"/>
                      <w:sz w:val="21"/>
                      <w:szCs w:val="21"/>
                      <w14:textFill>
                        <w14:solidFill>
                          <w14:schemeClr w14:val="tx1"/>
                        </w14:solidFill>
                      </w14:textFill>
                    </w:rPr>
                    <w:t>隐藻门</w:t>
                  </w:r>
                  <w:r>
                    <w:rPr>
                      <w:rFonts w:hint="eastAsia"/>
                      <w:color w:val="000000" w:themeColor="text1"/>
                      <w:spacing w:val="-4"/>
                      <w:sz w:val="21"/>
                      <w:szCs w:val="21"/>
                      <w:lang w:val="en-US" w:eastAsia="zh-CN"/>
                      <w14:textFill>
                        <w14:solidFill>
                          <w14:schemeClr w14:val="tx1"/>
                        </w14:solidFill>
                      </w14:textFill>
                    </w:rPr>
                    <w:t xml:space="preserve">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Cryptophyta</w:t>
                  </w: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隐藻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Cryptomonas</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2580"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olor w:val="000000" w:themeColor="text1"/>
                      <w:spacing w:val="-4"/>
                      <w:sz w:val="21"/>
                      <w:szCs w:val="21"/>
                      <w:lang w:eastAsia="zh-CN"/>
                      <w14:textFill>
                        <w14:solidFill>
                          <w14:schemeClr w14:val="tx1"/>
                        </w14:solidFill>
                      </w14:textFill>
                    </w:rPr>
                    <w:t>甲</w:t>
                  </w:r>
                  <w:r>
                    <w:rPr>
                      <w:color w:val="000000" w:themeColor="text1"/>
                      <w:spacing w:val="-4"/>
                      <w:sz w:val="21"/>
                      <w:szCs w:val="21"/>
                      <w14:textFill>
                        <w14:solidFill>
                          <w14:schemeClr w14:val="tx1"/>
                        </w14:solidFill>
                      </w14:textFill>
                    </w:rPr>
                    <w:t>藻门</w:t>
                  </w:r>
                  <w:r>
                    <w:rPr>
                      <w:rFonts w:hint="eastAsia"/>
                      <w:color w:val="000000" w:themeColor="text1"/>
                      <w:spacing w:val="-4"/>
                      <w:sz w:val="21"/>
                      <w:szCs w:val="21"/>
                      <w:lang w:val="en-US" w:eastAsia="zh-CN"/>
                      <w14:textFill>
                        <w14:solidFill>
                          <w14:schemeClr w14:val="tx1"/>
                        </w14:solidFill>
                      </w14:textFill>
                    </w:rPr>
                    <w:t xml:space="preserve">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Pyrrophyta</w:t>
                  </w: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角甲藻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Ceratium</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w:t>
                  </w:r>
                </w:p>
              </w:tc>
              <w:tc>
                <w:tcPr>
                  <w:tcW w:w="2580" w:type="dxa"/>
                  <w:vMerge w:val="restart"/>
                  <w:tcBorders>
                    <w:tl2br w:val="nil"/>
                    <w:tr2bl w:val="nil"/>
                  </w:tcBorders>
                  <w:vAlign w:val="center"/>
                </w:tcPr>
                <w:p>
                  <w:pPr>
                    <w:pStyle w:val="69"/>
                    <w:rPr>
                      <w:rFonts w:hint="eastAsia"/>
                      <w:color w:val="000000" w:themeColor="text1"/>
                      <w:szCs w:val="21"/>
                      <w:highlight w:val="none"/>
                      <w:lang w:val="en-US" w:eastAsia="zh-CN"/>
                      <w14:textFill>
                        <w14:solidFill>
                          <w14:schemeClr w14:val="tx1"/>
                        </w14:solidFill>
                      </w14:textFill>
                    </w:rPr>
                  </w:pPr>
                  <w:r>
                    <w:rPr>
                      <w:color w:val="000000" w:themeColor="text1"/>
                      <w:spacing w:val="-1"/>
                      <w:sz w:val="21"/>
                      <w:szCs w:val="21"/>
                      <w14:textFill>
                        <w14:solidFill>
                          <w14:schemeClr w14:val="tx1"/>
                        </w14:solidFill>
                      </w14:textFill>
                    </w:rPr>
                    <w:t>硅藻</w:t>
                  </w:r>
                  <w:r>
                    <w:rPr>
                      <w:rFonts w:hint="eastAsia"/>
                      <w:color w:val="000000" w:themeColor="text1"/>
                      <w:spacing w:val="-1"/>
                      <w:sz w:val="21"/>
                      <w:szCs w:val="21"/>
                      <w:lang w:eastAsia="zh-CN"/>
                      <w14:textFill>
                        <w14:solidFill>
                          <w14:schemeClr w14:val="tx1"/>
                        </w14:solidFill>
                      </w14:textFill>
                    </w:rPr>
                    <w:t>门</w:t>
                  </w:r>
                  <w:r>
                    <w:rPr>
                      <w:rFonts w:hint="eastAsia"/>
                      <w:color w:val="000000" w:themeColor="text1"/>
                      <w:spacing w:val="-1"/>
                      <w:sz w:val="21"/>
                      <w:szCs w:val="21"/>
                      <w:lang w:val="en-US" w:eastAsia="zh-CN"/>
                      <w14:textFill>
                        <w14:solidFill>
                          <w14:schemeClr w14:val="tx1"/>
                        </w14:solidFill>
                      </w14:textFill>
                    </w:rPr>
                    <w:t xml:space="preserve">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Bacillariophyta</w:t>
                  </w: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冠盘藻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Stephanodiscus</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羽纹藻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Pinnularia</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直链藻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Melosirs</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辐节藻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Stauroneis</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针杆藻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Synedra</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脆杆藻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Fragilaria</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17</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舟形藻</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Navicula</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等片藻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Diatom</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19</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卵形藻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Cocconeis</w:t>
                  </w:r>
                </w:p>
              </w:tc>
              <w:tc>
                <w:tcPr>
                  <w:tcW w:w="1927" w:type="dxa"/>
                  <w:tcBorders>
                    <w:tl2br w:val="nil"/>
                    <w:tr2bl w:val="nil"/>
                  </w:tcBorders>
                  <w:vAlign w:val="center"/>
                </w:tcPr>
                <w:p>
                  <w:pPr>
                    <w:pStyle w:val="69"/>
                    <w:ind w:firstLine="0" w:firstLineChars="0"/>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b/>
                      <w:bCs/>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桥弯藻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Cymbella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21</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菱形藻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Nitzschia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22</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双眉藻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Amphora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23</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双菱藻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Surirella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w:t>
                  </w:r>
                </w:p>
              </w:tc>
              <w:tc>
                <w:tcPr>
                  <w:tcW w:w="2580" w:type="dxa"/>
                  <w:vMerge w:val="continue"/>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p>
              </w:tc>
              <w:tc>
                <w:tcPr>
                  <w:tcW w:w="3563"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双缝藻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Gyrosigma</w:t>
                  </w:r>
                </w:p>
              </w:tc>
              <w:tc>
                <w:tcPr>
                  <w:tcW w:w="1927"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表3-</w:t>
            </w:r>
            <w:r>
              <w:rPr>
                <w:rFonts w:hint="eastAsia" w:cs="Times New Roman"/>
                <w:b/>
                <w:bCs/>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kern w:val="2"/>
                <w:sz w:val="24"/>
                <w:szCs w:val="24"/>
                <w:highlight w:val="none"/>
                <w:lang w:val="en-US" w:eastAsia="zh-CN" w:bidi="ar-SA"/>
                <w14:textFill>
                  <w14:solidFill>
                    <w14:schemeClr w14:val="tx1"/>
                  </w14:solidFill>
                </w14:textFill>
              </w:rPr>
              <w:t>调查区浮游动物定量统计表</w:t>
            </w:r>
          </w:p>
          <w:tbl>
            <w:tblPr>
              <w:tblStyle w:val="26"/>
              <w:tblW w:w="87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586"/>
              <w:gridCol w:w="3570"/>
              <w:gridCol w:w="1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2586" w:type="dxa"/>
                  <w:tcBorders>
                    <w:tl2br w:val="nil"/>
                    <w:tr2bl w:val="nil"/>
                  </w:tcBorders>
                  <w:vAlign w:val="center"/>
                </w:tcPr>
                <w:p>
                  <w:pPr>
                    <w:widowControl/>
                    <w:adjustRightInd w:val="0"/>
                    <w:snapToGrid w:val="0"/>
                    <w:jc w:val="center"/>
                    <w:rPr>
                      <w:rFonts w:hint="eastAsia"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门类</w:t>
                  </w:r>
                </w:p>
              </w:tc>
              <w:tc>
                <w:tcPr>
                  <w:tcW w:w="3570"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种</w:t>
                  </w:r>
                </w:p>
              </w:tc>
              <w:tc>
                <w:tcPr>
                  <w:tcW w:w="1923" w:type="dxa"/>
                  <w:tcBorders>
                    <w:tl2br w:val="nil"/>
                    <w:tr2bl w:val="nil"/>
                  </w:tcBorders>
                  <w:vAlign w:val="center"/>
                </w:tcPr>
                <w:p>
                  <w:pPr>
                    <w:kinsoku w:val="0"/>
                    <w:overflowPunct w:val="0"/>
                    <w:autoSpaceDE w:val="0"/>
                    <w:autoSpaceDN w:val="0"/>
                    <w:adjustRightInd w:val="0"/>
                    <w:snapToGrid w:val="0"/>
                    <w:jc w:val="cente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b/>
                      <w:bCs/>
                      <w:color w:val="000000" w:themeColor="text1"/>
                      <w:kern w:val="0"/>
                      <w:szCs w:val="2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586"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原生动物门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Protozoa</w:t>
                  </w: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沙壳虫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Difflugia</w:t>
                  </w:r>
                </w:p>
              </w:tc>
              <w:tc>
                <w:tcPr>
                  <w:tcW w:w="1923" w:type="dxa"/>
                  <w:tcBorders>
                    <w:tl2br w:val="nil"/>
                    <w:tr2bl w:val="nil"/>
                  </w:tcBorders>
                  <w:vAlign w:val="center"/>
                </w:tcPr>
                <w:p>
                  <w:pPr>
                    <w:pStyle w:val="69"/>
                    <w:ind w:firstLine="0" w:firstLineChars="0"/>
                    <w:rPr>
                      <w:rFonts w:hint="default"/>
                      <w:color w:val="000000" w:themeColor="text1"/>
                      <w:szCs w:val="21"/>
                      <w:highlight w:val="none"/>
                      <w:lang w:val="en-US" w:eastAsia="zh-CN"/>
                      <w14:textFill>
                        <w14:solidFill>
                          <w14:schemeClr w14:val="tx1"/>
                        </w14:solidFill>
                      </w14:textFill>
                    </w:rPr>
                  </w:pPr>
                  <w:r>
                    <w:rPr>
                      <w:rFonts w:eastAsia="Times New Roman"/>
                      <w:b/>
                      <w:bCs/>
                      <w:color w:val="000000" w:themeColor="text1"/>
                      <w:spacing w:val="2"/>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筒壳虫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Tintinnidium</w:t>
                  </w:r>
                </w:p>
              </w:tc>
              <w:tc>
                <w:tcPr>
                  <w:tcW w:w="1923" w:type="dxa"/>
                  <w:tcBorders>
                    <w:tl2br w:val="nil"/>
                    <w:tr2bl w:val="nil"/>
                  </w:tcBorders>
                  <w:vAlign w:val="center"/>
                </w:tcPr>
                <w:p>
                  <w:pPr>
                    <w:pStyle w:val="69"/>
                    <w:ind w:firstLine="0" w:firstLineChars="0"/>
                    <w:rPr>
                      <w:rFonts w:hint="default"/>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似铃壳虫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Tintinnidium</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曲颈虫</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Cyphoderia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匣壳虫</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Centropyxis</w:t>
                  </w:r>
                </w:p>
              </w:tc>
              <w:tc>
                <w:tcPr>
                  <w:tcW w:w="1923" w:type="dxa"/>
                  <w:tcBorders>
                    <w:tl2br w:val="nil"/>
                    <w:tr2bl w:val="nil"/>
                  </w:tcBorders>
                  <w:vAlign w:val="center"/>
                </w:tcPr>
                <w:p>
                  <w:pPr>
                    <w:pStyle w:val="69"/>
                    <w:ind w:firstLine="0" w:firstLineChars="0"/>
                    <w:rPr>
                      <w:rFonts w:hint="default"/>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扁壳虫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Placocista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三足虫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Trinema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变形虫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Amoeba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法帽虫</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Phryganella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2"/>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葫芦虫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Cucurbitella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斜口虫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Trinema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p>
              </w:tc>
              <w:tc>
                <w:tcPr>
                  <w:tcW w:w="2586" w:type="dxa"/>
                  <w:vMerge w:val="restart"/>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轮虫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Rotifera</w:t>
                  </w: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单趾轮虫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Monostyla</w:t>
                  </w:r>
                </w:p>
              </w:tc>
              <w:tc>
                <w:tcPr>
                  <w:tcW w:w="1923" w:type="dxa"/>
                  <w:tcBorders>
                    <w:tl2br w:val="nil"/>
                    <w:tr2bl w:val="nil"/>
                  </w:tcBorders>
                  <w:vAlign w:val="center"/>
                </w:tcPr>
                <w:p>
                  <w:pPr>
                    <w:pStyle w:val="69"/>
                    <w:ind w:firstLine="0" w:firstLineChars="0"/>
                    <w:rPr>
                      <w:rFonts w:hint="default"/>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臂尾轮虫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Brachionus</w:t>
                  </w:r>
                </w:p>
              </w:tc>
              <w:tc>
                <w:tcPr>
                  <w:tcW w:w="1923" w:type="dxa"/>
                  <w:tcBorders>
                    <w:tl2br w:val="nil"/>
                    <w:tr2bl w:val="nil"/>
                  </w:tcBorders>
                  <w:vAlign w:val="center"/>
                </w:tcPr>
                <w:p>
                  <w:pPr>
                    <w:pStyle w:val="69"/>
                    <w:ind w:firstLine="0" w:firstLineChars="0"/>
                    <w:rPr>
                      <w:rFonts w:hint="default"/>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晶囊轮虫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Asplachna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多枝轮虫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Polyarthra</w:t>
                  </w:r>
                </w:p>
              </w:tc>
              <w:tc>
                <w:tcPr>
                  <w:tcW w:w="1923"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w:t>
                  </w:r>
                </w:p>
              </w:tc>
              <w:tc>
                <w:tcPr>
                  <w:tcW w:w="2586"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龟甲轮虫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Keratella</w:t>
                  </w:r>
                </w:p>
              </w:tc>
              <w:tc>
                <w:tcPr>
                  <w:tcW w:w="1923" w:type="dxa"/>
                  <w:tcBorders>
                    <w:tl2br w:val="nil"/>
                    <w:tr2bl w:val="nil"/>
                  </w:tcBorders>
                  <w:vAlign w:val="center"/>
                </w:tcPr>
                <w:p>
                  <w:pPr>
                    <w:pStyle w:val="69"/>
                    <w:ind w:firstLine="0" w:firstLineChars="0"/>
                    <w:rPr>
                      <w:rFonts w:hint="default"/>
                      <w:color w:val="000000" w:themeColor="text1"/>
                      <w:szCs w:val="21"/>
                      <w:highlight w:val="none"/>
                      <w:lang w:val="en-US" w:eastAsia="zh-CN"/>
                      <w14:textFill>
                        <w14:solidFill>
                          <w14:schemeClr w14:val="tx1"/>
                        </w14:solidFill>
                      </w14:textFill>
                    </w:rPr>
                  </w:pPr>
                  <w:r>
                    <w:rPr>
                      <w:rFonts w:eastAsia="Times New Roman"/>
                      <w:b/>
                      <w:bCs/>
                      <w:color w:val="000000" w:themeColor="text1"/>
                      <w:spacing w:val="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17</w:t>
                  </w:r>
                </w:p>
              </w:tc>
              <w:tc>
                <w:tcPr>
                  <w:tcW w:w="2586" w:type="dxa"/>
                  <w:tcBorders>
                    <w:tl2br w:val="nil"/>
                    <w:tr2bl w:val="nil"/>
                  </w:tcBorders>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桡足类 Copepoda</w:t>
                  </w: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剑水蚤</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Eucyclops</w:t>
                  </w:r>
                </w:p>
              </w:tc>
              <w:tc>
                <w:tcPr>
                  <w:tcW w:w="1923"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w:t>
                  </w:r>
                </w:p>
              </w:tc>
              <w:tc>
                <w:tcPr>
                  <w:tcW w:w="2586"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枝角类Cladocera</w:t>
                  </w:r>
                </w:p>
              </w:tc>
              <w:tc>
                <w:tcPr>
                  <w:tcW w:w="3570"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秀体溞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Diaphanosoma</w:t>
                  </w:r>
                </w:p>
              </w:tc>
              <w:tc>
                <w:tcPr>
                  <w:tcW w:w="1923"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表3-</w:t>
            </w:r>
            <w:r>
              <w:rPr>
                <w:rFonts w:hint="eastAsia" w:cs="Times New Roman"/>
                <w:b/>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kern w:val="2"/>
                <w:sz w:val="24"/>
                <w:szCs w:val="24"/>
                <w:highlight w:val="none"/>
                <w:lang w:val="en-US" w:eastAsia="zh-CN" w:bidi="ar-SA"/>
                <w14:textFill>
                  <w14:solidFill>
                    <w14:schemeClr w14:val="tx1"/>
                  </w14:solidFill>
                </w14:textFill>
              </w:rPr>
              <w:t>调查区底栖动物统计表</w:t>
            </w:r>
          </w:p>
          <w:tbl>
            <w:tblPr>
              <w:tblStyle w:val="26"/>
              <w:tblW w:w="87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635"/>
              <w:gridCol w:w="1350"/>
              <w:gridCol w:w="2085"/>
              <w:gridCol w:w="30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1635" w:type="dxa"/>
                  <w:tcBorders>
                    <w:tl2br w:val="nil"/>
                    <w:tr2bl w:val="nil"/>
                  </w:tcBorders>
                  <w:vAlign w:val="center"/>
                </w:tcPr>
                <w:p>
                  <w:pPr>
                    <w:widowControl/>
                    <w:adjustRightInd w:val="0"/>
                    <w:snapToGrid w:val="0"/>
                    <w:jc w:val="center"/>
                    <w:rPr>
                      <w:rFonts w:hint="eastAsia"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门类</w:t>
                  </w:r>
                </w:p>
              </w:tc>
              <w:tc>
                <w:tcPr>
                  <w:tcW w:w="1350"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纲</w:t>
                  </w:r>
                </w:p>
              </w:tc>
              <w:tc>
                <w:tcPr>
                  <w:tcW w:w="2085" w:type="dxa"/>
                  <w:tcBorders>
                    <w:tl2br w:val="nil"/>
                    <w:tr2bl w:val="nil"/>
                  </w:tcBorders>
                  <w:vAlign w:val="center"/>
                </w:tcPr>
                <w:p>
                  <w:pPr>
                    <w:kinsoku w:val="0"/>
                    <w:overflowPunct w:val="0"/>
                    <w:autoSpaceDE w:val="0"/>
                    <w:autoSpaceDN w:val="0"/>
                    <w:adjustRightInd w:val="0"/>
                    <w:snapToGrid w:val="0"/>
                    <w:jc w:val="cente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目</w:t>
                  </w:r>
                </w:p>
              </w:tc>
              <w:tc>
                <w:tcPr>
                  <w:tcW w:w="3018" w:type="dxa"/>
                  <w:tcBorders>
                    <w:tl2br w:val="nil"/>
                    <w:tr2bl w:val="nil"/>
                  </w:tcBorders>
                  <w:vAlign w:val="center"/>
                </w:tcPr>
                <w:p>
                  <w:pPr>
                    <w:kinsoku w:val="0"/>
                    <w:overflowPunct w:val="0"/>
                    <w:autoSpaceDE w:val="0"/>
                    <w:autoSpaceDN w:val="0"/>
                    <w:adjustRightInd w:val="0"/>
                    <w:snapToGrid w:val="0"/>
                    <w:jc w:val="center"/>
                    <w:rPr>
                      <w:rFonts w:hint="eastAsia" w:eastAsia="宋体"/>
                      <w:b/>
                      <w:bCs/>
                      <w:color w:val="000000" w:themeColor="text1"/>
                      <w:kern w:val="0"/>
                      <w:szCs w:val="21"/>
                      <w:lang w:eastAsia="zh-CN"/>
                      <w14:textFill>
                        <w14:solidFill>
                          <w14:schemeClr w14:val="tx1"/>
                        </w14:solidFill>
                      </w14:textFill>
                    </w:rPr>
                  </w:pPr>
                  <w:r>
                    <w:rPr>
                      <w:rFonts w:hint="eastAsia"/>
                      <w:b/>
                      <w:bCs/>
                      <w:color w:val="000000" w:themeColor="text1"/>
                      <w:kern w:val="0"/>
                      <w:szCs w:val="21"/>
                      <w:lang w:eastAsia="zh-CN"/>
                      <w14:textFill>
                        <w14:solidFill>
                          <w14:schemeClr w14:val="tx1"/>
                        </w14:solidFill>
                      </w14:textFill>
                    </w:rPr>
                    <w:t>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1635" w:type="dxa"/>
                  <w:vMerge w:val="restart"/>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r>
                    <w:rPr>
                      <w:rFonts w:hint="eastAsia"/>
                      <w:color w:val="000000" w:themeColor="text1"/>
                      <w:spacing w:val="-2"/>
                      <w:lang w:val="en-US" w:eastAsia="zh-CN"/>
                      <w14:textFill>
                        <w14:solidFill>
                          <w14:schemeClr w14:val="tx1"/>
                        </w14:solidFill>
                      </w14:textFill>
                    </w:rPr>
                    <w:t>节肢动物</w:t>
                  </w:r>
                </w:p>
                <w:p>
                  <w:pPr>
                    <w:widowControl/>
                    <w:adjustRightInd w:val="0"/>
                    <w:snapToGrid w:val="0"/>
                    <w:jc w:val="center"/>
                    <w:rPr>
                      <w:rFonts w:hint="eastAsia"/>
                      <w:color w:val="000000" w:themeColor="text1"/>
                      <w:spacing w:val="-2"/>
                      <w:lang w:val="en-US" w:eastAsia="zh-CN"/>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Arthropoda</w:t>
                  </w:r>
                </w:p>
              </w:tc>
              <w:tc>
                <w:tcPr>
                  <w:tcW w:w="1350"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甲壳纲</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Crustacea</w:t>
                  </w:r>
                </w:p>
              </w:tc>
              <w:tc>
                <w:tcPr>
                  <w:tcW w:w="2085" w:type="dxa"/>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十足目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Decapoda</w:t>
                  </w:r>
                </w:p>
              </w:tc>
              <w:tc>
                <w:tcPr>
                  <w:tcW w:w="3018" w:type="dxa"/>
                  <w:tcBorders>
                    <w:tl2br w:val="nil"/>
                    <w:tr2bl w:val="nil"/>
                  </w:tcBorders>
                  <w:vAlign w:val="center"/>
                </w:tcPr>
                <w:p>
                  <w:pPr>
                    <w:widowControl/>
                    <w:adjustRightInd w:val="0"/>
                    <w:snapToGrid w:val="0"/>
                    <w:jc w:val="center"/>
                    <w:rPr>
                      <w:rFonts w:hint="default"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长臂虾科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Palaemonidae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default"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龙虾科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Palinuridae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溪蟹科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Potamonidae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昆虫纲</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Insecta</w:t>
                  </w: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半翅目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Hemiptera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划蝽科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Corixidae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蜉蝣目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Ephemeroptera</w:t>
                  </w:r>
                </w:p>
              </w:tc>
              <w:tc>
                <w:tcPr>
                  <w:tcW w:w="3018" w:type="dxa"/>
                  <w:tcBorders>
                    <w:tl2br w:val="nil"/>
                    <w:tr2bl w:val="nil"/>
                  </w:tcBorders>
                  <w:vAlign w:val="center"/>
                </w:tcPr>
                <w:p>
                  <w:pPr>
                    <w:widowControl/>
                    <w:adjustRightInd w:val="0"/>
                    <w:snapToGrid w:val="0"/>
                    <w:jc w:val="center"/>
                    <w:rPr>
                      <w:rFonts w:hint="default"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扁蜉科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Heptageniidae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小蜉科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Ephemerellidae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四节蜉科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Baetidae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细裳蜉科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Leptophlebiidae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毛翅目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Trichoptera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石蛾科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Phryganeidae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短石蛾科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Brachycentridae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长角石蛾科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Leptoceridae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 xml:space="preserve">襀翅目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Plecoptera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石蝇科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Plecoptera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蜻蜓目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Odonata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腹鳃蟌科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w:t>
                  </w:r>
                </w:p>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Euphaeidae Montgomery</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蟌科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Coenagrionidae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鞘翅目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Coleoptera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扁泥甲科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Psephenidae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水龟甲科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Hydrophilidae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17</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双翅目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Diptera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摇蚊科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Chironomidae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w:t>
                  </w:r>
                </w:p>
              </w:tc>
              <w:tc>
                <w:tcPr>
                  <w:tcW w:w="1635" w:type="dxa"/>
                  <w:vMerge w:val="restart"/>
                  <w:tcBorders>
                    <w:tl2br w:val="nil"/>
                    <w:tr2bl w:val="nil"/>
                  </w:tcBorders>
                  <w:vAlign w:val="center"/>
                </w:tcPr>
                <w:p>
                  <w:pPr>
                    <w:widowControl/>
                    <w:adjustRightInd w:val="0"/>
                    <w:snapToGrid w:val="0"/>
                    <w:jc w:val="center"/>
                    <w:rPr>
                      <w:color w:val="000000" w:themeColor="text1"/>
                      <w:spacing w:val="-2"/>
                      <w14:textFill>
                        <w14:solidFill>
                          <w14:schemeClr w14:val="tx1"/>
                        </w14:solidFill>
                      </w14:textFill>
                    </w:rPr>
                  </w:pPr>
                  <w:r>
                    <w:rPr>
                      <w:color w:val="000000" w:themeColor="text1"/>
                      <w:spacing w:val="-2"/>
                      <w14:textFill>
                        <w14:solidFill>
                          <w14:schemeClr w14:val="tx1"/>
                        </w14:solidFill>
                      </w14:textFill>
                    </w:rPr>
                    <w:t>软体动物门</w:t>
                  </w:r>
                </w:p>
                <w:p>
                  <w:pPr>
                    <w:widowControl/>
                    <w:adjustRightInd w:val="0"/>
                    <w:snapToGrid w:val="0"/>
                    <w:jc w:val="center"/>
                    <w:rPr>
                      <w:rFonts w:hint="eastAsia"/>
                      <w:color w:val="000000" w:themeColor="text1"/>
                      <w:spacing w:val="-2"/>
                      <w:lang w:val="en-US" w:eastAsia="zh-CN"/>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Mollusca</w:t>
                  </w:r>
                </w:p>
              </w:tc>
              <w:tc>
                <w:tcPr>
                  <w:tcW w:w="1350"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instrText xml:space="preserve"> HYPERLINK "http://baike.so.com/doc/5585278-5797872.html" </w:instrTex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腹足纲</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G</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astropoda</w:t>
                  </w: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基眼目</w:t>
                  </w:r>
                </w:p>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Basommatophora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椎实螺科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Lymnaeidae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19</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基眼目</w:t>
                  </w:r>
                </w:p>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Basommatophora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扁卷螺科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Planorbidae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中腹足目</w:t>
                  </w:r>
                </w:p>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Mesogastropoda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田螺科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Viviparidae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21</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双壳纲</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Bivalvia</w:t>
                  </w: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真瓣鳃目</w:t>
                  </w:r>
                </w:p>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Eulamellibranchia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蚌科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Unionidae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22</w:t>
                  </w:r>
                </w:p>
              </w:tc>
              <w:tc>
                <w:tcPr>
                  <w:tcW w:w="1635" w:type="dxa"/>
                  <w:vMerge w:val="restart"/>
                  <w:tcBorders>
                    <w:tl2br w:val="nil"/>
                    <w:tr2bl w:val="nil"/>
                  </w:tcBorders>
                  <w:vAlign w:val="center"/>
                </w:tcPr>
                <w:p>
                  <w:pPr>
                    <w:widowControl/>
                    <w:adjustRightInd w:val="0"/>
                    <w:snapToGrid w:val="0"/>
                    <w:jc w:val="center"/>
                    <w:rPr>
                      <w:color w:val="000000" w:themeColor="text1"/>
                      <w:spacing w:val="-2"/>
                      <w14:textFill>
                        <w14:solidFill>
                          <w14:schemeClr w14:val="tx1"/>
                        </w14:solidFill>
                      </w14:textFill>
                    </w:rPr>
                  </w:pPr>
                  <w:r>
                    <w:rPr>
                      <w:color w:val="000000" w:themeColor="text1"/>
                      <w:spacing w:val="-2"/>
                      <w14:textFill>
                        <w14:solidFill>
                          <w14:schemeClr w14:val="tx1"/>
                        </w14:solidFill>
                      </w14:textFill>
                    </w:rPr>
                    <w:t>环节动物门</w:t>
                  </w:r>
                </w:p>
                <w:p>
                  <w:pPr>
                    <w:widowControl/>
                    <w:adjustRightInd w:val="0"/>
                    <w:snapToGrid w:val="0"/>
                    <w:jc w:val="center"/>
                    <w:rPr>
                      <w:rFonts w:hint="eastAsia"/>
                      <w:color w:val="000000" w:themeColor="text1"/>
                      <w:spacing w:val="-2"/>
                      <w:lang w:val="en-US" w:eastAsia="zh-CN"/>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Annelida</w:t>
                  </w:r>
                </w:p>
              </w:tc>
              <w:tc>
                <w:tcPr>
                  <w:tcW w:w="1350"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寡毛纲</w:t>
                  </w:r>
                </w:p>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Oligochaeta</w:t>
                  </w: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颤蚓目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Tubificida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颤蚓科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Tubificidae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23</w:t>
                  </w:r>
                </w:p>
              </w:tc>
              <w:tc>
                <w:tcPr>
                  <w:tcW w:w="1635" w:type="dxa"/>
                  <w:vMerge w:val="continue"/>
                  <w:tcBorders>
                    <w:tl2br w:val="nil"/>
                    <w:tr2bl w:val="nil"/>
                  </w:tcBorders>
                  <w:vAlign w:val="center"/>
                </w:tcPr>
                <w:p>
                  <w:pPr>
                    <w:widowControl/>
                    <w:adjustRightInd w:val="0"/>
                    <w:snapToGrid w:val="0"/>
                    <w:jc w:val="center"/>
                    <w:rPr>
                      <w:rFonts w:hint="eastAsia"/>
                      <w:color w:val="000000" w:themeColor="text1"/>
                      <w:spacing w:val="-2"/>
                      <w:lang w:val="en-US" w:eastAsia="zh-CN"/>
                      <w14:textFill>
                        <w14:solidFill>
                          <w14:schemeClr w14:val="tx1"/>
                        </w14:solidFill>
                      </w14:textFill>
                    </w:rPr>
                  </w:pPr>
                </w:p>
              </w:tc>
              <w:tc>
                <w:tcPr>
                  <w:tcW w:w="1350"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蛭纲</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Hirudinea</w:t>
                  </w: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颚蛭目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Gnathobdel</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 xml:space="preserve">石蛭科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Erpobdea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w:t>
                  </w:r>
                </w:p>
              </w:tc>
              <w:tc>
                <w:tcPr>
                  <w:tcW w:w="1635" w:type="dxa"/>
                  <w:tcBorders>
                    <w:tl2br w:val="nil"/>
                    <w:tr2bl w:val="nil"/>
                  </w:tcBorders>
                  <w:vAlign w:val="center"/>
                </w:tcPr>
                <w:p>
                  <w:pPr>
                    <w:widowControl/>
                    <w:adjustRightInd w:val="0"/>
                    <w:snapToGrid w:val="0"/>
                    <w:jc w:val="center"/>
                    <w:rPr>
                      <w:color w:val="000000" w:themeColor="text1"/>
                      <w:spacing w:val="-2"/>
                      <w14:textFill>
                        <w14:solidFill>
                          <w14:schemeClr w14:val="tx1"/>
                        </w14:solidFill>
                      </w14:textFill>
                    </w:rPr>
                  </w:pPr>
                  <w:r>
                    <w:rPr>
                      <w:color w:val="000000" w:themeColor="text1"/>
                      <w:spacing w:val="-2"/>
                      <w14:textFill>
                        <w14:solidFill>
                          <w14:schemeClr w14:val="tx1"/>
                        </w14:solidFill>
                      </w14:textFill>
                    </w:rPr>
                    <w:t>线性动物门</w:t>
                  </w:r>
                </w:p>
                <w:p>
                  <w:pPr>
                    <w:widowControl/>
                    <w:adjustRightInd w:val="0"/>
                    <w:snapToGrid w:val="0"/>
                    <w:jc w:val="center"/>
                    <w:rPr>
                      <w:rFonts w:hint="eastAsia"/>
                      <w:color w:val="000000" w:themeColor="text1"/>
                      <w:spacing w:val="-2"/>
                      <w:lang w:val="en-US" w:eastAsia="zh-CN"/>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Nematomorpha</w:t>
                  </w:r>
                </w:p>
              </w:tc>
              <w:tc>
                <w:tcPr>
                  <w:tcW w:w="1350"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铁线虫纲</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Gordicea</w:t>
                  </w: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铁线虫目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Gordioidea</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铁线虫科</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Gordiidae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w:t>
                  </w:r>
                </w:p>
              </w:tc>
              <w:tc>
                <w:tcPr>
                  <w:tcW w:w="1635" w:type="dxa"/>
                  <w:tcBorders>
                    <w:tl2br w:val="nil"/>
                    <w:tr2bl w:val="nil"/>
                  </w:tcBorders>
                  <w:vAlign w:val="center"/>
                </w:tcPr>
                <w:p>
                  <w:pPr>
                    <w:widowControl/>
                    <w:adjustRightInd w:val="0"/>
                    <w:snapToGrid w:val="0"/>
                    <w:jc w:val="center"/>
                    <w:rPr>
                      <w:color w:val="000000" w:themeColor="text1"/>
                      <w:spacing w:val="-2"/>
                      <w14:textFill>
                        <w14:solidFill>
                          <w14:schemeClr w14:val="tx1"/>
                        </w14:solidFill>
                      </w14:textFill>
                    </w:rPr>
                  </w:pPr>
                  <w:r>
                    <w:rPr>
                      <w:color w:val="000000" w:themeColor="text1"/>
                      <w:spacing w:val="-2"/>
                      <w14:textFill>
                        <w14:solidFill>
                          <w14:schemeClr w14:val="tx1"/>
                        </w14:solidFill>
                      </w14:textFill>
                    </w:rPr>
                    <w:t>扁形动物门</w:t>
                  </w:r>
                </w:p>
                <w:p>
                  <w:pPr>
                    <w:widowControl/>
                    <w:adjustRightInd w:val="0"/>
                    <w:snapToGrid w:val="0"/>
                    <w:jc w:val="center"/>
                    <w:rPr>
                      <w:rFonts w:hint="eastAsia"/>
                      <w:color w:val="000000" w:themeColor="text1"/>
                      <w:spacing w:val="-2"/>
                      <w:lang w:val="en-US" w:eastAsia="zh-CN"/>
                      <w14:textFill>
                        <w14:solidFill>
                          <w14:schemeClr w14:val="tx1"/>
                        </w14:solidFill>
                      </w14:textFill>
                    </w:rPr>
                  </w:pP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Platyhelminthes</w:t>
                  </w:r>
                </w:p>
              </w:tc>
              <w:tc>
                <w:tcPr>
                  <w:tcW w:w="1350"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涡虫纲</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Turbellaria</w:t>
                  </w:r>
                </w:p>
              </w:tc>
              <w:tc>
                <w:tcPr>
                  <w:tcW w:w="2085"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 xml:space="preserve">真涡虫科 </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Planariidae</w:t>
                  </w:r>
                </w:p>
              </w:tc>
              <w:tc>
                <w:tcPr>
                  <w:tcW w:w="3018" w:type="dxa"/>
                  <w:tcBorders>
                    <w:tl2br w:val="nil"/>
                    <w:tr2bl w:val="nil"/>
                  </w:tcBorders>
                  <w:vAlign w:val="center"/>
                </w:tcPr>
                <w:p>
                  <w:pPr>
                    <w:widowControl/>
                    <w:adjustRightInd w:val="0"/>
                    <w:snapToGrid w:val="0"/>
                    <w:jc w:val="cente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2"/>
                      <w:kern w:val="2"/>
                      <w:sz w:val="21"/>
                      <w:szCs w:val="21"/>
                      <w:lang w:val="en-US" w:eastAsia="zh-CN" w:bidi="ar-SA"/>
                      <w14:textFill>
                        <w14:solidFill>
                          <w14:schemeClr w14:val="tx1"/>
                        </w14:solidFill>
                      </w14:textFill>
                    </w:rPr>
                    <w:t>三肠目</w:t>
                  </w:r>
                  <w:r>
                    <w:rPr>
                      <w:rFonts w:hint="eastAsia" w:ascii="Times New Roman" w:hAnsi="Times New Roman" w:eastAsia="宋体" w:cs="Times New Roman"/>
                      <w:i/>
                      <w:iCs/>
                      <w:color w:val="000000" w:themeColor="text1"/>
                      <w:spacing w:val="-2"/>
                      <w:kern w:val="2"/>
                      <w:sz w:val="21"/>
                      <w:szCs w:val="21"/>
                      <w:lang w:val="en-US" w:eastAsia="zh-CN" w:bidi="ar-SA"/>
                      <w14:textFill>
                        <w14:solidFill>
                          <w14:schemeClr w14:val="tx1"/>
                        </w14:solidFill>
                      </w14:textFill>
                    </w:rPr>
                    <w:t xml:space="preserve"> Tricladida</w:t>
                  </w:r>
                </w:p>
              </w:tc>
            </w:tr>
          </w:tbl>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表3-</w:t>
            </w:r>
            <w:r>
              <w:rPr>
                <w:rFonts w:hint="eastAsia" w:cs="Times New Roman"/>
                <w:b/>
                <w:bCs/>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kern w:val="2"/>
                <w:sz w:val="24"/>
                <w:szCs w:val="24"/>
                <w:highlight w:val="none"/>
                <w:lang w:val="en-US" w:eastAsia="zh-CN" w:bidi="ar-SA"/>
                <w14:textFill>
                  <w14:solidFill>
                    <w14:schemeClr w14:val="tx1"/>
                  </w14:solidFill>
                </w14:textFill>
              </w:rPr>
              <w:t>调查区域</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鱼类</w:t>
            </w:r>
            <w:r>
              <w:rPr>
                <w:rFonts w:hint="eastAsia" w:cs="Times New Roman"/>
                <w:b/>
                <w:bCs/>
                <w:color w:val="000000" w:themeColor="text1"/>
                <w:kern w:val="2"/>
                <w:sz w:val="24"/>
                <w:szCs w:val="24"/>
                <w:highlight w:val="none"/>
                <w:lang w:val="en-US" w:eastAsia="zh-CN" w:bidi="ar-SA"/>
                <w14:textFill>
                  <w14:solidFill>
                    <w14:schemeClr w14:val="tx1"/>
                  </w14:solidFill>
                </w14:textFill>
              </w:rPr>
              <w:t>统计表</w:t>
            </w:r>
          </w:p>
          <w:tbl>
            <w:tblPr>
              <w:tblStyle w:val="26"/>
              <w:tblW w:w="87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55"/>
              <w:gridCol w:w="1525"/>
              <w:gridCol w:w="3825"/>
              <w:gridCol w:w="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1755" w:type="dxa"/>
                  <w:tcBorders>
                    <w:tl2br w:val="nil"/>
                    <w:tr2bl w:val="nil"/>
                  </w:tcBorders>
                  <w:vAlign w:val="center"/>
                </w:tcPr>
                <w:p>
                  <w:pPr>
                    <w:widowControl/>
                    <w:adjustRightInd w:val="0"/>
                    <w:snapToGrid w:val="0"/>
                    <w:jc w:val="center"/>
                    <w:rPr>
                      <w:rFonts w:hint="eastAsia" w:eastAsia="宋体"/>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eastAsia="zh-CN"/>
                      <w14:textFill>
                        <w14:solidFill>
                          <w14:schemeClr w14:val="tx1"/>
                        </w14:solidFill>
                      </w14:textFill>
                    </w:rPr>
                    <w:t>目</w:t>
                  </w:r>
                </w:p>
              </w:tc>
              <w:tc>
                <w:tcPr>
                  <w:tcW w:w="1525"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科</w:t>
                  </w:r>
                </w:p>
              </w:tc>
              <w:tc>
                <w:tcPr>
                  <w:tcW w:w="3825" w:type="dxa"/>
                  <w:tcBorders>
                    <w:tl2br w:val="nil"/>
                    <w:tr2bl w:val="nil"/>
                  </w:tcBorders>
                  <w:vAlign w:val="center"/>
                </w:tcPr>
                <w:p>
                  <w:pPr>
                    <w:widowControl/>
                    <w:adjustRightInd w:val="0"/>
                    <w:snapToGrid w:val="0"/>
                    <w:jc w:val="center"/>
                    <w:rPr>
                      <w:rFonts w:hint="eastAsia"/>
                      <w:b/>
                      <w:bCs/>
                      <w:color w:val="000000" w:themeColor="text1"/>
                      <w:szCs w:val="21"/>
                      <w:highlight w:val="none"/>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种</w:t>
                  </w:r>
                </w:p>
              </w:tc>
              <w:tc>
                <w:tcPr>
                  <w:tcW w:w="990" w:type="dxa"/>
                  <w:tcBorders>
                    <w:tl2br w:val="nil"/>
                    <w:tr2bl w:val="nil"/>
                  </w:tcBorders>
                  <w:vAlign w:val="center"/>
                </w:tcPr>
                <w:p>
                  <w:pPr>
                    <w:kinsoku w:val="0"/>
                    <w:overflowPunct w:val="0"/>
                    <w:autoSpaceDE w:val="0"/>
                    <w:autoSpaceDN w:val="0"/>
                    <w:adjustRightInd w:val="0"/>
                    <w:snapToGrid w:val="0"/>
                    <w:jc w:val="cente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b/>
                      <w:bCs/>
                      <w:color w:val="000000" w:themeColor="text1"/>
                      <w:kern w:val="0"/>
                      <w:szCs w:val="2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1755" w:type="dxa"/>
                  <w:vMerge w:val="restart"/>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鲤形目</w:t>
                  </w:r>
                  <w:r>
                    <w:rPr>
                      <w:rFonts w:hint="eastAsia" w:eastAsia="Times New Roman"/>
                      <w:i/>
                      <w:iCs/>
                      <w:color w:val="000000" w:themeColor="text1"/>
                      <w:spacing w:val="-1"/>
                      <w:lang w:val="en-US" w:eastAsia="zh-CN"/>
                      <w14:textFill>
                        <w14:solidFill>
                          <w14:schemeClr w14:val="tx1"/>
                        </w14:solidFill>
                      </w14:textFill>
                    </w:rPr>
                    <w:t>Cypriniformes</w:t>
                  </w:r>
                </w:p>
              </w:tc>
              <w:tc>
                <w:tcPr>
                  <w:tcW w:w="1525" w:type="dxa"/>
                  <w:vMerge w:val="restart"/>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鲤科Cyprininae</w:t>
                  </w: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拉氏鱥 </w:t>
                  </w:r>
                  <w:r>
                    <w:rPr>
                      <w:rFonts w:eastAsia="Times New Roman"/>
                      <w:i/>
                      <w:iCs/>
                      <w:color w:val="000000" w:themeColor="text1"/>
                      <w:spacing w:val="-1"/>
                      <w14:textFill>
                        <w14:solidFill>
                          <w14:schemeClr w14:val="tx1"/>
                        </w14:solidFill>
                      </w14:textFill>
                    </w:rPr>
                    <w:t>Phoxinus lagowskii</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尖头鱥 </w:t>
                  </w:r>
                  <w:r>
                    <w:rPr>
                      <w:rFonts w:hint="eastAsia" w:eastAsia="Times New Roman"/>
                      <w:i/>
                      <w:iCs/>
                      <w:color w:val="000000" w:themeColor="text1"/>
                      <w:spacing w:val="-1"/>
                      <w:lang w:val="en-US" w:eastAsia="zh-CN"/>
                      <w14:textFill>
                        <w14:solidFill>
                          <w14:schemeClr w14:val="tx1"/>
                        </w14:solidFill>
                      </w14:textFill>
                    </w:rPr>
                    <w:t>Phoxinusl oxycephalus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马口鱼 </w:t>
                  </w:r>
                  <w:r>
                    <w:rPr>
                      <w:rFonts w:hint="eastAsia" w:eastAsia="Times New Roman"/>
                      <w:i/>
                      <w:iCs/>
                      <w:color w:val="000000" w:themeColor="text1"/>
                      <w:spacing w:val="-1"/>
                      <w:lang w:val="en-US" w:eastAsia="zh-CN"/>
                      <w14:textFill>
                        <w14:solidFill>
                          <w14:schemeClr w14:val="tx1"/>
                        </w14:solidFill>
                      </w14:textFill>
                    </w:rPr>
                    <w:t>Opsariichthys bidens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高体鳑鲏 </w:t>
                  </w:r>
                  <w:r>
                    <w:rPr>
                      <w:rFonts w:hint="eastAsia" w:eastAsia="Times New Roman"/>
                      <w:i/>
                      <w:iCs/>
                      <w:color w:val="000000" w:themeColor="text1"/>
                      <w:spacing w:val="-1"/>
                      <w:lang w:val="en-US" w:eastAsia="zh-CN"/>
                      <w14:textFill>
                        <w14:solidFill>
                          <w14:schemeClr w14:val="tx1"/>
                        </w14:solidFill>
                      </w14:textFill>
                    </w:rPr>
                    <w:t>Rhodeus ocellatus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大鳍鱊 </w:t>
                  </w:r>
                  <w:r>
                    <w:rPr>
                      <w:rFonts w:hint="eastAsia" w:eastAsia="Times New Roman"/>
                      <w:i/>
                      <w:iCs/>
                      <w:color w:val="000000" w:themeColor="text1"/>
                      <w:spacing w:val="-1"/>
                      <w:lang w:val="en-US" w:eastAsia="zh-CN"/>
                      <w14:textFill>
                        <w14:solidFill>
                          <w14:schemeClr w14:val="tx1"/>
                        </w14:solidFill>
                      </w14:textFill>
                    </w:rPr>
                    <w:t>Acheilognathus macropterus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中华鳑鲏 </w:t>
                  </w:r>
                  <w:r>
                    <w:rPr>
                      <w:rFonts w:hint="eastAsia" w:eastAsia="Times New Roman"/>
                      <w:i/>
                      <w:iCs/>
                      <w:color w:val="000000" w:themeColor="text1"/>
                      <w:spacing w:val="-1"/>
                      <w:lang w:val="en-US" w:eastAsia="zh-CN"/>
                      <w14:textFill>
                        <w14:solidFill>
                          <w14:schemeClr w14:val="tx1"/>
                        </w14:solidFill>
                      </w14:textFill>
                    </w:rPr>
                    <w:t>Rhodeus sinensis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䱗 </w:t>
                  </w:r>
                  <w:r>
                    <w:rPr>
                      <w:rFonts w:hint="eastAsia" w:eastAsia="Times New Roman"/>
                      <w:i/>
                      <w:iCs/>
                      <w:color w:val="000000" w:themeColor="text1"/>
                      <w:spacing w:val="-1"/>
                      <w:lang w:val="en-US" w:eastAsia="zh-CN"/>
                      <w14:textFill>
                        <w14:solidFill>
                          <w14:schemeClr w14:val="tx1"/>
                        </w14:solidFill>
                      </w14:textFill>
                    </w:rPr>
                    <w:t>Hemiculter leucisculus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麦穗鱼 </w:t>
                  </w:r>
                  <w:r>
                    <w:rPr>
                      <w:rFonts w:hint="eastAsia" w:eastAsia="Times New Roman"/>
                      <w:i/>
                      <w:iCs/>
                      <w:color w:val="000000" w:themeColor="text1"/>
                      <w:spacing w:val="-1"/>
                      <w:lang w:val="en-US" w:eastAsia="zh-CN"/>
                      <w14:textFill>
                        <w14:solidFill>
                          <w14:schemeClr w14:val="tx1"/>
                        </w14:solidFill>
                      </w14:textFill>
                    </w:rPr>
                    <w:t>Pseudorasbora parua</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黑鳍鳈 </w:t>
                  </w:r>
                  <w:r>
                    <w:rPr>
                      <w:rFonts w:hint="eastAsia" w:eastAsia="Times New Roman"/>
                      <w:i/>
                      <w:iCs/>
                      <w:color w:val="000000" w:themeColor="text1"/>
                      <w:spacing w:val="-1"/>
                      <w:lang w:val="en-US" w:eastAsia="zh-CN"/>
                      <w14:textFill>
                        <w14:solidFill>
                          <w14:schemeClr w14:val="tx1"/>
                        </w14:solidFill>
                      </w14:textFill>
                    </w:rPr>
                    <w:t>Sarcocheilichthys nigripinnis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多鳞铲颌鱼 </w:t>
                  </w:r>
                  <w:r>
                    <w:rPr>
                      <w:rFonts w:hint="eastAsia" w:eastAsia="Times New Roman"/>
                      <w:i/>
                      <w:iCs/>
                      <w:color w:val="000000" w:themeColor="text1"/>
                      <w:spacing w:val="-1"/>
                      <w:lang w:val="en-US" w:eastAsia="zh-CN"/>
                      <w14:textFill>
                        <w14:solidFill>
                          <w14:schemeClr w14:val="tx1"/>
                        </w14:solidFill>
                      </w14:textFill>
                    </w:rPr>
                    <w:t>Onychostoma macrolepis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棒花鱼 </w:t>
                  </w:r>
                  <w:r>
                    <w:rPr>
                      <w:rFonts w:hint="eastAsia" w:eastAsia="Times New Roman"/>
                      <w:i/>
                      <w:iCs/>
                      <w:color w:val="000000" w:themeColor="text1"/>
                      <w:spacing w:val="-1"/>
                      <w:lang w:val="en-US" w:eastAsia="zh-CN"/>
                      <w14:textFill>
                        <w14:solidFill>
                          <w14:schemeClr w14:val="tx1"/>
                        </w14:solidFill>
                      </w14:textFill>
                    </w:rPr>
                    <w:t>Abbotinarivularis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棒花鮈 </w:t>
                  </w:r>
                  <w:r>
                    <w:rPr>
                      <w:rFonts w:hint="eastAsia" w:eastAsia="Times New Roman"/>
                      <w:i/>
                      <w:iCs/>
                      <w:color w:val="000000" w:themeColor="text1"/>
                      <w:spacing w:val="-1"/>
                      <w:lang w:val="en-US" w:eastAsia="zh-CN"/>
                      <w14:textFill>
                        <w14:solidFill>
                          <w14:schemeClr w14:val="tx1"/>
                        </w14:solidFill>
                      </w14:textFill>
                    </w:rPr>
                    <w:t>Gobiorivuloides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济南颌须鮈 </w:t>
                  </w:r>
                  <w:r>
                    <w:rPr>
                      <w:rFonts w:hint="eastAsia" w:eastAsia="Times New Roman"/>
                      <w:i/>
                      <w:iCs/>
                      <w:color w:val="000000" w:themeColor="text1"/>
                      <w:spacing w:val="-1"/>
                      <w:lang w:val="en-US" w:eastAsia="zh-CN"/>
                      <w14:textFill>
                        <w14:solidFill>
                          <w14:schemeClr w14:val="tx1"/>
                        </w14:solidFill>
                      </w14:textFill>
                    </w:rPr>
                    <w:t>Gnathopogontsinanensis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银鮈 </w:t>
                  </w:r>
                  <w:r>
                    <w:rPr>
                      <w:rFonts w:hint="eastAsia" w:eastAsia="Times New Roman"/>
                      <w:i/>
                      <w:iCs/>
                      <w:color w:val="000000" w:themeColor="text1"/>
                      <w:spacing w:val="-1"/>
                      <w:lang w:val="en-US" w:eastAsia="zh-CN"/>
                      <w14:textFill>
                        <w14:solidFill>
                          <w14:schemeClr w14:val="tx1"/>
                        </w14:solidFill>
                      </w14:textFill>
                    </w:rPr>
                    <w:t>Squalidusargentatus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鲤 </w:t>
                  </w:r>
                  <w:r>
                    <w:rPr>
                      <w:rFonts w:hint="eastAsia" w:eastAsia="Times New Roman"/>
                      <w:i/>
                      <w:iCs/>
                      <w:color w:val="000000" w:themeColor="text1"/>
                      <w:spacing w:val="-1"/>
                      <w:lang w:val="en-US" w:eastAsia="zh-CN"/>
                      <w14:textFill>
                        <w14:solidFill>
                          <w14:schemeClr w14:val="tx1"/>
                        </w14:solidFill>
                      </w14:textFill>
                    </w:rPr>
                    <w:t>Cyprinus carpio</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鲫 </w:t>
                  </w:r>
                  <w:r>
                    <w:rPr>
                      <w:rFonts w:hint="eastAsia" w:eastAsia="Times New Roman"/>
                      <w:i/>
                      <w:iCs/>
                      <w:color w:val="000000" w:themeColor="text1"/>
                      <w:spacing w:val="-1"/>
                      <w:lang w:val="en-US" w:eastAsia="zh-CN"/>
                      <w14:textFill>
                        <w14:solidFill>
                          <w14:schemeClr w14:val="tx1"/>
                        </w14:solidFill>
                      </w14:textFill>
                    </w:rPr>
                    <w:t>Cyprinus arassius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17</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鳙 </w:t>
                  </w:r>
                  <w:r>
                    <w:rPr>
                      <w:rFonts w:hint="eastAsia" w:eastAsia="Times New Roman"/>
                      <w:i/>
                      <w:iCs/>
                      <w:color w:val="000000" w:themeColor="text1"/>
                      <w:spacing w:val="-1"/>
                      <w:lang w:val="en-US" w:eastAsia="zh-CN"/>
                      <w14:textFill>
                        <w14:solidFill>
                          <w14:schemeClr w14:val="tx1"/>
                        </w14:solidFill>
                      </w14:textFill>
                    </w:rPr>
                    <w:t>Aristichthys nobilis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鲢 </w:t>
                  </w:r>
                  <w:r>
                    <w:rPr>
                      <w:rFonts w:hint="eastAsia" w:eastAsia="Times New Roman"/>
                      <w:i/>
                      <w:iCs/>
                      <w:color w:val="000000" w:themeColor="text1"/>
                      <w:spacing w:val="-1"/>
                      <w:lang w:val="en-US" w:eastAsia="zh-CN"/>
                      <w14:textFill>
                        <w14:solidFill>
                          <w14:schemeClr w14:val="tx1"/>
                        </w14:solidFill>
                      </w14:textFill>
                    </w:rPr>
                    <w:t>Hypophthalmichthys molitrix</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19</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草鱼 </w:t>
                  </w:r>
                  <w:r>
                    <w:rPr>
                      <w:rFonts w:hint="eastAsia" w:eastAsia="Times New Roman"/>
                      <w:i/>
                      <w:iCs/>
                      <w:color w:val="000000" w:themeColor="text1"/>
                      <w:spacing w:val="-1"/>
                      <w:lang w:val="en-US" w:eastAsia="zh-CN"/>
                      <w14:textFill>
                        <w14:solidFill>
                          <w14:schemeClr w14:val="tx1"/>
                        </w14:solidFill>
                      </w14:textFill>
                    </w:rPr>
                    <w:t>Ctenopharyngodonidellus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20</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restart"/>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color w:val="000000" w:themeColor="text1"/>
                      <w:spacing w:val="-2"/>
                      <w14:textFill>
                        <w14:solidFill>
                          <w14:schemeClr w14:val="tx1"/>
                        </w14:solidFill>
                      </w14:textFill>
                    </w:rPr>
                    <w:t>鳅科</w:t>
                  </w:r>
                  <w:r>
                    <w:rPr>
                      <w:rFonts w:hint="eastAsia" w:eastAsia="Times New Roman"/>
                      <w:i/>
                      <w:iCs/>
                      <w:color w:val="000000" w:themeColor="text1"/>
                      <w:spacing w:val="-1"/>
                      <w:lang w:val="en-US" w:eastAsia="zh-CN"/>
                      <w14:textFill>
                        <w14:solidFill>
                          <w14:schemeClr w14:val="tx1"/>
                        </w14:solidFill>
                      </w14:textFill>
                    </w:rPr>
                    <w:t>Cobitidae</w:t>
                  </w: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中华花鳅 </w:t>
                  </w:r>
                  <w:r>
                    <w:rPr>
                      <w:rFonts w:hint="eastAsia" w:eastAsia="Times New Roman"/>
                      <w:i/>
                      <w:iCs/>
                      <w:color w:val="000000" w:themeColor="text1"/>
                      <w:spacing w:val="-1"/>
                      <w:lang w:val="en-US" w:eastAsia="zh-CN"/>
                      <w14:textFill>
                        <w14:solidFill>
                          <w14:schemeClr w14:val="tx1"/>
                        </w14:solidFill>
                      </w14:textFill>
                    </w:rPr>
                    <w:t>Cobitis sinensis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21</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382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 xml:space="preserve">泥鳅 </w:t>
                  </w:r>
                  <w:r>
                    <w:rPr>
                      <w:rFonts w:hint="eastAsia" w:eastAsia="Times New Roman"/>
                      <w:i/>
                      <w:iCs/>
                      <w:color w:val="000000" w:themeColor="text1"/>
                      <w:spacing w:val="-1"/>
                      <w:lang w:val="en-US" w:eastAsia="zh-CN"/>
                      <w14:textFill>
                        <w14:solidFill>
                          <w14:schemeClr w14:val="tx1"/>
                        </w14:solidFill>
                      </w14:textFill>
                    </w:rPr>
                    <w:t>Misgurnusanguillicaudatus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22</w:t>
                  </w:r>
                </w:p>
              </w:tc>
              <w:tc>
                <w:tcPr>
                  <w:tcW w:w="1755" w:type="dxa"/>
                  <w:vMerge w:val="restart"/>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color w:val="000000" w:themeColor="text1"/>
                      <w:spacing w:val="-4"/>
                      <w14:textFill>
                        <w14:solidFill>
                          <w14:schemeClr w14:val="tx1"/>
                        </w14:solidFill>
                      </w14:textFill>
                    </w:rPr>
                    <w:t>鲇形</w:t>
                  </w:r>
                  <w:r>
                    <w:rPr>
                      <w:color w:val="000000" w:themeColor="text1"/>
                      <w14:textFill>
                        <w14:solidFill>
                          <w14:schemeClr w14:val="tx1"/>
                        </w14:solidFill>
                      </w14:textFill>
                    </w:rPr>
                    <w:t>目</w:t>
                  </w:r>
                  <w:r>
                    <w:rPr>
                      <w:rFonts w:hint="eastAsia" w:eastAsia="Times New Roman"/>
                      <w:i/>
                      <w:iCs/>
                      <w:color w:val="000000" w:themeColor="text1"/>
                      <w:spacing w:val="-1"/>
                      <w:lang w:val="en-US" w:eastAsia="zh-CN"/>
                      <w14:textFill>
                        <w14:solidFill>
                          <w14:schemeClr w14:val="tx1"/>
                        </w14:solidFill>
                      </w14:textFill>
                    </w:rPr>
                    <w:t>Siluriformes</w:t>
                  </w:r>
                </w:p>
              </w:tc>
              <w:tc>
                <w:tcPr>
                  <w:tcW w:w="1525"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color w:val="000000" w:themeColor="text1"/>
                      <w:spacing w:val="-2"/>
                      <w14:textFill>
                        <w14:solidFill>
                          <w14:schemeClr w14:val="tx1"/>
                        </w14:solidFill>
                      </w14:textFill>
                    </w:rPr>
                    <w:t>鲇科</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Siluridae</w:t>
                  </w:r>
                </w:p>
              </w:tc>
              <w:tc>
                <w:tcPr>
                  <w:tcW w:w="3825"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鲇 </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Silurus asotu</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23</w:t>
                  </w:r>
                </w:p>
              </w:tc>
              <w:tc>
                <w:tcPr>
                  <w:tcW w:w="1755" w:type="dxa"/>
                  <w:vMerge w:val="continue"/>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p>
              </w:tc>
              <w:tc>
                <w:tcPr>
                  <w:tcW w:w="1525"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color w:val="000000" w:themeColor="text1"/>
                      <w:spacing w:val="-2"/>
                      <w14:textFill>
                        <w14:solidFill>
                          <w14:schemeClr w14:val="tx1"/>
                        </w14:solidFill>
                      </w14:textFill>
                    </w:rPr>
                    <w:t>鲿科</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Bagridae</w:t>
                  </w:r>
                </w:p>
              </w:tc>
              <w:tc>
                <w:tcPr>
                  <w:tcW w:w="3825"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黄颡鱼 </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Pelteobagrus fulvidraco</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w:t>
                  </w:r>
                </w:p>
              </w:tc>
              <w:tc>
                <w:tcPr>
                  <w:tcW w:w="1755" w:type="dxa"/>
                  <w:tcBorders>
                    <w:tl2br w:val="nil"/>
                    <w:tr2bl w:val="nil"/>
                  </w:tcBorders>
                  <w:vAlign w:val="center"/>
                </w:tcPr>
                <w:p>
                  <w:pPr>
                    <w:widowControl/>
                    <w:adjustRightInd w:val="0"/>
                    <w:snapToGrid w:val="0"/>
                    <w:jc w:val="center"/>
                    <w:rPr>
                      <w:rFonts w:hint="eastAsia"/>
                      <w:color w:val="000000" w:themeColor="text1"/>
                      <w:szCs w:val="21"/>
                      <w:highlight w:val="none"/>
                      <w:lang w:val="en-US" w:eastAsia="zh-CN"/>
                      <w14:textFill>
                        <w14:solidFill>
                          <w14:schemeClr w14:val="tx1"/>
                        </w14:solidFill>
                      </w14:textFill>
                    </w:rPr>
                  </w:pPr>
                  <w:r>
                    <w:rPr>
                      <w:color w:val="000000" w:themeColor="text1"/>
                      <w:spacing w:val="-3"/>
                      <w14:textFill>
                        <w14:solidFill>
                          <w14:schemeClr w14:val="tx1"/>
                        </w14:solidFill>
                      </w14:textFill>
                    </w:rPr>
                    <w:t>鲈形</w:t>
                  </w:r>
                  <w:r>
                    <w:rPr>
                      <w:color w:val="000000" w:themeColor="text1"/>
                      <w14:textFill>
                        <w14:solidFill>
                          <w14:schemeClr w14:val="tx1"/>
                        </w14:solidFill>
                      </w14:textFill>
                    </w:rPr>
                    <w:t>目</w:t>
                  </w:r>
                  <w:r>
                    <w:rPr>
                      <w:rFonts w:hint="eastAsia" w:eastAsia="Times New Roman"/>
                      <w:i/>
                      <w:iCs/>
                      <w:color w:val="000000" w:themeColor="text1"/>
                      <w:spacing w:val="-1"/>
                      <w:lang w:val="en-US" w:eastAsia="zh-CN"/>
                      <w14:textFill>
                        <w14:solidFill>
                          <w14:schemeClr w14:val="tx1"/>
                        </w14:solidFill>
                      </w14:textFill>
                    </w:rPr>
                    <w:t>Perciformes</w:t>
                  </w:r>
                </w:p>
              </w:tc>
              <w:tc>
                <w:tcPr>
                  <w:tcW w:w="1525" w:type="dxa"/>
                  <w:tcBorders>
                    <w:tl2br w:val="nil"/>
                    <w:tr2bl w:val="nil"/>
                  </w:tcBorders>
                  <w:vAlign w:val="center"/>
                </w:tcPr>
                <w:p>
                  <w:pPr>
                    <w:pStyle w:val="69"/>
                    <w:ind w:firstLine="0" w:firstLineChars="0"/>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color w:val="000000" w:themeColor="text1"/>
                      <w:spacing w:val="-2"/>
                      <w14:textFill>
                        <w14:solidFill>
                          <w14:schemeClr w14:val="tx1"/>
                        </w14:solidFill>
                      </w14:textFill>
                    </w:rPr>
                    <w:t>塘醴科</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Eleotridae</w:t>
                  </w:r>
                </w:p>
              </w:tc>
              <w:tc>
                <w:tcPr>
                  <w:tcW w:w="3825"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黄黝鱼 </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Hypseleotris swinhonis</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w:t>
                  </w:r>
                </w:p>
              </w:tc>
              <w:tc>
                <w:tcPr>
                  <w:tcW w:w="1755" w:type="dxa"/>
                  <w:tcBorders>
                    <w:tl2br w:val="nil"/>
                    <w:tr2bl w:val="nil"/>
                  </w:tcBorders>
                  <w:vAlign w:val="center"/>
                </w:tcPr>
                <w:p>
                  <w:pPr>
                    <w:pStyle w:val="69"/>
                    <w:ind w:firstLine="0" w:firstLineChars="0"/>
                    <w:rPr>
                      <w:rFonts w:hint="eastAsia"/>
                      <w:color w:val="000000" w:themeColor="text1"/>
                      <w:szCs w:val="21"/>
                      <w:highlight w:val="none"/>
                      <w:lang w:val="en-US" w:eastAsia="zh-CN"/>
                      <w14:textFill>
                        <w14:solidFill>
                          <w14:schemeClr w14:val="tx1"/>
                        </w14:solidFill>
                      </w14:textFill>
                    </w:rPr>
                  </w:pPr>
                  <w:r>
                    <w:rPr>
                      <w:color w:val="000000" w:themeColor="text1"/>
                      <w:spacing w:val="-4"/>
                      <w14:textFill>
                        <w14:solidFill>
                          <w14:schemeClr w14:val="tx1"/>
                        </w14:solidFill>
                      </w14:textFill>
                    </w:rPr>
                    <w:t>合鳃</w:t>
                  </w:r>
                  <w:r>
                    <w:rPr>
                      <w:color w:val="000000" w:themeColor="text1"/>
                      <w:spacing w:val="-5"/>
                      <w14:textFill>
                        <w14:solidFill>
                          <w14:schemeClr w14:val="tx1"/>
                        </w14:solidFill>
                      </w14:textFill>
                    </w:rPr>
                    <w:t>鱼目</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Synbranchiformes</w:t>
                  </w:r>
                </w:p>
              </w:tc>
              <w:tc>
                <w:tcPr>
                  <w:tcW w:w="1525" w:type="dxa"/>
                  <w:tcBorders>
                    <w:tl2br w:val="nil"/>
                    <w:tr2bl w:val="nil"/>
                  </w:tcBorders>
                  <w:vAlign w:val="center"/>
                </w:tcPr>
                <w:p>
                  <w:pPr>
                    <w:pStyle w:val="69"/>
                    <w:ind w:firstLine="0" w:firstLineChars="0"/>
                    <w:rPr>
                      <w:color w:val="000000" w:themeColor="text1"/>
                      <w:spacing w:val="-2"/>
                      <w14:textFill>
                        <w14:solidFill>
                          <w14:schemeClr w14:val="tx1"/>
                        </w14:solidFill>
                      </w14:textFill>
                    </w:rPr>
                  </w:pPr>
                  <w:r>
                    <w:rPr>
                      <w:color w:val="000000" w:themeColor="text1"/>
                      <w:spacing w:val="-2"/>
                      <w14:textFill>
                        <w14:solidFill>
                          <w14:schemeClr w14:val="tx1"/>
                        </w14:solidFill>
                      </w14:textFill>
                    </w:rPr>
                    <w:t>合鳃鱼</w:t>
                  </w:r>
                  <w:r>
                    <w:rPr>
                      <w:color w:val="000000" w:themeColor="text1"/>
                      <w14:textFill>
                        <w14:solidFill>
                          <w14:schemeClr w14:val="tx1"/>
                        </w14:solidFill>
                      </w14:textFill>
                    </w:rPr>
                    <w:t>科</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Synbranchidae</w:t>
                  </w:r>
                </w:p>
              </w:tc>
              <w:tc>
                <w:tcPr>
                  <w:tcW w:w="3825" w:type="dxa"/>
                  <w:tcBorders>
                    <w:tl2br w:val="nil"/>
                    <w:tr2bl w:val="nil"/>
                  </w:tcBorders>
                  <w:vAlign w:val="center"/>
                </w:tcPr>
                <w:p>
                  <w:pPr>
                    <w:pStyle w:val="69"/>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黄鳝 </w:t>
                  </w:r>
                  <w:r>
                    <w:rPr>
                      <w:rFonts w:hint="eastAsia" w:ascii="Times New Roman" w:hAnsi="Times New Roman" w:eastAsia="Times New Roman" w:cs="Times New Roman"/>
                      <w:i/>
                      <w:iCs/>
                      <w:color w:val="000000" w:themeColor="text1"/>
                      <w:spacing w:val="-1"/>
                      <w:kern w:val="2"/>
                      <w:sz w:val="21"/>
                      <w:szCs w:val="24"/>
                      <w:lang w:val="en-US" w:eastAsia="zh-CN" w:bidi="ar-SA"/>
                      <w14:textFill>
                        <w14:solidFill>
                          <w14:schemeClr w14:val="tx1"/>
                        </w14:solidFill>
                      </w14:textFill>
                    </w:rPr>
                    <w:t>Monopterus alba</w:t>
                  </w:r>
                </w:p>
              </w:tc>
              <w:tc>
                <w:tcPr>
                  <w:tcW w:w="990" w:type="dxa"/>
                  <w:tcBorders>
                    <w:tl2br w:val="nil"/>
                    <w:tr2bl w:val="nil"/>
                  </w:tcBorders>
                  <w:vAlign w:val="center"/>
                </w:tcPr>
                <w:p>
                  <w:pPr>
                    <w:widowControl/>
                    <w:adjustRightInd w:val="0"/>
                    <w:snapToGrid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（5）野生动物</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据收集资料和现场调查，调查区内无国家或省级重点保护野生动物。</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调查区以啮齿动物最为常见，有家鼠、黑线仓鼠、岩松鼠、野兔等。草地、灌丛中常有野兔出没。鸟类以麻雀最为普遍，还有喜鹊、家燕等。</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2.环境空气质量现状</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2.1基本污染物环境质量现状</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（1）基准年筛选</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本次评价以202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年一个完整的日历年作为评价基准年。</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（2）区域达标判定</w:t>
            </w:r>
          </w:p>
          <w:p>
            <w:pPr>
              <w:pStyle w:val="2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本次评价收集了</w:t>
            </w:r>
            <w:r>
              <w:rPr>
                <w:rFonts w:hint="eastAsia"/>
                <w:color w:val="000000" w:themeColor="text1"/>
                <w:lang w:eastAsia="zh-CN"/>
                <w14:textFill>
                  <w14:solidFill>
                    <w14:schemeClr w14:val="tx1"/>
                  </w14:solidFill>
                </w14:textFill>
              </w:rPr>
              <w:t>西安市长安区</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年全年PM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、CO和O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六项基本污染物监测数据均值（数据来源：陕西省生态环境厅于202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年1月</w:t>
            </w:r>
            <w:r>
              <w:rPr>
                <w:rFonts w:hint="eastAsia"/>
                <w:color w:val="000000" w:themeColor="text1"/>
                <w:lang w:val="en-US" w:eastAsia="zh-CN"/>
                <w14:textFill>
                  <w14:solidFill>
                    <w14:schemeClr w14:val="tx1"/>
                  </w14:solidFill>
                </w14:textFill>
              </w:rPr>
              <w:t>19</w:t>
            </w:r>
            <w:r>
              <w:rPr>
                <w:rFonts w:hint="eastAsia"/>
                <w:color w:val="000000" w:themeColor="text1"/>
                <w14:textFill>
                  <w14:solidFill>
                    <w14:schemeClr w14:val="tx1"/>
                  </w14:solidFill>
                </w14:textFill>
              </w:rPr>
              <w:t>日发布的《环保快报（20</w:t>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年12月及1~12月全省环境空气质量状况）》），详见表3-</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p>
          <w:p>
            <w:pPr>
              <w:pStyle w:val="2"/>
              <w:adjustRightInd w:val="0"/>
              <w:snapToGrid w:val="0"/>
              <w:ind w:firstLine="0"/>
              <w:jc w:val="center"/>
              <w:rPr>
                <w:rFonts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b/>
                <w:bCs/>
                <w:color w:val="000000" w:themeColor="text1"/>
                <w:sz w:val="24"/>
                <w:szCs w:val="24"/>
                <w:highlight w:val="none"/>
                <w14:textFill>
                  <w14:solidFill>
                    <w14:schemeClr w14:val="tx1"/>
                  </w14:solidFill>
                </w14:textFill>
              </w:rPr>
              <w:t xml:space="preserve">   区域空气质量达标区判定</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1360"/>
              <w:gridCol w:w="1304"/>
              <w:gridCol w:w="1669"/>
              <w:gridCol w:w="1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tcBorders>
                    <w:tl2br w:val="nil"/>
                    <w:tr2bl w:val="nil"/>
                  </w:tcBorders>
                  <w:shd w:val="clear" w:color="auto" w:fill="auto"/>
                  <w:noWrap/>
                  <w:vAlign w:val="center"/>
                </w:tcPr>
                <w:p>
                  <w:pPr>
                    <w:widowControl/>
                    <w:adjustRightInd w:val="0"/>
                    <w:snapToGrid w:val="0"/>
                    <w:jc w:val="center"/>
                    <w:rPr>
                      <w:rFonts w:hint="eastAsia" w:eastAsia="宋体"/>
                      <w:b/>
                      <w:bCs/>
                      <w:color w:val="000000" w:themeColor="text1"/>
                      <w:szCs w:val="21"/>
                      <w:highlight w:val="none"/>
                      <w:shd w:val="clear" w:color="auto" w:fill="auto"/>
                      <w:lang w:eastAsia="zh-CN"/>
                      <w14:textFill>
                        <w14:solidFill>
                          <w14:schemeClr w14:val="tx1"/>
                        </w14:solidFill>
                      </w14:textFill>
                    </w:rPr>
                  </w:pPr>
                  <w:r>
                    <w:rPr>
                      <w:rFonts w:hint="eastAsia"/>
                      <w:b/>
                      <w:bCs/>
                      <w:color w:val="000000" w:themeColor="text1"/>
                      <w:szCs w:val="21"/>
                      <w:highlight w:val="none"/>
                      <w:shd w:val="clear" w:color="auto" w:fill="auto"/>
                      <w:lang w:eastAsia="zh-CN"/>
                      <w14:textFill>
                        <w14:solidFill>
                          <w14:schemeClr w14:val="tx1"/>
                        </w14:solidFill>
                      </w14:textFill>
                    </w:rPr>
                    <w:t>长安区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75" w:type="pct"/>
                  <w:vMerge w:val="restart"/>
                  <w:tcBorders>
                    <w:tl2br w:val="nil"/>
                    <w:tr2bl w:val="nil"/>
                  </w:tcBorders>
                  <w:shd w:val="clear" w:color="auto" w:fill="auto"/>
                  <w:noWrap/>
                  <w:vAlign w:val="center"/>
                </w:tcPr>
                <w:p>
                  <w:pPr>
                    <w:widowControl/>
                    <w:adjustRightInd w:val="0"/>
                    <w:snapToGrid w:val="0"/>
                    <w:jc w:val="center"/>
                    <w:rPr>
                      <w:b/>
                      <w:bCs/>
                      <w:color w:val="000000" w:themeColor="text1"/>
                      <w:szCs w:val="21"/>
                      <w:highlight w:val="none"/>
                      <w:shd w:val="clear" w:color="auto" w:fill="auto"/>
                      <w14:textFill>
                        <w14:solidFill>
                          <w14:schemeClr w14:val="tx1"/>
                        </w14:solidFill>
                      </w14:textFill>
                    </w:rPr>
                  </w:pPr>
                  <w:r>
                    <w:rPr>
                      <w:rFonts w:hint="eastAsia"/>
                      <w:b/>
                      <w:bCs/>
                      <w:color w:val="000000" w:themeColor="text1"/>
                      <w:szCs w:val="21"/>
                      <w:highlight w:val="none"/>
                      <w:shd w:val="clear" w:color="auto" w:fill="auto"/>
                      <w14:textFill>
                        <w14:solidFill>
                          <w14:schemeClr w14:val="tx1"/>
                        </w14:solidFill>
                      </w14:textFill>
                    </w:rPr>
                    <w:t>污染物及评价指标</w:t>
                  </w:r>
                </w:p>
              </w:tc>
              <w:tc>
                <w:tcPr>
                  <w:tcW w:w="774" w:type="pct"/>
                  <w:vMerge w:val="restart"/>
                  <w:tcBorders>
                    <w:tl2br w:val="nil"/>
                    <w:tr2bl w:val="nil"/>
                  </w:tcBorders>
                  <w:shd w:val="clear" w:color="auto" w:fill="auto"/>
                  <w:noWrap w:val="0"/>
                  <w:vAlign w:val="center"/>
                </w:tcPr>
                <w:p>
                  <w:pPr>
                    <w:widowControl/>
                    <w:adjustRightInd w:val="0"/>
                    <w:snapToGrid w:val="0"/>
                    <w:jc w:val="center"/>
                    <w:rPr>
                      <w:b/>
                      <w:bCs/>
                      <w:color w:val="000000" w:themeColor="text1"/>
                      <w:szCs w:val="21"/>
                      <w:highlight w:val="none"/>
                      <w:shd w:val="clear" w:color="auto" w:fill="auto"/>
                      <w14:textFill>
                        <w14:solidFill>
                          <w14:schemeClr w14:val="tx1"/>
                        </w14:solidFill>
                      </w14:textFill>
                    </w:rPr>
                  </w:pPr>
                  <w:r>
                    <w:rPr>
                      <w:b/>
                      <w:bCs/>
                      <w:color w:val="000000" w:themeColor="text1"/>
                      <w:szCs w:val="21"/>
                      <w:highlight w:val="none"/>
                      <w:shd w:val="clear" w:color="auto" w:fill="auto"/>
                      <w14:textFill>
                        <w14:solidFill>
                          <w14:schemeClr w14:val="tx1"/>
                        </w14:solidFill>
                      </w14:textFill>
                    </w:rPr>
                    <w:t>现状浓度</w:t>
                  </w:r>
                </w:p>
              </w:tc>
              <w:tc>
                <w:tcPr>
                  <w:tcW w:w="743" w:type="pct"/>
                  <w:vMerge w:val="restart"/>
                  <w:tcBorders>
                    <w:tl2br w:val="nil"/>
                    <w:tr2bl w:val="nil"/>
                  </w:tcBorders>
                  <w:shd w:val="clear" w:color="auto" w:fill="auto"/>
                  <w:noWrap/>
                  <w:vAlign w:val="center"/>
                </w:tcPr>
                <w:p>
                  <w:pPr>
                    <w:widowControl/>
                    <w:adjustRightInd w:val="0"/>
                    <w:snapToGrid w:val="0"/>
                    <w:jc w:val="center"/>
                    <w:rPr>
                      <w:b/>
                      <w:bCs/>
                      <w:color w:val="000000" w:themeColor="text1"/>
                      <w:szCs w:val="21"/>
                      <w:highlight w:val="none"/>
                      <w:shd w:val="clear" w:color="auto" w:fill="auto"/>
                      <w14:textFill>
                        <w14:solidFill>
                          <w14:schemeClr w14:val="tx1"/>
                        </w14:solidFill>
                      </w14:textFill>
                    </w:rPr>
                  </w:pPr>
                  <w:r>
                    <w:rPr>
                      <w:b/>
                      <w:bCs/>
                      <w:color w:val="000000" w:themeColor="text1"/>
                      <w:szCs w:val="21"/>
                      <w:highlight w:val="none"/>
                      <w:shd w:val="clear" w:color="auto" w:fill="auto"/>
                      <w14:textFill>
                        <w14:solidFill>
                          <w14:schemeClr w14:val="tx1"/>
                        </w14:solidFill>
                      </w14:textFill>
                    </w:rPr>
                    <w:t>标准限值</w:t>
                  </w:r>
                </w:p>
              </w:tc>
              <w:tc>
                <w:tcPr>
                  <w:tcW w:w="951" w:type="pct"/>
                  <w:vMerge w:val="restart"/>
                  <w:tcBorders>
                    <w:tl2br w:val="nil"/>
                    <w:tr2bl w:val="nil"/>
                  </w:tcBorders>
                  <w:shd w:val="clear" w:color="auto" w:fill="auto"/>
                  <w:noWrap/>
                  <w:vAlign w:val="center"/>
                </w:tcPr>
                <w:p>
                  <w:pPr>
                    <w:widowControl/>
                    <w:adjustRightInd w:val="0"/>
                    <w:snapToGrid w:val="0"/>
                    <w:jc w:val="center"/>
                    <w:rPr>
                      <w:b/>
                      <w:bCs/>
                      <w:color w:val="000000" w:themeColor="text1"/>
                      <w:szCs w:val="21"/>
                      <w:highlight w:val="none"/>
                      <w:shd w:val="clear" w:color="auto" w:fill="auto"/>
                      <w14:textFill>
                        <w14:solidFill>
                          <w14:schemeClr w14:val="tx1"/>
                        </w14:solidFill>
                      </w14:textFill>
                    </w:rPr>
                  </w:pPr>
                  <w:r>
                    <w:rPr>
                      <w:b/>
                      <w:bCs/>
                      <w:color w:val="000000" w:themeColor="text1"/>
                      <w:szCs w:val="21"/>
                      <w:highlight w:val="none"/>
                      <w:shd w:val="clear" w:color="auto" w:fill="auto"/>
                      <w14:textFill>
                        <w14:solidFill>
                          <w14:schemeClr w14:val="tx1"/>
                        </w14:solidFill>
                      </w14:textFill>
                    </w:rPr>
                    <w:t>占标率（%）</w:t>
                  </w:r>
                </w:p>
              </w:tc>
              <w:tc>
                <w:tcPr>
                  <w:tcW w:w="755" w:type="pct"/>
                  <w:vMerge w:val="restart"/>
                  <w:tcBorders>
                    <w:tl2br w:val="nil"/>
                    <w:tr2bl w:val="nil"/>
                  </w:tcBorders>
                  <w:shd w:val="clear" w:color="auto" w:fill="auto"/>
                  <w:noWrap/>
                  <w:vAlign w:val="center"/>
                </w:tcPr>
                <w:p>
                  <w:pPr>
                    <w:widowControl/>
                    <w:adjustRightInd w:val="0"/>
                    <w:snapToGrid w:val="0"/>
                    <w:jc w:val="center"/>
                    <w:rPr>
                      <w:b/>
                      <w:bCs/>
                      <w:color w:val="000000" w:themeColor="text1"/>
                      <w:szCs w:val="21"/>
                      <w:highlight w:val="none"/>
                      <w:shd w:val="clear" w:color="auto" w:fill="auto"/>
                      <w14:textFill>
                        <w14:solidFill>
                          <w14:schemeClr w14:val="tx1"/>
                        </w14:solidFill>
                      </w14:textFill>
                    </w:rPr>
                  </w:pPr>
                  <w:r>
                    <w:rPr>
                      <w:b/>
                      <w:bCs/>
                      <w:color w:val="000000" w:themeColor="text1"/>
                      <w:szCs w:val="21"/>
                      <w:highlight w:val="none"/>
                      <w:shd w:val="clear" w:color="auto" w:fill="auto"/>
                      <w14:textFill>
                        <w14:solidFill>
                          <w14:schemeClr w14:val="tx1"/>
                        </w14:solidFill>
                      </w14:textFill>
                    </w:rPr>
                    <w:t>达标</w:t>
                  </w:r>
                  <w:r>
                    <w:rPr>
                      <w:rFonts w:hint="eastAsia"/>
                      <w:b/>
                      <w:bCs/>
                      <w:color w:val="000000" w:themeColor="text1"/>
                      <w:szCs w:val="21"/>
                      <w:highlight w:val="none"/>
                      <w:shd w:val="clear" w:color="auto" w:fill="auto"/>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75" w:type="pct"/>
                  <w:vMerge w:val="continue"/>
                  <w:tcBorders>
                    <w:tl2br w:val="nil"/>
                    <w:tr2bl w:val="nil"/>
                  </w:tcBorders>
                  <w:shd w:val="clear" w:color="auto" w:fill="auto"/>
                  <w:noWrap w:val="0"/>
                  <w:vAlign w:val="center"/>
                </w:tcPr>
                <w:p>
                  <w:pPr>
                    <w:widowControl/>
                    <w:adjustRightInd w:val="0"/>
                    <w:snapToGrid w:val="0"/>
                    <w:jc w:val="center"/>
                    <w:rPr>
                      <w:color w:val="000000" w:themeColor="text1"/>
                      <w:szCs w:val="21"/>
                      <w:highlight w:val="none"/>
                      <w14:textFill>
                        <w14:solidFill>
                          <w14:schemeClr w14:val="tx1"/>
                        </w14:solidFill>
                      </w14:textFill>
                    </w:rPr>
                  </w:pPr>
                </w:p>
              </w:tc>
              <w:tc>
                <w:tcPr>
                  <w:tcW w:w="774" w:type="pct"/>
                  <w:vMerge w:val="continue"/>
                  <w:tcBorders>
                    <w:tl2br w:val="nil"/>
                    <w:tr2bl w:val="nil"/>
                  </w:tcBorders>
                  <w:shd w:val="clear" w:color="auto" w:fill="auto"/>
                  <w:noWrap w:val="0"/>
                  <w:vAlign w:val="center"/>
                </w:tcPr>
                <w:p>
                  <w:pPr>
                    <w:widowControl/>
                    <w:adjustRightInd w:val="0"/>
                    <w:snapToGrid w:val="0"/>
                    <w:jc w:val="center"/>
                    <w:rPr>
                      <w:color w:val="000000" w:themeColor="text1"/>
                      <w:szCs w:val="21"/>
                      <w:highlight w:val="none"/>
                      <w14:textFill>
                        <w14:solidFill>
                          <w14:schemeClr w14:val="tx1"/>
                        </w14:solidFill>
                      </w14:textFill>
                    </w:rPr>
                  </w:pPr>
                </w:p>
              </w:tc>
              <w:tc>
                <w:tcPr>
                  <w:tcW w:w="743" w:type="pct"/>
                  <w:vMerge w:val="continue"/>
                  <w:tcBorders>
                    <w:tl2br w:val="nil"/>
                    <w:tr2bl w:val="nil"/>
                  </w:tcBorders>
                  <w:shd w:val="clear" w:color="auto" w:fill="auto"/>
                  <w:noWrap/>
                  <w:vAlign w:val="center"/>
                </w:tcPr>
                <w:p>
                  <w:pPr>
                    <w:widowControl/>
                    <w:adjustRightInd w:val="0"/>
                    <w:snapToGrid w:val="0"/>
                    <w:jc w:val="center"/>
                    <w:rPr>
                      <w:color w:val="000000" w:themeColor="text1"/>
                      <w:szCs w:val="21"/>
                      <w:highlight w:val="none"/>
                      <w14:textFill>
                        <w14:solidFill>
                          <w14:schemeClr w14:val="tx1"/>
                        </w14:solidFill>
                      </w14:textFill>
                    </w:rPr>
                  </w:pPr>
                </w:p>
              </w:tc>
              <w:tc>
                <w:tcPr>
                  <w:tcW w:w="951" w:type="pct"/>
                  <w:vMerge w:val="continue"/>
                  <w:tcBorders>
                    <w:tl2br w:val="nil"/>
                    <w:tr2bl w:val="nil"/>
                  </w:tcBorders>
                  <w:shd w:val="clear" w:color="auto" w:fill="auto"/>
                  <w:noWrap/>
                  <w:vAlign w:val="center"/>
                </w:tcPr>
                <w:p>
                  <w:pPr>
                    <w:widowControl/>
                    <w:adjustRightInd w:val="0"/>
                    <w:snapToGrid w:val="0"/>
                    <w:jc w:val="center"/>
                    <w:rPr>
                      <w:color w:val="000000" w:themeColor="text1"/>
                      <w:szCs w:val="21"/>
                      <w:highlight w:val="none"/>
                      <w14:textFill>
                        <w14:solidFill>
                          <w14:schemeClr w14:val="tx1"/>
                        </w14:solidFill>
                      </w14:textFill>
                    </w:rPr>
                  </w:pPr>
                </w:p>
              </w:tc>
              <w:tc>
                <w:tcPr>
                  <w:tcW w:w="755" w:type="pct"/>
                  <w:vMerge w:val="continue"/>
                  <w:tcBorders>
                    <w:tl2br w:val="nil"/>
                    <w:tr2bl w:val="nil"/>
                  </w:tcBorders>
                  <w:shd w:val="clear" w:color="auto" w:fill="auto"/>
                  <w:noWrap/>
                  <w:vAlign w:val="center"/>
                </w:tcPr>
                <w:p>
                  <w:pPr>
                    <w:widowControl/>
                    <w:adjustRightInd w:val="0"/>
                    <w:snapToGrid w:val="0"/>
                    <w:jc w:val="center"/>
                    <w:rPr>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10</w:t>
                  </w:r>
                  <w:r>
                    <w:rPr>
                      <w:color w:val="000000" w:themeColor="text1"/>
                      <w:szCs w:val="21"/>
                      <w:highlight w:val="none"/>
                      <w14:textFill>
                        <w14:solidFill>
                          <w14:schemeClr w14:val="tx1"/>
                        </w14:solidFill>
                      </w14:textFill>
                    </w:rPr>
                    <w:t>年均值（ug/m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774" w:type="pct"/>
                  <w:tcBorders>
                    <w:tl2br w:val="nil"/>
                    <w:tr2bl w:val="nil"/>
                  </w:tcBorders>
                  <w:noWrap w:val="0"/>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80</w:t>
                  </w:r>
                </w:p>
              </w:tc>
              <w:tc>
                <w:tcPr>
                  <w:tcW w:w="743"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w:t>
                  </w:r>
                </w:p>
              </w:tc>
              <w:tc>
                <w:tcPr>
                  <w:tcW w:w="951" w:type="pct"/>
                  <w:tcBorders>
                    <w:tl2br w:val="nil"/>
                    <w:tr2bl w:val="nil"/>
                  </w:tcBorders>
                  <w:noWrap/>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114.29</w:t>
                  </w:r>
                </w:p>
              </w:tc>
              <w:tc>
                <w:tcPr>
                  <w:tcW w:w="755" w:type="pct"/>
                  <w:tcBorders>
                    <w:tl2br w:val="nil"/>
                    <w:tr2bl w:val="nil"/>
                  </w:tcBorders>
                  <w:noWrap/>
                  <w:vAlign w:val="center"/>
                </w:tcPr>
                <w:p>
                  <w:pPr>
                    <w:widowControl/>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PM</w:t>
                  </w:r>
                  <w:r>
                    <w:rPr>
                      <w:color w:val="000000" w:themeColor="text1"/>
                      <w:szCs w:val="21"/>
                      <w:highlight w:val="none"/>
                      <w:vertAlign w:val="subscript"/>
                      <w14:textFill>
                        <w14:solidFill>
                          <w14:schemeClr w14:val="tx1"/>
                        </w14:solidFill>
                      </w14:textFill>
                    </w:rPr>
                    <w:t>2.5</w:t>
                  </w:r>
                  <w:r>
                    <w:rPr>
                      <w:color w:val="000000" w:themeColor="text1"/>
                      <w:szCs w:val="21"/>
                      <w:highlight w:val="none"/>
                      <w14:textFill>
                        <w14:solidFill>
                          <w14:schemeClr w14:val="tx1"/>
                        </w14:solidFill>
                      </w14:textFill>
                    </w:rPr>
                    <w:t>年均值（ug/m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774" w:type="pct"/>
                  <w:tcBorders>
                    <w:tl2br w:val="nil"/>
                    <w:tr2bl w:val="nil"/>
                  </w:tcBorders>
                  <w:noWrap w:val="0"/>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46</w:t>
                  </w:r>
                </w:p>
              </w:tc>
              <w:tc>
                <w:tcPr>
                  <w:tcW w:w="743"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w:t>
                  </w:r>
                </w:p>
              </w:tc>
              <w:tc>
                <w:tcPr>
                  <w:tcW w:w="951" w:type="pct"/>
                  <w:tcBorders>
                    <w:tl2br w:val="nil"/>
                    <w:tr2bl w:val="nil"/>
                  </w:tcBorders>
                  <w:noWrap/>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131.43</w:t>
                  </w:r>
                </w:p>
              </w:tc>
              <w:tc>
                <w:tcPr>
                  <w:tcW w:w="755"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SO</w:t>
                  </w:r>
                  <w:r>
                    <w:rPr>
                      <w:color w:val="000000" w:themeColor="text1"/>
                      <w:szCs w:val="21"/>
                      <w:highlight w:val="none"/>
                      <w:vertAlign w:val="subscript"/>
                      <w14:textFill>
                        <w14:solidFill>
                          <w14:schemeClr w14:val="tx1"/>
                        </w14:solidFill>
                      </w14:textFill>
                    </w:rPr>
                    <w:t>2</w:t>
                  </w:r>
                  <w:r>
                    <w:rPr>
                      <w:color w:val="000000" w:themeColor="text1"/>
                      <w:szCs w:val="21"/>
                      <w:highlight w:val="none"/>
                      <w14:textFill>
                        <w14:solidFill>
                          <w14:schemeClr w14:val="tx1"/>
                        </w14:solidFill>
                      </w14:textFill>
                    </w:rPr>
                    <w:t>年均值（ug/m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774" w:type="pct"/>
                  <w:tcBorders>
                    <w:tl2br w:val="nil"/>
                    <w:tr2bl w:val="nil"/>
                  </w:tcBorders>
                  <w:noWrap w:val="0"/>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p>
              </w:tc>
              <w:tc>
                <w:tcPr>
                  <w:tcW w:w="743"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60</w:t>
                  </w:r>
                </w:p>
              </w:tc>
              <w:tc>
                <w:tcPr>
                  <w:tcW w:w="951" w:type="pct"/>
                  <w:tcBorders>
                    <w:tl2br w:val="nil"/>
                    <w:tr2bl w:val="nil"/>
                  </w:tcBorders>
                  <w:noWrap/>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11.67</w:t>
                  </w:r>
                </w:p>
              </w:tc>
              <w:tc>
                <w:tcPr>
                  <w:tcW w:w="755"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NO</w:t>
                  </w:r>
                  <w:r>
                    <w:rPr>
                      <w:color w:val="000000" w:themeColor="text1"/>
                      <w:szCs w:val="21"/>
                      <w:highlight w:val="none"/>
                      <w:vertAlign w:val="subscript"/>
                      <w14:textFill>
                        <w14:solidFill>
                          <w14:schemeClr w14:val="tx1"/>
                        </w14:solidFill>
                      </w14:textFill>
                    </w:rPr>
                    <w:t>2</w:t>
                  </w:r>
                  <w:r>
                    <w:rPr>
                      <w:color w:val="000000" w:themeColor="text1"/>
                      <w:szCs w:val="21"/>
                      <w:highlight w:val="none"/>
                      <w14:textFill>
                        <w14:solidFill>
                          <w14:schemeClr w14:val="tx1"/>
                        </w14:solidFill>
                      </w14:textFill>
                    </w:rPr>
                    <w:t>年均值（ug/m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774" w:type="pct"/>
                  <w:tcBorders>
                    <w:tl2br w:val="nil"/>
                    <w:tr2bl w:val="nil"/>
                  </w:tcBorders>
                  <w:noWrap w:val="0"/>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34</w:t>
                  </w:r>
                </w:p>
              </w:tc>
              <w:tc>
                <w:tcPr>
                  <w:tcW w:w="743"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40</w:t>
                  </w:r>
                </w:p>
              </w:tc>
              <w:tc>
                <w:tcPr>
                  <w:tcW w:w="951" w:type="pct"/>
                  <w:tcBorders>
                    <w:tl2br w:val="nil"/>
                    <w:tr2bl w:val="nil"/>
                  </w:tcBorders>
                  <w:noWrap/>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85</w:t>
                  </w:r>
                </w:p>
              </w:tc>
              <w:tc>
                <w:tcPr>
                  <w:tcW w:w="755"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CO第95百分位浓度（mg/m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774" w:type="pct"/>
                  <w:tcBorders>
                    <w:tl2br w:val="nil"/>
                    <w:tr2bl w:val="nil"/>
                  </w:tcBorders>
                  <w:noWrap w:val="0"/>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c>
                <w:tcPr>
                  <w:tcW w:w="743"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951" w:type="pct"/>
                  <w:tcBorders>
                    <w:tl2br w:val="nil"/>
                    <w:tr2bl w:val="nil"/>
                  </w:tcBorders>
                  <w:noWrap/>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37.5</w:t>
                  </w:r>
                </w:p>
              </w:tc>
              <w:tc>
                <w:tcPr>
                  <w:tcW w:w="755"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75" w:type="pct"/>
                  <w:tcBorders>
                    <w:tl2br w:val="nil"/>
                    <w:tr2bl w:val="nil"/>
                  </w:tcBorders>
                  <w:noWrap w:val="0"/>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O</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第90百分位浓度（ug/m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774" w:type="pct"/>
                  <w:tcBorders>
                    <w:tl2br w:val="nil"/>
                    <w:tr2bl w:val="nil"/>
                  </w:tcBorders>
                  <w:noWrap w:val="0"/>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190</w:t>
                  </w:r>
                </w:p>
              </w:tc>
              <w:tc>
                <w:tcPr>
                  <w:tcW w:w="743"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160</w:t>
                  </w:r>
                </w:p>
              </w:tc>
              <w:tc>
                <w:tcPr>
                  <w:tcW w:w="951" w:type="pct"/>
                  <w:tcBorders>
                    <w:tl2br w:val="nil"/>
                    <w:tr2bl w:val="nil"/>
                  </w:tcBorders>
                  <w:noWrap/>
                  <w:vAlign w:val="center"/>
                </w:tcPr>
                <w:p>
                  <w:pPr>
                    <w:widowControl/>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118.75</w:t>
                  </w:r>
                </w:p>
              </w:tc>
              <w:tc>
                <w:tcPr>
                  <w:tcW w:w="755" w:type="pct"/>
                  <w:tcBorders>
                    <w:tl2br w:val="nil"/>
                    <w:tr2bl w:val="nil"/>
                  </w:tcBorders>
                  <w:noWrap/>
                  <w:vAlign w:val="center"/>
                </w:tcPr>
                <w:p>
                  <w:pPr>
                    <w:widowControl/>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超标</w:t>
                  </w:r>
                </w:p>
              </w:tc>
            </w:tr>
          </w:tbl>
          <w:p>
            <w:pPr>
              <w:pStyle w:val="15"/>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由上表可以看出，建设项目所在区域环境空气质量PM</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年均值</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PM</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2.5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年均值</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、O</w:t>
            </w:r>
            <w:r>
              <w:rPr>
                <w:rFonts w:hint="eastAsia" w:ascii="Times New Roman" w:hAnsi="Times New Roman" w:eastAsia="宋体"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第90百分位浓度超过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《环境空气质量标准》（GB3095-2012）二级标准限值，其余各项评价指标浓度均满足《环境空气质量标准》（GB3095-2012）二级标准限值，依据《环境影响评价技术导则-大气环境》（HJ2.2-2018），判定该项目所在区域</w:t>
            </w:r>
            <w:r>
              <w:rPr>
                <w:rFonts w:hint="eastAsia" w:cs="Times New Roman"/>
                <w:color w:val="000000" w:themeColor="text1"/>
                <w:kern w:val="2"/>
                <w:sz w:val="24"/>
                <w:szCs w:val="24"/>
                <w:highlight w:val="none"/>
                <w:lang w:val="en-US" w:eastAsia="zh-CN" w:bidi="ar-SA"/>
                <w14:textFill>
                  <w14:solidFill>
                    <w14:schemeClr w14:val="tx1"/>
                  </w14:solidFill>
                </w14:textFill>
              </w:rPr>
              <w:t>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属于环境空气质量不达标区域。</w:t>
            </w:r>
          </w:p>
          <w:p>
            <w:pPr>
              <w:pStyle w:val="2"/>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2.2其他污染物环境质量现状</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本次委托</w:t>
            </w:r>
            <w:r>
              <w:rPr>
                <w:rFonts w:hint="eastAsia" w:cs="Times New Roman"/>
                <w:color w:val="000000" w:themeColor="text1"/>
                <w:sz w:val="24"/>
                <w:szCs w:val="24"/>
                <w:highlight w:val="none"/>
                <w:lang w:val="en-US" w:eastAsia="zh-CN"/>
                <w14:textFill>
                  <w14:solidFill>
                    <w14:schemeClr w14:val="tx1"/>
                  </w14:solidFill>
                </w14:textFill>
              </w:rPr>
              <w:t>中量检测认证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有限公司于2023年</w:t>
            </w:r>
            <w:r>
              <w:rPr>
                <w:rFonts w:hint="eastAsia" w:cs="Times New Roman"/>
                <w:color w:val="000000" w:themeColor="text1"/>
                <w:sz w:val="24"/>
                <w:szCs w:val="24"/>
                <w:highlight w:val="none"/>
                <w:lang w:val="en-US" w:eastAsia="zh-CN"/>
                <w14:textFill>
                  <w14:solidFill>
                    <w14:schemeClr w14:val="tx1"/>
                  </w14:solidFill>
                </w14:textFill>
              </w:rPr>
              <w:t>11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30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日至</w:t>
            </w:r>
            <w:r>
              <w:rPr>
                <w:rFonts w:hint="eastAsia" w:cs="Times New Roman"/>
                <w:color w:val="000000" w:themeColor="text1"/>
                <w:sz w:val="24"/>
                <w:szCs w:val="24"/>
                <w:highlight w:val="none"/>
                <w:lang w:val="en-US" w:eastAsia="zh-CN"/>
                <w14:textFill>
                  <w14:solidFill>
                    <w14:schemeClr w14:val="tx1"/>
                  </w14:solidFill>
                </w14:textFill>
              </w:rPr>
              <w:t>12月3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日</w:t>
            </w:r>
            <w:r>
              <w:rPr>
                <w:rFonts w:hint="eastAsia" w:cs="Times New Roman"/>
                <w:color w:val="000000" w:themeColor="text1"/>
                <w:sz w:val="24"/>
                <w:szCs w:val="24"/>
                <w:highlight w:val="none"/>
                <w:lang w:val="en-US" w:eastAsia="zh-CN"/>
                <w14:textFill>
                  <w14:solidFill>
                    <w14:schemeClr w14:val="tx1"/>
                  </w14:solidFill>
                </w14:textFill>
              </w:rPr>
              <w:t>开展了补充监测，监测因子为TSP</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，监测点位</w:t>
            </w:r>
            <w:r>
              <w:rPr>
                <w:rFonts w:hint="eastAsia" w:cs="Times New Roman"/>
                <w:color w:val="000000" w:themeColor="text1"/>
                <w:sz w:val="24"/>
                <w:szCs w:val="24"/>
                <w:highlight w:val="none"/>
                <w:lang w:val="en-US" w:eastAsia="zh-CN"/>
                <w14:textFill>
                  <w14:solidFill>
                    <w14:schemeClr w14:val="tx1"/>
                  </w14:solidFill>
                </w14:textFill>
              </w:rPr>
              <w:t>选取下风向工程施工末端后村民集中居住点，大峪河、小峪河施工段分别为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小峪河村右岸1#、五里庙村右岸2#，监测报告见附件</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2"/>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（1）主要分析仪器及分析方法、检出限</w:t>
            </w:r>
          </w:p>
          <w:p>
            <w:pPr>
              <w:pStyle w:val="2"/>
              <w:adjustRightInd w:val="0"/>
              <w:snapToGrid w:val="0"/>
              <w:ind w:firstLine="0"/>
              <w:jc w:val="cente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分析仪器及分析方法、检出限</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3554"/>
              <w:gridCol w:w="1461"/>
              <w:gridCol w:w="25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分析项目</w:t>
                  </w:r>
                </w:p>
              </w:tc>
              <w:tc>
                <w:tcPr>
                  <w:tcW w:w="2024"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方法依据</w:t>
                  </w:r>
                </w:p>
              </w:tc>
              <w:tc>
                <w:tcPr>
                  <w:tcW w:w="832"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检出限</w:t>
                  </w:r>
                </w:p>
              </w:tc>
              <w:tc>
                <w:tcPr>
                  <w:tcW w:w="1449"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分析仪器名称及型号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TSP</w:t>
                  </w:r>
                </w:p>
              </w:tc>
              <w:tc>
                <w:tcPr>
                  <w:tcW w:w="202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环境空气 总悬浮颗粒物的测定 重量法</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HJ 1263-2022</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32"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7μg/m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449"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恒温恒湿称重系统</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WRLDN-5900</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ZL-HJ-07004-2022</w:t>
                  </w:r>
                </w:p>
              </w:tc>
            </w:tr>
          </w:tbl>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（2）监测频次</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设</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个监测点，监测3天，每天1次日均值。</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（3）监测结果分析及评价</w:t>
            </w:r>
          </w:p>
          <w:p>
            <w:pPr>
              <w:pStyle w:val="2"/>
              <w:adjustRightInd w:val="0"/>
              <w:snapToGrid w:val="0"/>
              <w:ind w:firstLine="0"/>
              <w:jc w:val="center"/>
              <w:rPr>
                <w:rFonts w:hint="eastAsia"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7</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监测结果统计表   单位：mg/m</w:t>
            </w:r>
            <w:r>
              <w:rPr>
                <w:rFonts w:hint="eastAsia"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t>3</w:t>
            </w:r>
          </w:p>
          <w:tbl>
            <w:tblPr>
              <w:tblStyle w:val="2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487"/>
              <w:gridCol w:w="2488"/>
              <w:gridCol w:w="1202"/>
              <w:gridCol w:w="1118"/>
              <w:gridCol w:w="13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监测项目</w:t>
                  </w:r>
                </w:p>
              </w:tc>
              <w:tc>
                <w:tcPr>
                  <w:tcW w:w="847"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监测</w:t>
                  </w:r>
                  <w:r>
                    <w:rPr>
                      <w:rFonts w:hint="eastAsia" w:cs="Times New Roman"/>
                      <w:b/>
                      <w:bCs/>
                      <w:color w:val="000000" w:themeColor="text1"/>
                      <w:sz w:val="21"/>
                      <w:szCs w:val="21"/>
                      <w:highlight w:val="none"/>
                      <w:shd w:val="clear" w:color="auto" w:fill="auto"/>
                      <w:vertAlign w:val="baseline"/>
                      <w:lang w:val="en-US" w:eastAsia="zh-CN"/>
                      <w14:textFill>
                        <w14:solidFill>
                          <w14:schemeClr w14:val="tx1"/>
                        </w14:solidFill>
                      </w14:textFill>
                    </w:rPr>
                    <w:t>点位</w:t>
                  </w:r>
                </w:p>
              </w:tc>
              <w:tc>
                <w:tcPr>
                  <w:tcW w:w="1416"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监测</w:t>
                  </w:r>
                  <w:r>
                    <w:rPr>
                      <w:rFonts w:hint="eastAsia" w:cs="Times New Roman"/>
                      <w:b/>
                      <w:bCs/>
                      <w:color w:val="000000" w:themeColor="text1"/>
                      <w:sz w:val="21"/>
                      <w:szCs w:val="21"/>
                      <w:highlight w:val="none"/>
                      <w:shd w:val="clear" w:color="auto" w:fill="auto"/>
                      <w:vertAlign w:val="baseline"/>
                      <w:lang w:val="en-US" w:eastAsia="zh-CN"/>
                      <w14:textFill>
                        <w14:solidFill>
                          <w14:schemeClr w14:val="tx1"/>
                        </w14:solidFill>
                      </w14:textFill>
                    </w:rPr>
                    <w:t>时间</w:t>
                  </w:r>
                </w:p>
              </w:tc>
              <w:tc>
                <w:tcPr>
                  <w:tcW w:w="685"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监测结果</w:t>
                  </w:r>
                </w:p>
              </w:tc>
              <w:tc>
                <w:tcPr>
                  <w:tcW w:w="637"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标准值</w:t>
                  </w:r>
                </w:p>
              </w:tc>
              <w:tc>
                <w:tcPr>
                  <w:tcW w:w="758" w:type="pc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shd w:val="clear" w:color="auto" w:fill="auto"/>
                      <w:vertAlign w:val="baseline"/>
                      <w:lang w:val="en-US" w:eastAsia="zh-CN"/>
                      <w14:textFill>
                        <w14:solidFill>
                          <w14:schemeClr w14:val="tx1"/>
                        </w14:solidFill>
                      </w14:textFill>
                    </w:rPr>
                    <w:t>占标率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655"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TSP</w:t>
                  </w:r>
                </w:p>
              </w:tc>
              <w:tc>
                <w:tcPr>
                  <w:tcW w:w="847"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小峪河村右岸</w:t>
                  </w:r>
                </w:p>
              </w:tc>
              <w:tc>
                <w:tcPr>
                  <w:tcW w:w="141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2023.11.30—2023.12.01</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0.202</w:t>
                  </w:r>
                </w:p>
              </w:tc>
              <w:tc>
                <w:tcPr>
                  <w:tcW w:w="637"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0.3</w:t>
                  </w: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67.3%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47" w:type="pct"/>
                  <w:vMerge w:val="continue"/>
                  <w:tcBorders>
                    <w:tl2br w:val="nil"/>
                    <w:tr2bl w:val="nil"/>
                  </w:tcBorders>
                  <w:vAlign w:val="center"/>
                </w:tcPr>
                <w:p>
                  <w:pPr>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1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2023.12.01—2023.12.02</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0.222</w:t>
                  </w:r>
                </w:p>
              </w:tc>
              <w:tc>
                <w:tcPr>
                  <w:tcW w:w="63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47" w:type="pct"/>
                  <w:vMerge w:val="continue"/>
                  <w:tcBorders>
                    <w:tl2br w:val="nil"/>
                    <w:tr2bl w:val="nil"/>
                  </w:tcBorders>
                  <w:vAlign w:val="center"/>
                </w:tcPr>
                <w:p>
                  <w:pPr>
                    <w:jc w:val="cente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41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2023.12.02—2023.12.03</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0.211</w:t>
                  </w:r>
                </w:p>
              </w:tc>
              <w:tc>
                <w:tcPr>
                  <w:tcW w:w="63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47"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五里庙村右岸</w:t>
                  </w:r>
                </w:p>
              </w:tc>
              <w:tc>
                <w:tcPr>
                  <w:tcW w:w="141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2023.11.30—2023.12.01</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bidi="ar-SA"/>
                      <w14:textFill>
                        <w14:solidFill>
                          <w14:schemeClr w14:val="tx1"/>
                        </w14:solidFill>
                      </w14:textFill>
                    </w:rPr>
                    <w:t>0.153</w:t>
                  </w:r>
                </w:p>
              </w:tc>
              <w:tc>
                <w:tcPr>
                  <w:tcW w:w="63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47"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1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2023.12.01—2023.12.02</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bidi="ar-SA"/>
                      <w14:textFill>
                        <w14:solidFill>
                          <w14:schemeClr w14:val="tx1"/>
                        </w14:solidFill>
                      </w14:textFill>
                    </w:rPr>
                    <w:t>0.158</w:t>
                  </w:r>
                </w:p>
              </w:tc>
              <w:tc>
                <w:tcPr>
                  <w:tcW w:w="63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847" w:type="pct"/>
                  <w:vMerge w:val="continue"/>
                  <w:tcBorders>
                    <w:tl2br w:val="nil"/>
                    <w:tr2bl w:val="nil"/>
                  </w:tcBorders>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41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2023.12.02—2023.12.03</w:t>
                  </w:r>
                </w:p>
              </w:tc>
              <w:tc>
                <w:tcPr>
                  <w:tcW w:w="68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bidi="ar-SA"/>
                      <w14:textFill>
                        <w14:solidFill>
                          <w14:schemeClr w14:val="tx1"/>
                        </w14:solidFill>
                      </w14:textFill>
                    </w:rPr>
                    <w:t>0.149</w:t>
                  </w:r>
                </w:p>
              </w:tc>
              <w:tc>
                <w:tcPr>
                  <w:tcW w:w="637"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c>
                <w:tcPr>
                  <w:tcW w:w="758" w:type="pct"/>
                  <w:tcBorders>
                    <w:tl2br w:val="nil"/>
                    <w:tr2bl w:val="nil"/>
                  </w:tcBorders>
                  <w:vAlign w:val="center"/>
                </w:tcPr>
                <w:p>
                  <w:pPr>
                    <w:keepNext w:val="0"/>
                    <w:keepLines w:val="0"/>
                    <w:widowControl/>
                    <w:suppressLineNumbers w:val="0"/>
                    <w:ind w:left="0" w:leftChars="0" w:right="0" w:rightChars="0" w:firstLine="0" w:firstLineChars="0"/>
                    <w:jc w:val="center"/>
                    <w:textAlignment w:val="center"/>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49.7%</w:t>
                  </w:r>
                </w:p>
              </w:tc>
            </w:tr>
          </w:tbl>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根据监测结果可知，项目评价范围内TSP日均浓度达到《环境空气质量标准》（GB3095-2012）中的二级标准，环境空气质量较好。</w:t>
            </w:r>
          </w:p>
          <w:p>
            <w:pPr>
              <w:pStyle w:val="2"/>
              <w:adjustRightInd w:val="0"/>
              <w:snapToGrid w:val="0"/>
              <w:spacing w:line="360" w:lineRule="auto"/>
              <w:ind w:left="0" w:leftChars="0" w:firstLine="482" w:firstLineChars="200"/>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3.声环境质量现状</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监测地点及</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监测频次</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本项目沿线边界50m范围内主要</w:t>
            </w:r>
            <w:r>
              <w:rPr>
                <w:rFonts w:hint="eastAsia" w:cs="Times New Roman"/>
                <w:color w:val="000000" w:themeColor="text1"/>
                <w:sz w:val="24"/>
                <w:szCs w:val="24"/>
                <w:highlight w:val="none"/>
                <w:lang w:val="en-US" w:eastAsia="zh-CN"/>
                <w14:textFill>
                  <w14:solidFill>
                    <w14:schemeClr w14:val="tx1"/>
                  </w14:solidFill>
                </w14:textFill>
              </w:rPr>
              <w:t>噪声敏感点为村民，峪口内民房沿道路分散分布，本次选取沿线村民居住较为集中的区域作为噪声敏感点进行现状监测。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委托中量检测认证有限公司于2023年11月30日至12月</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日</w:t>
            </w:r>
            <w:r>
              <w:rPr>
                <w:rFonts w:hint="eastAsia" w:cs="Times New Roman"/>
                <w:color w:val="000000" w:themeColor="text1"/>
                <w:sz w:val="24"/>
                <w:szCs w:val="24"/>
                <w:highlight w:val="none"/>
                <w:lang w:val="en-US" w:eastAsia="zh-CN"/>
                <w14:textFill>
                  <w14:solidFill>
                    <w14:schemeClr w14:val="tx1"/>
                  </w14:solidFill>
                </w14:textFill>
              </w:rPr>
              <w:t>对</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大金坪村</w:t>
            </w:r>
            <w:r>
              <w:rPr>
                <w:rFonts w:hint="eastAsia" w:cs="Times New Roman"/>
                <w:color w:val="000000" w:themeColor="text1"/>
                <w:sz w:val="24"/>
                <w:szCs w:val="24"/>
                <w:highlight w:val="none"/>
                <w:lang w:val="en-US" w:eastAsia="zh-CN"/>
                <w14:textFill>
                  <w14:solidFill>
                    <w14:schemeClr w14:val="tx1"/>
                  </w14:solidFill>
                </w14:textFill>
              </w:rPr>
              <w:t>左岸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、小峪河村</w:t>
            </w:r>
            <w:r>
              <w:rPr>
                <w:rFonts w:hint="eastAsia" w:cs="Times New Roman"/>
                <w:color w:val="000000" w:themeColor="text1"/>
                <w:sz w:val="24"/>
                <w:szCs w:val="24"/>
                <w:highlight w:val="none"/>
                <w:lang w:val="en-US" w:eastAsia="zh-CN"/>
                <w14:textFill>
                  <w14:solidFill>
                    <w14:schemeClr w14:val="tx1"/>
                  </w14:solidFill>
                </w14:textFill>
              </w:rPr>
              <w:t>右岸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、板庙子村</w:t>
            </w:r>
            <w:r>
              <w:rPr>
                <w:rFonts w:hint="eastAsia" w:cs="Times New Roman"/>
                <w:color w:val="000000" w:themeColor="text1"/>
                <w:sz w:val="24"/>
                <w:szCs w:val="24"/>
                <w:highlight w:val="none"/>
                <w:lang w:val="en-US" w:eastAsia="zh-CN"/>
                <w14:textFill>
                  <w14:solidFill>
                    <w14:schemeClr w14:val="tx1"/>
                  </w14:solidFill>
                </w14:textFill>
              </w:rPr>
              <w:t>右岸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、五里庙村</w:t>
            </w:r>
            <w:r>
              <w:rPr>
                <w:rFonts w:hint="eastAsia" w:cs="Times New Roman"/>
                <w:color w:val="000000" w:themeColor="text1"/>
                <w:sz w:val="24"/>
                <w:szCs w:val="24"/>
                <w:highlight w:val="none"/>
                <w:lang w:val="en-US" w:eastAsia="zh-CN"/>
                <w14:textFill>
                  <w14:solidFill>
                    <w14:schemeClr w14:val="tx1"/>
                  </w14:solidFill>
                </w14:textFill>
              </w:rPr>
              <w:t>右岸4个敏感点</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噪声进行了声环境现状监测</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监测2天，每天昼、夜间各监测1次。</w:t>
            </w:r>
          </w:p>
          <w:p>
            <w:pPr>
              <w:pStyle w:val="2"/>
              <w:numPr>
                <w:ilvl w:val="0"/>
                <w:numId w:val="1"/>
              </w:numPr>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监测分析方法</w:t>
            </w:r>
          </w:p>
          <w:p>
            <w:pPr>
              <w:pStyle w:val="2"/>
              <w:adjustRightInd w:val="0"/>
              <w:snapToGrid w:val="0"/>
              <w:ind w:firstLine="0"/>
              <w:jc w:val="center"/>
              <w:rPr>
                <w:rFonts w:hint="default"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8</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主要分析仪器及分析方法</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
              <w:gridCol w:w="983"/>
              <w:gridCol w:w="1518"/>
              <w:gridCol w:w="1715"/>
              <w:gridCol w:w="302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205"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560"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项目</w:t>
                  </w:r>
                </w:p>
              </w:tc>
              <w:tc>
                <w:tcPr>
                  <w:tcW w:w="864"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检测标准</w:t>
                  </w:r>
                </w:p>
              </w:tc>
              <w:tc>
                <w:tcPr>
                  <w:tcW w:w="977"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检测方法</w:t>
                  </w:r>
                </w:p>
              </w:tc>
              <w:tc>
                <w:tcPr>
                  <w:tcW w:w="1723"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检测仪器</w:t>
                  </w:r>
                </w:p>
              </w:tc>
              <w:tc>
                <w:tcPr>
                  <w:tcW w:w="669"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检出限/最低检出浓度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205"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56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环境</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噪声</w:t>
                  </w:r>
                </w:p>
              </w:tc>
              <w:tc>
                <w:tcPr>
                  <w:tcW w:w="86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GB</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3096-2008</w:t>
                  </w:r>
                </w:p>
              </w:tc>
              <w:tc>
                <w:tcPr>
                  <w:tcW w:w="97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声环境质量标准</w:t>
                  </w:r>
                </w:p>
              </w:tc>
              <w:tc>
                <w:tcPr>
                  <w:tcW w:w="1723"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测量仪器</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AWA5688/ZL-HJ-01131-2023</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AWA5688/ZL-HJ-01116-2023</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校准仪器</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AWA6022A/ZL-HJ-01117-2023</w:t>
                  </w:r>
                </w:p>
              </w:tc>
              <w:tc>
                <w:tcPr>
                  <w:tcW w:w="66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bl>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（3）监测结果分析及评价</w:t>
            </w:r>
          </w:p>
          <w:p>
            <w:pPr>
              <w:pStyle w:val="2"/>
              <w:adjustRightInd w:val="0"/>
              <w:snapToGrid w:val="0"/>
              <w:ind w:firstLine="0"/>
              <w:jc w:val="center"/>
              <w:rPr>
                <w:rFonts w:hint="default"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-9</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监测结果统计表   单位：dB</w:t>
            </w:r>
            <w:r>
              <w:rPr>
                <w:rFonts w:hint="eastAsia"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A</w:t>
            </w:r>
            <w:r>
              <w:rPr>
                <w:rFonts w:hint="eastAsia" w:cs="Times New Roman"/>
                <w:b/>
                <w:bCs/>
                <w:color w:val="000000" w:themeColor="text1"/>
                <w:sz w:val="24"/>
                <w:szCs w:val="24"/>
                <w:highlight w:val="none"/>
                <w:lang w:val="en-US" w:eastAsia="zh-CN"/>
                <w14:textFill>
                  <w14:solidFill>
                    <w14:schemeClr w14:val="tx1"/>
                  </w14:solidFill>
                </w14:textFill>
              </w:rPr>
              <w:t>）</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991"/>
              <w:gridCol w:w="856"/>
              <w:gridCol w:w="858"/>
              <w:gridCol w:w="856"/>
              <w:gridCol w:w="858"/>
              <w:gridCol w:w="85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restart"/>
                  <w:tcBorders>
                    <w:top w:val="single" w:color="auto" w:sz="12" w:space="0"/>
                    <w:left w:val="nil"/>
                  </w:tcBorders>
                  <w:noWrap w:val="0"/>
                  <w:vAlign w:val="center"/>
                </w:tcPr>
                <w:p>
                  <w:pPr>
                    <w:snapToGrid w:val="0"/>
                    <w:jc w:val="center"/>
                    <w:rPr>
                      <w:rFonts w:hint="eastAsia"/>
                      <w:b/>
                      <w:bCs/>
                      <w:snapToGrid w:val="0"/>
                      <w:color w:val="000000" w:themeColor="text1"/>
                      <w:kern w:val="0"/>
                      <w:szCs w:val="21"/>
                      <w14:textFill>
                        <w14:solidFill>
                          <w14:schemeClr w14:val="tx1"/>
                        </w14:solidFill>
                      </w14:textFill>
                    </w:rPr>
                  </w:pPr>
                  <w:r>
                    <w:rPr>
                      <w:rFonts w:hint="eastAsia"/>
                      <w:b/>
                      <w:bCs/>
                      <w:color w:val="000000" w:themeColor="text1"/>
                      <w:szCs w:val="21"/>
                      <w14:textFill>
                        <w14:solidFill>
                          <w14:schemeClr w14:val="tx1"/>
                        </w14:solidFill>
                      </w14:textFill>
                    </w:rPr>
                    <w:t>监测</w:t>
                  </w:r>
                  <w:r>
                    <w:rPr>
                      <w:b/>
                      <w:bCs/>
                      <w:color w:val="000000" w:themeColor="text1"/>
                      <w:szCs w:val="21"/>
                      <w14:textFill>
                        <w14:solidFill>
                          <w14:schemeClr w14:val="tx1"/>
                        </w14:solidFill>
                      </w14:textFill>
                    </w:rPr>
                    <w:t>日期</w:t>
                  </w:r>
                </w:p>
              </w:tc>
              <w:tc>
                <w:tcPr>
                  <w:tcW w:w="1135" w:type="pct"/>
                  <w:vMerge w:val="restart"/>
                  <w:tcBorders>
                    <w:top w:val="single" w:color="auto" w:sz="12" w:space="0"/>
                  </w:tcBorders>
                  <w:noWrap w:val="0"/>
                  <w:vAlign w:val="center"/>
                </w:tcPr>
                <w:p>
                  <w:pPr>
                    <w:snapToGrid w:val="0"/>
                    <w:jc w:val="center"/>
                    <w:rPr>
                      <w:rFonts w:hint="eastAsia"/>
                      <w:b/>
                      <w:bCs/>
                      <w:snapToGrid w:val="0"/>
                      <w:color w:val="000000" w:themeColor="text1"/>
                      <w:kern w:val="0"/>
                      <w:szCs w:val="21"/>
                      <w14:textFill>
                        <w14:solidFill>
                          <w14:schemeClr w14:val="tx1"/>
                        </w14:solidFill>
                      </w14:textFill>
                    </w:rPr>
                  </w:pPr>
                  <w:r>
                    <w:rPr>
                      <w:rFonts w:hint="eastAsia"/>
                      <w:b/>
                      <w:bCs/>
                      <w:color w:val="000000" w:themeColor="text1"/>
                      <w:szCs w:val="21"/>
                      <w14:textFill>
                        <w14:solidFill>
                          <w14:schemeClr w14:val="tx1"/>
                        </w14:solidFill>
                      </w14:textFill>
                    </w:rPr>
                    <w:t>监测</w:t>
                  </w:r>
                  <w:r>
                    <w:rPr>
                      <w:b/>
                      <w:bCs/>
                      <w:color w:val="000000" w:themeColor="text1"/>
                      <w:szCs w:val="21"/>
                      <w14:textFill>
                        <w14:solidFill>
                          <w14:schemeClr w14:val="tx1"/>
                        </w14:solidFill>
                      </w14:textFill>
                    </w:rPr>
                    <w:t>点位</w:t>
                  </w:r>
                </w:p>
              </w:tc>
              <w:tc>
                <w:tcPr>
                  <w:tcW w:w="977" w:type="pct"/>
                  <w:gridSpan w:val="2"/>
                  <w:tcBorders>
                    <w:top w:val="single" w:color="auto" w:sz="12" w:space="0"/>
                    <w:right w:val="nil"/>
                  </w:tcBorders>
                  <w:noWrap w:val="0"/>
                  <w:vAlign w:val="center"/>
                </w:tcPr>
                <w:p>
                  <w:pPr>
                    <w:jc w:val="center"/>
                    <w:rPr>
                      <w:rFonts w:hint="eastAsia"/>
                      <w:b/>
                      <w:bCs/>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监测</w:t>
                  </w:r>
                  <w:r>
                    <w:rPr>
                      <w:b/>
                      <w:bCs/>
                      <w:color w:val="000000" w:themeColor="text1"/>
                      <w:szCs w:val="21"/>
                      <w14:textFill>
                        <w14:solidFill>
                          <w14:schemeClr w14:val="tx1"/>
                        </w14:solidFill>
                      </w14:textFill>
                    </w:rPr>
                    <w:t>结果</w:t>
                  </w:r>
                </w:p>
              </w:tc>
              <w:tc>
                <w:tcPr>
                  <w:tcW w:w="977" w:type="pct"/>
                  <w:gridSpan w:val="2"/>
                  <w:tcBorders>
                    <w:top w:val="single" w:color="auto" w:sz="12" w:space="0"/>
                    <w:right w:val="nil"/>
                  </w:tcBorders>
                  <w:noWrap w:val="0"/>
                  <w:vAlign w:val="center"/>
                </w:tcPr>
                <w:p>
                  <w:pPr>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标准值</w:t>
                  </w:r>
                </w:p>
              </w:tc>
              <w:tc>
                <w:tcPr>
                  <w:tcW w:w="977" w:type="pct"/>
                  <w:gridSpan w:val="2"/>
                  <w:tcBorders>
                    <w:top w:val="single" w:color="auto" w:sz="12" w:space="0"/>
                    <w:right w:val="nil"/>
                  </w:tcBorders>
                  <w:noWrap w:val="0"/>
                  <w:vAlign w:val="center"/>
                </w:tcPr>
                <w:p>
                  <w:pPr>
                    <w:jc w:val="center"/>
                    <w:rPr>
                      <w:rFonts w:hint="eastAsia"/>
                      <w:b/>
                      <w:bCs/>
                      <w:color w:val="000000" w:themeColor="text1"/>
                      <w:szCs w:val="21"/>
                      <w:lang w:eastAsia="zh-CN"/>
                      <w14:textFill>
                        <w14:solidFill>
                          <w14:schemeClr w14:val="tx1"/>
                        </w14:solidFill>
                      </w14:textFill>
                    </w:rPr>
                  </w:pPr>
                  <w:r>
                    <w:rPr>
                      <w:rFonts w:hint="eastAsia"/>
                      <w:b/>
                      <w:bCs/>
                      <w:color w:val="000000" w:themeColor="text1"/>
                      <w:szCs w:val="21"/>
                      <w:lang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b/>
                      <w:bCs/>
                      <w:snapToGrid w:val="0"/>
                      <w:color w:val="000000" w:themeColor="text1"/>
                      <w:kern w:val="0"/>
                      <w:szCs w:val="21"/>
                      <w14:textFill>
                        <w14:solidFill>
                          <w14:schemeClr w14:val="tx1"/>
                        </w14:solidFill>
                      </w14:textFill>
                    </w:rPr>
                  </w:pPr>
                </w:p>
              </w:tc>
              <w:tc>
                <w:tcPr>
                  <w:tcW w:w="1135" w:type="pct"/>
                  <w:vMerge w:val="continue"/>
                  <w:noWrap w:val="0"/>
                  <w:vAlign w:val="center"/>
                </w:tcPr>
                <w:p>
                  <w:pPr>
                    <w:snapToGrid w:val="0"/>
                    <w:jc w:val="center"/>
                    <w:rPr>
                      <w:rFonts w:hint="eastAsia"/>
                      <w:b/>
                      <w:bCs/>
                      <w:snapToGrid w:val="0"/>
                      <w:color w:val="000000" w:themeColor="text1"/>
                      <w:kern w:val="0"/>
                      <w:szCs w:val="21"/>
                      <w14:textFill>
                        <w14:solidFill>
                          <w14:schemeClr w14:val="tx1"/>
                        </w14:solidFill>
                      </w14:textFill>
                    </w:rPr>
                  </w:pPr>
                </w:p>
              </w:tc>
              <w:tc>
                <w:tcPr>
                  <w:tcW w:w="488" w:type="pct"/>
                  <w:noWrap w:val="0"/>
                  <w:vAlign w:val="center"/>
                </w:tcPr>
                <w:p>
                  <w:pPr>
                    <w:jc w:val="center"/>
                    <w:rPr>
                      <w:rFonts w:hint="eastAsia"/>
                      <w:b/>
                      <w:bCs/>
                      <w:color w:val="000000" w:themeColor="text1"/>
                      <w14:textFill>
                        <w14:solidFill>
                          <w14:schemeClr w14:val="tx1"/>
                        </w14:solidFill>
                      </w14:textFill>
                    </w:rPr>
                  </w:pPr>
                  <w:r>
                    <w:rPr>
                      <w:b/>
                      <w:bCs/>
                      <w:color w:val="000000" w:themeColor="text1"/>
                      <w14:textFill>
                        <w14:solidFill>
                          <w14:schemeClr w14:val="tx1"/>
                        </w14:solidFill>
                      </w14:textFill>
                    </w:rPr>
                    <w:t>昼间</w:t>
                  </w:r>
                </w:p>
              </w:tc>
              <w:tc>
                <w:tcPr>
                  <w:tcW w:w="489" w:type="pct"/>
                  <w:tcBorders>
                    <w:right w:val="nil"/>
                  </w:tcBorders>
                  <w:noWrap w:val="0"/>
                  <w:vAlign w:val="center"/>
                </w:tcPr>
                <w:p>
                  <w:pPr>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夜间</w:t>
                  </w:r>
                </w:p>
              </w:tc>
              <w:tc>
                <w:tcPr>
                  <w:tcW w:w="488" w:type="pct"/>
                  <w:tcBorders>
                    <w:right w:val="nil"/>
                  </w:tcBorders>
                  <w:noWrap w:val="0"/>
                  <w:vAlign w:val="center"/>
                </w:tcPr>
                <w:p>
                  <w:pPr>
                    <w:jc w:val="center"/>
                    <w:rPr>
                      <w:rFonts w:hint="eastAsia"/>
                      <w:b/>
                      <w:bCs/>
                      <w:color w:val="000000" w:themeColor="text1"/>
                      <w14:textFill>
                        <w14:solidFill>
                          <w14:schemeClr w14:val="tx1"/>
                        </w14:solidFill>
                      </w14:textFill>
                    </w:rPr>
                  </w:pPr>
                  <w:r>
                    <w:rPr>
                      <w:b/>
                      <w:bCs/>
                      <w:color w:val="000000" w:themeColor="text1"/>
                      <w14:textFill>
                        <w14:solidFill>
                          <w14:schemeClr w14:val="tx1"/>
                        </w14:solidFill>
                      </w14:textFill>
                    </w:rPr>
                    <w:t>昼间</w:t>
                  </w:r>
                </w:p>
              </w:tc>
              <w:tc>
                <w:tcPr>
                  <w:tcW w:w="489" w:type="pct"/>
                  <w:tcBorders>
                    <w:right w:val="nil"/>
                  </w:tcBorders>
                  <w:noWrap w:val="0"/>
                  <w:vAlign w:val="center"/>
                </w:tcPr>
                <w:p>
                  <w:pPr>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夜间</w:t>
                  </w:r>
                </w:p>
              </w:tc>
              <w:tc>
                <w:tcPr>
                  <w:tcW w:w="488" w:type="pct"/>
                  <w:tcBorders>
                    <w:right w:val="nil"/>
                  </w:tcBorders>
                  <w:noWrap w:val="0"/>
                  <w:vAlign w:val="center"/>
                </w:tcPr>
                <w:p>
                  <w:pPr>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b/>
                      <w:bCs/>
                      <w:color w:val="000000" w:themeColor="text1"/>
                      <w14:textFill>
                        <w14:solidFill>
                          <w14:schemeClr w14:val="tx1"/>
                        </w14:solidFill>
                      </w14:textFill>
                    </w:rPr>
                    <w:t>昼间</w:t>
                  </w:r>
                </w:p>
              </w:tc>
              <w:tc>
                <w:tcPr>
                  <w:tcW w:w="489" w:type="pct"/>
                  <w:tcBorders>
                    <w:right w:val="nil"/>
                  </w:tcBorders>
                  <w:noWrap w:val="0"/>
                  <w:vAlign w:val="center"/>
                </w:tcPr>
                <w:p>
                  <w:pPr>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b/>
                      <w:bCs/>
                      <w:color w:val="000000" w:themeColor="text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restart"/>
                  <w:tcBorders>
                    <w:left w:val="nil"/>
                  </w:tcBorders>
                  <w:noWrap w:val="0"/>
                  <w:vAlign w:val="center"/>
                </w:tcPr>
                <w:p>
                  <w:pPr>
                    <w:snapToGrid w:val="0"/>
                    <w:jc w:val="center"/>
                    <w:rPr>
                      <w:rFonts w:hint="default"/>
                      <w:snapToGrid w:val="0"/>
                      <w:color w:val="000000" w:themeColor="text1"/>
                      <w:kern w:val="0"/>
                      <w:szCs w:val="21"/>
                      <w:lang w:val="en-US"/>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2023.11.30</w:t>
                  </w:r>
                </w:p>
              </w:tc>
              <w:tc>
                <w:tcPr>
                  <w:tcW w:w="1135" w:type="pct"/>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大金坪村左岸</w:t>
                  </w:r>
                </w:p>
              </w:tc>
              <w:tc>
                <w:tcPr>
                  <w:tcW w:w="488" w:type="pct"/>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52</w:t>
                  </w:r>
                </w:p>
              </w:tc>
              <w:tc>
                <w:tcPr>
                  <w:tcW w:w="489" w:type="pct"/>
                  <w:tcBorders>
                    <w:right w:val="nil"/>
                  </w:tcBorders>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45</w:t>
                  </w:r>
                </w:p>
              </w:tc>
              <w:tc>
                <w:tcPr>
                  <w:tcW w:w="488" w:type="pct"/>
                  <w:tcBorders>
                    <w:right w:val="nil"/>
                  </w:tcBorders>
                  <w:noWrap w:val="0"/>
                  <w:vAlign w:val="center"/>
                </w:tcPr>
                <w:p>
                  <w:pPr>
                    <w:snapToGrid w:val="0"/>
                    <w:jc w:val="center"/>
                    <w:rPr>
                      <w:rFonts w:hint="default"/>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55</w:t>
                  </w:r>
                </w:p>
              </w:tc>
              <w:tc>
                <w:tcPr>
                  <w:tcW w:w="489" w:type="pct"/>
                  <w:tcBorders>
                    <w:right w:val="nil"/>
                  </w:tcBorders>
                  <w:noWrap w:val="0"/>
                  <w:vAlign w:val="center"/>
                </w:tcPr>
                <w:p>
                  <w:pPr>
                    <w:snapToGrid w:val="0"/>
                    <w:jc w:val="center"/>
                    <w:rPr>
                      <w:rFonts w:hint="default"/>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45</w:t>
                  </w:r>
                </w:p>
              </w:tc>
              <w:tc>
                <w:tcPr>
                  <w:tcW w:w="488" w:type="pct"/>
                  <w:tcBorders>
                    <w:right w:val="nil"/>
                  </w:tcBorders>
                  <w:noWrap w:val="0"/>
                  <w:vAlign w:val="center"/>
                </w:tcPr>
                <w:p>
                  <w:pPr>
                    <w:snapToGrid w:val="0"/>
                    <w:jc w:val="center"/>
                    <w:rPr>
                      <w:rFonts w:hint="eastAsia"/>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c>
                <w:tcPr>
                  <w:tcW w:w="489" w:type="pct"/>
                  <w:tcBorders>
                    <w:right w:val="nil"/>
                  </w:tcBorders>
                  <w:noWrap w:val="0"/>
                  <w:vAlign w:val="center"/>
                </w:tcPr>
                <w:p>
                  <w:pPr>
                    <w:snapToGrid w:val="0"/>
                    <w:jc w:val="center"/>
                    <w:rPr>
                      <w:rFonts w:hint="eastAsia"/>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snapToGrid w:val="0"/>
                      <w:color w:val="000000" w:themeColor="text1"/>
                      <w:kern w:val="0"/>
                      <w:szCs w:val="21"/>
                      <w14:textFill>
                        <w14:solidFill>
                          <w14:schemeClr w14:val="tx1"/>
                        </w14:solidFill>
                      </w14:textFill>
                    </w:rPr>
                  </w:pPr>
                </w:p>
              </w:tc>
              <w:tc>
                <w:tcPr>
                  <w:tcW w:w="1135" w:type="pct"/>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小峪河村右岸</w:t>
                  </w:r>
                </w:p>
              </w:tc>
              <w:tc>
                <w:tcPr>
                  <w:tcW w:w="488" w:type="pct"/>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53</w:t>
                  </w:r>
                </w:p>
              </w:tc>
              <w:tc>
                <w:tcPr>
                  <w:tcW w:w="489" w:type="pct"/>
                  <w:tcBorders>
                    <w:right w:val="nil"/>
                  </w:tcBorders>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44</w:t>
                  </w:r>
                </w:p>
              </w:tc>
              <w:tc>
                <w:tcPr>
                  <w:tcW w:w="488" w:type="pct"/>
                  <w:tcBorders>
                    <w:right w:val="nil"/>
                  </w:tcBorders>
                  <w:noWrap w:val="0"/>
                  <w:vAlign w:val="center"/>
                </w:tcPr>
                <w:p>
                  <w:pPr>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55</w:t>
                  </w:r>
                </w:p>
              </w:tc>
              <w:tc>
                <w:tcPr>
                  <w:tcW w:w="489" w:type="pct"/>
                  <w:tcBorders>
                    <w:right w:val="nil"/>
                  </w:tcBorders>
                  <w:noWrap w:val="0"/>
                  <w:vAlign w:val="center"/>
                </w:tcPr>
                <w:p>
                  <w:pPr>
                    <w:snapToGrid w:val="0"/>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snapToGrid w:val="0"/>
                      <w:color w:val="000000" w:themeColor="text1"/>
                      <w:kern w:val="0"/>
                      <w:szCs w:val="21"/>
                      <w14:textFill>
                        <w14:solidFill>
                          <w14:schemeClr w14:val="tx1"/>
                        </w14:solidFill>
                      </w14:textFill>
                    </w:rPr>
                  </w:pPr>
                </w:p>
              </w:tc>
              <w:tc>
                <w:tcPr>
                  <w:tcW w:w="1135" w:type="pct"/>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板庙子村右岸</w:t>
                  </w:r>
                </w:p>
              </w:tc>
              <w:tc>
                <w:tcPr>
                  <w:tcW w:w="488" w:type="pct"/>
                  <w:noWrap w:val="0"/>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489" w:type="pct"/>
                  <w:tcBorders>
                    <w:right w:val="nil"/>
                  </w:tcBorders>
                  <w:noWrap w:val="0"/>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43</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55</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rFonts w:hint="eastAsia"/>
                      <w:snapToGrid w:val="0"/>
                      <w:color w:val="000000" w:themeColor="text1"/>
                      <w:kern w:val="0"/>
                      <w:szCs w:val="21"/>
                      <w14:textFill>
                        <w14:solidFill>
                          <w14:schemeClr w14:val="tx1"/>
                        </w14:solidFill>
                      </w14:textFill>
                    </w:rPr>
                  </w:pPr>
                </w:p>
              </w:tc>
              <w:tc>
                <w:tcPr>
                  <w:tcW w:w="1135" w:type="pct"/>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五里庙村右岸</w:t>
                  </w:r>
                </w:p>
              </w:tc>
              <w:tc>
                <w:tcPr>
                  <w:tcW w:w="488" w:type="pct"/>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shd w:val="clear" w:color="auto" w:fill="auto"/>
                      <w:lang w:val="en-US" w:eastAsia="zh-CN"/>
                      <w14:textFill>
                        <w14:solidFill>
                          <w14:schemeClr w14:val="tx1"/>
                        </w14:solidFill>
                      </w14:textFill>
                    </w:rPr>
                    <w:t>56</w:t>
                  </w:r>
                </w:p>
              </w:tc>
              <w:tc>
                <w:tcPr>
                  <w:tcW w:w="489" w:type="pct"/>
                  <w:tcBorders>
                    <w:right w:val="nil"/>
                  </w:tcBorders>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55</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不达标</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restart"/>
                  <w:tcBorders>
                    <w:left w:val="nil"/>
                  </w:tcBorders>
                  <w:noWrap w:val="0"/>
                  <w:vAlign w:val="center"/>
                </w:tcPr>
                <w:p>
                  <w:pPr>
                    <w:snapToGrid w:val="0"/>
                    <w:jc w:val="center"/>
                    <w:rPr>
                      <w:rFonts w:hint="default"/>
                      <w:snapToGrid w:val="0"/>
                      <w:color w:val="000000" w:themeColor="text1"/>
                      <w:kern w:val="0"/>
                      <w:szCs w:val="21"/>
                      <w:lang w:val="en-US"/>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2023.12.1</w:t>
                  </w:r>
                </w:p>
              </w:tc>
              <w:tc>
                <w:tcPr>
                  <w:tcW w:w="1135" w:type="pct"/>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大金坪村左岸</w:t>
                  </w:r>
                </w:p>
              </w:tc>
              <w:tc>
                <w:tcPr>
                  <w:tcW w:w="488" w:type="pct"/>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53</w:t>
                  </w:r>
                </w:p>
              </w:tc>
              <w:tc>
                <w:tcPr>
                  <w:tcW w:w="489" w:type="pct"/>
                  <w:tcBorders>
                    <w:right w:val="nil"/>
                  </w:tcBorders>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42</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55</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snapToGrid w:val="0"/>
                      <w:color w:val="000000" w:themeColor="text1"/>
                      <w:kern w:val="0"/>
                      <w:szCs w:val="21"/>
                      <w14:textFill>
                        <w14:solidFill>
                          <w14:schemeClr w14:val="tx1"/>
                        </w14:solidFill>
                      </w14:textFill>
                    </w:rPr>
                  </w:pPr>
                </w:p>
              </w:tc>
              <w:tc>
                <w:tcPr>
                  <w:tcW w:w="1135" w:type="pct"/>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小峪河村右岸</w:t>
                  </w:r>
                </w:p>
              </w:tc>
              <w:tc>
                <w:tcPr>
                  <w:tcW w:w="488" w:type="pct"/>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55</w:t>
                  </w:r>
                </w:p>
              </w:tc>
              <w:tc>
                <w:tcPr>
                  <w:tcW w:w="489" w:type="pct"/>
                  <w:tcBorders>
                    <w:right w:val="nil"/>
                  </w:tcBorders>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44</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55</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tcBorders>
                  <w:noWrap w:val="0"/>
                  <w:vAlign w:val="center"/>
                </w:tcPr>
                <w:p>
                  <w:pPr>
                    <w:snapToGrid w:val="0"/>
                    <w:jc w:val="center"/>
                    <w:rPr>
                      <w:snapToGrid w:val="0"/>
                      <w:color w:val="000000" w:themeColor="text1"/>
                      <w:kern w:val="0"/>
                      <w:szCs w:val="21"/>
                      <w14:textFill>
                        <w14:solidFill>
                          <w14:schemeClr w14:val="tx1"/>
                        </w14:solidFill>
                      </w14:textFill>
                    </w:rPr>
                  </w:pPr>
                </w:p>
              </w:tc>
              <w:tc>
                <w:tcPr>
                  <w:tcW w:w="1135" w:type="pct"/>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板庙子村右岸</w:t>
                  </w:r>
                </w:p>
              </w:tc>
              <w:tc>
                <w:tcPr>
                  <w:tcW w:w="488" w:type="pct"/>
                  <w:noWrap w:val="0"/>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51</w:t>
                  </w:r>
                </w:p>
              </w:tc>
              <w:tc>
                <w:tcPr>
                  <w:tcW w:w="489" w:type="pct"/>
                  <w:tcBorders>
                    <w:right w:val="nil"/>
                  </w:tcBorders>
                  <w:noWrap w:val="0"/>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41</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55</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45</w:t>
                  </w:r>
                </w:p>
              </w:tc>
              <w:tc>
                <w:tcPr>
                  <w:tcW w:w="488"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c>
                <w:tcPr>
                  <w:tcW w:w="489" w:type="pct"/>
                  <w:tcBorders>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3" w:type="pct"/>
                  <w:vMerge w:val="continue"/>
                  <w:tcBorders>
                    <w:left w:val="nil"/>
                    <w:bottom w:val="single" w:color="auto" w:sz="12" w:space="0"/>
                  </w:tcBorders>
                  <w:noWrap w:val="0"/>
                  <w:vAlign w:val="center"/>
                </w:tcPr>
                <w:p>
                  <w:pPr>
                    <w:snapToGrid w:val="0"/>
                    <w:jc w:val="center"/>
                    <w:rPr>
                      <w:rFonts w:hint="eastAsia"/>
                      <w:snapToGrid w:val="0"/>
                      <w:color w:val="000000" w:themeColor="text1"/>
                      <w:kern w:val="0"/>
                      <w:szCs w:val="21"/>
                      <w14:textFill>
                        <w14:solidFill>
                          <w14:schemeClr w14:val="tx1"/>
                        </w14:solidFill>
                      </w14:textFill>
                    </w:rPr>
                  </w:pPr>
                </w:p>
              </w:tc>
              <w:tc>
                <w:tcPr>
                  <w:tcW w:w="1135" w:type="pct"/>
                  <w:tcBorders>
                    <w:bottom w:val="single" w:color="auto" w:sz="12" w:space="0"/>
                  </w:tcBorders>
                  <w:noWrap w:val="0"/>
                  <w:vAlign w:val="center"/>
                </w:tcPr>
                <w:p>
                  <w:pPr>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五里庙村右岸</w:t>
                  </w:r>
                </w:p>
              </w:tc>
              <w:tc>
                <w:tcPr>
                  <w:tcW w:w="488" w:type="pct"/>
                  <w:tcBorders>
                    <w:bottom w:val="single" w:color="auto" w:sz="12" w:space="0"/>
                  </w:tcBorders>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53</w:t>
                  </w:r>
                </w:p>
              </w:tc>
              <w:tc>
                <w:tcPr>
                  <w:tcW w:w="489" w:type="pct"/>
                  <w:tcBorders>
                    <w:bottom w:val="single" w:color="auto" w:sz="12" w:space="0"/>
                    <w:right w:val="nil"/>
                  </w:tcBorders>
                  <w:noWrap w:val="0"/>
                  <w:vAlign w:val="center"/>
                </w:tcPr>
                <w:p>
                  <w:pPr>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42</w:t>
                  </w:r>
                </w:p>
              </w:tc>
              <w:tc>
                <w:tcPr>
                  <w:tcW w:w="488"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55</w:t>
                  </w:r>
                </w:p>
              </w:tc>
              <w:tc>
                <w:tcPr>
                  <w:tcW w:w="489"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45</w:t>
                  </w:r>
                </w:p>
              </w:tc>
              <w:tc>
                <w:tcPr>
                  <w:tcW w:w="488"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c>
                <w:tcPr>
                  <w:tcW w:w="489" w:type="pct"/>
                  <w:tcBorders>
                    <w:bottom w:val="single" w:color="auto" w:sz="12" w:space="0"/>
                    <w:right w:val="nil"/>
                  </w:tcBorders>
                  <w:noWrap w:val="0"/>
                  <w:vAlign w:val="center"/>
                </w:tcPr>
                <w:p>
                  <w:pPr>
                    <w:snapToGrid w:val="0"/>
                    <w:jc w:val="center"/>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达标</w:t>
                  </w:r>
                </w:p>
              </w:tc>
            </w:tr>
          </w:tbl>
          <w:p>
            <w:pPr>
              <w:pStyle w:val="2"/>
              <w:adjustRightInd w:val="0"/>
              <w:snapToGrid w:val="0"/>
              <w:spacing w:line="360" w:lineRule="auto"/>
              <w:ind w:left="0" w:leftChars="0"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highlight w:val="none"/>
                <w:lang w:val="zh-CN"/>
                <w14:textFill>
                  <w14:solidFill>
                    <w14:schemeClr w14:val="tx1"/>
                  </w14:solidFill>
                </w14:textFill>
              </w:rPr>
              <w:t>依据《西安市声环境功能区划方案》，乡村区域及规划未建成区域，根据《声环境质量标准》（GB 3096-2008）中乡村声环境功能区确定，《声环境质量标准》（GB3096-2008）要求村庄原则上执行1类声环境功能区要求。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w:t>
            </w:r>
            <w:r>
              <w:rPr>
                <w:rFonts w:hint="eastAsia" w:cs="Times New Roman"/>
                <w:color w:val="000000" w:themeColor="text1"/>
                <w:sz w:val="24"/>
                <w:szCs w:val="24"/>
                <w:highlight w:val="none"/>
                <w:lang w:val="en-US" w:eastAsia="zh-CN"/>
                <w14:textFill>
                  <w14:solidFill>
                    <w14:schemeClr w14:val="tx1"/>
                  </w14:solidFill>
                </w14:textFill>
              </w:rPr>
              <w:t>大峪河段施工地点临近大新路，小峪河段项目施工地点临近村道，监测时大峪河五里庙村附近大新路过往车辆较多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对声环境影响较大，</w:t>
            </w:r>
            <w:r>
              <w:rPr>
                <w:rFonts w:hint="eastAsia"/>
                <w:color w:val="000000" w:themeColor="text1"/>
                <w:sz w:val="24"/>
                <w:highlight w:val="none"/>
                <w:lang w:val="zh-CN"/>
                <w14:textFill>
                  <w14:solidFill>
                    <w14:schemeClr w14:val="tx1"/>
                  </w14:solidFill>
                </w14:textFill>
              </w:rPr>
              <w:t>声环境监测结果显示，</w:t>
            </w:r>
            <w:r>
              <w:rPr>
                <w:rFonts w:hint="eastAsia" w:cs="Times New Roman"/>
                <w:color w:val="000000" w:themeColor="text1"/>
                <w:sz w:val="24"/>
                <w:szCs w:val="24"/>
                <w:highlight w:val="none"/>
                <w:lang w:val="en-US" w:eastAsia="zh-CN"/>
                <w14:textFill>
                  <w14:solidFill>
                    <w14:schemeClr w14:val="tx1"/>
                  </w14:solidFill>
                </w14:textFill>
              </w:rPr>
              <w:t>除2023年11月30日五里庙村右岸昼间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噪声值</w:t>
            </w:r>
            <w:r>
              <w:rPr>
                <w:rFonts w:hint="eastAsia" w:cs="Times New Roman"/>
                <w:color w:val="000000" w:themeColor="text1"/>
                <w:sz w:val="24"/>
                <w:szCs w:val="24"/>
                <w:highlight w:val="none"/>
                <w:lang w:val="en-US" w:eastAsia="zh-CN"/>
                <w14:textFill>
                  <w14:solidFill>
                    <w14:schemeClr w14:val="tx1"/>
                  </w14:solidFill>
                </w14:textFill>
              </w:rPr>
              <w:t>超标外，其余敏感点位噪声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满足《声环境质量标准》（GB3096-2008）中</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类标准。</w:t>
            </w:r>
          </w:p>
          <w:p>
            <w:pPr>
              <w:pStyle w:val="2"/>
              <w:adjustRightInd w:val="0"/>
              <w:snapToGrid w:val="0"/>
              <w:spacing w:line="360" w:lineRule="auto"/>
              <w:ind w:left="0" w:leftChars="0" w:firstLine="482"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4.地表水环境质量现状</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（1）监测</w:t>
            </w:r>
            <w:r>
              <w:rPr>
                <w:rFonts w:hint="eastAsia" w:cs="Times New Roman"/>
                <w:color w:val="000000" w:themeColor="text1"/>
                <w:sz w:val="24"/>
                <w:szCs w:val="24"/>
                <w:highlight w:val="none"/>
                <w:lang w:val="en-US" w:eastAsia="zh-CN"/>
                <w14:textFill>
                  <w14:solidFill>
                    <w14:schemeClr w14:val="tx1"/>
                  </w14:solidFill>
                </w14:textFill>
              </w:rPr>
              <w:t>断面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及监测频次</w:t>
            </w:r>
          </w:p>
          <w:p>
            <w:pPr>
              <w:pStyle w:val="2"/>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本线路范围内主要影响水域为</w:t>
            </w:r>
            <w:r>
              <w:rPr>
                <w:rFonts w:hint="eastAsia" w:cs="Times New Roman"/>
                <w:color w:val="000000" w:themeColor="text1"/>
                <w:sz w:val="24"/>
                <w:szCs w:val="24"/>
                <w:highlight w:val="none"/>
                <w:lang w:val="en-US" w:eastAsia="zh-CN"/>
                <w14:textFill>
                  <w14:solidFill>
                    <w14:schemeClr w14:val="tx1"/>
                  </w14:solidFill>
                </w14:textFill>
              </w:rPr>
              <w:t>大峪河、小峪河</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，委托中量检测认证有限公司于2023年11月30日至12月</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日在</w:t>
            </w:r>
            <w:r>
              <w:rPr>
                <w:rFonts w:hint="eastAsia" w:cs="Times New Roman"/>
                <w:color w:val="000000" w:themeColor="text1"/>
                <w:sz w:val="24"/>
                <w:szCs w:val="24"/>
                <w:highlight w:val="none"/>
                <w:lang w:val="en-US" w:eastAsia="zh-CN"/>
                <w14:textFill>
                  <w14:solidFill>
                    <w14:schemeClr w14:val="tx1"/>
                  </w14:solidFill>
                </w14:textFill>
              </w:rPr>
              <w:t>大峪河、小峪河的上、</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下游河段</w:t>
            </w:r>
            <w:r>
              <w:rPr>
                <w:rFonts w:hint="eastAsia" w:cs="Times New Roman"/>
                <w:color w:val="000000" w:themeColor="text1"/>
                <w:sz w:val="24"/>
                <w:szCs w:val="24"/>
                <w:highlight w:val="none"/>
                <w:lang w:val="en-US" w:eastAsia="zh-CN"/>
                <w14:textFill>
                  <w14:solidFill>
                    <w14:schemeClr w14:val="tx1"/>
                  </w14:solidFill>
                </w14:textFill>
              </w:rPr>
              <w:t>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设置1个水质断面监测点，连续监测3天，每天1次。</w:t>
            </w:r>
          </w:p>
          <w:p>
            <w:pPr>
              <w:pStyle w:val="2"/>
              <w:numPr>
                <w:ilvl w:val="0"/>
                <w:numId w:val="0"/>
              </w:numPr>
              <w:adjustRightInd w:val="0"/>
              <w:snapToGrid w:val="0"/>
              <w:spacing w:line="360" w:lineRule="auto"/>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检测项目及</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监测分析方法</w:t>
            </w:r>
          </w:p>
          <w:p>
            <w:pPr>
              <w:pStyle w:val="2"/>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本次地表水环境主要监测《地表水环境质量标准》（GB3838-2002）表1地表水环境质量标准基本项目及悬浮物</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，检测项目及监测分析方法</w:t>
            </w:r>
            <w:r>
              <w:rPr>
                <w:rFonts w:hint="eastAsia" w:cs="Times New Roman"/>
                <w:color w:val="000000" w:themeColor="text1"/>
                <w:sz w:val="24"/>
                <w:szCs w:val="24"/>
                <w:highlight w:val="none"/>
                <w:lang w:val="en-US" w:eastAsia="zh-CN"/>
                <w14:textFill>
                  <w14:solidFill>
                    <w14:schemeClr w14:val="tx1"/>
                  </w14:solidFill>
                </w14:textFill>
              </w:rPr>
              <w:t>见表3-10。</w:t>
            </w:r>
          </w:p>
          <w:p>
            <w:pPr>
              <w:pStyle w:val="2"/>
              <w:adjustRightInd w:val="0"/>
              <w:snapToGrid w:val="0"/>
              <w:ind w:firstLine="0"/>
              <w:jc w:val="center"/>
              <w:rPr>
                <w:rFonts w:hint="default"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10</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主要分析仪器及分析方法</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2"/>
              <w:gridCol w:w="866"/>
              <w:gridCol w:w="1367"/>
              <w:gridCol w:w="2541"/>
              <w:gridCol w:w="2260"/>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97"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493"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检测项目</w:t>
                  </w:r>
                </w:p>
              </w:tc>
              <w:tc>
                <w:tcPr>
                  <w:tcW w:w="778"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检测标准</w:t>
                  </w:r>
                </w:p>
              </w:tc>
              <w:tc>
                <w:tcPr>
                  <w:tcW w:w="1447"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检测方法</w:t>
                  </w:r>
                </w:p>
              </w:tc>
              <w:tc>
                <w:tcPr>
                  <w:tcW w:w="1287"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检测仪器</w:t>
                  </w:r>
                </w:p>
              </w:tc>
              <w:tc>
                <w:tcPr>
                  <w:tcW w:w="695" w:type="pct"/>
                  <w:tcBorders>
                    <w:tl2br w:val="nil"/>
                    <w:tr2bl w:val="nil"/>
                  </w:tcBorders>
                  <w:shd w:val="clear" w:color="auto" w:fill="auto"/>
                  <w:noWrap w:val="0"/>
                  <w:vAlign w:val="center"/>
                </w:tcPr>
                <w:p>
                  <w:pPr>
                    <w:pStyle w:val="2"/>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检出限/最低检出浓度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pH值</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 1147-2020</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pH值的测定 电极法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SX376</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便携式多参数分析仪</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ZL-HJ-01025-2022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GB/T</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13195-1991</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水温的测定 温度计或颠倒温度计测定法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深水温度计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ZL-HJ-01035-2022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3</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五日生化需氧量</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 505-2009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五日生化需氧量（BOD5）的测定 稀释与接种法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溶解氧仪 JPB-605</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4</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化学需氧量</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 828-2017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化学需氧量的测定 重铬酸盐法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25ml滴定管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ZL-HJ-10008-2022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CODcr消解仪GH-108</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ZL-HJ-08023-2022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5</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高锰酸盐指数</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GB/T 11892-1989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高锰酸盐指数的测定</w:t>
                  </w:r>
                </w:p>
              </w:tc>
              <w:tc>
                <w:tcPr>
                  <w:tcW w:w="1287"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水浴锅</w:t>
                  </w:r>
                </w:p>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ZL-HJ-08001-2022</w:t>
                  </w:r>
                </w:p>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25ml酸式滴定管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ZL-HJ-10008-2022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6</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 xml:space="preserve">溶解氧   </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HJ506-2009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溶解氧的测定 电化学探头法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SX376</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便携式多参数分析仪</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ZL-HJ-01025-2022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7</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石油类</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HJ970-2018</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石油类的测定 紫外分光光度法（试行）</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8</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挥发酚</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HJ503-2009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挥发酚的测定 4-氨基安替比林分光光度法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9</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氰化物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HJ484-2009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氰化物的测定 容量法和分光光度法（方法2异烟酸-吡唑啉酮分光光度法）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10</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氟化物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7484-1987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氟化物的测定 离子选择电极法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离子计 P917</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ZL-HJ-06006-2022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11</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硫化物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 1226-2021</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硫化物的测定 亚甲基蓝分光光度法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0.01</w:t>
                  </w: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12</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阴离子表面活性剂</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 7494-1987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阴离子表面活性剂的测定 亚甲蓝分光光度法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13</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氨氮</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 535-2009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氨氮的测定 纳氏试剂分光光度法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14</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总氮</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HJ636-2012</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总氮的测定 碱性过硫酸钾消解紫外分光光度法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15</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总磷</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GB/T 11893-1989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总磷的测定 钼酸铵分光光度法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16</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粪大肠</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菌群</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HJ347.2-2018</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粪大肠菌群的测定 多管发酵法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生化培养箱 37°C±0.5°C</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SPX-250BE</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ZL-HJ-11014-20223</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44.5°C±0.5°C</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ZL-HJ-11003-2022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电子天平 JCS-31001C</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ZL-HJ-11007-2022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17</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铅</w:t>
                  </w:r>
                </w:p>
              </w:tc>
              <w:tc>
                <w:tcPr>
                  <w:tcW w:w="778"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GB7475-1987</w:t>
                  </w:r>
                </w:p>
              </w:tc>
              <w:tc>
                <w:tcPr>
                  <w:tcW w:w="144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铜、锌、铅、镉的测定原子吸收分光光度法</w:t>
                  </w:r>
                </w:p>
              </w:tc>
              <w:tc>
                <w:tcPr>
                  <w:tcW w:w="128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原子吸收分光光度计 A3</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ZL-HJ-05002-2022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bidi="ar-SA"/>
                      <w14:textFill>
                        <w14:solidFill>
                          <w14:schemeClr w14:val="tx1"/>
                        </w14:solidFill>
                      </w14:textFill>
                    </w:rPr>
                    <w:t>0.01</w:t>
                  </w: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18</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镉</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w:t>
                  </w:r>
                  <w:r>
                    <w:rPr>
                      <w:rFonts w:hint="eastAsia" w:cs="Times New Roman"/>
                      <w:i w:val="0"/>
                      <w:iCs w:val="0"/>
                      <w:color w:val="000000" w:themeColor="text1"/>
                      <w:sz w:val="21"/>
                      <w:szCs w:val="21"/>
                      <w:u w:val="none"/>
                      <w:lang w:val="en-US" w:eastAsia="zh-CN" w:bidi="ar-SA"/>
                      <w14:textFill>
                        <w14:solidFill>
                          <w14:schemeClr w14:val="tx1"/>
                        </w14:solidFill>
                      </w14:textFill>
                    </w:rPr>
                    <w:t>00</w:t>
                  </w: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19</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铜</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20</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锌</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21</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砷</w:t>
                  </w:r>
                </w:p>
              </w:tc>
              <w:tc>
                <w:tcPr>
                  <w:tcW w:w="778"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HJ 694-2014</w:t>
                  </w:r>
                </w:p>
              </w:tc>
              <w:tc>
                <w:tcPr>
                  <w:tcW w:w="144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汞、砷、硒、铋、锑的测定 原子荧光法</w:t>
                  </w:r>
                </w:p>
              </w:tc>
              <w:tc>
                <w:tcPr>
                  <w:tcW w:w="128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双道原子荧光光度计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AFS-3100</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ZL-HJ-05001-2022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0.3µg/L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bidi="ar-SA"/>
                      <w14:textFill>
                        <w14:solidFill>
                          <w14:schemeClr w14:val="tx1"/>
                        </w14:solidFill>
                      </w14:textFill>
                    </w:rPr>
                    <w:t>22</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硒</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w:t>
                  </w:r>
                  <w:r>
                    <w:rPr>
                      <w:rFonts w:hint="eastAsia" w:cs="Times New Roman"/>
                      <w:i w:val="0"/>
                      <w:iCs w:val="0"/>
                      <w:color w:val="000000" w:themeColor="text1"/>
                      <w:sz w:val="21"/>
                      <w:szCs w:val="21"/>
                      <w:u w:val="none"/>
                      <w:lang w:val="en-US" w:eastAsia="zh-CN" w:bidi="ar-SA"/>
                      <w14:textFill>
                        <w14:solidFill>
                          <w14:schemeClr w14:val="tx1"/>
                        </w14:solidFill>
                      </w14:textFill>
                    </w:rPr>
                    <w:t>4</w:t>
                  </w: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µg/L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w:t>
                  </w:r>
                  <w:r>
                    <w:rPr>
                      <w:rFonts w:hint="eastAsia" w:cs="Times New Roman"/>
                      <w:i w:val="0"/>
                      <w:iCs w:val="0"/>
                      <w:color w:val="000000" w:themeColor="text1"/>
                      <w:sz w:val="21"/>
                      <w:szCs w:val="21"/>
                      <w:u w:val="none"/>
                      <w:lang w:val="en-US" w:eastAsia="zh-CN" w:bidi="ar-SA"/>
                      <w14:textFill>
                        <w14:solidFill>
                          <w14:schemeClr w14:val="tx1"/>
                        </w14:solidFill>
                      </w14:textFill>
                    </w:rPr>
                    <w:t>3</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汞</w:t>
                  </w:r>
                </w:p>
              </w:tc>
              <w:tc>
                <w:tcPr>
                  <w:tcW w:w="7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44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128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0.04µg/L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w:t>
                  </w:r>
                  <w:r>
                    <w:rPr>
                      <w:rFonts w:hint="eastAsia" w:cs="Times New Roman"/>
                      <w:i w:val="0"/>
                      <w:iCs w:val="0"/>
                      <w:color w:val="000000" w:themeColor="text1"/>
                      <w:sz w:val="21"/>
                      <w:szCs w:val="21"/>
                      <w:u w:val="none"/>
                      <w:lang w:val="en-US" w:eastAsia="zh-CN" w:bidi="ar-SA"/>
                      <w14:textFill>
                        <w14:solidFill>
                          <w14:schemeClr w14:val="tx1"/>
                        </w14:solidFill>
                      </w14:textFill>
                    </w:rPr>
                    <w:t>4</w:t>
                  </w:r>
                </w:p>
              </w:tc>
              <w:tc>
                <w:tcPr>
                  <w:tcW w:w="49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六价铬</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 7467-1987</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六价铬的测定 二苯碳酰二肼分光光度法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紫外可见分光光度计</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上海菁华 752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ZL-HJ-06002-2021</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25</w:t>
                  </w:r>
                </w:p>
              </w:tc>
              <w:tc>
                <w:tcPr>
                  <w:tcW w:w="49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悬浮物</w:t>
                  </w:r>
                </w:p>
              </w:tc>
              <w:tc>
                <w:tcPr>
                  <w:tcW w:w="7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GB/T 11901-1989</w:t>
                  </w:r>
                </w:p>
              </w:tc>
              <w:tc>
                <w:tcPr>
                  <w:tcW w:w="144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水质 悬浮物的测定 重量法</w:t>
                  </w:r>
                </w:p>
              </w:tc>
              <w:tc>
                <w:tcPr>
                  <w:tcW w:w="1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恒温鼓风干燥箱 202-00A</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ZL-HJ-08008-2022</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分析天平 AL204-IC</w:t>
                  </w:r>
                </w:p>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ZL-HJ-07002-2022</w:t>
                  </w:r>
                </w:p>
              </w:tc>
              <w:tc>
                <w:tcPr>
                  <w:tcW w:w="69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bidi="ar-SA"/>
                      <w14:textFill>
                        <w14:solidFill>
                          <w14:schemeClr w14:val="tx1"/>
                        </w14:solidFill>
                      </w14:textFill>
                    </w:rPr>
                    <w:t>/</w:t>
                  </w:r>
                </w:p>
              </w:tc>
            </w:tr>
          </w:tbl>
          <w:p>
            <w:pPr>
              <w:pStyle w:val="2"/>
              <w:numPr>
                <w:ilvl w:val="0"/>
                <w:numId w:val="1"/>
              </w:numPr>
              <w:adjustRightInd w:val="0"/>
              <w:snapToGrid w:val="0"/>
              <w:spacing w:line="360" w:lineRule="auto"/>
              <w:ind w:left="0" w:leftChars="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监测结果</w:t>
            </w:r>
          </w:p>
          <w:p>
            <w:pPr>
              <w:pStyle w:val="2"/>
              <w:adjustRightInd w:val="0"/>
              <w:snapToGrid w:val="0"/>
              <w:ind w:firstLine="0"/>
              <w:jc w:val="center"/>
              <w:rPr>
                <w:rFonts w:hint="default" w:ascii="Times New Roman" w:hAnsi="Times New Roman" w:cs="Times New Roman"/>
                <w:b/>
                <w:bCs/>
                <w:color w:val="000000" w:themeColor="text1"/>
                <w:sz w:val="24"/>
                <w:szCs w:val="24"/>
                <w:highlight w:val="none"/>
                <w:vertAlign w:val="superscript"/>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11</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监测结果一览表</w:t>
            </w:r>
          </w:p>
          <w:tbl>
            <w:tblPr>
              <w:tblStyle w:val="25"/>
              <w:tblW w:w="8997"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491"/>
              <w:gridCol w:w="1269"/>
              <w:gridCol w:w="886"/>
              <w:gridCol w:w="914"/>
              <w:gridCol w:w="872"/>
              <w:gridCol w:w="887"/>
              <w:gridCol w:w="900"/>
              <w:gridCol w:w="1200"/>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rFonts w:hint="eastAsia" w:eastAsia="宋体"/>
                      <w:b/>
                      <w:bCs/>
                      <w:color w:val="000000" w:themeColor="text1"/>
                      <w:kern w:val="0"/>
                      <w:lang w:eastAsia="zh-CN"/>
                      <w14:textFill>
                        <w14:solidFill>
                          <w14:schemeClr w14:val="tx1"/>
                        </w14:solidFill>
                      </w14:textFill>
                    </w:rPr>
                  </w:pPr>
                  <w:r>
                    <w:rPr>
                      <w:rFonts w:hint="eastAsia"/>
                      <w:b/>
                      <w:bCs/>
                      <w:color w:val="000000" w:themeColor="text1"/>
                      <w:kern w:val="0"/>
                      <w:lang w:eastAsia="zh-CN"/>
                      <w14:textFill>
                        <w14:solidFill>
                          <w14:schemeClr w14:val="tx1"/>
                        </w14:solidFill>
                      </w14:textFill>
                    </w:rPr>
                    <w:t>监测日期</w:t>
                  </w:r>
                </w:p>
              </w:tc>
              <w:tc>
                <w:tcPr>
                  <w:tcW w:w="272" w:type="pct"/>
                  <w:vMerge w:val="restart"/>
                  <w:tcBorders>
                    <w:tl2br w:val="nil"/>
                    <w:tr2bl w:val="nil"/>
                  </w:tcBorders>
                  <w:shd w:val="clear" w:color="auto" w:fill="auto"/>
                  <w:vAlign w:val="center"/>
                </w:tcPr>
                <w:p>
                  <w:pPr>
                    <w:widowControl/>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序号</w:t>
                  </w:r>
                </w:p>
              </w:tc>
              <w:tc>
                <w:tcPr>
                  <w:tcW w:w="705" w:type="pct"/>
                  <w:vMerge w:val="restart"/>
                  <w:tcBorders>
                    <w:tl2br w:val="nil"/>
                    <w:tr2bl w:val="nil"/>
                  </w:tcBorders>
                  <w:shd w:val="clear" w:color="auto" w:fill="auto"/>
                  <w:vAlign w:val="center"/>
                </w:tcPr>
                <w:p>
                  <w:pPr>
                    <w:widowControl/>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监测项目</w:t>
                  </w:r>
                </w:p>
              </w:tc>
              <w:tc>
                <w:tcPr>
                  <w:tcW w:w="492" w:type="pct"/>
                  <w:vMerge w:val="restart"/>
                  <w:tcBorders>
                    <w:tl2br w:val="nil"/>
                    <w:tr2bl w:val="nil"/>
                  </w:tcBorders>
                  <w:shd w:val="clear" w:color="auto" w:fill="auto"/>
                  <w:noWrap/>
                  <w:vAlign w:val="center"/>
                </w:tcPr>
                <w:p>
                  <w:pPr>
                    <w:widowControl/>
                    <w:spacing w:line="240" w:lineRule="auto"/>
                    <w:jc w:val="center"/>
                    <w:rPr>
                      <w:b/>
                      <w:bCs/>
                      <w:color w:val="000000" w:themeColor="text1"/>
                      <w:kern w:val="0"/>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p>
              </w:tc>
              <w:tc>
                <w:tcPr>
                  <w:tcW w:w="1985" w:type="pct"/>
                  <w:gridSpan w:val="4"/>
                  <w:tcBorders>
                    <w:tl2br w:val="nil"/>
                    <w:tr2bl w:val="nil"/>
                  </w:tcBorders>
                  <w:shd w:val="clear" w:color="auto" w:fill="auto"/>
                  <w:noWrap/>
                  <w:vAlign w:val="center"/>
                </w:tcPr>
                <w:p>
                  <w:pPr>
                    <w:widowControl/>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监测结果</w:t>
                  </w:r>
                </w:p>
              </w:tc>
              <w:tc>
                <w:tcPr>
                  <w:tcW w:w="666" w:type="pct"/>
                  <w:vMerge w:val="restart"/>
                  <w:tcBorders>
                    <w:tl2br w:val="nil"/>
                    <w:tr2bl w:val="nil"/>
                  </w:tcBorders>
                  <w:shd w:val="clear" w:color="auto" w:fill="auto"/>
                  <w:noWrap/>
                  <w:vAlign w:val="center"/>
                </w:tcPr>
                <w:p>
                  <w:pPr>
                    <w:widowControl/>
                    <w:spacing w:line="240" w:lineRule="auto"/>
                    <w:jc w:val="center"/>
                    <w:rPr>
                      <w:b/>
                      <w:bCs/>
                      <w:color w:val="000000" w:themeColor="text1"/>
                      <w:kern w:val="0"/>
                      <w:sz w:val="22"/>
                      <w:szCs w:val="22"/>
                      <w14:textFill>
                        <w14:solidFill>
                          <w14:schemeClr w14:val="tx1"/>
                        </w14:solidFill>
                      </w14:textFill>
                    </w:rPr>
                  </w:pPr>
                  <w:r>
                    <w:rPr>
                      <w:rFonts w:hint="eastAsia" w:ascii="仿宋" w:hAnsi="仿宋" w:eastAsia="仿宋" w:cs="仿宋"/>
                      <w:b/>
                      <w:bCs/>
                      <w:color w:val="000000" w:themeColor="text1"/>
                      <w:kern w:val="0"/>
                      <w:sz w:val="22"/>
                      <w:szCs w:val="22"/>
                      <w14:textFill>
                        <w14:solidFill>
                          <w14:schemeClr w14:val="tx1"/>
                        </w14:solidFill>
                      </w14:textFill>
                    </w:rPr>
                    <w:t>Ⅱ</w:t>
                  </w:r>
                  <w:r>
                    <w:rPr>
                      <w:b/>
                      <w:bCs/>
                      <w:color w:val="000000" w:themeColor="text1"/>
                      <w:kern w:val="0"/>
                      <w:sz w:val="22"/>
                      <w:szCs w:val="22"/>
                      <w14:textFill>
                        <w14:solidFill>
                          <w14:schemeClr w14:val="tx1"/>
                        </w14:solidFill>
                      </w14:textFill>
                    </w:rPr>
                    <w:t>类标准限值</w:t>
                  </w:r>
                </w:p>
              </w:tc>
              <w:tc>
                <w:tcPr>
                  <w:tcW w:w="479" w:type="pct"/>
                  <w:vMerge w:val="restart"/>
                  <w:tcBorders>
                    <w:tl2br w:val="nil"/>
                    <w:tr2bl w:val="nil"/>
                  </w:tcBorders>
                  <w:shd w:val="clear" w:color="auto" w:fill="auto"/>
                  <w:vAlign w:val="center"/>
                </w:tcPr>
                <w:p>
                  <w:pPr>
                    <w:widowControl/>
                    <w:spacing w:line="240" w:lineRule="auto"/>
                    <w:jc w:val="center"/>
                    <w:rPr>
                      <w:b/>
                      <w:bCs/>
                      <w:color w:val="000000" w:themeColor="text1"/>
                      <w:kern w:val="0"/>
                      <w:sz w:val="22"/>
                      <w:szCs w:val="22"/>
                      <w14:textFill>
                        <w14:solidFill>
                          <w14:schemeClr w14:val="tx1"/>
                        </w14:solidFill>
                      </w14:textFill>
                    </w:rPr>
                  </w:pPr>
                  <w:r>
                    <w:rPr>
                      <w:b/>
                      <w:bCs/>
                      <w:color w:val="000000" w:themeColor="text1"/>
                      <w:kern w:val="0"/>
                      <w:sz w:val="22"/>
                      <w:szCs w:val="22"/>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705"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492" w:type="pct"/>
                  <w:vMerge w:val="continue"/>
                  <w:tcBorders>
                    <w:tl2br w:val="nil"/>
                    <w:tr2bl w:val="nil"/>
                  </w:tcBorders>
                  <w:shd w:val="clear" w:color="auto" w:fill="auto"/>
                  <w:noWrap/>
                  <w:vAlign w:val="center"/>
                </w:tcPr>
                <w:p>
                  <w:pPr>
                    <w:widowControl/>
                    <w:spacing w:line="240" w:lineRule="auto"/>
                    <w:jc w:val="center"/>
                    <w:rPr>
                      <w:color w:val="000000" w:themeColor="text1"/>
                      <w:kern w:val="0"/>
                      <w14:textFill>
                        <w14:solidFill>
                          <w14:schemeClr w14:val="tx1"/>
                        </w14:solidFill>
                      </w14:textFill>
                    </w:rPr>
                  </w:pPr>
                </w:p>
              </w:tc>
              <w:tc>
                <w:tcPr>
                  <w:tcW w:w="507" w:type="pct"/>
                  <w:tcBorders>
                    <w:tl2br w:val="nil"/>
                    <w:tr2bl w:val="nil"/>
                  </w:tcBorders>
                  <w:shd w:val="clear" w:color="auto" w:fill="auto"/>
                  <w:noWrap/>
                  <w:vAlign w:val="center"/>
                </w:tcPr>
                <w:p>
                  <w:pPr>
                    <w:widowControl/>
                    <w:spacing w:line="240" w:lineRule="auto"/>
                    <w:jc w:val="center"/>
                    <w:rPr>
                      <w:rFonts w:hint="eastAsia" w:eastAsia="宋体"/>
                      <w:b/>
                      <w:bCs/>
                      <w:color w:val="000000" w:themeColor="text1"/>
                      <w:kern w:val="0"/>
                      <w:lang w:eastAsia="zh-CN"/>
                      <w14:textFill>
                        <w14:solidFill>
                          <w14:schemeClr w14:val="tx1"/>
                        </w14:solidFill>
                      </w14:textFill>
                    </w:rPr>
                  </w:pPr>
                  <w:r>
                    <w:rPr>
                      <w:rFonts w:hint="eastAsia"/>
                      <w:b/>
                      <w:bCs/>
                      <w:color w:val="000000" w:themeColor="text1"/>
                      <w:kern w:val="0"/>
                      <w:lang w:eastAsia="zh-CN"/>
                      <w14:textFill>
                        <w14:solidFill>
                          <w14:schemeClr w14:val="tx1"/>
                        </w14:solidFill>
                      </w14:textFill>
                    </w:rPr>
                    <w:t>小峪河上游断面</w:t>
                  </w:r>
                </w:p>
              </w:tc>
              <w:tc>
                <w:tcPr>
                  <w:tcW w:w="484" w:type="pct"/>
                  <w:tcBorders>
                    <w:tl2br w:val="nil"/>
                    <w:tr2bl w:val="nil"/>
                  </w:tcBorders>
                  <w:shd w:val="clear" w:color="auto" w:fill="auto"/>
                  <w:noWrap/>
                  <w:vAlign w:val="center"/>
                </w:tcPr>
                <w:p>
                  <w:pPr>
                    <w:widowControl/>
                    <w:spacing w:line="240" w:lineRule="auto"/>
                    <w:jc w:val="center"/>
                    <w:rPr>
                      <w:b/>
                      <w:bCs/>
                      <w:color w:val="000000" w:themeColor="text1"/>
                      <w:kern w:val="0"/>
                      <w14:textFill>
                        <w14:solidFill>
                          <w14:schemeClr w14:val="tx1"/>
                        </w14:solidFill>
                      </w14:textFill>
                    </w:rPr>
                  </w:pPr>
                  <w:r>
                    <w:rPr>
                      <w:rFonts w:hint="eastAsia"/>
                      <w:b/>
                      <w:bCs/>
                      <w:color w:val="000000" w:themeColor="text1"/>
                      <w:kern w:val="0"/>
                      <w:lang w:eastAsia="zh-CN"/>
                      <w14:textFill>
                        <w14:solidFill>
                          <w14:schemeClr w14:val="tx1"/>
                        </w14:solidFill>
                      </w14:textFill>
                    </w:rPr>
                    <w:t>小峪河下游断面</w:t>
                  </w:r>
                </w:p>
              </w:tc>
              <w:tc>
                <w:tcPr>
                  <w:tcW w:w="492" w:type="pct"/>
                  <w:tcBorders>
                    <w:tl2br w:val="nil"/>
                    <w:tr2bl w:val="nil"/>
                  </w:tcBorders>
                  <w:shd w:val="clear" w:color="auto" w:fill="auto"/>
                  <w:noWrap/>
                  <w:vAlign w:val="center"/>
                </w:tcPr>
                <w:p>
                  <w:pPr>
                    <w:widowControl/>
                    <w:spacing w:line="240" w:lineRule="auto"/>
                    <w:jc w:val="center"/>
                    <w:rPr>
                      <w:b/>
                      <w:bCs/>
                      <w:color w:val="000000" w:themeColor="text1"/>
                      <w:kern w:val="0"/>
                      <w14:textFill>
                        <w14:solidFill>
                          <w14:schemeClr w14:val="tx1"/>
                        </w14:solidFill>
                      </w14:textFill>
                    </w:rPr>
                  </w:pPr>
                  <w:r>
                    <w:rPr>
                      <w:rFonts w:hint="eastAsia"/>
                      <w:b/>
                      <w:bCs/>
                      <w:color w:val="000000" w:themeColor="text1"/>
                      <w:kern w:val="0"/>
                      <w:lang w:eastAsia="zh-CN"/>
                      <w14:textFill>
                        <w14:solidFill>
                          <w14:schemeClr w14:val="tx1"/>
                        </w14:solidFill>
                      </w14:textFill>
                    </w:rPr>
                    <w:t>大峪河上游断面</w:t>
                  </w:r>
                </w:p>
              </w:tc>
              <w:tc>
                <w:tcPr>
                  <w:tcW w:w="500" w:type="pct"/>
                  <w:tcBorders>
                    <w:tl2br w:val="nil"/>
                    <w:tr2bl w:val="nil"/>
                  </w:tcBorders>
                  <w:shd w:val="clear" w:color="auto" w:fill="auto"/>
                  <w:noWrap/>
                  <w:vAlign w:val="center"/>
                </w:tcPr>
                <w:p>
                  <w:pPr>
                    <w:widowControl/>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b/>
                      <w:bCs/>
                      <w:color w:val="000000" w:themeColor="text1"/>
                      <w:kern w:val="0"/>
                      <w:lang w:eastAsia="zh-CN"/>
                      <w14:textFill>
                        <w14:solidFill>
                          <w14:schemeClr w14:val="tx1"/>
                        </w14:solidFill>
                      </w14:textFill>
                    </w:rPr>
                    <w:t>大峪河下游断面</w:t>
                  </w:r>
                </w:p>
              </w:tc>
              <w:tc>
                <w:tcPr>
                  <w:tcW w:w="666" w:type="pct"/>
                  <w:vMerge w:val="continue"/>
                  <w:tcBorders>
                    <w:tl2br w:val="nil"/>
                    <w:tr2bl w:val="nil"/>
                  </w:tcBorders>
                  <w:shd w:val="clear" w:color="auto" w:fill="auto"/>
                  <w:noWrap/>
                  <w:vAlign w:val="center"/>
                </w:tcPr>
                <w:p>
                  <w:pPr>
                    <w:widowControl/>
                    <w:spacing w:line="240" w:lineRule="auto"/>
                    <w:jc w:val="center"/>
                    <w:rPr>
                      <w:rFonts w:hint="eastAsia" w:ascii="宋体" w:hAnsi="宋体" w:cs="宋体"/>
                      <w:color w:val="000000" w:themeColor="text1"/>
                      <w:kern w:val="0"/>
                      <w:sz w:val="22"/>
                      <w:szCs w:val="22"/>
                      <w14:textFill>
                        <w14:solidFill>
                          <w14:schemeClr w14:val="tx1"/>
                        </w14:solidFill>
                      </w14:textFill>
                    </w:rPr>
                  </w:pPr>
                </w:p>
              </w:tc>
              <w:tc>
                <w:tcPr>
                  <w:tcW w:w="479" w:type="pct"/>
                  <w:vMerge w:val="continue"/>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2023.11.30</w:t>
                  </w: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水温</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微软雅黑" w:hAnsi="微软雅黑" w:eastAsia="微软雅黑" w:cs="微软雅黑"/>
                      <w:color w:val="000000" w:themeColor="text1"/>
                      <w:sz w:val="21"/>
                      <w:szCs w:val="21"/>
                      <w:highlight w:val="none"/>
                      <w14:textFill>
                        <w14:solidFill>
                          <w14:schemeClr w14:val="tx1"/>
                        </w14:solidFill>
                      </w14:textFill>
                    </w:rPr>
                    <w:t>℃</w:t>
                  </w:r>
                </w:p>
              </w:tc>
              <w:tc>
                <w:tcPr>
                  <w:tcW w:w="507"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6.0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eastAsia="宋体"/>
                      <w:color w:val="000000" w:themeColor="text1"/>
                      <w:kern w:val="0"/>
                      <w:sz w:val="22"/>
                      <w:szCs w:val="22"/>
                      <w:lang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无量纲</w:t>
                  </w:r>
                </w:p>
              </w:tc>
              <w:tc>
                <w:tcPr>
                  <w:tcW w:w="507"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7.18</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7.24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7.22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7.23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6~9</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7</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eastAsia="宋体"/>
                      <w:color w:val="000000" w:themeColor="text1"/>
                      <w:kern w:val="0"/>
                      <w:sz w:val="22"/>
                      <w:szCs w:val="22"/>
                      <w:lang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阴离子表面活性剂</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0.12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0.15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0.13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0.16</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0.2</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5</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溶解氧</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6.8</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6.4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6.2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6</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五日生化需氧量</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2.6</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2.6</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3</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7</w:t>
                  </w:r>
                </w:p>
              </w:tc>
              <w:tc>
                <w:tcPr>
                  <w:tcW w:w="705" w:type="pct"/>
                  <w:tcBorders>
                    <w:tl2br w:val="nil"/>
                    <w:tr2bl w:val="nil"/>
                  </w:tcBorders>
                  <w:shd w:val="clear" w:color="auto" w:fill="auto"/>
                  <w:vAlign w:val="center"/>
                </w:tcPr>
                <w:p>
                  <w:pPr>
                    <w:jc w:val="center"/>
                    <w:textAlignment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化学需氧量</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12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8</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高锰酸盐指数</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3.32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3.73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3.40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3.77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4</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9</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氨氮</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0.286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0.364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0.258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0.382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10</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总磷</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0.04</w:t>
                  </w:r>
                </w:p>
              </w:tc>
              <w:tc>
                <w:tcPr>
                  <w:tcW w:w="484"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0.07</w:t>
                  </w:r>
                </w:p>
              </w:tc>
              <w:tc>
                <w:tcPr>
                  <w:tcW w:w="492"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0.03</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11</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12</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锌</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13</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14</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15</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硒</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16</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hint="eastAsia" w:eastAsia="宋体"/>
                      <w:color w:val="000000" w:themeColor="text1"/>
                      <w:kern w:val="0"/>
                      <w:sz w:val="22"/>
                      <w:szCs w:val="22"/>
                      <w:lang w:eastAsia="zh-CN"/>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17</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0.00005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18</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总氮</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0.36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0.44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0.35</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0.43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19</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氰化物</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20</w:t>
                  </w:r>
                </w:p>
              </w:tc>
              <w:tc>
                <w:tcPr>
                  <w:tcW w:w="705" w:type="pct"/>
                  <w:tcBorders>
                    <w:tl2br w:val="nil"/>
                    <w:tr2bl w:val="nil"/>
                  </w:tcBorders>
                  <w:shd w:val="clear" w:color="auto" w:fill="auto"/>
                  <w:vAlign w:val="center"/>
                </w:tcPr>
                <w:p>
                  <w:pPr>
                    <w:jc w:val="center"/>
                    <w:textAlignment w:val="center"/>
                    <w:rPr>
                      <w:color w:val="000000" w:themeColor="text1"/>
                      <w:kern w:val="0"/>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氟化物</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0.58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0.26</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0.62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21</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硫化物</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22</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挥发酚</w:t>
                  </w:r>
                </w:p>
              </w:tc>
              <w:tc>
                <w:tcPr>
                  <w:tcW w:w="492" w:type="pct"/>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0.002</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23</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石油类</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24</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六价铬</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25</w:t>
                  </w:r>
                </w:p>
              </w:tc>
              <w:tc>
                <w:tcPr>
                  <w:tcW w:w="705" w:type="pct"/>
                  <w:tcBorders>
                    <w:tl2br w:val="nil"/>
                    <w:tr2bl w:val="nil"/>
                  </w:tcBorders>
                  <w:shd w:val="clear" w:color="auto" w:fill="auto"/>
                  <w:vAlign w:val="center"/>
                </w:tcPr>
                <w:p>
                  <w:pPr>
                    <w:jc w:val="center"/>
                    <w:textAlignment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lang w:eastAsia="zh-CN"/>
                      <w14:textFill>
                        <w14:solidFill>
                          <w14:schemeClr w14:val="tx1"/>
                        </w14:solidFill>
                      </w14:textFill>
                    </w:rPr>
                    <w:t>粪大肠菌群</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210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170</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190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200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2000</w:t>
                  </w:r>
                </w:p>
              </w:tc>
              <w:tc>
                <w:tcPr>
                  <w:tcW w:w="479" w:type="pct"/>
                  <w:tcBorders>
                    <w:tl2br w:val="nil"/>
                    <w:tr2bl w:val="nil"/>
                  </w:tcBorders>
                  <w:shd w:val="clear" w:color="auto" w:fill="auto"/>
                  <w:vAlign w:val="center"/>
                </w:tcPr>
                <w:p>
                  <w:pPr>
                    <w:widowControl/>
                    <w:spacing w:line="240" w:lineRule="auto"/>
                    <w:jc w:val="center"/>
                    <w:rPr>
                      <w:color w:val="000000" w:themeColor="text1"/>
                      <w:kern w:val="0"/>
                      <w:sz w:val="22"/>
                      <w:szCs w:val="22"/>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rFonts w:hint="default"/>
                      <w:color w:val="000000" w:themeColor="text1"/>
                      <w:kern w:val="0"/>
                      <w:lang w:val="en-US"/>
                      <w14:textFill>
                        <w14:solidFill>
                          <w14:schemeClr w14:val="tx1"/>
                        </w14:solidFill>
                      </w14:textFill>
                    </w:rPr>
                  </w:pPr>
                  <w:r>
                    <w:rPr>
                      <w:rFonts w:hint="eastAsia"/>
                      <w:color w:val="000000" w:themeColor="text1"/>
                      <w:kern w:val="0"/>
                      <w:lang w:val="en-US" w:eastAsia="zh-CN"/>
                      <w14:textFill>
                        <w14:solidFill>
                          <w14:schemeClr w14:val="tx1"/>
                        </w14:solidFill>
                      </w14:textFill>
                    </w:rPr>
                    <w:t>2023.12.01</w:t>
                  </w: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水温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highlight w:val="none"/>
                      <w14:textFill>
                        <w14:solidFill>
                          <w14:schemeClr w14:val="tx1"/>
                        </w14:solidFill>
                      </w14:textFill>
                    </w:rPr>
                    <w:t>℃</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5.8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无量纲</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7.14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7.19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7.21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7.22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6~9</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阴离子表面活性剂</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溶解氧</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6.1</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五日生化需氧量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3</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化学需氧量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高锰酸盐指数</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3.43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3.83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3.48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3.74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4</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氨氮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0.281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0.402</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0.277</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0.398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总磷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锌</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硒</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总氮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0.37</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0.38</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0.46</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氰化物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氟化物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0.59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0.27</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0.62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硫化物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挥发酚</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石油类</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六价铬</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粪大肠菌群</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140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150</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160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140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2000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restart"/>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r>
                    <w:rPr>
                      <w:rFonts w:hint="eastAsia"/>
                      <w:color w:val="000000" w:themeColor="text1"/>
                      <w:kern w:val="0"/>
                      <w:lang w:val="en-US" w:eastAsia="zh-CN"/>
                      <w14:textFill>
                        <w14:solidFill>
                          <w14:schemeClr w14:val="tx1"/>
                        </w14:solidFill>
                      </w14:textFill>
                    </w:rPr>
                    <w:t>2023.12.02</w:t>
                  </w: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水温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1"/>
                      <w:szCs w:val="21"/>
                      <w:highlight w:val="none"/>
                      <w14:textFill>
                        <w14:solidFill>
                          <w14:schemeClr w14:val="tx1"/>
                        </w14:solidFill>
                      </w14:textFill>
                    </w:rPr>
                    <w:t>℃</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6.1</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5.9</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无量纲</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7.17</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7.21</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7.19</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7.21</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6~9</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7</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5</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阴离子表面活性剂</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0.12</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0.14</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溶解氧</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6.1</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6</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五日生化需氧量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2.5</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2.5</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2.7</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3</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化学需氧量</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12</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高锰酸盐指数</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3.28</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3.59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3.35</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3.63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4</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氨氮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0.270</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0.363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0.270</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0.382</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总磷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0.08</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铜</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锌</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15</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硒</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16</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砷</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kern w:val="0"/>
                      <w:sz w:val="21"/>
                      <w:szCs w:val="24"/>
                      <w:lang w:val="en-US" w:eastAsia="zh-CN" w:bidi="ar-SA"/>
                      <w14:textFill>
                        <w14:solidFill>
                          <w14:schemeClr w14:val="tx1"/>
                        </w14:solidFill>
                      </w14:textFill>
                    </w:rPr>
                    <w:t>0.0003</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hint="eastAsia"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17</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18</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总氮</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0.32</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0.44</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0.31</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0.45</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19</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氰化物</w:t>
                  </w: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20</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氟化物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0.27</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0.59</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0.23</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0.60</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1.0</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21</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硫化物</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484"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0.10</w:t>
                  </w:r>
                </w:p>
              </w:tc>
              <w:tc>
                <w:tcPr>
                  <w:tcW w:w="492"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0.04</w:t>
                  </w:r>
                </w:p>
              </w:tc>
              <w:tc>
                <w:tcPr>
                  <w:tcW w:w="500"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0.09</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0.1</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22</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挥发酚</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0.002</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23</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石油类</w:t>
                  </w:r>
                </w:p>
              </w:tc>
              <w:tc>
                <w:tcPr>
                  <w:tcW w:w="492" w:type="pct"/>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Borders>
                    <w:tl2br w:val="nil"/>
                    <w:tr2bl w:val="nil"/>
                  </w:tcBorders>
                  <w:shd w:val="clear" w:color="auto" w:fill="auto"/>
                  <w:vAlign w:val="center"/>
                </w:tcPr>
                <w:p>
                  <w:pPr>
                    <w:widowControl/>
                    <w:spacing w:line="240" w:lineRule="auto"/>
                    <w:jc w:val="center"/>
                    <w:rPr>
                      <w:color w:val="000000" w:themeColor="text1"/>
                      <w:kern w:val="0"/>
                      <w14:textFill>
                        <w14:solidFill>
                          <w14:schemeClr w14:val="tx1"/>
                        </w14:solidFill>
                      </w14:textFill>
                    </w:rPr>
                  </w:pPr>
                </w:p>
              </w:tc>
              <w:tc>
                <w:tcPr>
                  <w:tcW w:w="272"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24</w:t>
                  </w:r>
                </w:p>
              </w:tc>
              <w:tc>
                <w:tcPr>
                  <w:tcW w:w="705" w:type="pct"/>
                  <w:tcBorders>
                    <w:tl2br w:val="nil"/>
                    <w:tr2bl w:val="nil"/>
                  </w:tcBorders>
                  <w:shd w:val="clear" w:color="auto" w:fill="auto"/>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六价铬</w:t>
                  </w:r>
                </w:p>
              </w:tc>
              <w:tc>
                <w:tcPr>
                  <w:tcW w:w="492" w:type="pct"/>
                  <w:tcBorders>
                    <w:tl2br w:val="nil"/>
                    <w:tr2bl w:val="nil"/>
                  </w:tcBorders>
                  <w:shd w:val="clear" w:color="auto" w:fill="auto"/>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tcBorders>
                    <w:tl2br w:val="nil"/>
                    <w:tr2bl w:val="nil"/>
                  </w:tcBorders>
                  <w:shd w:val="clear" w:color="auto" w:fill="auto"/>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84"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492"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500" w:type="pct"/>
                  <w:tcBorders>
                    <w:tl2br w:val="nil"/>
                    <w:tr2bl w:val="nil"/>
                  </w:tcBorders>
                  <w:shd w:val="clear" w:color="auto" w:fill="auto"/>
                  <w:noWrap/>
                  <w:vAlign w:val="center"/>
                </w:tcPr>
                <w:p>
                  <w:pPr>
                    <w:widowControl w:val="0"/>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val="en-US" w:eastAsia="zh-CN"/>
                      <w14:textFill>
                        <w14:solidFill>
                          <w14:schemeClr w14:val="tx1"/>
                        </w14:solidFill>
                      </w14:textFill>
                    </w:rPr>
                    <w:t>ND</w:t>
                  </w:r>
                </w:p>
              </w:tc>
              <w:tc>
                <w:tcPr>
                  <w:tcW w:w="666" w:type="pct"/>
                  <w:tcBorders>
                    <w:tl2br w:val="nil"/>
                    <w:tr2bl w:val="nil"/>
                  </w:tcBorders>
                  <w:shd w:val="clear" w:color="auto" w:fill="auto"/>
                  <w:noWrap/>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≤0.</w:t>
                  </w:r>
                  <w:r>
                    <w:rPr>
                      <w:rFonts w:hint="eastAsia" w:cs="Times New Roman"/>
                      <w:color w:val="000000" w:themeColor="text1"/>
                      <w:sz w:val="21"/>
                      <w:szCs w:val="21"/>
                      <w:highlight w:val="none"/>
                      <w:lang w:val="en-US" w:eastAsia="zh-CN" w:bidi="ar-SA"/>
                      <w14:textFill>
                        <w14:solidFill>
                          <w14:schemeClr w14:val="tx1"/>
                        </w14:solidFill>
                      </w14:textFill>
                    </w:rPr>
                    <w:t>05</w:t>
                  </w:r>
                </w:p>
              </w:tc>
              <w:tc>
                <w:tcPr>
                  <w:tcW w:w="479" w:type="pct"/>
                  <w:tcBorders>
                    <w:tl2br w:val="nil"/>
                    <w:tr2bl w:val="nil"/>
                  </w:tcBorders>
                  <w:shd w:val="clear" w:color="auto" w:fill="auto"/>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7" w:type="pct"/>
                  <w:vMerge w:val="continue"/>
                </w:tcPr>
                <w:p>
                  <w:pPr>
                    <w:widowControl/>
                    <w:spacing w:line="240" w:lineRule="auto"/>
                    <w:jc w:val="center"/>
                    <w:rPr>
                      <w:color w:val="000000" w:themeColor="text1"/>
                      <w:kern w:val="0"/>
                      <w14:textFill>
                        <w14:solidFill>
                          <w14:schemeClr w14:val="tx1"/>
                        </w14:solidFill>
                      </w14:textFill>
                    </w:rPr>
                  </w:pPr>
                </w:p>
              </w:tc>
              <w:tc>
                <w:tcPr>
                  <w:tcW w:w="272" w:type="pct"/>
                  <w:vAlign w:val="center"/>
                </w:tcPr>
                <w:p>
                  <w:pPr>
                    <w:widowControl/>
                    <w:spacing w:line="240" w:lineRule="auto"/>
                    <w:jc w:val="center"/>
                    <w:rPr>
                      <w:rFonts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color w:val="000000" w:themeColor="text1"/>
                      <w:kern w:val="0"/>
                      <w14:textFill>
                        <w14:solidFill>
                          <w14:schemeClr w14:val="tx1"/>
                        </w14:solidFill>
                      </w14:textFill>
                    </w:rPr>
                    <w:t>25</w:t>
                  </w:r>
                </w:p>
              </w:tc>
              <w:tc>
                <w:tcPr>
                  <w:tcW w:w="705" w:type="pct"/>
                  <w:vAlign w:val="center"/>
                </w:tcPr>
                <w:p>
                  <w:pPr>
                    <w:jc w:val="center"/>
                    <w:textAlignment w:val="center"/>
                    <w:rPr>
                      <w:rFonts w:hint="default" w:ascii="Times New Roman" w:hAnsi="Times New Roman" w:eastAsia="宋体" w:cs="Times New Roman"/>
                      <w:color w:val="000000" w:themeColor="text1"/>
                      <w:kern w:val="0"/>
                      <w:sz w:val="21"/>
                      <w:szCs w:val="24"/>
                      <w:lang w:val="en-US" w:eastAsia="zh-CN" w:bidi="ar-SA"/>
                      <w14:textFill>
                        <w14:solidFill>
                          <w14:schemeClr w14:val="tx1"/>
                        </w14:solidFill>
                      </w14:textFill>
                    </w:rPr>
                  </w:pPr>
                  <w:r>
                    <w:rPr>
                      <w:rFonts w:hint="eastAsia"/>
                      <w:color w:val="000000" w:themeColor="text1"/>
                      <w:kern w:val="0"/>
                      <w:lang w:eastAsia="zh-CN"/>
                      <w14:textFill>
                        <w14:solidFill>
                          <w14:schemeClr w14:val="tx1"/>
                        </w14:solidFill>
                      </w14:textFill>
                    </w:rPr>
                    <w:t>粪大肠菌群</w:t>
                  </w:r>
                </w:p>
              </w:tc>
              <w:tc>
                <w:tcPr>
                  <w:tcW w:w="492" w:type="pct"/>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507" w:type="pct"/>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230</w:t>
                  </w:r>
                </w:p>
              </w:tc>
              <w:tc>
                <w:tcPr>
                  <w:tcW w:w="484" w:type="pct"/>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170</w:t>
                  </w:r>
                </w:p>
              </w:tc>
              <w:tc>
                <w:tcPr>
                  <w:tcW w:w="492" w:type="pct"/>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190</w:t>
                  </w:r>
                </w:p>
              </w:tc>
              <w:tc>
                <w:tcPr>
                  <w:tcW w:w="500" w:type="pct"/>
                  <w:vAlign w:val="center"/>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SA"/>
                      <w14:textFill>
                        <w14:solidFill>
                          <w14:schemeClr w14:val="tx1"/>
                        </w14:solidFill>
                      </w14:textFill>
                    </w:rPr>
                    <w:t>170</w:t>
                  </w:r>
                </w:p>
              </w:tc>
              <w:tc>
                <w:tcPr>
                  <w:tcW w:w="666" w:type="pct"/>
                  <w:vAlign w:val="center"/>
                </w:tcPr>
                <w:p>
                  <w:pPr>
                    <w:keepNext w:val="0"/>
                    <w:keepLines w:val="0"/>
                    <w:pageBreakBefore w:val="0"/>
                    <w:widowControl/>
                    <w:kinsoku/>
                    <w:wordWrap/>
                    <w:overflowPunct/>
                    <w:topLinePunct w:val="0"/>
                    <w:autoSpaceDE/>
                    <w:bidi w:val="0"/>
                    <w:adjustRightInd/>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r>
                    <w:rPr>
                      <w:rFonts w:hint="eastAsia" w:cs="Times New Roman"/>
                      <w:color w:val="000000" w:themeColor="text1"/>
                      <w:sz w:val="21"/>
                      <w:szCs w:val="21"/>
                      <w:highlight w:val="none"/>
                      <w:lang w:val="en-US" w:eastAsia="zh-CN" w:bidi="ar-SA"/>
                      <w14:textFill>
                        <w14:solidFill>
                          <w14:schemeClr w14:val="tx1"/>
                        </w14:solidFill>
                      </w14:textFill>
                    </w:rPr>
                    <w:t>2000</w:t>
                  </w:r>
                </w:p>
              </w:tc>
              <w:tc>
                <w:tcPr>
                  <w:tcW w:w="479" w:type="pct"/>
                  <w:vAlign w:val="center"/>
                </w:tcPr>
                <w:p>
                  <w:pPr>
                    <w:widowControl/>
                    <w:spacing w:line="240" w:lineRule="auto"/>
                    <w:jc w:val="center"/>
                    <w:rPr>
                      <w:rFonts w:ascii="Times New Roman" w:hAnsi="Times New Roman" w:eastAsia="宋体" w:cs="Times New Roman"/>
                      <w:color w:val="000000" w:themeColor="text1"/>
                      <w:kern w:val="0"/>
                      <w:sz w:val="22"/>
                      <w:szCs w:val="22"/>
                      <w:lang w:val="en-US" w:eastAsia="zh-CN" w:bidi="ar-SA"/>
                      <w14:textFill>
                        <w14:solidFill>
                          <w14:schemeClr w14:val="tx1"/>
                        </w14:solidFill>
                      </w14:textFill>
                    </w:rPr>
                  </w:pPr>
                  <w:r>
                    <w:rPr>
                      <w:color w:val="000000" w:themeColor="text1"/>
                      <w:kern w:val="0"/>
                      <w:sz w:val="22"/>
                      <w:szCs w:val="22"/>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8" w:type="pct"/>
                  <w:gridSpan w:val="4"/>
                </w:tcPr>
                <w:p>
                  <w:pPr>
                    <w:keepNext w:val="0"/>
                    <w:keepLines w:val="0"/>
                    <w:pageBreakBefore w:val="0"/>
                    <w:widowControl/>
                    <w:kinsoku/>
                    <w:wordWrap/>
                    <w:overflowPunct/>
                    <w:topLinePunct w:val="0"/>
                    <w:autoSpaceDE/>
                    <w:bidi w:val="0"/>
                    <w:adjustRightInd/>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备注</w:t>
                  </w:r>
                </w:p>
              </w:tc>
              <w:tc>
                <w:tcPr>
                  <w:tcW w:w="3131" w:type="pct"/>
                  <w:gridSpan w:val="6"/>
                  <w:vAlign w:val="center"/>
                </w:tcPr>
                <w:p>
                  <w:pPr>
                    <w:widowControl/>
                    <w:spacing w:line="240" w:lineRule="auto"/>
                    <w:jc w:val="center"/>
                    <w:rPr>
                      <w:color w:val="000000" w:themeColor="text1"/>
                      <w:kern w:val="0"/>
                      <w:sz w:val="22"/>
                      <w:szCs w:val="22"/>
                      <w14:textFill>
                        <w14:solidFill>
                          <w14:schemeClr w14:val="tx1"/>
                        </w14:solidFill>
                      </w14:textFill>
                    </w:rPr>
                  </w:pPr>
                  <w:r>
                    <w:rPr>
                      <w:rFonts w:hint="eastAsia"/>
                      <w:color w:val="000000" w:themeColor="text1"/>
                      <w:kern w:val="0"/>
                      <w:sz w:val="22"/>
                      <w:szCs w:val="22"/>
                      <w:lang w:eastAsia="zh-CN"/>
                      <w14:textFill>
                        <w14:solidFill>
                          <w14:schemeClr w14:val="tx1"/>
                        </w14:solidFill>
                      </w14:textFill>
                    </w:rPr>
                    <w:t>“</w:t>
                  </w:r>
                  <w:r>
                    <w:rPr>
                      <w:rFonts w:hint="eastAsia"/>
                      <w:color w:val="000000" w:themeColor="text1"/>
                      <w:kern w:val="0"/>
                      <w:sz w:val="22"/>
                      <w:szCs w:val="22"/>
                      <w14:textFill>
                        <w14:solidFill>
                          <w14:schemeClr w14:val="tx1"/>
                        </w14:solidFill>
                      </w14:textFill>
                    </w:rPr>
                    <w:t>ND</w:t>
                  </w:r>
                  <w:r>
                    <w:rPr>
                      <w:rFonts w:hint="eastAsia"/>
                      <w:color w:val="000000" w:themeColor="text1"/>
                      <w:kern w:val="0"/>
                      <w:sz w:val="22"/>
                      <w:szCs w:val="22"/>
                      <w:lang w:eastAsia="zh-CN"/>
                      <w14:textFill>
                        <w14:solidFill>
                          <w14:schemeClr w14:val="tx1"/>
                        </w14:solidFill>
                      </w14:textFill>
                    </w:rPr>
                    <w:t>”</w:t>
                  </w:r>
                  <w:r>
                    <w:rPr>
                      <w:rFonts w:hint="eastAsia"/>
                      <w:color w:val="000000" w:themeColor="text1"/>
                      <w:kern w:val="0"/>
                      <w:sz w:val="22"/>
                      <w:szCs w:val="22"/>
                      <w14:textFill>
                        <w14:solidFill>
                          <w14:schemeClr w14:val="tx1"/>
                        </w14:solidFill>
                      </w14:textFill>
                    </w:rPr>
                    <w:t>表示检测结果低于方法检出限。</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根据监测结果可知，大峪河、小峪河的上、下游河段水质因子</w:t>
            </w:r>
            <w:r>
              <w:rPr>
                <w:rFonts w:hint="eastAsia" w:cs="Times New Roman"/>
                <w:color w:val="000000" w:themeColor="text1"/>
                <w:kern w:val="2"/>
                <w:sz w:val="24"/>
                <w:szCs w:val="24"/>
                <w:highlight w:val="none"/>
                <w:lang w:val="en-US" w:eastAsia="zh-CN" w:bidi="ar-SA"/>
                <w14:textFill>
                  <w14:solidFill>
                    <w14:schemeClr w14:val="tx1"/>
                  </w14:solidFill>
                </w14:textFill>
              </w:rPr>
              <w:t>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满足《地表水环境质量标准》（</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GB3838-2002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）中的</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Ⅱ</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57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与项目有关的原有环境污染和生态破坏问题</w:t>
            </w:r>
          </w:p>
        </w:tc>
        <w:tc>
          <w:tcPr>
            <w:tcW w:w="8998" w:type="dxa"/>
            <w:vAlign w:val="center"/>
          </w:tcPr>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根据现状调查，与项目有关的原有河道生态环境问题如下</w:t>
            </w:r>
            <w:r>
              <w:rPr>
                <w:rFonts w:hint="eastAsia" w:cs="Times New Roman"/>
                <w:color w:val="000000" w:themeColor="text1"/>
                <w:sz w:val="24"/>
                <w:szCs w:val="24"/>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由于不同河段地质环境质量不同，沟岸常常发生严重水土流失，顶冲段护岸受损，行洪能力较差，沟道稳定性下降</w:t>
            </w:r>
            <w:r>
              <w:rPr>
                <w:rFonts w:hint="eastAsia" w:cs="Times New Roman"/>
                <w:color w:val="000000" w:themeColor="text1"/>
                <w:sz w:val="24"/>
                <w:szCs w:val="24"/>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河岸裸露边坡抗蚀性差，河道护岸损坏，存在垮塌，景观破碎度高；</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color w:val="000000" w:themeColor="text1"/>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3、河岸植被稀少，岩土裸露，易发生水土流失。河两岸天然土坎，抗冲刷能力较差。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生态环境保护目标</w:t>
            </w:r>
          </w:p>
        </w:tc>
        <w:tc>
          <w:tcPr>
            <w:tcW w:w="8998"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（1）大气环境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根据现场调查，项目工程500m范围内大气环境保护目标为村民。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（2）声环境</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根据现场调查，项目工程50m范围内声环境保护目标为村民。</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（3）地下水环境</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项目沿线500m范围内无地下水集中式饮用水水源和热水、矿泉水、温泉水等特殊地下水资源，无地下水环境保护目标。</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（4）生态环境</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本项目生态环境保护目标有陕西太兴山森林公园、秦岭重点保护区、秦岭一般保护区。</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环境保护目标表见表3-12，声环境、大气环境环境保护目标分布图见附图5。</w:t>
            </w:r>
          </w:p>
          <w:p>
            <w:pPr>
              <w:pStyle w:val="2"/>
              <w:adjustRightInd w:val="0"/>
              <w:snapToGrid w:val="0"/>
              <w:ind w:firstLine="0"/>
              <w:jc w:val="cente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表3-</w:t>
            </w:r>
            <w:r>
              <w:rPr>
                <w:rFonts w:hint="eastAsia" w:cs="Times New Roman"/>
                <w:b/>
                <w:bCs/>
                <w:color w:val="000000" w:themeColor="text1"/>
                <w:sz w:val="24"/>
                <w:szCs w:val="24"/>
                <w:highlight w:val="none"/>
                <w:lang w:val="en-US" w:eastAsia="zh-CN"/>
                <w14:textFill>
                  <w14:solidFill>
                    <w14:schemeClr w14:val="tx1"/>
                  </w14:solidFill>
                </w14:textFill>
              </w:rPr>
              <w:t>12</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kern w:val="2"/>
                <w:sz w:val="24"/>
                <w:szCs w:val="24"/>
                <w:highlight w:val="none"/>
                <w:lang w:val="en-US" w:eastAsia="zh-CN" w:bidi="ar-SA"/>
                <w14:textFill>
                  <w14:solidFill>
                    <w14:schemeClr w14:val="tx1"/>
                  </w14:solidFill>
                </w14:textFill>
              </w:rPr>
              <w:t>环境保护</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目标</w:t>
            </w:r>
            <w:r>
              <w:rPr>
                <w:rFonts w:hint="eastAsia" w:cs="Times New Roman"/>
                <w:b/>
                <w:bCs/>
                <w:color w:val="000000" w:themeColor="text1"/>
                <w:kern w:val="2"/>
                <w:sz w:val="24"/>
                <w:szCs w:val="24"/>
                <w:highlight w:val="none"/>
                <w:lang w:val="en-US" w:eastAsia="zh-CN" w:bidi="ar-SA"/>
                <w14:textFill>
                  <w14:solidFill>
                    <w14:schemeClr w14:val="tx1"/>
                  </w14:solidFill>
                </w14:textFill>
              </w:rPr>
              <w:t>表</w:t>
            </w:r>
          </w:p>
          <w:tbl>
            <w:tblPr>
              <w:tblStyle w:val="25"/>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0"/>
              <w:gridCol w:w="367"/>
              <w:gridCol w:w="800"/>
              <w:gridCol w:w="1200"/>
              <w:gridCol w:w="1066"/>
              <w:gridCol w:w="934"/>
              <w:gridCol w:w="616"/>
              <w:gridCol w:w="1367"/>
              <w:gridCol w:w="600"/>
              <w:gridCol w:w="1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atLeast"/>
                <w:tblHeader/>
                <w:jc w:val="center"/>
              </w:trPr>
              <w:tc>
                <w:tcPr>
                  <w:tcW w:w="360"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w:t>
                  </w:r>
                </w:p>
                <w:p>
                  <w:pPr>
                    <w:adjustRightInd w:val="0"/>
                    <w:snapToGrid w:val="0"/>
                    <w:spacing w:line="240" w:lineRule="atLeast"/>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要素</w:t>
                  </w:r>
                </w:p>
              </w:tc>
              <w:tc>
                <w:tcPr>
                  <w:tcW w:w="668" w:type="pct"/>
                  <w:gridSpan w:val="2"/>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保护对象</w:t>
                  </w:r>
                </w:p>
              </w:tc>
              <w:tc>
                <w:tcPr>
                  <w:tcW w:w="1297" w:type="pct"/>
                  <w:gridSpan w:val="2"/>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坐标</w:t>
                  </w:r>
                </w:p>
              </w:tc>
              <w:tc>
                <w:tcPr>
                  <w:tcW w:w="534"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人口规模</w:t>
                  </w:r>
                </w:p>
              </w:tc>
              <w:tc>
                <w:tcPr>
                  <w:tcW w:w="352"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相对河流位置</w:t>
                  </w:r>
                </w:p>
              </w:tc>
              <w:tc>
                <w:tcPr>
                  <w:tcW w:w="1125" w:type="pct"/>
                  <w:gridSpan w:val="2"/>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距离最近的施工段</w:t>
                  </w:r>
                </w:p>
              </w:tc>
              <w:tc>
                <w:tcPr>
                  <w:tcW w:w="661" w:type="pct"/>
                  <w:vMerge w:val="restar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保护级别及要求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atLeast"/>
                <w:tblHeader/>
                <w:jc w:val="center"/>
              </w:trPr>
              <w:tc>
                <w:tcPr>
                  <w:tcW w:w="360"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color w:val="000000" w:themeColor="text1"/>
                      <w14:textFill>
                        <w14:solidFill>
                          <w14:schemeClr w14:val="tx1"/>
                        </w14:solidFill>
                      </w14:textFill>
                    </w:rPr>
                  </w:pPr>
                </w:p>
              </w:tc>
              <w:tc>
                <w:tcPr>
                  <w:tcW w:w="668" w:type="pct"/>
                  <w:gridSpan w:val="2"/>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color w:val="000000" w:themeColor="text1"/>
                      <w14:textFill>
                        <w14:solidFill>
                          <w14:schemeClr w14:val="tx1"/>
                        </w14:solidFill>
                      </w14:textFill>
                    </w:rPr>
                  </w:pPr>
                </w:p>
              </w:tc>
              <w:tc>
                <w:tcPr>
                  <w:tcW w:w="686" w:type="pct"/>
                  <w:tcBorders>
                    <w:tl2br w:val="nil"/>
                    <w:tr2bl w:val="nil"/>
                  </w:tcBorders>
                  <w:shd w:val="clear" w:color="auto" w:fill="auto"/>
                  <w:noWrap w:val="0"/>
                  <w:vAlign w:val="center"/>
                </w:tcPr>
                <w:p>
                  <w:pPr>
                    <w:autoSpaceDE w:val="0"/>
                    <w:autoSpaceDN w:val="0"/>
                    <w:adjustRightInd w:val="0"/>
                    <w:snapToGrid w:val="0"/>
                    <w:jc w:val="center"/>
                    <w:rPr>
                      <w:rFonts w:hint="eastAsia" w:eastAsia="宋体"/>
                      <w:color w:val="000000" w:themeColor="text1"/>
                      <w:lang w:val="en-US" w:eastAsia="zh-CN"/>
                      <w14:textFill>
                        <w14:solidFill>
                          <w14:schemeClr w14:val="tx1"/>
                        </w14:solidFill>
                      </w14:textFill>
                    </w:rPr>
                  </w:pPr>
                  <w:r>
                    <w:rPr>
                      <w:rFonts w:eastAsiaTheme="minorEastAsia"/>
                      <w:b/>
                      <w:bCs/>
                      <w:color w:val="000000" w:themeColor="text1"/>
                      <w:w w:val="99"/>
                      <w:kern w:val="0"/>
                      <w:szCs w:val="21"/>
                      <w14:textFill>
                        <w14:solidFill>
                          <w14:schemeClr w14:val="tx1"/>
                        </w14:solidFill>
                      </w14:textFill>
                    </w:rPr>
                    <w:t>X</w:t>
                  </w:r>
                </w:p>
              </w:tc>
              <w:tc>
                <w:tcPr>
                  <w:tcW w:w="610" w:type="pct"/>
                  <w:tcBorders>
                    <w:tl2br w:val="nil"/>
                    <w:tr2bl w:val="nil"/>
                  </w:tcBorders>
                  <w:shd w:val="clear" w:color="auto" w:fill="auto"/>
                  <w:noWrap w:val="0"/>
                  <w:vAlign w:val="center"/>
                </w:tcPr>
                <w:p>
                  <w:pPr>
                    <w:autoSpaceDE w:val="0"/>
                    <w:autoSpaceDN w:val="0"/>
                    <w:adjustRightInd w:val="0"/>
                    <w:snapToGrid w:val="0"/>
                    <w:jc w:val="center"/>
                    <w:rPr>
                      <w:color w:val="000000" w:themeColor="text1"/>
                      <w14:textFill>
                        <w14:solidFill>
                          <w14:schemeClr w14:val="tx1"/>
                        </w14:solidFill>
                      </w14:textFill>
                    </w:rPr>
                  </w:pPr>
                  <w:r>
                    <w:rPr>
                      <w:rFonts w:eastAsiaTheme="minorEastAsia"/>
                      <w:b/>
                      <w:bCs/>
                      <w:color w:val="000000" w:themeColor="text1"/>
                      <w:w w:val="99"/>
                      <w:kern w:val="0"/>
                      <w:szCs w:val="21"/>
                      <w14:textFill>
                        <w14:solidFill>
                          <w14:schemeClr w14:val="tx1"/>
                        </w14:solidFill>
                      </w14:textFill>
                    </w:rPr>
                    <w:t>Y</w:t>
                  </w:r>
                </w:p>
              </w:tc>
              <w:tc>
                <w:tcPr>
                  <w:tcW w:w="534"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color w:val="000000" w:themeColor="text1"/>
                      <w14:textFill>
                        <w14:solidFill>
                          <w14:schemeClr w14:val="tx1"/>
                        </w14:solidFill>
                      </w14:textFill>
                    </w:rPr>
                  </w:pPr>
                </w:p>
              </w:tc>
              <w:tc>
                <w:tcPr>
                  <w:tcW w:w="352"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color w:val="000000" w:themeColor="text1"/>
                      <w14:textFill>
                        <w14:solidFill>
                          <w14:schemeClr w14:val="tx1"/>
                        </w14:solidFill>
                      </w14:textFill>
                    </w:rPr>
                  </w:pPr>
                </w:p>
              </w:tc>
              <w:tc>
                <w:tcPr>
                  <w:tcW w:w="782" w:type="pc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桩号</w:t>
                  </w:r>
                </w:p>
              </w:tc>
              <w:tc>
                <w:tcPr>
                  <w:tcW w:w="343" w:type="pct"/>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距离</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（m）</w:t>
                  </w:r>
                </w:p>
              </w:tc>
              <w:tc>
                <w:tcPr>
                  <w:tcW w:w="661" w:type="pct"/>
                  <w:vMerge w:val="continue"/>
                  <w:tcBorders>
                    <w:tl2br w:val="nil"/>
                    <w:tr2bl w:val="nil"/>
                  </w:tcBorders>
                  <w:shd w:val="clear" w:color="auto" w:fill="auto"/>
                  <w:noWrap w:val="0"/>
                  <w:vAlign w:val="center"/>
                </w:tcPr>
                <w:p>
                  <w:pPr>
                    <w:adjustRightInd w:val="0"/>
                    <w:snapToGrid w:val="0"/>
                    <w:spacing w:line="240" w:lineRule="atLeast"/>
                    <w:ind w:left="0" w:leftChars="0" w:right="0" w:rightChars="0" w:firstLine="0" w:firstLineChars="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大气环境</w:t>
                  </w:r>
                </w:p>
              </w:tc>
              <w:tc>
                <w:tcPr>
                  <w:tcW w:w="2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小峪河</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十里庙</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109.0410296</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33.5954241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5+897—6+034</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37</w:t>
                  </w:r>
                </w:p>
              </w:tc>
              <w:tc>
                <w:tcPr>
                  <w:tcW w:w="6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小峪口村</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109.0416656</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33.5950767</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10户30人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5+897—6+034</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273</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桥头池</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109.0416175</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33.5941964</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7户21人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5+897—6+034</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479</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十里庄</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109.0417872</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33.5925545</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4+430—4+505</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寺沟门</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109.0410049</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33.59164</w:t>
                  </w:r>
                  <w:r>
                    <w:rPr>
                      <w:rFonts w:hint="eastAsia" w:cs="Times New Roman"/>
                      <w:color w:val="000000" w:themeColor="text1"/>
                      <w:sz w:val="21"/>
                      <w:szCs w:val="21"/>
                      <w:highlight w:val="none"/>
                      <w:lang w:val="en-US" w:eastAsia="zh-CN"/>
                      <w14:textFill>
                        <w14:solidFill>
                          <w14:schemeClr w14:val="tx1"/>
                        </w14:solidFill>
                      </w14:textFill>
                    </w:rPr>
                    <w:t>70</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3户9人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4+430—4+505</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253</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小金坪</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109.035246</w:t>
                  </w:r>
                  <w:r>
                    <w:rPr>
                      <w:rFonts w:hint="eastAsia" w:cs="Times New Roman"/>
                      <w:color w:val="000000" w:themeColor="text1"/>
                      <w:sz w:val="21"/>
                      <w:szCs w:val="21"/>
                      <w:highlight w:val="none"/>
                      <w:lang w:val="en-US" w:eastAsia="zh-CN"/>
                      <w14:textFill>
                        <w14:solidFill>
                          <w14:schemeClr w14:val="tx1"/>
                        </w14:solidFill>
                      </w14:textFill>
                    </w:rPr>
                    <w:t>2</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33.583702</w:t>
                  </w:r>
                  <w:r>
                    <w:rPr>
                      <w:rFonts w:hint="eastAsia" w:cs="Times New Roman"/>
                      <w:color w:val="000000" w:themeColor="text1"/>
                      <w:sz w:val="21"/>
                      <w:szCs w:val="21"/>
                      <w:highlight w:val="none"/>
                      <w:lang w:val="en-US" w:eastAsia="zh-CN"/>
                      <w14:textFill>
                        <w14:solidFill>
                          <w14:schemeClr w14:val="tx1"/>
                        </w14:solidFill>
                      </w14:textFill>
                    </w:rPr>
                    <w:t>9</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6户18人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2+223—2+300</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岩桥沟门</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109.0350556</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33.5817721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1+342—1+400</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大金坪</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109.0350759</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33.580380</w:t>
                  </w:r>
                  <w:r>
                    <w:rPr>
                      <w:rFonts w:hint="eastAsia" w:cs="Times New Roman"/>
                      <w:color w:val="000000" w:themeColor="text1"/>
                      <w:sz w:val="21"/>
                      <w:szCs w:val="21"/>
                      <w:highlight w:val="none"/>
                      <w:lang w:val="en-US" w:eastAsia="zh-CN"/>
                      <w14:textFill>
                        <w14:solidFill>
                          <w14:schemeClr w14:val="tx1"/>
                        </w14:solidFill>
                      </w14:textFill>
                    </w:rPr>
                    <w:t>6</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17户51人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0+067—0+405</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157</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柳金坪</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109.033859</w:t>
                  </w:r>
                  <w:r>
                    <w:rPr>
                      <w:rFonts w:hint="eastAsia" w:cs="Times New Roman"/>
                      <w:color w:val="000000" w:themeColor="text1"/>
                      <w:sz w:val="21"/>
                      <w:szCs w:val="21"/>
                      <w:highlight w:val="none"/>
                      <w:lang w:val="en-US" w:eastAsia="zh-CN"/>
                      <w14:textFill>
                        <w14:solidFill>
                          <w14:schemeClr w14:val="tx1"/>
                        </w14:solidFill>
                      </w14:textFill>
                    </w:rPr>
                    <w:t>6</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33.575787</w:t>
                  </w:r>
                  <w:r>
                    <w:rPr>
                      <w:rFonts w:hint="eastAsia" w:cs="Times New Roman"/>
                      <w:color w:val="000000" w:themeColor="text1"/>
                      <w:sz w:val="21"/>
                      <w:szCs w:val="21"/>
                      <w:highlight w:val="none"/>
                      <w:lang w:val="en-US" w:eastAsia="zh-CN"/>
                      <w14:textFill>
                        <w14:solidFill>
                          <w14:schemeClr w14:val="tx1"/>
                        </w14:solidFill>
                      </w14:textFill>
                    </w:rPr>
                    <w:t>6</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0+067—0+405</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大峪河</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五里庙村</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109.0634395</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33.5942634</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25户100人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9+542—9+807</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16</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新贯寺村</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109.0705425</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33.5732081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5户15人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4+800—4+898</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甘沟口</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109.070938</w:t>
                  </w:r>
                  <w:r>
                    <w:rPr>
                      <w:rFonts w:hint="eastAsia" w:cs="Times New Roman"/>
                      <w:color w:val="000000" w:themeColor="text1"/>
                      <w:sz w:val="21"/>
                      <w:szCs w:val="21"/>
                      <w:highlight w:val="none"/>
                      <w:lang w:val="en-US" w:eastAsia="zh-CN"/>
                      <w14:textFill>
                        <w14:solidFill>
                          <w14:schemeClr w14:val="tx1"/>
                        </w14:solidFill>
                      </w14:textFill>
                    </w:rPr>
                    <w:t>8</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33.5708782</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3+429—3+667</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270</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长桥</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109.071132</w:t>
                  </w:r>
                  <w:r>
                    <w:rPr>
                      <w:rFonts w:hint="eastAsia" w:cs="Times New Roman"/>
                      <w:color w:val="000000" w:themeColor="text1"/>
                      <w:sz w:val="21"/>
                      <w:szCs w:val="21"/>
                      <w:highlight w:val="none"/>
                      <w:lang w:val="en-US" w:eastAsia="zh-CN"/>
                      <w14:textFill>
                        <w14:solidFill>
                          <w14:schemeClr w14:val="tx1"/>
                        </w14:solidFill>
                      </w14:textFill>
                    </w:rPr>
                    <w:t>1</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33.5655458</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11户33人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3+429—3+667</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板庙子村</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109.072013</w:t>
                  </w:r>
                  <w:r>
                    <w:rPr>
                      <w:rFonts w:hint="eastAsia" w:cs="Times New Roman"/>
                      <w:color w:val="000000" w:themeColor="text1"/>
                      <w:sz w:val="21"/>
                      <w:szCs w:val="21"/>
                      <w:highlight w:val="none"/>
                      <w:lang w:val="en-US" w:eastAsia="zh-CN"/>
                      <w14:textFill>
                        <w14:solidFill>
                          <w14:schemeClr w14:val="tx1"/>
                        </w14:solidFill>
                      </w14:textFill>
                    </w:rPr>
                    <w:t>7</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33.5552481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0+171—0+384</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声环境</w:t>
                  </w:r>
                </w:p>
              </w:tc>
              <w:tc>
                <w:tcPr>
                  <w:tcW w:w="2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小峪河</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十里庙</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109.0410296</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33.5954241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5+897—6+034</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37</w:t>
                  </w:r>
                </w:p>
              </w:tc>
              <w:tc>
                <w:tcPr>
                  <w:tcW w:w="6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《声环境质量标准》（GB3096-2008）中</w:t>
                  </w:r>
                  <w:r>
                    <w:rPr>
                      <w:rFonts w:hint="eastAsia"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类标准限值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十里庄</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109.0417872</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33.5925545</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4+430—4+505</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小金坪</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109.035246</w:t>
                  </w:r>
                  <w:r>
                    <w:rPr>
                      <w:rFonts w:hint="eastAsia" w:cs="Times New Roman"/>
                      <w:color w:val="000000" w:themeColor="text1"/>
                      <w:sz w:val="21"/>
                      <w:szCs w:val="21"/>
                      <w:highlight w:val="none"/>
                      <w:lang w:val="en-US" w:eastAsia="zh-CN"/>
                      <w14:textFill>
                        <w14:solidFill>
                          <w14:schemeClr w14:val="tx1"/>
                        </w14:solidFill>
                      </w14:textFill>
                    </w:rPr>
                    <w:t>2</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33.583702</w:t>
                  </w:r>
                  <w:r>
                    <w:rPr>
                      <w:rFonts w:hint="eastAsia" w:cs="Times New Roman"/>
                      <w:color w:val="000000" w:themeColor="text1"/>
                      <w:sz w:val="21"/>
                      <w:szCs w:val="21"/>
                      <w:highlight w:val="none"/>
                      <w:lang w:val="en-US" w:eastAsia="zh-CN"/>
                      <w14:textFill>
                        <w14:solidFill>
                          <w14:schemeClr w14:val="tx1"/>
                        </w14:solidFill>
                      </w14:textFill>
                    </w:rPr>
                    <w:t>9</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6户18人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2+223—2+300</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岩桥沟门</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109.0350556</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33.5817721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1+342—1+400</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柳金坪</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109.033859</w:t>
                  </w:r>
                  <w:r>
                    <w:rPr>
                      <w:rFonts w:hint="eastAsia" w:cs="Times New Roman"/>
                      <w:color w:val="000000" w:themeColor="text1"/>
                      <w:sz w:val="21"/>
                      <w:szCs w:val="21"/>
                      <w:highlight w:val="none"/>
                      <w:lang w:val="en-US" w:eastAsia="zh-CN"/>
                      <w14:textFill>
                        <w14:solidFill>
                          <w14:schemeClr w14:val="tx1"/>
                        </w14:solidFill>
                      </w14:textFill>
                    </w:rPr>
                    <w:t>6</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33.575787</w:t>
                  </w:r>
                  <w:r>
                    <w:rPr>
                      <w:rFonts w:hint="eastAsia" w:cs="Times New Roman"/>
                      <w:color w:val="000000" w:themeColor="text1"/>
                      <w:sz w:val="21"/>
                      <w:szCs w:val="21"/>
                      <w:highlight w:val="none"/>
                      <w:lang w:val="en-US" w:eastAsia="zh-CN"/>
                      <w14:textFill>
                        <w14:solidFill>
                          <w14:schemeClr w14:val="tx1"/>
                        </w14:solidFill>
                      </w14:textFill>
                    </w:rPr>
                    <w:t>6</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4户12人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0+067—0+405</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大峪河</w:t>
                  </w: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五里庙村</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109.0634395</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33.5942634</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25户100人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9+542—9+807</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16</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新贯寺村</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109.0705425</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33.5732081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5户15人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4+800—4+898</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长桥</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109.071132</w:t>
                  </w:r>
                  <w:r>
                    <w:rPr>
                      <w:rFonts w:hint="eastAsia" w:cs="Times New Roman"/>
                      <w:color w:val="000000" w:themeColor="text1"/>
                      <w:sz w:val="21"/>
                      <w:szCs w:val="21"/>
                      <w:highlight w:val="none"/>
                      <w:lang w:val="en-US" w:eastAsia="zh-CN"/>
                      <w14:textFill>
                        <w14:solidFill>
                          <w14:schemeClr w14:val="tx1"/>
                        </w14:solidFill>
                      </w14:textFill>
                    </w:rPr>
                    <w:t>1</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33.5655458</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11户33人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3+429—3+667</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板庙子村</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109.072013</w:t>
                  </w:r>
                  <w:r>
                    <w:rPr>
                      <w:rFonts w:hint="eastAsia" w:cs="Times New Roman"/>
                      <w:color w:val="000000" w:themeColor="text1"/>
                      <w:sz w:val="21"/>
                      <w:szCs w:val="21"/>
                      <w:highlight w:val="none"/>
                      <w:lang w:val="en-US" w:eastAsia="zh-CN"/>
                      <w14:textFill>
                        <w14:solidFill>
                          <w14:schemeClr w14:val="tx1"/>
                        </w14:solidFill>
                      </w14:textFill>
                    </w:rPr>
                    <w:t>7</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33.5552481</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9户27人</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0+171—0+384</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地表水环境</w:t>
                  </w:r>
                </w:p>
              </w:tc>
              <w:tc>
                <w:tcPr>
                  <w:tcW w:w="66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小峪河</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《地表水环境质量标准》（GB3838-2002）中的Ⅱ类标准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6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大峪河</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生态环境</w:t>
                  </w:r>
                </w:p>
              </w:tc>
              <w:tc>
                <w:tcPr>
                  <w:tcW w:w="668"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陕西太兴山森林公园</w:t>
                  </w:r>
                </w:p>
              </w:tc>
              <w:tc>
                <w:tcPr>
                  <w:tcW w:w="12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保护内容为</w:t>
                  </w:r>
                  <w:r>
                    <w:rPr>
                      <w:rFonts w:hint="default" w:cs="Times New Roman"/>
                      <w:color w:val="000000" w:themeColor="text1"/>
                      <w:sz w:val="21"/>
                      <w:szCs w:val="21"/>
                      <w:highlight w:val="none"/>
                      <w:lang w:val="en-US" w:eastAsia="zh-CN"/>
                      <w14:textFill>
                        <w14:solidFill>
                          <w14:schemeClr w14:val="tx1"/>
                        </w14:solidFill>
                      </w14:textFill>
                    </w:rPr>
                    <w:t>各类森林风景资源</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47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大峪河</w:t>
                  </w: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3+429—3+667</w:t>
                  </w:r>
                  <w:r>
                    <w:rPr>
                      <w:rFonts w:hint="eastAsia" w:cs="Times New Roman"/>
                      <w:i w:val="0"/>
                      <w:color w:val="000000" w:themeColor="text1"/>
                      <w:kern w:val="0"/>
                      <w:sz w:val="21"/>
                      <w:szCs w:val="21"/>
                      <w:u w:val="none"/>
                      <w:lang w:val="en-US" w:eastAsia="zh-CN" w:bidi="ar"/>
                      <w14:textFill>
                        <w14:solidFill>
                          <w14:schemeClr w14:val="tx1"/>
                        </w14:solidFill>
                      </w14:textFill>
                    </w:rPr>
                    <w:t>段部分工程位于陕西太兴山森林公园</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68"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秦岭重点保护区</w:t>
                  </w:r>
                </w:p>
              </w:tc>
              <w:tc>
                <w:tcPr>
                  <w:tcW w:w="12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水产种质</w:t>
                  </w:r>
                  <w:r>
                    <w:rPr>
                      <w:rFonts w:hint="eastAsia" w:cs="Times New Roman"/>
                      <w:color w:val="000000" w:themeColor="text1"/>
                      <w:sz w:val="21"/>
                      <w:szCs w:val="21"/>
                      <w:highlight w:val="none"/>
                      <w:lang w:val="en-US" w:eastAsia="zh-CN"/>
                      <w14:textFill>
                        <w14:solidFill>
                          <w14:schemeClr w14:val="tx1"/>
                        </w14:solidFill>
                      </w14:textFill>
                    </w:rPr>
                    <w:t>、野生植物、野生动物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47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小峪河0+067—0+405段部分工程位于秦岭重点保护区</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68"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秦岭一般保护区</w:t>
                  </w:r>
                </w:p>
              </w:tc>
              <w:tc>
                <w:tcPr>
                  <w:tcW w:w="129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lang w:val="en-US" w:eastAsia="zh-CN"/>
                      <w14:textFill>
                        <w14:solidFill>
                          <w14:schemeClr w14:val="tx1"/>
                        </w14:solidFill>
                      </w14:textFill>
                    </w:rPr>
                    <w:t>水产种质</w:t>
                  </w:r>
                  <w:r>
                    <w:rPr>
                      <w:rFonts w:hint="eastAsia" w:cs="Times New Roman"/>
                      <w:color w:val="000000" w:themeColor="text1"/>
                      <w:sz w:val="21"/>
                      <w:szCs w:val="21"/>
                      <w:highlight w:val="none"/>
                      <w:lang w:val="en-US" w:eastAsia="zh-CN"/>
                      <w14:textFill>
                        <w14:solidFill>
                          <w14:schemeClr w14:val="tx1"/>
                        </w14:solidFill>
                      </w14:textFill>
                    </w:rPr>
                    <w:t>、野生植物、野生动物</w:t>
                  </w:r>
                </w:p>
              </w:tc>
              <w:tc>
                <w:tcPr>
                  <w:tcW w:w="5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47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除位于</w:t>
                  </w:r>
                  <w:r>
                    <w:rPr>
                      <w:rFonts w:hint="eastAsia" w:cs="Times New Roman"/>
                      <w:i w:val="0"/>
                      <w:color w:val="000000" w:themeColor="text1"/>
                      <w:kern w:val="0"/>
                      <w:sz w:val="21"/>
                      <w:szCs w:val="21"/>
                      <w:u w:val="none"/>
                      <w:lang w:val="en-US" w:eastAsia="zh-CN" w:bidi="ar"/>
                      <w14:textFill>
                        <w14:solidFill>
                          <w14:schemeClr w14:val="tx1"/>
                        </w14:solidFill>
                      </w14:textFill>
                    </w:rPr>
                    <w:t>陕西太兴山森林公园、</w:t>
                  </w:r>
                  <w:r>
                    <w:rPr>
                      <w:rFonts w:hint="eastAsia" w:cs="Times New Roman"/>
                      <w:color w:val="000000" w:themeColor="text1"/>
                      <w:sz w:val="21"/>
                      <w:szCs w:val="21"/>
                      <w:highlight w:val="none"/>
                      <w:lang w:val="en-US" w:eastAsia="zh-CN"/>
                      <w14:textFill>
                        <w14:solidFill>
                          <w14:schemeClr w14:val="tx1"/>
                        </w14:solidFill>
                      </w14:textFill>
                    </w:rPr>
                    <w:t>秦岭重点保护区以外的施工区域</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bl>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①</w:t>
            </w:r>
            <w:r>
              <w:rPr>
                <w:rFonts w:hint="eastAsia" w:cs="Times New Roman"/>
                <w:color w:val="000000" w:themeColor="text1"/>
                <w:kern w:val="2"/>
                <w:sz w:val="24"/>
                <w:szCs w:val="24"/>
                <w:highlight w:val="none"/>
                <w:lang w:val="en-US" w:eastAsia="zh-CN" w:bidi="ar-SA"/>
                <w14:textFill>
                  <w14:solidFill>
                    <w14:schemeClr w14:val="tx1"/>
                  </w14:solidFill>
                </w14:textFill>
              </w:rPr>
              <w:t>陕西太兴山森林公园（生态保护红线）</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陕西太兴山森林公园，又名西安市太兴山森林公园，设立于1992年，批复文号为“陕林场发〔1992〕384号”，主管单位为长安区林业局，公园位于长安区杨庄街道，地理坐标为东经109°02′00″～109°13′00″，北纬32°52′00″～34°02′00″。海拔740～2603米，总面积60.16平方公里，保护内容为各类森林风景资源。项目大峪河3+429—3+667段部分工程位于陕西太兴山森林公园保护区内。</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本项目大峪河3+429—3+667段工程位与陕西太兴山森林公园保护区边界相交，该工程段部分施工区域位于陕西太兴山森林公园保护区内。项目大峪河3+429—3+667段工程与陕西太兴山森林公园位置关系见附图6。</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②</w:t>
            </w:r>
            <w:r>
              <w:rPr>
                <w:rFonts w:hint="eastAsia" w:cs="Times New Roman"/>
                <w:color w:val="000000" w:themeColor="text1"/>
                <w:kern w:val="2"/>
                <w:sz w:val="24"/>
                <w:szCs w:val="24"/>
                <w:highlight w:val="none"/>
                <w:lang w:val="en-US" w:eastAsia="zh-CN" w:bidi="ar-SA"/>
                <w14:textFill>
                  <w14:solidFill>
                    <w14:schemeClr w14:val="tx1"/>
                  </w14:solidFill>
                </w14:textFill>
              </w:rPr>
              <w:t>秦岭重点保护区</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重点保护区包括秦岭保护范围内海拔1500~2000米之间的区域；国家公园、自然保护区的一般控制区，饮用水水源二级保护区；国家级和省级风景名胜区、地质公园、森林公园湿地公园等自然公园的重要功能区植物园、水利风景区；水产种质资源保护区、野生植物原生境保护区（点）、野生动物重要栖息地，国有天然林分布区，重要湿地，重要的大中型水库、天然湖泊；全国重点文物保护单位、省级文物保护单位等范围，去除上述范围中与核心保护区重叠面积以及国土空间规划确定的城镇开发边界范围后，面积约为1.36万平方公里，占秦岭保护范围的23.33%涉及39个县（汉中市西乡县未涉及），333个乡（镇）、街道，2086个行政村，常住人口60.84万人，占秦岭保护范围人口的11.87%。重点保护区有基本农田45.64万亩，耕地56.12万亩，分别占总数的11.13%、10.83%。</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本项目小峪河0+067—0+405段工程位与秦岭重点保护区边界相交，该工程段部分施工区域位于秦岭重点保护区内。项目小峪河0+067—0+405段工程与秦岭重点保护区位置关系见附图7。</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③</w:t>
            </w:r>
            <w:r>
              <w:rPr>
                <w:rFonts w:hint="eastAsia" w:cs="Times New Roman"/>
                <w:color w:val="000000" w:themeColor="text1"/>
                <w:kern w:val="2"/>
                <w:sz w:val="24"/>
                <w:szCs w:val="24"/>
                <w:highlight w:val="none"/>
                <w:lang w:val="en-US" w:eastAsia="zh-CN" w:bidi="ar-SA"/>
                <w14:textFill>
                  <w14:solidFill>
                    <w14:schemeClr w14:val="tx1"/>
                  </w14:solidFill>
                </w14:textFill>
              </w:rPr>
              <w:t>秦岭一般保护区</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秦岭保护范围内除核心保护区、重点保护区以外的区域，为一般保护区。城镇开发边界范围属一般保护区。一般保护区面积约为3.65万平方公里，占秦岭保护范围的62.61%，涉及39个县（市、区），339个多（镇）、街道，3316个行政村，常住人口444.23万人，占秦岭保护范围人口的86.63%。一般保护区有基本农田361.66万亩、耕地449.99万亩，分别占总数的88.24%、86.87%。</w:t>
            </w:r>
          </w:p>
          <w:p>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highlight w:val="none"/>
                <w:lang w:val="en-US" w:eastAsia="zh-CN" w:bidi="ar-SA"/>
                <w14:textFill>
                  <w14:solidFill>
                    <w14:schemeClr w14:val="tx1"/>
                  </w14:solidFill>
                </w14:textFill>
              </w:rPr>
              <w:t>本项目除位于陕西太兴山森林公园、秦岭重点保护区以外的施工区域均属于秦岭一般保护区范围内。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7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评价</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标准</w:t>
            </w:r>
          </w:p>
        </w:tc>
        <w:tc>
          <w:tcPr>
            <w:tcW w:w="899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1.环境质量标准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环境空气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执行《环境空气质量标准》（GB3095-2012）及修改单中的二级标准</w:t>
            </w:r>
            <w:r>
              <w:rPr>
                <w:rFonts w:hint="default" w:ascii="Times New Roman" w:hAnsi="Times New Roman" w:eastAsia="宋体" w:cs="Times New Roman"/>
                <w:color w:val="000000" w:themeColor="text1"/>
                <w:sz w:val="24"/>
                <w:szCs w:val="24"/>
                <w:highlight w:val="none"/>
                <w14:textFill>
                  <w14:solidFill>
                    <w14:schemeClr w14:val="tx1"/>
                  </w14:solidFill>
                </w14:textFill>
              </w:rPr>
              <w:t>，详见表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vertAlign w:val="subscript"/>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 xml:space="preserve">14 </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14:textFill>
                  <w14:solidFill>
                    <w14:schemeClr w14:val="tx1"/>
                  </w14:solidFill>
                </w14:textFill>
              </w:rPr>
              <w:t>环境空气质量标准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15"/>
              <w:gridCol w:w="1424"/>
              <w:gridCol w:w="1425"/>
              <w:gridCol w:w="1459"/>
              <w:gridCol w:w="25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blHeader/>
                <w:jc w:val="center"/>
              </w:trPr>
              <w:tc>
                <w:tcPr>
                  <w:tcW w:w="465"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635"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2453" w:type="pct"/>
                  <w:gridSpan w:val="3"/>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标准限值（</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µ</w:t>
                  </w:r>
                  <w:r>
                    <w:rPr>
                      <w:rFonts w:hint="default" w:ascii="Times New Roman" w:hAnsi="Times New Roman" w:cs="Times New Roman"/>
                      <w:b/>
                      <w:bCs/>
                      <w:color w:val="000000" w:themeColor="text1"/>
                      <w:sz w:val="21"/>
                      <w:szCs w:val="21"/>
                      <w:highlight w:val="none"/>
                      <w14:textFill>
                        <w14:solidFill>
                          <w14:schemeClr w14:val="tx1"/>
                        </w14:solidFill>
                      </w14:textFill>
                    </w:rPr>
                    <w:t>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1446"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标准</w:t>
                  </w:r>
                  <w:r>
                    <w:rPr>
                      <w:rFonts w:hint="eastAsia" w:cs="Times New Roman"/>
                      <w:b/>
                      <w:bCs/>
                      <w:color w:val="000000" w:themeColor="text1"/>
                      <w:sz w:val="21"/>
                      <w:szCs w:val="21"/>
                      <w:highlight w:val="none"/>
                      <w:lang w:eastAsia="zh-CN"/>
                      <w14:textFill>
                        <w14:solidFill>
                          <w14:schemeClr w14:val="tx1"/>
                        </w14:solidFill>
                      </w14:textFill>
                    </w:rPr>
                    <w:t>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465"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635"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81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1小时平均</w:t>
                  </w:r>
                </w:p>
              </w:tc>
              <w:tc>
                <w:tcPr>
                  <w:tcW w:w="81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8小时平均</w:t>
                  </w:r>
                </w:p>
              </w:tc>
              <w:tc>
                <w:tcPr>
                  <w:tcW w:w="82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24小时平均</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10</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14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《环境空气质量标准》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（GB3095-2012）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PM</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2.5</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75</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500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150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NO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80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10000</w:t>
                  </w:r>
                </w:p>
              </w:tc>
              <w:tc>
                <w:tcPr>
                  <w:tcW w:w="8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4000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6</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3</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200</w:t>
                  </w:r>
                </w:p>
              </w:tc>
              <w:tc>
                <w:tcPr>
                  <w:tcW w:w="8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160</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6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TSP</w:t>
                  </w:r>
                </w:p>
              </w:tc>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1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300</w:t>
                  </w:r>
                </w:p>
              </w:tc>
              <w:tc>
                <w:tcPr>
                  <w:tcW w:w="14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）水</w:t>
            </w:r>
            <w:r>
              <w:rPr>
                <w:rFonts w:hint="eastAsia" w:ascii="Times New Roman" w:hAnsi="Times New Roman" w:eastAsia="宋体" w:cs="Times New Roman"/>
                <w:color w:val="000000" w:themeColor="text1"/>
                <w:sz w:val="24"/>
                <w:szCs w:val="24"/>
                <w:highlight w:val="none"/>
                <w14:textFill>
                  <w14:solidFill>
                    <w14:schemeClr w14:val="tx1"/>
                  </w14:solidFill>
                </w14:textFill>
              </w:rPr>
              <w:t>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本项目涉及潏河上游河段大峪河、小峪河</w:t>
            </w:r>
            <w:r>
              <w:rPr>
                <w:rFonts w:hint="eastAsia" w:ascii="Times New Roman" w:hAnsi="Times New Roman" w:cs="Times New Roman"/>
                <w:color w:val="000000" w:themeColor="text1"/>
                <w:sz w:val="24"/>
                <w:highlight w:val="none"/>
                <w:lang w:val="zh-CN"/>
                <w14:textFill>
                  <w14:solidFill>
                    <w14:schemeClr w14:val="tx1"/>
                  </w14:solidFill>
                </w14:textFill>
              </w:rPr>
              <w:t>，</w:t>
            </w:r>
            <w:r>
              <w:rPr>
                <w:rFonts w:hint="eastAsia" w:cs="Times New Roman"/>
                <w:color w:val="000000" w:themeColor="text1"/>
                <w:sz w:val="24"/>
                <w:highlight w:val="none"/>
                <w:lang w:val="zh-CN"/>
                <w14:textFill>
                  <w14:solidFill>
                    <w14:schemeClr w14:val="tx1"/>
                  </w14:solidFill>
                </w14:textFill>
              </w:rPr>
              <w:t>根据陕西省水功能区划，潏河长安县源头水保护区，源头至大峪口段</w:t>
            </w:r>
            <w:r>
              <w:rPr>
                <w:rFonts w:hint="eastAsia" w:ascii="Times New Roman" w:hAnsi="Times New Roman" w:cs="Times New Roman"/>
                <w:color w:val="000000" w:themeColor="text1"/>
                <w:sz w:val="24"/>
                <w:highlight w:val="none"/>
                <w:lang w:val="zh-CN"/>
                <w14:textFill>
                  <w14:solidFill>
                    <w14:schemeClr w14:val="tx1"/>
                  </w14:solidFill>
                </w14:textFill>
              </w:rPr>
              <w:t>水质</w:t>
            </w:r>
            <w:r>
              <w:rPr>
                <w:rFonts w:hint="eastAsia" w:cs="Times New Roman"/>
                <w:color w:val="000000" w:themeColor="text1"/>
                <w:sz w:val="24"/>
                <w:highlight w:val="none"/>
                <w:lang w:val="en-US" w:eastAsia="zh-CN"/>
                <w14:textFill>
                  <w14:solidFill>
                    <w14:schemeClr w14:val="tx1"/>
                  </w14:solidFill>
                </w14:textFill>
              </w:rPr>
              <w:t>参照</w:t>
            </w:r>
            <w:r>
              <w:rPr>
                <w:rFonts w:hint="eastAsia"/>
                <w:color w:val="000000" w:themeColor="text1"/>
                <w:sz w:val="24"/>
                <w:highlight w:val="none"/>
                <w:lang w:val="zh-CN"/>
                <w14:textFill>
                  <w14:solidFill>
                    <w14:schemeClr w14:val="tx1"/>
                  </w14:solidFill>
                </w14:textFill>
              </w:rPr>
              <w:t>执行《地表水环境质量标准》（GB3838-2002）中的</w:t>
            </w:r>
            <w:r>
              <w:rPr>
                <w:rFonts w:hint="eastAsia" w:ascii="仿宋" w:hAnsi="仿宋" w:eastAsia="仿宋" w:cs="仿宋"/>
                <w:color w:val="000000" w:themeColor="text1"/>
                <w:sz w:val="24"/>
                <w:highlight w:val="none"/>
                <w:lang w:val="zh-CN"/>
                <w14:textFill>
                  <w14:solidFill>
                    <w14:schemeClr w14:val="tx1"/>
                  </w14:solidFill>
                </w14:textFill>
              </w:rPr>
              <w:t>Ⅱ</w:t>
            </w:r>
            <w:r>
              <w:rPr>
                <w:rFonts w:hint="eastAsia"/>
                <w:color w:val="000000" w:themeColor="text1"/>
                <w:sz w:val="24"/>
                <w:highlight w:val="none"/>
                <w:lang w:val="zh-CN"/>
                <w14:textFill>
                  <w14:solidFill>
                    <w14:schemeClr w14:val="tx1"/>
                  </w14:solidFill>
                </w14:textFill>
              </w:rPr>
              <w:t>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声环境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highlight w:val="none"/>
                <w:lang w:val="zh-CN"/>
                <w14:textFill>
                  <w14:solidFill>
                    <w14:schemeClr w14:val="tx1"/>
                  </w14:solidFill>
                </w14:textFill>
              </w:rPr>
              <w:t>本项目工程建设临近乡村，依据《西安市声环境功能区划方案》，乡村区域及规划未建成区域，根据《声环境质量标准》（GB 3096-2008）中乡村声环境功能区确定，《声环境质量标准》（GB3096-2008）要求村庄原则上执行1类声环境功能区要求，综上，本项目声环境执行《声环境质量标准》</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lang w:val="zh-CN"/>
                <w14:textFill>
                  <w14:solidFill>
                    <w14:schemeClr w14:val="tx1"/>
                  </w14:solidFill>
                </w14:textFill>
              </w:rPr>
              <w:t>类标准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2.污染物排放标准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000000" w:themeColor="text1"/>
                <w:sz w:val="24"/>
                <w:szCs w:val="24"/>
                <w:highlight w:val="none"/>
                <w14:textFill>
                  <w14:solidFill>
                    <w14:schemeClr w14:val="tx1"/>
                  </w14:solidFill>
                </w14:textFill>
              </w:rPr>
            </w:pP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施工期产生的扬尘排放执行《施工场界扬尘排放限值》</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（DB61/1078-2017）</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要求，详见下表3</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w:t>
            </w:r>
            <w:r>
              <w:rPr>
                <w:rFonts w:hint="eastAsia" w:cs="Times New Roman"/>
                <w:b w:val="0"/>
                <w:bCs/>
                <w:color w:val="000000" w:themeColor="text1"/>
                <w:kern w:val="2"/>
                <w:sz w:val="24"/>
                <w:szCs w:val="24"/>
                <w:highlight w:val="none"/>
                <w:lang w:val="en-US" w:eastAsia="zh-CN" w:bidi="ar-SA"/>
                <w14:textFill>
                  <w14:solidFill>
                    <w14:schemeClr w14:val="tx1"/>
                  </w14:solidFill>
                </w14:textFill>
              </w:rPr>
              <w:t>15</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15</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施工场界扬尘排放限值</w:t>
            </w:r>
          </w:p>
          <w:tbl>
            <w:tblPr>
              <w:tblStyle w:val="25"/>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868"/>
              <w:gridCol w:w="1162"/>
              <w:gridCol w:w="2878"/>
              <w:gridCol w:w="17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2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序号</w:t>
                  </w:r>
                </w:p>
              </w:tc>
              <w:tc>
                <w:tcPr>
                  <w:tcW w:w="1819"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污染物</w:t>
                  </w:r>
                </w:p>
              </w:tc>
              <w:tc>
                <w:tcPr>
                  <w:tcW w:w="11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监控点</w:t>
                  </w:r>
                </w:p>
              </w:tc>
              <w:tc>
                <w:tcPr>
                  <w:tcW w:w="280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施工阶段</w:t>
                  </w:r>
                </w:p>
              </w:tc>
              <w:tc>
                <w:tcPr>
                  <w:tcW w:w="169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小时平均浓度限值（mg/m</w:t>
                  </w:r>
                  <w:r>
                    <w:rPr>
                      <w:rFonts w:hint="default" w:ascii="Times New Roman" w:hAnsi="Times New Roman"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color w:val="000000" w:themeColor="text1"/>
                      <w:sz w:val="21"/>
                      <w:szCs w:val="21"/>
                      <w:highlight w:val="none"/>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8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施工扬尘（即总悬浮颗粒物TSP）</w:t>
                  </w:r>
                </w:p>
              </w:tc>
              <w:tc>
                <w:tcPr>
                  <w:tcW w:w="11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周界外浓度最高点</w:t>
                  </w:r>
                </w:p>
              </w:tc>
              <w:tc>
                <w:tcPr>
                  <w:tcW w:w="2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拆除、土方及地基处理工程</w:t>
                  </w:r>
                </w:p>
              </w:tc>
              <w:tc>
                <w:tcPr>
                  <w:tcW w:w="16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p>
              </w:tc>
              <w:tc>
                <w:tcPr>
                  <w:tcW w:w="18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11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2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基础、主体结构及装饰工程</w:t>
                  </w:r>
                </w:p>
              </w:tc>
              <w:tc>
                <w:tcPr>
                  <w:tcW w:w="16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≤0.7</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Chars="0"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施工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机械废气排放执行《非道路移动机械用柴油机排气污染物排放限制及测量方法（中国第三、四阶段）》</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（GB20891-2014）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中相关标准。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项目在秦岭保护区外设沉淀池2个用于处理车辆冲洗废水，施工车辆经冲洗后方可进出秦岭保护区，施工废水经沉淀罐处理后，在秦岭保护区外回用于洗车，不外排，施工人员生活污水依托周边村民现有的污水设施</w:t>
            </w:r>
            <w:r>
              <w:rPr>
                <w:rFonts w:hint="eastAsia"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施工期执行《建筑施工场界环境噪声排放标准》（GB12523-2011）</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，即昼间</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70dB</w:t>
            </w:r>
            <w:r>
              <w:rPr>
                <w:rFonts w:hint="eastAsia" w:cs="Times New Roman"/>
                <w:b w:val="0"/>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A</w:t>
            </w:r>
            <w:r>
              <w:rPr>
                <w:rFonts w:hint="eastAsia" w:cs="Times New Roman"/>
                <w:b w:val="0"/>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，夜间</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55dB</w:t>
            </w:r>
            <w:r>
              <w:rPr>
                <w:rFonts w:hint="eastAsia" w:cs="Times New Roman"/>
                <w:b w:val="0"/>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b w:val="0"/>
                <w:bCs/>
                <w:color w:val="000000" w:themeColor="text1"/>
                <w:kern w:val="2"/>
                <w:sz w:val="24"/>
                <w:szCs w:val="24"/>
                <w:highlight w:val="none"/>
                <w:lang w:val="en-US" w:eastAsia="zh-CN" w:bidi="ar-SA"/>
                <w14:textFill>
                  <w14:solidFill>
                    <w14:schemeClr w14:val="tx1"/>
                  </w14:solidFill>
                </w14:textFill>
              </w:rPr>
              <w:t>A</w:t>
            </w:r>
            <w:r>
              <w:rPr>
                <w:rFonts w:hint="eastAsia" w:cs="Times New Roman"/>
                <w:b w:val="0"/>
                <w:bCs/>
                <w:color w:val="000000" w:themeColor="text1"/>
                <w:kern w:val="2"/>
                <w:sz w:val="24"/>
                <w:szCs w:val="24"/>
                <w:highlight w:val="none"/>
                <w:lang w:val="en-US" w:eastAsia="zh-CN" w:bidi="ar-SA"/>
                <w14:textFill>
                  <w14:solidFill>
                    <w14:schemeClr w14:val="tx1"/>
                  </w14:solidFill>
                </w14:textFill>
              </w:rPr>
              <w:t>）标准限值要求。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color w:val="000000" w:themeColor="text1"/>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一般固废</w:t>
            </w:r>
            <w:r>
              <w:rPr>
                <w:rFonts w:hint="eastAsia" w:ascii="Times New Roman" w:hAnsi="Times New Roman" w:eastAsia="宋体" w:cs="Times New Roman"/>
                <w:color w:val="000000" w:themeColor="text1"/>
                <w:sz w:val="24"/>
                <w:szCs w:val="24"/>
                <w:highlight w:val="none"/>
                <w14:textFill>
                  <w14:solidFill>
                    <w14:schemeClr w14:val="tx1"/>
                  </w14:solidFill>
                </w14:textFill>
              </w:rPr>
              <w:t>执行《一般工业固体废物贮存</w:t>
            </w:r>
            <w:r>
              <w:rPr>
                <w:rFonts w:hint="eastAsia" w:ascii="Times New Roman" w:hAnsi="Times New Roman" w:cs="Times New Roman"/>
                <w:color w:val="000000" w:themeColor="text1"/>
                <w:sz w:val="24"/>
                <w:szCs w:val="24"/>
                <w:highlight w:val="none"/>
                <w:lang w:eastAsia="zh-CN"/>
                <w14:textFill>
                  <w14:solidFill>
                    <w14:schemeClr w14:val="tx1"/>
                  </w14:solidFill>
                </w14:textFill>
              </w:rPr>
              <w:t>和填埋</w:t>
            </w:r>
            <w:r>
              <w:rPr>
                <w:rFonts w:hint="eastAsia" w:ascii="Times New Roman" w:hAnsi="Times New Roman" w:eastAsia="宋体" w:cs="Times New Roman"/>
                <w:color w:val="000000" w:themeColor="text1"/>
                <w:sz w:val="24"/>
                <w:szCs w:val="24"/>
                <w:highlight w:val="none"/>
                <w14:textFill>
                  <w14:solidFill>
                    <w14:schemeClr w14:val="tx1"/>
                  </w14:solidFill>
                </w14:textFill>
              </w:rPr>
              <w:t>污染控制标准》（GB18599-20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14:textFill>
                  <w14:solidFill>
                    <w14:schemeClr w14:val="tx1"/>
                  </w14:solidFill>
                </w14:textFill>
              </w:rPr>
              <w:t>）要求；</w:t>
            </w:r>
            <w:r>
              <w:rPr>
                <w:rFonts w:hint="eastAsia" w:cs="Times New Roman"/>
                <w:color w:val="000000" w:themeColor="text1"/>
                <w:sz w:val="24"/>
                <w:szCs w:val="24"/>
                <w:highlight w:val="none"/>
                <w:lang w:eastAsia="zh-CN"/>
                <w14:textFill>
                  <w14:solidFill>
                    <w14:schemeClr w14:val="tx1"/>
                  </w14:solidFill>
                </w14:textFill>
              </w:rPr>
              <w:t>危险废物执行《危险废物贮存污染控制标准》（</w:t>
            </w:r>
            <w:r>
              <w:rPr>
                <w:rFonts w:hint="eastAsia" w:cs="Times New Roman"/>
                <w:color w:val="000000" w:themeColor="text1"/>
                <w:sz w:val="24"/>
                <w:szCs w:val="24"/>
                <w:highlight w:val="none"/>
                <w:lang w:val="en-US" w:eastAsia="zh-CN"/>
                <w14:textFill>
                  <w14:solidFill>
                    <w14:schemeClr w14:val="tx1"/>
                  </w14:solidFill>
                </w14:textFill>
              </w:rPr>
              <w:t>GB18597-2023</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中的相关要求</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0" w:hRule="atLeast"/>
          <w:jc w:val="center"/>
        </w:trPr>
        <w:tc>
          <w:tcPr>
            <w:tcW w:w="570"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其他</w:t>
            </w:r>
          </w:p>
        </w:tc>
        <w:tc>
          <w:tcPr>
            <w:tcW w:w="899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color w:val="000000" w:themeColor="text1"/>
                <w:kern w:val="0"/>
                <w:sz w:val="24"/>
                <w:szCs w:val="24"/>
                <w:highlight w:val="none"/>
                <w:lang w:val="en-US"/>
                <w14:textFill>
                  <w14:solidFill>
                    <w14:schemeClr w14:val="tx1"/>
                  </w14:solidFill>
                </w14:textFill>
              </w:rPr>
            </w:pPr>
            <w:r>
              <w:rPr>
                <w:rFonts w:hint="default" w:ascii="宋体" w:hAnsi="宋体" w:cs="宋体"/>
                <w:color w:val="000000" w:themeColor="text1"/>
                <w:kern w:val="0"/>
                <w:sz w:val="24"/>
                <w:szCs w:val="24"/>
                <w:highlight w:val="none"/>
                <w:lang w:val="en-US"/>
                <w14:textFill>
                  <w14:solidFill>
                    <w14:schemeClr w14:val="tx1"/>
                  </w14:solidFill>
                </w14:textFill>
              </w:rPr>
              <w:t>本项目运营期大气污染物主要为扬尘及车辆行驶过程中间歇式无组织排放的废气，故不作大气污染物总量控制要求；运营期不产生生产废水及生活污水。故本项目不申请总量。</w:t>
            </w:r>
          </w:p>
          <w:p>
            <w:pPr>
              <w:pStyle w:val="30"/>
              <w:rPr>
                <w:rFonts w:hint="default" w:ascii="宋体" w:hAnsi="宋体" w:cs="宋体"/>
                <w:color w:val="000000" w:themeColor="text1"/>
                <w:kern w:val="0"/>
                <w:sz w:val="24"/>
                <w:szCs w:val="24"/>
                <w:highlight w:val="none"/>
                <w:lang w:val="en-US"/>
                <w14:textFill>
                  <w14:solidFill>
                    <w14:schemeClr w14:val="tx1"/>
                  </w14:solidFill>
                </w14:textFill>
              </w:rPr>
            </w:pPr>
          </w:p>
          <w:p>
            <w:pPr>
              <w:pStyle w:val="30"/>
              <w:rPr>
                <w:rFonts w:hint="default" w:ascii="宋体" w:hAnsi="宋体" w:cs="宋体"/>
                <w:color w:val="000000" w:themeColor="text1"/>
                <w:kern w:val="0"/>
                <w:sz w:val="24"/>
                <w:szCs w:val="24"/>
                <w:highlight w:val="none"/>
                <w:lang w:val="en-US"/>
                <w14:textFill>
                  <w14:solidFill>
                    <w14:schemeClr w14:val="tx1"/>
                  </w14:solidFill>
                </w14:textFill>
              </w:rPr>
            </w:pPr>
          </w:p>
          <w:p>
            <w:pPr>
              <w:pStyle w:val="30"/>
              <w:rPr>
                <w:rFonts w:hint="default" w:ascii="宋体" w:hAnsi="宋体" w:cs="宋体"/>
                <w:color w:val="000000" w:themeColor="text1"/>
                <w:kern w:val="0"/>
                <w:sz w:val="24"/>
                <w:szCs w:val="24"/>
                <w:highlight w:val="none"/>
                <w:lang w:val="en-US"/>
                <w14:textFill>
                  <w14:solidFill>
                    <w14:schemeClr w14:val="tx1"/>
                  </w14:solidFill>
                </w14:textFill>
              </w:rPr>
            </w:pPr>
          </w:p>
          <w:p>
            <w:pPr>
              <w:pStyle w:val="30"/>
              <w:rPr>
                <w:rFonts w:hint="eastAsia" w:ascii="宋体" w:hAnsi="宋体" w:cs="宋体"/>
                <w:color w:val="000000" w:themeColor="text1"/>
                <w:kern w:val="0"/>
                <w:sz w:val="24"/>
                <w:szCs w:val="24"/>
                <w:highlight w:val="none"/>
                <w:lang w:val="en-US" w:eastAsia="zh-CN"/>
                <w14:textFill>
                  <w14:solidFill>
                    <w14:schemeClr w14:val="tx1"/>
                  </w14:solidFill>
                </w14:textFill>
              </w:rPr>
            </w:pPr>
          </w:p>
          <w:p>
            <w:pPr>
              <w:pStyle w:val="30"/>
              <w:rPr>
                <w:rFonts w:hint="eastAsia" w:ascii="宋体" w:hAnsi="宋体" w:cs="宋体"/>
                <w:color w:val="000000" w:themeColor="text1"/>
                <w:kern w:val="0"/>
                <w:sz w:val="24"/>
                <w:szCs w:val="24"/>
                <w:highlight w:val="none"/>
                <w:lang w:val="en-US" w:eastAsia="zh-CN"/>
                <w14:textFill>
                  <w14:solidFill>
                    <w14:schemeClr w14:val="tx1"/>
                  </w14:solidFill>
                </w14:textFill>
              </w:rPr>
            </w:pPr>
          </w:p>
          <w:p>
            <w:pPr>
              <w:pStyle w:val="30"/>
              <w:rPr>
                <w:rFonts w:hint="eastAsia" w:ascii="宋体" w:hAnsi="宋体" w:cs="宋体"/>
                <w:color w:val="000000" w:themeColor="text1"/>
                <w:kern w:val="0"/>
                <w:sz w:val="24"/>
                <w:szCs w:val="24"/>
                <w:highlight w:val="none"/>
                <w:lang w:val="en-US" w:eastAsia="zh-CN"/>
                <w14:textFill>
                  <w14:solidFill>
                    <w14:schemeClr w14:val="tx1"/>
                  </w14:solidFill>
                </w14:textFill>
              </w:rPr>
            </w:pPr>
          </w:p>
          <w:p>
            <w:pPr>
              <w:pStyle w:val="30"/>
              <w:rPr>
                <w:rFonts w:hint="eastAsia" w:ascii="宋体" w:hAnsi="宋体" w:cs="宋体"/>
                <w:color w:val="000000" w:themeColor="text1"/>
                <w:kern w:val="0"/>
                <w:sz w:val="24"/>
                <w:szCs w:val="24"/>
                <w:highlight w:val="none"/>
                <w:lang w:val="en-US" w:eastAsia="zh-CN"/>
                <w14:textFill>
                  <w14:solidFill>
                    <w14:schemeClr w14:val="tx1"/>
                  </w14:solidFill>
                </w14:textFill>
              </w:rPr>
            </w:pPr>
          </w:p>
          <w:p>
            <w:pPr>
              <w:pStyle w:val="30"/>
              <w:rPr>
                <w:rFonts w:hint="eastAsia" w:ascii="宋体" w:hAnsi="宋体" w:cs="宋体"/>
                <w:color w:val="000000" w:themeColor="text1"/>
                <w:kern w:val="0"/>
                <w:sz w:val="24"/>
                <w:szCs w:val="24"/>
                <w:highlight w:val="none"/>
                <w:lang w:val="en-US" w:eastAsia="zh-CN"/>
                <w14:textFill>
                  <w14:solidFill>
                    <w14:schemeClr w14:val="tx1"/>
                  </w14:solidFill>
                </w14:textFill>
              </w:rPr>
            </w:pPr>
          </w:p>
        </w:tc>
      </w:tr>
    </w:tbl>
    <w:p>
      <w:pPr>
        <w:pStyle w:val="22"/>
        <w:jc w:val="center"/>
        <w:outlineLvl w:val="0"/>
        <w:rPr>
          <w:rStyle w:val="55"/>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四、生态环境影响分析</w:t>
      </w:r>
    </w:p>
    <w:tbl>
      <w:tblPr>
        <w:tblStyle w:val="25"/>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tcMar>
              <w:left w:w="28" w:type="dxa"/>
              <w:right w:w="28" w:type="dxa"/>
            </w:tcMar>
            <w:vAlign w:val="center"/>
          </w:tcPr>
          <w:p>
            <w:pPr>
              <w:pStyle w:val="22"/>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bookmarkStart w:id="3" w:name="_Hlk49796138"/>
            <w:r>
              <w:rPr>
                <w:rFonts w:hint="eastAsia" w:cs="宋体"/>
                <w:bCs/>
                <w:color w:val="000000" w:themeColor="text1"/>
                <w:spacing w:val="10"/>
                <w:kern w:val="2"/>
                <w:sz w:val="21"/>
                <w:szCs w:val="21"/>
                <w14:textFill>
                  <w14:solidFill>
                    <w14:schemeClr w14:val="tx1"/>
                  </w14:solidFill>
                </w14:textFill>
              </w:rPr>
              <w:t>施工期生态环境影响分析</w:t>
            </w:r>
            <w:bookmarkEnd w:id="3"/>
          </w:p>
        </w:tc>
        <w:tc>
          <w:tcPr>
            <w:tcW w:w="8363" w:type="dxa"/>
          </w:tcPr>
          <w:p>
            <w:pPr>
              <w:pStyle w:val="20"/>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施工废气</w:t>
            </w:r>
          </w:p>
          <w:p>
            <w:pPr>
              <w:pStyle w:val="20"/>
              <w:ind w:firstLine="482"/>
              <w:rPr>
                <w:rFonts w:hint="eastAsia"/>
                <w:b/>
                <w:bCs/>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施工废气包括施工扬尘、施工机械与车辆尾气等。</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（1）施工扬尘</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工程施工扬尘包括建筑扬尘及运输扬尘。</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建筑扬尘主要指施工阶段地基平整、开挖、回填土方过程产生扬尘以及建筑材料堆场因遮盖不严遇到大风天气产生的扬尘。</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物料运输过程中车辆沿途洒落于道路上的沙、土、灰、渣和建筑垃圾，以及沉积在道路上其它排放源排放的颗粒物，经来往车辆碾压后也会导致粒径较小的颗粒物进入空气，形成二次扬尘。项目施工场地内部道路为临时道路，如不及时采取路面硬化等措施，在施工物料运输过程会造成路面沉积颗粒物反复扬起、沉降，极易造成新的污染。</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对出入施工场地车辆进行冲洗、限速行驶及保持路面清洁，物料运输车辆加盖蓬布低速行驶，严禁超载  。</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（2）施工机械与车辆尾气</w:t>
            </w:r>
          </w:p>
          <w:p>
            <w:pPr>
              <w:pStyle w:val="20"/>
              <w:ind w:firstLine="482"/>
              <w:rPr>
                <w:rFonts w:hint="eastAsia"/>
                <w:b w:val="0"/>
                <w:bCs w:val="0"/>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建设期间，施工机械及车辆尾气主要来自施工机械排放废气、各种物料运输车辆排放汽车尾气等，对周围环境空气造成污染。车辆尾气中主要污染物为CO、NOx及THC等，工程在加强施工机械、车辆等运行管理与维护保养情况下，可减少尾气排放对环境的污染，对环境影响小。</w:t>
            </w:r>
          </w:p>
          <w:p>
            <w:pPr>
              <w:pStyle w:val="20"/>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施工废水</w:t>
            </w:r>
          </w:p>
          <w:p>
            <w:pPr>
              <w:pStyle w:val="20"/>
              <w:ind w:firstLine="482"/>
              <w:rPr>
                <w:rFonts w:hint="eastAsia"/>
                <w:b/>
                <w:bCs/>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施工废水主要为施工生产废水和施工区生活污水。</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（1）施工生产废水</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施工生产废水主要为施工车辆冲洗水和混凝土养护水，本项目在秦岭保护区外设沉淀池2个用于处理车辆冲洗废水，施工车辆经冲洗后方可进入秦岭保护区。</w:t>
            </w:r>
            <w:r>
              <w:rPr>
                <w:rFonts w:hint="eastAsia" w:ascii="Times New Roman" w:hAnsi="Times New Roman" w:eastAsia="宋体" w:cs="宋体"/>
                <w:b w:val="0"/>
                <w:bCs w:val="0"/>
                <w:color w:val="000000" w:themeColor="text1"/>
                <w:lang w:val="en-US" w:eastAsia="zh-CN"/>
                <w14:textFill>
                  <w14:solidFill>
                    <w14:schemeClr w14:val="tx1"/>
                  </w14:solidFill>
                </w14:textFill>
              </w:rPr>
              <w:t>废水中主要的污染物为SS和少量的石油类，SS的浓度约1000-2000mg/m</w:t>
            </w:r>
            <w:r>
              <w:rPr>
                <w:rFonts w:hint="eastAsia" w:ascii="Times New Roman" w:hAnsi="Times New Roman" w:eastAsia="宋体" w:cs="宋体"/>
                <w:b w:val="0"/>
                <w:bCs w:val="0"/>
                <w:color w:val="000000" w:themeColor="text1"/>
                <w:vertAlign w:val="superscript"/>
                <w:lang w:val="en-US" w:eastAsia="zh-CN"/>
                <w14:textFill>
                  <w14:solidFill>
                    <w14:schemeClr w14:val="tx1"/>
                  </w14:solidFill>
                </w14:textFill>
              </w:rPr>
              <w:t>3</w:t>
            </w:r>
            <w:r>
              <w:rPr>
                <w:rFonts w:hint="eastAsia" w:ascii="Times New Roman" w:hAnsi="Times New Roman" w:eastAsia="宋体" w:cs="宋体"/>
                <w:b w:val="0"/>
                <w:bCs w:val="0"/>
                <w:color w:val="000000" w:themeColor="text1"/>
                <w:lang w:val="en-US" w:eastAsia="zh-CN"/>
                <w14:textFill>
                  <w14:solidFill>
                    <w14:schemeClr w14:val="tx1"/>
                  </w14:solidFill>
                </w14:textFill>
              </w:rPr>
              <w:t>。由于工程施工期生产废水产生点较为分散，难以集中处理，</w:t>
            </w:r>
            <w:r>
              <w:rPr>
                <w:rFonts w:hint="eastAsia" w:cs="宋体"/>
                <w:b w:val="0"/>
                <w:bCs w:val="0"/>
                <w:color w:val="000000" w:themeColor="text1"/>
                <w:lang w:val="en-US" w:eastAsia="zh-CN"/>
                <w14:textFill>
                  <w14:solidFill>
                    <w14:schemeClr w14:val="tx1"/>
                  </w14:solidFill>
                </w14:textFill>
              </w:rPr>
              <w:t>且项目为逐段施工，因此设沉淀罐用于处理施工废水，施工废水经沉淀罐处理后，在秦岭保护区外回用于洗车</w:t>
            </w:r>
            <w:r>
              <w:rPr>
                <w:rFonts w:hint="eastAsia" w:ascii="Times New Roman" w:hAnsi="Times New Roman" w:eastAsia="宋体" w:cs="宋体"/>
                <w:b w:val="0"/>
                <w:bCs w:val="0"/>
                <w:color w:val="000000" w:themeColor="text1"/>
                <w:lang w:val="en-US" w:eastAsia="zh-CN"/>
                <w14:textFill>
                  <w14:solidFill>
                    <w14:schemeClr w14:val="tx1"/>
                  </w14:solidFill>
                </w14:textFill>
              </w:rPr>
              <w:t>。</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本工程不设置专门的机械修配厂，工程区距离城镇较近，机械维修可直接在附近县城或乡镇进行。</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综上，施工生产废水经沉淀后回用，不外排，对外环境影响较小。</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（2）生活污水</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本项目设置1个项目指挥部和4个主要的工区营地，项目指挥部及营地皆租用民房建筑，不自行建设。施工人员生活污水依托周边村民现有的污水设施。</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（3）施工过程对河道水质的影响分析</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本工程施工过程中，泥沙会随水流扰动水体，将直接造成工程区附近水体泥沙含量增加，会对水质产生一定影响。</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施工主要在枯水期，河道水流速相对较小，因此施工扰动只会使短期内小范围水体中的悬浮物有所增加，施工结束后影本工程不涉及地下水的开采。</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cs="宋体"/>
                <w:b w:val="0"/>
                <w:bCs w:val="0"/>
                <w:color w:val="000000" w:themeColor="text1"/>
                <w:lang w:val="en-US" w:eastAsia="zh-CN"/>
                <w14:textFill>
                  <w14:solidFill>
                    <w14:schemeClr w14:val="tx1"/>
                  </w14:solidFill>
                </w14:textFill>
              </w:rPr>
              <w:t>（4）</w:t>
            </w:r>
            <w:r>
              <w:rPr>
                <w:rFonts w:hint="eastAsia" w:ascii="Times New Roman" w:hAnsi="Times New Roman" w:eastAsia="宋体" w:cs="宋体"/>
                <w:b w:val="0"/>
                <w:bCs w:val="0"/>
                <w:color w:val="000000" w:themeColor="text1"/>
                <w:lang w:val="en-US" w:eastAsia="zh-CN"/>
                <w14:textFill>
                  <w14:solidFill>
                    <w14:schemeClr w14:val="tx1"/>
                  </w14:solidFill>
                </w14:textFill>
              </w:rPr>
              <w:t>施工过程对</w:t>
            </w:r>
            <w:r>
              <w:rPr>
                <w:rFonts w:hint="eastAsia" w:cs="宋体"/>
                <w:b w:val="0"/>
                <w:bCs w:val="0"/>
                <w:color w:val="000000" w:themeColor="text1"/>
                <w:lang w:val="en-US" w:eastAsia="zh-CN"/>
                <w14:textFill>
                  <w14:solidFill>
                    <w14:schemeClr w14:val="tx1"/>
                  </w14:solidFill>
                </w14:textFill>
              </w:rPr>
              <w:t>地下水</w:t>
            </w:r>
            <w:r>
              <w:rPr>
                <w:rFonts w:hint="eastAsia" w:ascii="Times New Roman" w:hAnsi="Times New Roman" w:eastAsia="宋体" w:cs="宋体"/>
                <w:b w:val="0"/>
                <w:bCs w:val="0"/>
                <w:color w:val="000000" w:themeColor="text1"/>
                <w:lang w:val="en-US" w:eastAsia="zh-CN"/>
                <w14:textFill>
                  <w14:solidFill>
                    <w14:schemeClr w14:val="tx1"/>
                  </w14:solidFill>
                </w14:textFill>
              </w:rPr>
              <w:t>的影响分析</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本工程运行后，与工程建设前天然河道的水位与流量变化不大，不改变河道地下水的补给与排泄以及地表水与地下水之间的水力联通关系，不会影响到地下水位的变化。响就随之消失。</w:t>
            </w:r>
          </w:p>
          <w:p>
            <w:pPr>
              <w:pStyle w:val="20"/>
              <w:ind w:firstLine="482"/>
              <w:rPr>
                <w:rFonts w:hint="eastAsia" w:ascii="Times New Roman" w:hAnsi="Times New Roman" w:eastAsia="宋体" w:cs="宋体"/>
                <w:b w:val="0"/>
                <w:bCs w:val="0"/>
                <w:color w:val="000000" w:themeColor="text1"/>
                <w:lang w:val="en-US" w:eastAsia="zh-CN"/>
                <w14:textFill>
                  <w14:solidFill>
                    <w14:schemeClr w14:val="tx1"/>
                  </w14:solidFill>
                </w14:textFill>
              </w:rPr>
            </w:pPr>
            <w:r>
              <w:rPr>
                <w:rFonts w:hint="eastAsia" w:ascii="Times New Roman" w:hAnsi="Times New Roman" w:eastAsia="宋体" w:cs="宋体"/>
                <w:b w:val="0"/>
                <w:bCs w:val="0"/>
                <w:color w:val="000000" w:themeColor="text1"/>
                <w:lang w:val="en-US" w:eastAsia="zh-CN"/>
                <w14:textFill>
                  <w14:solidFill>
                    <w14:schemeClr w14:val="tx1"/>
                  </w14:solidFill>
                </w14:textFill>
              </w:rPr>
              <w:t>因此，施工过程对河道水质的影响较小。</w:t>
            </w:r>
          </w:p>
          <w:p>
            <w:pPr>
              <w:pStyle w:val="20"/>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施工噪声</w:t>
            </w:r>
          </w:p>
          <w:p>
            <w:pPr>
              <w:pStyle w:val="20"/>
              <w:ind w:firstLine="482"/>
              <w:rPr>
                <w:rFonts w:hint="eastAsia"/>
                <w:b/>
                <w:bCs/>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施工期噪声源主要是挖掘机、推土机、拖拉机等机械设备和运输车辆，声级一般在85～100dB(A)。施工期主要噪声源及强度见表4-1。</w:t>
            </w:r>
          </w:p>
          <w:p>
            <w:pPr>
              <w:pStyle w:val="20"/>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themeColor="text1"/>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4-1</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施工期主要噪声源及强度一览表</w:t>
            </w:r>
          </w:p>
          <w:tbl>
            <w:tblPr>
              <w:tblStyle w:val="25"/>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545"/>
              <w:gridCol w:w="3577"/>
              <w:gridCol w:w="302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33"/>
                    <w:kinsoku w:val="0"/>
                    <w:overflowPunct w:val="0"/>
                    <w:snapToGrid w:val="0"/>
                    <w:rPr>
                      <w:rFonts w:ascii="Times New Roman" w:eastAsia="宋体" w:cs="Times New Roman"/>
                      <w:b/>
                      <w:bCs/>
                      <w:snapToGrid w:val="0"/>
                      <w:color w:val="000000" w:themeColor="text1"/>
                      <w:sz w:val="21"/>
                      <w:szCs w:val="21"/>
                      <w14:textFill>
                        <w14:solidFill>
                          <w14:schemeClr w14:val="tx1"/>
                        </w14:solidFill>
                      </w14:textFill>
                    </w:rPr>
                  </w:pPr>
                  <w:r>
                    <w:rPr>
                      <w:rFonts w:ascii="Times New Roman" w:eastAsia="宋体" w:cs="Times New Roman"/>
                      <w:b/>
                      <w:bCs/>
                      <w:snapToGrid w:val="0"/>
                      <w:color w:val="000000" w:themeColor="text1"/>
                      <w:sz w:val="21"/>
                      <w:szCs w:val="21"/>
                      <w14:textFill>
                        <w14:solidFill>
                          <w14:schemeClr w14:val="tx1"/>
                        </w14:solidFill>
                      </w14:textFill>
                    </w:rPr>
                    <w:t>序号</w:t>
                  </w:r>
                </w:p>
              </w:tc>
              <w:tc>
                <w:tcPr>
                  <w:tcW w:w="2195" w:type="pct"/>
                  <w:noWrap w:val="0"/>
                  <w:vAlign w:val="center"/>
                </w:tcPr>
                <w:p>
                  <w:pPr>
                    <w:pStyle w:val="33"/>
                    <w:kinsoku w:val="0"/>
                    <w:overflowPunct w:val="0"/>
                    <w:snapToGrid w:val="0"/>
                    <w:rPr>
                      <w:rFonts w:ascii="Times New Roman" w:eastAsia="宋体" w:cs="Times New Roman"/>
                      <w:b/>
                      <w:bCs/>
                      <w:snapToGrid w:val="0"/>
                      <w:color w:val="000000" w:themeColor="text1"/>
                      <w:sz w:val="21"/>
                      <w:szCs w:val="21"/>
                      <w14:textFill>
                        <w14:solidFill>
                          <w14:schemeClr w14:val="tx1"/>
                        </w14:solidFill>
                      </w14:textFill>
                    </w:rPr>
                  </w:pPr>
                  <w:r>
                    <w:rPr>
                      <w:rFonts w:hint="eastAsia" w:ascii="Times New Roman" w:eastAsia="宋体" w:cs="Times New Roman"/>
                      <w:b/>
                      <w:bCs/>
                      <w:snapToGrid w:val="0"/>
                      <w:color w:val="000000" w:themeColor="text1"/>
                      <w:sz w:val="21"/>
                      <w:szCs w:val="21"/>
                      <w14:textFill>
                        <w14:solidFill>
                          <w14:schemeClr w14:val="tx1"/>
                        </w14:solidFill>
                      </w14:textFill>
                    </w:rPr>
                    <w:t>噪声源</w:t>
                  </w:r>
                </w:p>
              </w:tc>
              <w:tc>
                <w:tcPr>
                  <w:tcW w:w="1855" w:type="pct"/>
                  <w:noWrap w:val="0"/>
                  <w:vAlign w:val="center"/>
                </w:tcPr>
                <w:p>
                  <w:pPr>
                    <w:pStyle w:val="33"/>
                    <w:kinsoku w:val="0"/>
                    <w:overflowPunct w:val="0"/>
                    <w:snapToGrid w:val="0"/>
                    <w:rPr>
                      <w:rFonts w:ascii="Times New Roman" w:eastAsia="宋体" w:cs="Times New Roman"/>
                      <w:b/>
                      <w:bCs/>
                      <w:snapToGrid w:val="0"/>
                      <w:color w:val="000000" w:themeColor="text1"/>
                      <w:sz w:val="21"/>
                      <w:szCs w:val="21"/>
                      <w14:textFill>
                        <w14:solidFill>
                          <w14:schemeClr w14:val="tx1"/>
                        </w14:solidFill>
                      </w14:textFill>
                    </w:rPr>
                  </w:pPr>
                  <w:r>
                    <w:rPr>
                      <w:rFonts w:hint="eastAsia" w:ascii="Times New Roman" w:eastAsia="宋体" w:cs="Times New Roman"/>
                      <w:b/>
                      <w:bCs/>
                      <w:snapToGrid w:val="0"/>
                      <w:color w:val="000000" w:themeColor="text1"/>
                      <w:sz w:val="21"/>
                      <w:szCs w:val="21"/>
                      <w14:textFill>
                        <w14:solidFill>
                          <w14:schemeClr w14:val="tx1"/>
                        </w14:solidFill>
                      </w14:textFill>
                    </w:rPr>
                    <w:t>声压级</w:t>
                  </w:r>
                  <w:r>
                    <w:rPr>
                      <w:rFonts w:ascii="Times New Roman" w:eastAsia="宋体" w:cs="Times New Roman"/>
                      <w:b/>
                      <w:bCs/>
                      <w:snapToGrid w:val="0"/>
                      <w:color w:val="000000" w:themeColor="text1"/>
                      <w:sz w:val="21"/>
                      <w:szCs w:val="21"/>
                      <w14:textFill>
                        <w14:solidFill>
                          <w14:schemeClr w14:val="tx1"/>
                        </w14:solidFill>
                      </w14:textFill>
                    </w:rPr>
                    <w:t>dB(A)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单斗挖掘机</w:t>
                  </w:r>
                </w:p>
              </w:tc>
              <w:tc>
                <w:tcPr>
                  <w:tcW w:w="1855" w:type="pct"/>
                  <w:noWrap w:val="0"/>
                  <w:vAlign w:val="center"/>
                </w:tcPr>
                <w:p>
                  <w:pPr>
                    <w:pStyle w:val="33"/>
                    <w:kinsoku w:val="0"/>
                    <w:overflowPunct w:val="0"/>
                    <w:snapToGrid w:val="0"/>
                    <w:rPr>
                      <w:rFonts w:ascii="Times New Roman" w:eastAsia="宋体" w:cs="Times New Roman"/>
                      <w:snapToGrid w:val="0"/>
                      <w:color w:val="000000" w:themeColor="text1"/>
                      <w:sz w:val="21"/>
                      <w:szCs w:val="21"/>
                      <w14:textFill>
                        <w14:solidFill>
                          <w14:schemeClr w14:val="tx1"/>
                        </w14:solidFill>
                      </w14:textFill>
                    </w:rPr>
                  </w:pPr>
                  <w:r>
                    <w:rPr>
                      <w:rFonts w:ascii="Times New Roman" w:eastAsia="宋体" w:cs="Times New Roman"/>
                      <w:snapToGrid w:val="0"/>
                      <w:color w:val="000000" w:themeColor="text1"/>
                      <w:sz w:val="21"/>
                      <w:szCs w:val="21"/>
                      <w14:textFill>
                        <w14:solidFill>
                          <w14:schemeClr w14:val="tx1"/>
                        </w14:solidFill>
                      </w14:textFill>
                    </w:rPr>
                    <w:t>84</w:t>
                  </w:r>
                  <w:r>
                    <w:rPr>
                      <w:rFonts w:hint="eastAsia" w:ascii="Times New Roman" w:eastAsia="宋体" w:cs="Times New Roman"/>
                      <w:snapToGrid w:val="0"/>
                      <w:color w:val="000000" w:themeColor="text1"/>
                      <w:sz w:val="21"/>
                      <w:szCs w:val="21"/>
                      <w14:textFill>
                        <w14:solidFill>
                          <w14:schemeClr w14:val="tx1"/>
                        </w14:solidFill>
                      </w14:textFill>
                    </w:rPr>
                    <w:t>～</w:t>
                  </w:r>
                  <w:r>
                    <w:rPr>
                      <w:rFonts w:ascii="Times New Roman" w:eastAsia="宋体" w:cs="Times New Roman"/>
                      <w:snapToGrid w:val="0"/>
                      <w:color w:val="000000" w:themeColor="text1"/>
                      <w:sz w:val="21"/>
                      <w:szCs w:val="21"/>
                      <w14:textFill>
                        <w14:solidFill>
                          <w14:schemeClr w14:val="tx1"/>
                        </w14:solidFill>
                      </w14:textFill>
                    </w:rPr>
                    <w:t>89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推土机</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自卸汽车（载重量5t）</w:t>
                  </w:r>
                </w:p>
              </w:tc>
              <w:tc>
                <w:tcPr>
                  <w:tcW w:w="1855" w:type="pct"/>
                  <w:noWrap w:val="0"/>
                  <w:vAlign w:val="center"/>
                </w:tcPr>
                <w:p>
                  <w:pPr>
                    <w:pStyle w:val="33"/>
                    <w:kinsoku w:val="0"/>
                    <w:overflowPunct w:val="0"/>
                    <w:snapToGrid w:val="0"/>
                    <w:rPr>
                      <w:rFonts w:hint="eastAsia" w:ascii="Times New Roman" w:hAnsi="宋体"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宋体" w:eastAsia="宋体" w:cs="Times New Roman"/>
                      <w:snapToGrid w:val="0"/>
                      <w:color w:val="000000" w:themeColor="text1"/>
                      <w:sz w:val="21"/>
                      <w:szCs w:val="21"/>
                      <w:lang w:val="en-US" w:eastAsia="zh-CN"/>
                      <w14:textFill>
                        <w14:solidFill>
                          <w14:schemeClr w14:val="tx1"/>
                        </w14:solidFill>
                      </w14:textFill>
                    </w:rPr>
                    <w:t>75～80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自卸汽车（载重量8t）</w:t>
                  </w:r>
                </w:p>
              </w:tc>
              <w:tc>
                <w:tcPr>
                  <w:tcW w:w="1855" w:type="pct"/>
                  <w:noWrap w:val="0"/>
                  <w:vAlign w:val="center"/>
                </w:tcPr>
                <w:p>
                  <w:pPr>
                    <w:pStyle w:val="33"/>
                    <w:kinsoku w:val="0"/>
                    <w:overflowPunct w:val="0"/>
                    <w:snapToGrid w:val="0"/>
                    <w:rPr>
                      <w:rFonts w:hint="eastAsia" w:ascii="Times New Roman" w:hAnsi="宋体" w:eastAsia="宋体" w:cs="Times New Roman"/>
                      <w:snapToGrid w:val="0"/>
                      <w:color w:val="000000" w:themeColor="text1"/>
                      <w:sz w:val="21"/>
                      <w:szCs w:val="21"/>
                      <w:lang w:val="en-US" w:eastAsia="zh-CN"/>
                      <w14:textFill>
                        <w14:solidFill>
                          <w14:schemeClr w14:val="tx1"/>
                        </w14:solidFill>
                      </w14:textFill>
                    </w:rPr>
                  </w:pPr>
                  <w:r>
                    <w:rPr>
                      <w:rFonts w:hint="eastAsia" w:ascii="Times New Roman" w:hAnsi="宋体" w:eastAsia="宋体" w:cs="Times New Roman"/>
                      <w:snapToGrid w:val="0"/>
                      <w:color w:val="000000" w:themeColor="text1"/>
                      <w:sz w:val="21"/>
                      <w:szCs w:val="21"/>
                      <w:lang w:val="en-US" w:eastAsia="zh-CN"/>
                      <w14:textFill>
                        <w14:solidFill>
                          <w14:schemeClr w14:val="tx1"/>
                        </w14:solidFill>
                      </w14:textFill>
                    </w:rPr>
                    <w:t>80～85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汽车起重机</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载重汽车</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7</w:t>
                  </w:r>
                </w:p>
              </w:tc>
              <w:tc>
                <w:tcPr>
                  <w:tcW w:w="2195"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蛙式夯实机</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胶轮架子车</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9</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拖拉机</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ascii="Times New Roman" w:eastAsia="宋体" w:cs="Times New Roman"/>
                      <w:snapToGrid w:val="0"/>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10</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振捣器</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11</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风（砂）水枪</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12</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电焊机</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13</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钢筋弯曲机</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14</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钢筋切断机</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15</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 xml:space="preserve">潜水泵 </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16</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双面刨床</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5" w:hRule="atLeast"/>
                <w:jc w:val="center"/>
              </w:trPr>
              <w:tc>
                <w:tcPr>
                  <w:tcW w:w="948" w:type="pct"/>
                  <w:noWrap w:val="0"/>
                  <w:vAlign w:val="center"/>
                </w:tcPr>
                <w:p>
                  <w:pPr>
                    <w:pStyle w:val="66"/>
                    <w:adjustRightInd w:val="0"/>
                    <w:snapToGrid w:val="0"/>
                    <w:spacing w:after="0" w:line="240" w:lineRule="auto"/>
                    <w:jc w:val="center"/>
                    <w:rPr>
                      <w:rFonts w:hint="default" w:ascii="Times New Roman" w:hAnsi="Times New Roman"/>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17</w:t>
                  </w:r>
                </w:p>
              </w:tc>
              <w:tc>
                <w:tcPr>
                  <w:tcW w:w="2195" w:type="pct"/>
                  <w:noWrap w:val="0"/>
                  <w:vAlign w:val="center"/>
                </w:tcPr>
                <w:p>
                  <w:pPr>
                    <w:pStyle w:val="66"/>
                    <w:adjustRightInd w:val="0"/>
                    <w:snapToGrid w:val="0"/>
                    <w:spacing w:after="0" w:line="240" w:lineRule="auto"/>
                    <w:jc w:val="center"/>
                    <w:rPr>
                      <w:rFonts w:ascii="Times New Roman" w:eastAsia="宋体" w:cs="Times New Roman"/>
                      <w:color w:val="000000" w:themeColor="text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洒水车</w:t>
                  </w:r>
                </w:p>
              </w:tc>
              <w:tc>
                <w:tcPr>
                  <w:tcW w:w="1855" w:type="pct"/>
                  <w:noWrap w:val="0"/>
                  <w:vAlign w:val="center"/>
                </w:tcPr>
                <w:p>
                  <w:pPr>
                    <w:pStyle w:val="33"/>
                    <w:kinsoku w:val="0"/>
                    <w:overflowPunct w:val="0"/>
                    <w:snapToGrid w:val="0"/>
                    <w:rPr>
                      <w:rFonts w:hint="default" w:ascii="Times New Roman" w:eastAsia="宋体" w:cs="Times New Roman"/>
                      <w:snapToGrid w:val="0"/>
                      <w:color w:val="000000" w:themeColor="text1"/>
                      <w:sz w:val="21"/>
                      <w:szCs w:val="21"/>
                      <w:lang w:val="en-US" w:eastAsia="zh-CN"/>
                      <w14:textFill>
                        <w14:solidFill>
                          <w14:schemeClr w14:val="tx1"/>
                        </w14:solidFill>
                      </w14:textFill>
                    </w:rPr>
                  </w:pPr>
                  <w:r>
                    <w:rPr>
                      <w:rFonts w:hint="eastAsia" w:ascii="Times New Roman" w:eastAsia="宋体" w:cs="Times New Roman"/>
                      <w:snapToGrid w:val="0"/>
                      <w:color w:val="000000" w:themeColor="text1"/>
                      <w:sz w:val="21"/>
                      <w:szCs w:val="21"/>
                      <w:lang w:val="en-US" w:eastAsia="zh-CN"/>
                      <w14:textFill>
                        <w14:solidFill>
                          <w14:schemeClr w14:val="tx1"/>
                        </w14:solidFill>
                      </w14:textFill>
                    </w:rPr>
                    <w:t>75</w:t>
                  </w:r>
                </w:p>
              </w:tc>
            </w:tr>
          </w:tbl>
          <w:p>
            <w:pPr>
              <w:pStyle w:val="20"/>
              <w:ind w:firstLine="480"/>
              <w:rPr>
                <w:rFonts w:hint="eastAsia" w:eastAsia="宋体"/>
                <w:color w:val="000000" w:themeColor="text1"/>
                <w:lang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施工噪声主要来源于运输车辆和机械设备。采取选用低噪声设备、加强设备的维护和保养、设置移动式围挡、隔离施工作业场地、设备减振、合理安排施工时间，禁止夜间施工等措施，</w:t>
            </w:r>
            <w:r>
              <w:rPr>
                <w:rFonts w:hint="eastAsia"/>
                <w:color w:val="000000" w:themeColor="text1"/>
                <w:lang w:eastAsia="zh-CN"/>
                <w14:textFill>
                  <w14:solidFill>
                    <w14:schemeClr w14:val="tx1"/>
                  </w14:solidFill>
                </w14:textFill>
              </w:rPr>
              <w:t>采取以上措施后，大峪河、小峪河施工工程段厂界噪声能达到《建筑施工场界环境噪声排放标准》（GB12523-2011）要求，同时可有效降低声环境敏感点噪声。</w:t>
            </w:r>
          </w:p>
          <w:p>
            <w:pPr>
              <w:pStyle w:val="20"/>
              <w:ind w:firstLine="482"/>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固体废物</w:t>
            </w:r>
          </w:p>
          <w:p>
            <w:pPr>
              <w:pStyle w:val="20"/>
              <w:ind w:firstLine="482"/>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根据项目施工方案，</w:t>
            </w:r>
            <w:r>
              <w:rPr>
                <w:rFonts w:hint="eastAsia" w:cs="Times New Roman"/>
                <w:color w:val="000000" w:themeColor="text1"/>
                <w:kern w:val="0"/>
                <w:sz w:val="24"/>
                <w:szCs w:val="24"/>
                <w:highlight w:val="none"/>
                <w:lang w:val="en-US" w:eastAsia="zh-CN"/>
                <w14:textFill>
                  <w14:solidFill>
                    <w14:schemeClr w14:val="tx1"/>
                  </w14:solidFill>
                </w14:textFill>
              </w:rPr>
              <w:t>本工程土石方填挖方基本持衡，其中挖方总量为34722.25m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，工程利用石料方量9133.89m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，总回填方量为25588.36m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b w:val="0"/>
                <w:bCs w:val="0"/>
                <w:color w:val="000000" w:themeColor="text1"/>
                <w:lang w:val="en-US" w:eastAsia="zh-CN"/>
                <w14:textFill>
                  <w14:solidFill>
                    <w14:schemeClr w14:val="tx1"/>
                  </w14:solidFill>
                </w14:textFill>
              </w:rPr>
              <w:t>，实施过程土石方平衡，不产生弃渣。</w:t>
            </w:r>
            <w:r>
              <w:rPr>
                <w:rFonts w:hint="eastAsia" w:cs="Times New Roman"/>
                <w:color w:val="000000" w:themeColor="text1"/>
                <w:kern w:val="0"/>
                <w:sz w:val="24"/>
                <w:szCs w:val="24"/>
                <w:highlight w:val="none"/>
                <w:lang w:val="en-US" w:eastAsia="zh-CN"/>
                <w14:textFill>
                  <w14:solidFill>
                    <w14:schemeClr w14:val="tx1"/>
                  </w14:solidFill>
                </w14:textFill>
              </w:rPr>
              <w:t>项目分段施工，施工期外购石料堆放于临时占地内。</w:t>
            </w:r>
          </w:p>
          <w:p>
            <w:pPr>
              <w:pStyle w:val="20"/>
              <w:ind w:firstLine="482"/>
              <w:rPr>
                <w:rFonts w:hint="eastAsia"/>
                <w:b/>
                <w:bCs/>
                <w:color w:val="000000" w:themeColor="text1"/>
                <w14:textFill>
                  <w14:solidFill>
                    <w14:schemeClr w14:val="tx1"/>
                  </w14:solidFill>
                </w14:textFill>
              </w:rPr>
            </w:pPr>
            <w:r>
              <w:rPr>
                <w:rFonts w:hint="eastAsia"/>
                <w:b w:val="0"/>
                <w:bCs w:val="0"/>
                <w:color w:val="000000" w:themeColor="text1"/>
                <w:lang w:val="en-US" w:eastAsia="zh-CN"/>
                <w14:textFill>
                  <w14:solidFill>
                    <w14:schemeClr w14:val="tx1"/>
                  </w14:solidFill>
                </w14:textFill>
              </w:rPr>
              <w:t>工程平均施工人员约为100人，生活垃圾按每人每天0.5kg计算，产生量应为50kg/d，生活垃圾依托周边村民现有的生活垃圾设施。</w:t>
            </w:r>
          </w:p>
          <w:p>
            <w:pPr>
              <w:pStyle w:val="20"/>
              <w:ind w:firstLine="482"/>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w:t>
            </w:r>
            <w:r>
              <w:rPr>
                <w:rFonts w:hint="eastAsia"/>
                <w:b/>
                <w:bCs/>
                <w:color w:val="000000" w:themeColor="text1"/>
                <w:lang w:eastAsia="zh-CN"/>
                <w14:textFill>
                  <w14:solidFill>
                    <w14:schemeClr w14:val="tx1"/>
                  </w14:solidFill>
                </w14:textFill>
              </w:rPr>
              <w:t>生态环境</w:t>
            </w:r>
          </w:p>
          <w:p>
            <w:pPr>
              <w:pStyle w:val="20"/>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工程占地影响分析</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由于涉及河道长度短，工程占地少，另外植被类型主要以荒草为主，施工对占地范围内植被影响小。</w:t>
            </w:r>
          </w:p>
          <w:p>
            <w:pPr>
              <w:pStyle w:val="2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总布置采用集中布置方式，项目指挥部及营地皆租用民房建筑；施工采用商品混凝土，施工现场不布置砼拌和系统，不布置机械修配厂、加工厂及弃渣场，从而减少了临时占地；施工临时道路应充分利用现有道路或工程范围内用地，因项目分多段施工，部分河段需修建临时连接段与已有道路相连。沿左右岸防洪堤轴线各布置临时施工连接道路，对道路布置原则为满足重车通行宽度及坡度要求，最大坡度控制在10%以内，泥结石路面，路面宽3.5m，道路总长460m（大峪河段工程350m，小峪河段工程110m）。临时施工道路的开挖应按照不同的地质条件，设置不同的开挖边坡，以保证边坡的安全稳定，路基坡底已设排水沟，以利于排水。在施工完毕后对所有临时施工道路区域进行清理，拆除地上建筑物。本工程临时占地总计10580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，主要用于临时堆放外购石料，停放机械设备。占地选择位置位于项目区河道生态修复区域内相对开阔、平缓、无安全隐患的地块内</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施工临时占地对该区土地只是建设期的临时影响，施工结束后可基本恢复。</w:t>
            </w:r>
          </w:p>
          <w:p>
            <w:pPr>
              <w:pStyle w:val="20"/>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对植被的环境影响分析</w:t>
            </w:r>
          </w:p>
          <w:p>
            <w:pPr>
              <w:pStyle w:val="20"/>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施工过程中，工程沿线植物的地上部分与根系均被清除，施工带两侧临时用地的植被由于挖掘土石的堆放、人员的践踏、施工车辆和机具的碾压而造成破坏。另外施工带附近的植物，还会由于施工人员的采摘等活动而受到不同程度的影响。</w:t>
            </w:r>
          </w:p>
          <w:p>
            <w:pPr>
              <w:pStyle w:val="20"/>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工程扰动土地面积包括整个项目建设区，本项目</w:t>
            </w:r>
            <w:r>
              <w:rPr>
                <w:rFonts w:hint="eastAsia"/>
                <w:color w:val="000000" w:themeColor="text1"/>
                <w:lang w:eastAsia="zh-CN"/>
                <w14:textFill>
                  <w14:solidFill>
                    <w14:schemeClr w14:val="tx1"/>
                  </w14:solidFill>
                </w14:textFill>
              </w:rPr>
              <w:t>为</w:t>
            </w:r>
            <w:r>
              <w:rPr>
                <w:rFonts w:hint="eastAsia"/>
                <w:color w:val="000000" w:themeColor="text1"/>
                <w14:textFill>
                  <w14:solidFill>
                    <w14:schemeClr w14:val="tx1"/>
                  </w14:solidFill>
                </w14:textFill>
              </w:rPr>
              <w:t>河道岸坡、周边河滩地及未利用土地上。施工活动占地影响范围即为本工程扰动原地貌、损坏土地资源、破坏植被的面积，临时占地面积较少，施工对占地范围内植被影响小。</w:t>
            </w:r>
          </w:p>
          <w:p>
            <w:pPr>
              <w:pStyle w:val="20"/>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对水生生态的影响分析</w:t>
            </w:r>
          </w:p>
          <w:p>
            <w:pPr>
              <w:pStyle w:val="20"/>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占地对河流水生生态环境的影响主要表现在施工过程中的施工垃圾、含油类污水径流在河流中造成的水质污染，土方开挖过程中，有可能扰动河流底泥。另外施工过程中引起的河流扰动以及水质变化，对河流中水生生物的生长环境造成的破坏。</w:t>
            </w:r>
          </w:p>
          <w:p>
            <w:pPr>
              <w:pStyle w:val="20"/>
              <w:ind w:firstLine="480"/>
              <w:jc w:val="left"/>
              <w:rPr>
                <w:rFonts w:hint="eastAsia"/>
                <w:color w:val="000000" w:themeColor="text1"/>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①</w:t>
            </w:r>
            <w:r>
              <w:rPr>
                <w:rFonts w:hint="eastAsia"/>
                <w:color w:val="000000" w:themeColor="text1"/>
                <w14:textFill>
                  <w14:solidFill>
                    <w14:schemeClr w14:val="tx1"/>
                  </w14:solidFill>
                </w14:textFill>
              </w:rPr>
              <w:t>对底栖动物和浮游生物的影响</w:t>
            </w:r>
          </w:p>
          <w:p>
            <w:pPr>
              <w:pStyle w:val="20"/>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施工不直接涉水，主要对河道两侧的提防护岸进行加固。项目建设不会直接破坏底栖动物和浮游生物的生存环境，项目建成后减少水土流失，减少河道两岸泥沙流入河道，会改善其生境。但项目基础开挖等产生的废水和泥沙，如不采取措施直接排放，会导致施工河段水体透明度及溶解氧降低，短期内可造成水体富营养化，导致区域内底栖动物和浮游生物种类发生变化。此外，施工期产生的施工废水、生活垃圾及施工材料临时堆放，如遇到下雨或保管不善，将对水体造成污染，导致水体浑浊，改变水的酸碱度，破坏浮游生物的生长环境，对底栖动物和浮游生物的种类、数量等产生影响。</w:t>
            </w:r>
          </w:p>
          <w:p>
            <w:pPr>
              <w:pStyle w:val="20"/>
              <w:ind w:firstLine="480"/>
              <w:jc w:val="left"/>
              <w:rPr>
                <w:rFonts w:hint="eastAsia"/>
                <w:color w:val="000000" w:themeColor="text1"/>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②</w:t>
            </w:r>
            <w:r>
              <w:rPr>
                <w:rFonts w:hint="eastAsia"/>
                <w:color w:val="000000" w:themeColor="text1"/>
                <w14:textFill>
                  <w14:solidFill>
                    <w14:schemeClr w14:val="tx1"/>
                  </w14:solidFill>
                </w14:textFill>
              </w:rPr>
              <w:t>对鱼类资源的影响</w:t>
            </w:r>
          </w:p>
          <w:p>
            <w:pPr>
              <w:pStyle w:val="20"/>
              <w:ind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建设内容不涉及涉水工程，但如若施工废水未经收集直接排入河道会对水体水质造成污染，影响鱼类生长发育，甚至导致部分鱼类成体死亡。施工活动会导致施工河段原有鱼类栖息条件发生改变，对施工河段鱼类生长、觅食、繁殖和迁移会带来不利影响。正常生活的鱼类会主动回避，择水而栖迁到施工干扰区域外其它地方，致使鱼类种群结构发生改变，施工区域鱼类密度会显著降低。造成的破坏。</w:t>
            </w:r>
          </w:p>
          <w:p>
            <w:pPr>
              <w:pStyle w:val="20"/>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lang w:eastAsia="zh-CN"/>
                <w14:textFill>
                  <w14:solidFill>
                    <w14:schemeClr w14:val="tx1"/>
                  </w14:solidFill>
                </w14:textFill>
              </w:rPr>
              <w:t>陕西太兴山森林公园（生态保护红线）</w:t>
            </w:r>
            <w:r>
              <w:rPr>
                <w:rFonts w:hint="eastAsia"/>
                <w:b/>
                <w:bCs/>
                <w:color w:val="000000" w:themeColor="text1"/>
                <w14:textFill>
                  <w14:solidFill>
                    <w14:schemeClr w14:val="tx1"/>
                  </w14:solidFill>
                </w14:textFill>
              </w:rPr>
              <w:t>的影响分析</w:t>
            </w:r>
          </w:p>
          <w:p>
            <w:pPr>
              <w:pStyle w:val="20"/>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大峪河3+429—3+667段部分工程位于陕西太兴山森林公园保护区内。项目工程建设期进行地表清理等活动，施工扬尘、机械废气可能会对植被生长造成影响；项目施工器械如挖掘机、推土机、拖拉机等设备噪声较大，露天作业加之无隔声与消声措施，可能会对森林公园内动物产生一定惊扰。</w:t>
            </w:r>
          </w:p>
          <w:p>
            <w:pPr>
              <w:pStyle w:val="20"/>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在大峪河3+429—3+667段工程施工过程中，施工前应划定施工范围，施工必须限制在划定范围内，并且在工程施工区设置警示牌，禁止施工人员和车辆在施工范围以外的区域，尽可能减少占地，降低噪声、扬尘污染。在施工过程中，应加强对施工人员进行植物资源保护的宣传工作，加强施工人员的环保意识，严格要求施工队伍有组织、有计划地施工。加强施工期内对施工人员保护生态环境意识的宣传教育，在施工过程中，严禁任何乱砍乱伐破坏植被的行为。施工单位进入施工区域之前必须对施工人员进行培训教育，加强对施工人员生态保护的宣传教育，通过制度化严禁施工人员非法猎捕野生动物，以减轻施工对自然保护区陆生动物的影响。</w:t>
            </w:r>
          </w:p>
          <w:p>
            <w:pPr>
              <w:pStyle w:val="20"/>
              <w:ind w:firstLine="480"/>
              <w:jc w:val="left"/>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项目工程的建设，有助于改善周边环境水土保持、增强生态系统，因此项目建设对陕西太兴山森林公园的影响较小。</w:t>
            </w:r>
          </w:p>
          <w:p>
            <w:pPr>
              <w:pStyle w:val="20"/>
              <w:ind w:firstLine="48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对秦岭重点保护区</w:t>
            </w:r>
            <w:r>
              <w:rPr>
                <w:rFonts w:hint="eastAsia"/>
                <w:b/>
                <w:bCs/>
                <w:color w:val="000000" w:themeColor="text1"/>
                <w:lang w:eastAsia="zh-CN"/>
                <w14:textFill>
                  <w14:solidFill>
                    <w14:schemeClr w14:val="tx1"/>
                  </w14:solidFill>
                </w14:textFill>
              </w:rPr>
              <w:t>、秦岭一般保护区的</w:t>
            </w:r>
            <w:r>
              <w:rPr>
                <w:rFonts w:hint="eastAsia"/>
                <w:b/>
                <w:bCs/>
                <w:color w:val="000000" w:themeColor="text1"/>
                <w14:textFill>
                  <w14:solidFill>
                    <w14:schemeClr w14:val="tx1"/>
                  </w14:solidFill>
                </w14:textFill>
              </w:rPr>
              <w:t>影响分析</w:t>
            </w:r>
          </w:p>
          <w:p>
            <w:pPr>
              <w:pStyle w:val="20"/>
              <w:ind w:firstLine="480"/>
              <w:jc w:val="left"/>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项目大峪河段工程均位于秦岭一般保护区内；小峪河段部分工程位于秦岭重点保护区内</w:t>
            </w:r>
            <w:r>
              <w:rPr>
                <w:rFonts w:hint="eastAsia"/>
                <w:color w:val="000000" w:themeColor="text1"/>
                <w:lang w:val="en-US" w:eastAsia="zh-CN"/>
                <w14:textFill>
                  <w14:solidFill>
                    <w14:schemeClr w14:val="tx1"/>
                  </w14:solidFill>
                </w14:textFill>
              </w:rPr>
              <w:t>，其余工程范围位于秦岭一般保护区内。</w:t>
            </w:r>
          </w:p>
          <w:p>
            <w:pPr>
              <w:pStyle w:val="20"/>
              <w:ind w:left="0" w:leftChars="0" w:firstLine="480" w:firstLineChars="200"/>
              <w:jc w:val="left"/>
              <w:rPr>
                <w:rFonts w:hint="default" w:ascii="Times New Roman" w:hAnsi="Times New Roman" w:eastAsia="宋体" w:cs="宋体"/>
                <w:b w:val="0"/>
                <w:color w:val="000000" w:themeColor="text1"/>
                <w:kern w:val="0"/>
                <w:sz w:val="24"/>
                <w:szCs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本项目</w:t>
            </w:r>
            <w:r>
              <w:rPr>
                <w:rFonts w:hint="eastAsia" w:ascii="Times New Roman" w:hAnsi="Times New Roman" w:eastAsia="宋体" w:cs="宋体"/>
                <w:b w:val="0"/>
                <w:color w:val="000000" w:themeColor="text1"/>
                <w:kern w:val="0"/>
                <w:sz w:val="24"/>
                <w:szCs w:val="21"/>
                <w:lang w:val="en-US" w:eastAsia="zh-CN" w:bidi="ar-SA"/>
                <w14:textFill>
                  <w14:solidFill>
                    <w14:schemeClr w14:val="tx1"/>
                  </w14:solidFill>
                </w14:textFill>
              </w:rPr>
              <w:t>河道岸堤修复工程不</w:t>
            </w:r>
            <w:r>
              <w:rPr>
                <w:rFonts w:hint="eastAsia" w:cs="宋体"/>
                <w:b w:val="0"/>
                <w:color w:val="000000" w:themeColor="text1"/>
                <w:kern w:val="0"/>
                <w:sz w:val="24"/>
                <w:szCs w:val="21"/>
                <w:lang w:val="en-US" w:eastAsia="zh-CN" w:bidi="ar-SA"/>
                <w14:textFill>
                  <w14:solidFill>
                    <w14:schemeClr w14:val="tx1"/>
                  </w14:solidFill>
                </w14:textFill>
              </w:rPr>
              <w:t>属于</w:t>
            </w:r>
            <w:r>
              <w:rPr>
                <w:rFonts w:hint="eastAsia" w:ascii="Times New Roman" w:hAnsi="Times New Roman" w:eastAsia="宋体" w:cs="宋体"/>
                <w:b w:val="0"/>
                <w:color w:val="000000" w:themeColor="text1"/>
                <w:kern w:val="0"/>
                <w:sz w:val="24"/>
                <w:szCs w:val="21"/>
                <w:lang w:val="en-US" w:eastAsia="zh-CN" w:bidi="ar-SA"/>
                <w14:textFill>
                  <w14:solidFill>
                    <w14:schemeClr w14:val="tx1"/>
                  </w14:solidFill>
                </w14:textFill>
              </w:rPr>
              <w:t>《陕西省秦岭生态环境保护条例》、《西安市秦岭生态环境保护条例》中的禁止类活动，主要进行增强区域保护功能的修复和保护工程。</w:t>
            </w:r>
            <w:r>
              <w:rPr>
                <w:rFonts w:hint="eastAsia" w:cs="宋体"/>
                <w:b w:val="0"/>
                <w:color w:val="000000" w:themeColor="text1"/>
                <w:kern w:val="0"/>
                <w:sz w:val="24"/>
                <w:szCs w:val="21"/>
                <w:lang w:val="en-US" w:eastAsia="zh-CN" w:bidi="ar-SA"/>
                <w14:textFill>
                  <w14:solidFill>
                    <w14:schemeClr w14:val="tx1"/>
                  </w14:solidFill>
                </w14:textFill>
              </w:rPr>
              <w:t>项目施工范围周边临时用地的植被由于挖掘土石的堆放、人员的践踏、施工车辆和机具的碾压而造成一定破坏。</w:t>
            </w:r>
          </w:p>
          <w:p>
            <w:pPr>
              <w:pStyle w:val="20"/>
              <w:ind w:firstLine="480"/>
              <w:jc w:val="left"/>
              <w:rPr>
                <w:rFonts w:hint="eastAsia"/>
                <w:b/>
                <w:bCs/>
                <w:color w:val="000000" w:themeColor="text1"/>
                <w:lang w:val="en-US" w:eastAsia="zh-CN"/>
                <w14:textFill>
                  <w14:solidFill>
                    <w14:schemeClr w14:val="tx1"/>
                  </w14:solidFill>
                </w14:textFill>
              </w:rPr>
            </w:pPr>
            <w:r>
              <w:rPr>
                <w:rFonts w:hint="eastAsia" w:ascii="Times New Roman" w:hAnsi="Times New Roman" w:eastAsia="宋体" w:cs="宋体"/>
                <w:b w:val="0"/>
                <w:color w:val="000000" w:themeColor="text1"/>
                <w:kern w:val="0"/>
                <w:sz w:val="24"/>
                <w:szCs w:val="21"/>
                <w:lang w:val="en-US" w:eastAsia="zh-CN" w:bidi="ar-SA"/>
                <w14:textFill>
                  <w14:solidFill>
                    <w14:schemeClr w14:val="tx1"/>
                  </w14:solidFill>
                </w14:textFill>
              </w:rPr>
              <w:t>项目涉及河道长度短，工程占地少，</w:t>
            </w:r>
            <w:r>
              <w:rPr>
                <w:rFonts w:hint="eastAsia"/>
                <w:color w:val="000000" w:themeColor="text1"/>
                <w14:textFill>
                  <w14:solidFill>
                    <w14:schemeClr w14:val="tx1"/>
                  </w14:solidFill>
                </w14:textFill>
              </w:rPr>
              <w:t>施工期严格控制施工作业带，避免超挖破坏周围植被，严格保护临时用地内植被，减少植被损坏，保护区域生态环境功能。施工过程中保护好表层土壤，施工结束后及时清理清除施工遗留不利于作物生长的杂物，恢复土层，对临时占地、裸地进行平整绿化</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施工期做好施工导流，以减轻施工活动对河流水体的扰动</w:t>
            </w:r>
            <w:r>
              <w:rPr>
                <w:rFonts w:hint="eastAsia"/>
                <w:color w:val="000000" w:themeColor="text1"/>
                <w:lang w:eastAsia="zh-CN"/>
                <w14:textFill>
                  <w14:solidFill>
                    <w14:schemeClr w14:val="tx1"/>
                  </w14:solidFill>
                </w14:textFill>
              </w:rPr>
              <w:t>，施工期间施工废水经沉淀罐处理后全部回用不外排，施工期员工生活均依托周边村民现有的污水处理设施。禁止在河道内存放油料和进行施工机械维修，以免油料堆放场地和维修废水等污染物质进入地表水体，影响潏河水质。加强对施工队伍的宣传教育，合理组织施工生产，合理安排高噪声机械施工时间，</w:t>
            </w:r>
            <w:r>
              <w:rPr>
                <w:rFonts w:hint="eastAsia"/>
                <w:color w:val="000000" w:themeColor="text1"/>
                <w14:textFill>
                  <w14:solidFill>
                    <w14:schemeClr w14:val="tx1"/>
                  </w14:solidFill>
                </w14:textFill>
              </w:rPr>
              <w:t>施工过程中应对野生动物采取保护措施，特别是保护动物</w:t>
            </w:r>
            <w:r>
              <w:rPr>
                <w:rFonts w:hint="eastAsia"/>
                <w:color w:val="000000" w:themeColor="text1"/>
                <w:lang w:eastAsia="zh-CN"/>
                <w14:textFill>
                  <w14:solidFill>
                    <w14:schemeClr w14:val="tx1"/>
                  </w14:solidFill>
                </w14:textFill>
              </w:rPr>
              <w:t>。采取以上措施后，项目施工期对秦岭重点保护区、秦岭一般保护区的环境影响较小。</w:t>
            </w:r>
          </w:p>
          <w:p>
            <w:pPr>
              <w:pStyle w:val="20"/>
              <w:ind w:firstLine="482"/>
              <w:rPr>
                <w:rFonts w:hint="eastAsia" w:ascii="Times New Roman" w:hAnsi="Times New Roman" w:eastAsia="宋体" w:cs="宋体"/>
                <w:b w:val="0"/>
                <w:color w:val="000000" w:themeColor="text1"/>
                <w:kern w:val="0"/>
                <w:sz w:val="24"/>
                <w:szCs w:val="21"/>
                <w:lang w:val="en-US" w:eastAsia="zh-CN" w:bidi="ar-SA"/>
                <w14:textFill>
                  <w14:solidFill>
                    <w14:schemeClr w14:val="tx1"/>
                  </w14:solidFill>
                </w14:textFill>
              </w:rPr>
            </w:pPr>
            <w:r>
              <w:rPr>
                <w:rFonts w:hint="eastAsia"/>
                <w:b/>
                <w:bCs/>
                <w:color w:val="000000" w:themeColor="text1"/>
                <w:lang w:val="en-US" w:eastAsia="zh-CN"/>
                <w14:textFill>
                  <w14:solidFill>
                    <w14:schemeClr w14:val="tx1"/>
                  </w14:solidFill>
                </w14:textFill>
              </w:rPr>
              <w:t>（6）</w:t>
            </w:r>
            <w:r>
              <w:rPr>
                <w:rFonts w:hint="eastAsia"/>
                <w:b/>
                <w:bCs/>
                <w:color w:val="000000" w:themeColor="text1"/>
                <w14:textFill>
                  <w14:solidFill>
                    <w14:schemeClr w14:val="tx1"/>
                  </w14:solidFill>
                </w14:textFill>
              </w:rPr>
              <w:t>对</w:t>
            </w:r>
            <w:r>
              <w:rPr>
                <w:rFonts w:hint="eastAsia"/>
                <w:b/>
                <w:bCs/>
                <w:color w:val="000000" w:themeColor="text1"/>
                <w:lang w:eastAsia="zh-CN"/>
                <w14:textFill>
                  <w14:solidFill>
                    <w14:schemeClr w14:val="tx1"/>
                  </w14:solidFill>
                </w14:textFill>
              </w:rPr>
              <w:t>大峪水库、小峪水库</w:t>
            </w:r>
            <w:r>
              <w:rPr>
                <w:rFonts w:hint="eastAsia"/>
                <w:b/>
                <w:bCs/>
                <w:color w:val="000000" w:themeColor="text1"/>
                <w14:textFill>
                  <w14:solidFill>
                    <w14:schemeClr w14:val="tx1"/>
                  </w14:solidFill>
                </w14:textFill>
              </w:rPr>
              <w:t>的影响分析</w:t>
            </w:r>
          </w:p>
          <w:p>
            <w:pPr>
              <w:pStyle w:val="20"/>
              <w:ind w:firstLine="480"/>
              <w:jc w:val="left"/>
              <w:rPr>
                <w:rFonts w:hint="default" w:cs="宋体"/>
                <w:b w:val="0"/>
                <w:color w:val="000000" w:themeColor="text1"/>
                <w:kern w:val="0"/>
                <w:sz w:val="24"/>
                <w:szCs w:val="21"/>
                <w:lang w:val="en-US" w:eastAsia="zh-CN" w:bidi="ar-SA"/>
                <w14:textFill>
                  <w14:solidFill>
                    <w14:schemeClr w14:val="tx1"/>
                  </w14:solidFill>
                </w14:textFill>
              </w:rPr>
            </w:pPr>
            <w:r>
              <w:rPr>
                <w:rFonts w:hint="eastAsia" w:cs="宋体"/>
                <w:b w:val="0"/>
                <w:color w:val="000000" w:themeColor="text1"/>
                <w:kern w:val="0"/>
                <w:sz w:val="24"/>
                <w:szCs w:val="21"/>
                <w:lang w:val="en-US" w:eastAsia="zh-CN" w:bidi="ar-SA"/>
                <w14:textFill>
                  <w14:solidFill>
                    <w14:schemeClr w14:val="tx1"/>
                  </w14:solidFill>
                </w14:textFill>
              </w:rPr>
              <w:t>本工程大峪河段最下游施工段距大峪水库工程保护范围930m，小峪河段最下游施工段距小峪水库工程保护范围700m，因大峪水库、小峪水库均位于项目施工河段下游，故对大峪水库、小峪水库水质可能存在影响。</w:t>
            </w:r>
          </w:p>
          <w:p>
            <w:pPr>
              <w:pStyle w:val="20"/>
              <w:ind w:firstLine="480"/>
              <w:jc w:val="left"/>
              <w:rPr>
                <w:rFonts w:hint="eastAsia" w:cs="宋体"/>
                <w:b w:val="0"/>
                <w:color w:val="000000" w:themeColor="text1"/>
                <w:kern w:val="0"/>
                <w:sz w:val="24"/>
                <w:szCs w:val="21"/>
                <w:lang w:val="en-US" w:eastAsia="zh-CN" w:bidi="ar-SA"/>
                <w14:textFill>
                  <w14:solidFill>
                    <w14:schemeClr w14:val="tx1"/>
                  </w14:solidFill>
                </w14:textFill>
              </w:rPr>
            </w:pPr>
            <w:r>
              <w:rPr>
                <w:rFonts w:hint="eastAsia" w:cs="宋体"/>
                <w:b w:val="0"/>
                <w:color w:val="000000" w:themeColor="text1"/>
                <w:kern w:val="0"/>
                <w:sz w:val="24"/>
                <w:szCs w:val="21"/>
                <w:lang w:val="en-US" w:eastAsia="zh-CN" w:bidi="ar-SA"/>
                <w14:textFill>
                  <w14:solidFill>
                    <w14:schemeClr w14:val="tx1"/>
                  </w14:solidFill>
                </w14:textFill>
              </w:rPr>
              <w:t>大峪水库位于大峪河出山口，</w:t>
            </w:r>
            <w:r>
              <w:rPr>
                <w:rFonts w:hint="eastAsia" w:cs="Times New Roman"/>
                <w:color w:val="000000" w:themeColor="text1"/>
                <w:kern w:val="2"/>
                <w:sz w:val="24"/>
                <w:szCs w:val="24"/>
                <w:highlight w:val="none"/>
                <w:lang w:val="en-US" w:eastAsia="zh-CN" w:bidi="ar-SA"/>
                <w14:textFill>
                  <w14:solidFill>
                    <w14:schemeClr w14:val="tx1"/>
                  </w14:solidFill>
                </w14:textFill>
              </w:rPr>
              <w:t>小峪水库位于小峪河出口处，</w:t>
            </w:r>
            <w:r>
              <w:rPr>
                <w:rFonts w:hint="eastAsia" w:cs="宋体"/>
                <w:b w:val="0"/>
                <w:color w:val="000000" w:themeColor="text1"/>
                <w:kern w:val="0"/>
                <w:sz w:val="24"/>
                <w:szCs w:val="21"/>
                <w:lang w:val="en-US" w:eastAsia="zh-CN" w:bidi="ar-SA"/>
                <w14:textFill>
                  <w14:solidFill>
                    <w14:schemeClr w14:val="tx1"/>
                  </w14:solidFill>
                </w14:textFill>
              </w:rPr>
              <w:t>两座水库均为以灌溉、防洪为主，兼有城市供水等综合利用的小型水库。大峪水库与许家沟水库、东沟水库三座水库共同调节，承担了周边一些农田灌溉任务，还可以满足西安市护城河、兴庆公园、曲江南湖等景点生态用水需求，同时作为城市供水应急水源，发挥了水安全保障作用。同时按照“四库联调、清水进城、河园同建、以河代库”的思路，大峪水库、小峪水库、许家沟水库、东沟水库参与“四库联调、清水进城”，四座水库联调，每年向皂河源头补水1550万立方米，满足改造后皂河的水量需求。</w:t>
            </w:r>
          </w:p>
          <w:p>
            <w:pPr>
              <w:pStyle w:val="20"/>
              <w:ind w:firstLine="480"/>
              <w:jc w:val="left"/>
              <w:rPr>
                <w:rFonts w:hint="eastAsia" w:cs="宋体"/>
                <w:b w:val="0"/>
                <w:color w:val="000000" w:themeColor="text1"/>
                <w:kern w:val="0"/>
                <w:sz w:val="24"/>
                <w:szCs w:val="21"/>
                <w:lang w:val="en-US" w:eastAsia="zh-CN" w:bidi="ar-SA"/>
                <w14:textFill>
                  <w14:solidFill>
                    <w14:schemeClr w14:val="tx1"/>
                  </w14:solidFill>
                </w14:textFill>
              </w:rPr>
            </w:pPr>
            <w:r>
              <w:rPr>
                <w:rFonts w:hint="eastAsia" w:cs="宋体"/>
                <w:b w:val="0"/>
                <w:color w:val="000000" w:themeColor="text1"/>
                <w:kern w:val="0"/>
                <w:sz w:val="24"/>
                <w:szCs w:val="21"/>
                <w:lang w:val="en-US" w:eastAsia="zh-CN" w:bidi="ar-SA"/>
                <w14:textFill>
                  <w14:solidFill>
                    <w14:schemeClr w14:val="tx1"/>
                  </w14:solidFill>
                </w14:textFill>
              </w:rPr>
              <w:t>本项目为分段施工，同一时间段仅存在一个施工工段，施工工程量小，施工过程会对近岸水体进行扰动，主要的影响表现为搭建围堰的土石进入水体将造成局部地表水环境中SS浓度增高，对地表水水质产生一定不利影响，进而影响到大峪水库、小峪水库水质。考虑围堰在枯水期施工搭建，直接影响的地表水水面面积较小，且围堰搭建周期较短，对地表水环境造成的不利影响空间、时间有限，不会对大峪水库、小峪水库水质造成重大不利影响。</w:t>
            </w:r>
          </w:p>
          <w:p>
            <w:pPr>
              <w:pStyle w:val="20"/>
              <w:ind w:firstLine="480"/>
              <w:jc w:val="left"/>
              <w:rPr>
                <w:rFonts w:hint="eastAsia" w:cs="宋体"/>
                <w:b w:val="0"/>
                <w:color w:val="000000" w:themeColor="text1"/>
                <w:kern w:val="0"/>
                <w:sz w:val="24"/>
                <w:szCs w:val="21"/>
                <w:lang w:val="en-US" w:eastAsia="zh-CN" w:bidi="ar-SA"/>
                <w14:textFill>
                  <w14:solidFill>
                    <w14:schemeClr w14:val="tx1"/>
                  </w14:solidFill>
                </w14:textFill>
              </w:rPr>
            </w:pPr>
            <w:r>
              <w:rPr>
                <w:rFonts w:hint="eastAsia" w:cs="宋体"/>
                <w:b w:val="0"/>
                <w:color w:val="000000" w:themeColor="text1"/>
                <w:kern w:val="0"/>
                <w:sz w:val="24"/>
                <w:szCs w:val="21"/>
                <w:lang w:val="en-US" w:eastAsia="zh-CN" w:bidi="ar-SA"/>
                <w14:textFill>
                  <w14:solidFill>
                    <w14:schemeClr w14:val="tx1"/>
                  </w14:solidFill>
                </w14:textFill>
              </w:rPr>
              <w:t>项目在秦岭保护区外设沉淀池2个用于处理车辆冲洗废水，施工车辆经冲洗后方可进出秦岭保护区，施工废水经沉淀罐处理后，在秦岭保护区外回用于洗车；设置警告性宣传牌，向路人作限制、禁止性提示，对水库工程保护范围内的生态系统及动、植物资源加强保护，并不得损害保护区内的环境质量。加强对大峪河工程段9+383—9+472和9+542—9+807两段工程和小峪河工程段5+897—6+034的施工管理，严格执行施工期水污染防治措施及固体废物防治措施，制定应急措施，防止对大峪水库、小峪水库产生不良影响。定期对本项目靠近大峪水库、小峪水库的河道断面开展水质监测，加强水质监测与预警。建立对河段工程日常巡查制度，加强对本项目河道施工的日常巡查监管，每次巡查结束后及时填写日常巡查记录表，并将巡查过程中发现的问题及时向水库管理机构、环保等相关部门报告，确保问题得到及时解决。</w:t>
            </w:r>
          </w:p>
          <w:p>
            <w:pPr>
              <w:pStyle w:val="20"/>
              <w:ind w:firstLine="480"/>
              <w:jc w:val="left"/>
              <w:rPr>
                <w:rFonts w:hint="eastAsia" w:ascii="Times New Roman" w:hAnsi="Times New Roman" w:eastAsia="宋体" w:cs="宋体"/>
                <w:b w:val="0"/>
                <w:color w:val="000000" w:themeColor="text1"/>
                <w:kern w:val="0"/>
                <w:sz w:val="24"/>
                <w:szCs w:val="21"/>
                <w:lang w:val="en-US" w:eastAsia="zh-CN" w:bidi="ar-SA"/>
                <w14:textFill>
                  <w14:solidFill>
                    <w14:schemeClr w14:val="tx1"/>
                  </w14:solidFill>
                </w14:textFill>
              </w:rPr>
            </w:pPr>
            <w:r>
              <w:rPr>
                <w:rFonts w:hint="eastAsia" w:cs="宋体"/>
                <w:b w:val="0"/>
                <w:color w:val="000000" w:themeColor="text1"/>
                <w:kern w:val="0"/>
                <w:sz w:val="24"/>
                <w:szCs w:val="21"/>
                <w:lang w:val="en-US" w:eastAsia="zh-CN" w:bidi="ar-SA"/>
                <w14:textFill>
                  <w14:solidFill>
                    <w14:schemeClr w14:val="tx1"/>
                  </w14:solidFill>
                </w14:textFill>
              </w:rPr>
              <w:t>经以上生态环境保护措施后，项目对下游大峪水库、小峪水库的影响较小。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79" w:type="dxa"/>
            <w:tcMar>
              <w:left w:w="28" w:type="dxa"/>
              <w:right w:w="28" w:type="dxa"/>
            </w:tcMar>
            <w:vAlign w:val="center"/>
          </w:tcPr>
          <w:p>
            <w:pPr>
              <w:pStyle w:val="22"/>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bCs/>
                <w:color w:val="000000" w:themeColor="text1"/>
                <w:spacing w:val="10"/>
                <w:kern w:val="2"/>
                <w:sz w:val="21"/>
                <w:szCs w:val="21"/>
                <w14:textFill>
                  <w14:solidFill>
                    <w14:schemeClr w14:val="tx1"/>
                  </w14:solidFill>
                </w14:textFill>
              </w:rPr>
              <w:t>运营期生态环境影响分析</w:t>
            </w:r>
          </w:p>
        </w:tc>
        <w:tc>
          <w:tcPr>
            <w:tcW w:w="8363" w:type="dxa"/>
          </w:tcPr>
          <w:p>
            <w:pPr>
              <w:keepNext w:val="0"/>
              <w:keepLines w:val="0"/>
              <w:pageBreakBefore w:val="0"/>
              <w:widowControl w:val="0"/>
              <w:kinsoku/>
              <w:overflowPunct/>
              <w:topLinePunct w:val="0"/>
              <w:autoSpaceDE/>
              <w:autoSpaceDN/>
              <w:bidi w:val="0"/>
              <w:adjustRightInd w:val="0"/>
              <w:snapToGrid w:val="0"/>
              <w:spacing w:before="120" w:beforeLines="50" w:line="360" w:lineRule="auto"/>
              <w:ind w:firstLine="480" w:firstLineChars="200"/>
              <w:textAlignment w:val="auto"/>
              <w:rPr>
                <w:rFonts w:hint="eastAsia" w:ascii="Times New Roman" w:hAnsi="Times New Roman" w:eastAsia="宋体" w:cs="宋体"/>
                <w:b w:val="0"/>
                <w:color w:val="000000" w:themeColor="text1"/>
                <w:kern w:val="0"/>
                <w:sz w:val="24"/>
                <w:szCs w:val="21"/>
                <w:highlight w:val="none"/>
                <w:lang w:val="en-US" w:eastAsia="zh-CN" w:bidi="ar-SA"/>
                <w14:textFill>
                  <w14:solidFill>
                    <w14:schemeClr w14:val="tx1"/>
                  </w14:solidFill>
                </w14:textFill>
              </w:rPr>
            </w:pPr>
            <w:r>
              <w:rPr>
                <w:rFonts w:hint="eastAsia" w:cs="宋体"/>
                <w:b w:val="0"/>
                <w:color w:val="000000" w:themeColor="text1"/>
                <w:kern w:val="0"/>
                <w:sz w:val="24"/>
                <w:szCs w:val="21"/>
                <w:highlight w:val="none"/>
                <w:lang w:val="en-US" w:eastAsia="zh-CN" w:bidi="ar-SA"/>
                <w14:textFill>
                  <w14:solidFill>
                    <w14:schemeClr w14:val="tx1"/>
                  </w14:solidFill>
                </w14:textFill>
              </w:rPr>
              <w:t>项目</w:t>
            </w:r>
            <w:r>
              <w:rPr>
                <w:rFonts w:hint="eastAsia" w:ascii="Times New Roman" w:hAnsi="Times New Roman" w:eastAsia="宋体" w:cs="宋体"/>
                <w:b w:val="0"/>
                <w:color w:val="000000" w:themeColor="text1"/>
                <w:kern w:val="0"/>
                <w:sz w:val="24"/>
                <w:szCs w:val="21"/>
                <w:highlight w:val="none"/>
                <w:lang w:val="en-US" w:eastAsia="zh-CN" w:bidi="ar-SA"/>
                <w14:textFill>
                  <w14:solidFill>
                    <w14:schemeClr w14:val="tx1"/>
                  </w14:solidFill>
                </w14:textFill>
              </w:rPr>
              <w:t>运行期间不产生废气、废水、固废及噪声影响。</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rFonts w:hint="eastAsia" w:ascii="Times New Roman" w:hAnsi="Times New Roman" w:eastAsia="宋体" w:cs="宋体"/>
                <w:b w:val="0"/>
                <w:color w:val="000000" w:themeColor="text1"/>
                <w:kern w:val="0"/>
                <w:sz w:val="24"/>
                <w:szCs w:val="21"/>
                <w:highlight w:val="none"/>
                <w:lang w:val="en-US" w:eastAsia="zh-CN" w:bidi="ar-SA"/>
                <w14:textFill>
                  <w14:solidFill>
                    <w14:schemeClr w14:val="tx1"/>
                  </w14:solidFill>
                </w14:textFill>
              </w:rPr>
              <w:t>本工程实施后，通过防洪堤坝的合理布设，大峪河、小峪河蓄水能力增强，保护土地不遭受破坏</w:t>
            </w:r>
            <w:r>
              <w:rPr>
                <w:rFonts w:hint="eastAsia" w:cs="宋体"/>
                <w:b w:val="0"/>
                <w:color w:val="000000" w:themeColor="text1"/>
                <w:kern w:val="0"/>
                <w:sz w:val="24"/>
                <w:szCs w:val="21"/>
                <w:highlight w:val="none"/>
                <w:lang w:val="en-US" w:eastAsia="zh-CN" w:bidi="ar-SA"/>
                <w14:textFill>
                  <w14:solidFill>
                    <w14:schemeClr w14:val="tx1"/>
                  </w14:solidFill>
                </w14:textFill>
              </w:rPr>
              <w:t>，形成优美的景观水面，对堤岸进行整体景观规划</w:t>
            </w:r>
            <w:r>
              <w:rPr>
                <w:rFonts w:hint="eastAsia" w:ascii="Times New Roman" w:hAnsi="Times New Roman" w:eastAsia="宋体" w:cs="宋体"/>
                <w:b w:val="0"/>
                <w:color w:val="000000" w:themeColor="text1"/>
                <w:kern w:val="0"/>
                <w:sz w:val="24"/>
                <w:szCs w:val="21"/>
                <w:highlight w:val="none"/>
                <w:lang w:val="en-US" w:eastAsia="zh-CN" w:bidi="ar-SA"/>
                <w14:textFill>
                  <w14:solidFill>
                    <w14:schemeClr w14:val="tx1"/>
                  </w14:solidFill>
                </w14:textFill>
              </w:rPr>
              <w:t>。潏河生态环境趋向良性转化，在河道冲毁、滑坡段修复岸堤，建设生态护岸，实现河道稳定，满足生态需水，提升河道面源污染的处理能力和水质净化，进一步改善生态环境。项目建设完成后，能改善河道水生生物的生存环境，丰富物种多样性。各项措施完成并充分发挥效益后，将进一步改善生态环境，减轻洪涝、崩塌等自然灾害，对保护农田、交通、村镇，为群众构建安居乐业的生产生活环境，维护社会安定有重要的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7" w:hRule="atLeast"/>
          <w:jc w:val="center"/>
        </w:trPr>
        <w:tc>
          <w:tcPr>
            <w:tcW w:w="879" w:type="dxa"/>
            <w:vAlign w:val="center"/>
          </w:tcPr>
          <w:p>
            <w:pPr>
              <w:pStyle w:val="22"/>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选址选线环境合理性分析</w:t>
            </w:r>
          </w:p>
        </w:tc>
        <w:tc>
          <w:tcPr>
            <w:tcW w:w="8363" w:type="dxa"/>
          </w:tcPr>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项目的建设符合国家及地方产业政策，项目位于</w:t>
            </w:r>
            <w:r>
              <w:rPr>
                <w:rFonts w:hint="eastAsia"/>
                <w:color w:val="000000" w:themeColor="text1"/>
                <w:lang w:eastAsia="zh-CN"/>
                <w14:textFill>
                  <w14:solidFill>
                    <w14:schemeClr w14:val="tx1"/>
                  </w14:solidFill>
                </w14:textFill>
              </w:rPr>
              <w:t>西安市长安区潏河上游河段</w:t>
            </w:r>
            <w:r>
              <w:rPr>
                <w:rFonts w:hint="eastAsia"/>
                <w:color w:val="000000" w:themeColor="text1"/>
                <w14:textFill>
                  <w14:solidFill>
                    <w14:schemeClr w14:val="tx1"/>
                  </w14:solidFill>
                </w14:textFill>
              </w:rPr>
              <w:t>，施工期供水、供电都有保障，周边交通便利，原料来源方便，符合相关法律法规的要求。通过本项目河道堤防护岸工程，不仅可以促进河道生机和活力恢复，还通过河道堤防护岸工程，提高了河道防洪、行洪能力，改善区域水域及陆域生态环境。本工程</w:t>
            </w:r>
            <w:r>
              <w:rPr>
                <w:rFonts w:hint="eastAsia"/>
                <w:color w:val="000000" w:themeColor="text1"/>
                <w:lang w:eastAsia="zh-CN"/>
                <w14:textFill>
                  <w14:solidFill>
                    <w14:schemeClr w14:val="tx1"/>
                  </w14:solidFill>
                </w14:textFill>
              </w:rPr>
              <w:t>无</w:t>
            </w:r>
            <w:r>
              <w:rPr>
                <w:rFonts w:hint="eastAsia"/>
                <w:color w:val="000000" w:themeColor="text1"/>
                <w14:textFill>
                  <w14:solidFill>
                    <w14:schemeClr w14:val="tx1"/>
                  </w14:solidFill>
                </w14:textFill>
              </w:rPr>
              <w:t>永久占地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临时占地类型均为未利用地，不涉及移民拆迁。</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本项目为河道岸堤修复，提高河道防洪、行洪能力，项目选址唯一，河流走向唯一。本工程不新增用地，临时占地均为周边河滩地及未利用土地，工程建设不涉及移民搬迁</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综上所述，项目从占地合理性角度分析，选址选线均符合相关要求。</w:t>
            </w:r>
          </w:p>
          <w:p>
            <w:pPr>
              <w:pStyle w:val="20"/>
              <w:ind w:firstLine="480"/>
              <w:rPr>
                <w:rFonts w:hint="eastAsia"/>
                <w:color w:val="000000" w:themeColor="text1"/>
                <w14:textFill>
                  <w14:solidFill>
                    <w14:schemeClr w14:val="tx1"/>
                  </w14:solidFill>
                </w14:textFill>
              </w:rPr>
            </w:pPr>
          </w:p>
          <w:p>
            <w:pPr>
              <w:pStyle w:val="20"/>
              <w:ind w:firstLine="480"/>
              <w:rPr>
                <w:rFonts w:hint="eastAsia"/>
                <w:color w:val="000000" w:themeColor="text1"/>
                <w14:textFill>
                  <w14:solidFill>
                    <w14:schemeClr w14:val="tx1"/>
                  </w14:solidFill>
                </w14:textFill>
              </w:rPr>
            </w:pPr>
          </w:p>
          <w:p>
            <w:pPr>
              <w:pStyle w:val="20"/>
              <w:ind w:left="0" w:leftChars="0" w:firstLine="0" w:firstLineChars="0"/>
              <w:rPr>
                <w:rFonts w:hint="eastAsia"/>
                <w:color w:val="000000" w:themeColor="text1"/>
                <w14:textFill>
                  <w14:solidFill>
                    <w14:schemeClr w14:val="tx1"/>
                  </w14:solidFill>
                </w14:textFill>
              </w:rPr>
            </w:pPr>
          </w:p>
        </w:tc>
      </w:tr>
    </w:tbl>
    <w:p>
      <w:pPr>
        <w:pStyle w:val="22"/>
        <w:jc w:val="center"/>
        <w:rPr>
          <w:rFonts w:ascii="黑体" w:hAnsi="黑体" w:eastAsia="黑体"/>
          <w:snapToGrid w:val="0"/>
          <w:color w:val="000000" w:themeColor="text1"/>
          <w:sz w:val="36"/>
          <w:szCs w:val="36"/>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五、主要生态环境保护措施</w:t>
      </w:r>
    </w:p>
    <w:tbl>
      <w:tblPr>
        <w:tblStyle w:val="25"/>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53" w:type="dxa"/>
            <w:tcMar>
              <w:left w:w="28" w:type="dxa"/>
              <w:right w:w="28" w:type="dxa"/>
            </w:tcMar>
            <w:vAlign w:val="center"/>
          </w:tcPr>
          <w:p>
            <w:pPr>
              <w:adjustRightInd w:val="0"/>
              <w:snapToGrid w:val="0"/>
              <w:jc w:val="center"/>
              <w:rPr>
                <w:rFonts w:ascii="宋体" w:hAnsi="宋体"/>
                <w:bCs/>
                <w:color w:val="000000" w:themeColor="text1"/>
                <w:szCs w:val="21"/>
                <w14:textFill>
                  <w14:solidFill>
                    <w14:schemeClr w14:val="tx1"/>
                  </w14:solidFill>
                </w14:textFill>
              </w:rPr>
            </w:pPr>
            <w:r>
              <w:rPr>
                <w:rFonts w:hint="eastAsia" w:ascii="宋体" w:hAnsi="宋体" w:cs="宋体"/>
                <w:bCs/>
                <w:color w:val="000000" w:themeColor="text1"/>
                <w:spacing w:val="10"/>
                <w:szCs w:val="21"/>
                <w14:textFill>
                  <w14:solidFill>
                    <w14:schemeClr w14:val="tx1"/>
                  </w14:solidFill>
                </w14:textFill>
              </w:rPr>
              <w:t>施工期生态环境保护措施</w:t>
            </w:r>
          </w:p>
        </w:tc>
        <w:tc>
          <w:tcPr>
            <w:tcW w:w="8457" w:type="dxa"/>
          </w:tcPr>
          <w:p>
            <w:pPr>
              <w:pStyle w:val="2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1、施工期环境空气保护措施</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（1）扬尘防治措施</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防治施工期扬尘对周围敏感点的影响，根据《陕西省大气污染防治条例》《陕西省人民政府关于印发&lt;陕西省全面改善城市空气质量工作方案&gt;的通知》《陕西省城市空气重污染日应急方案（暂行）》《陕西省扬尘污染专项整治行动方案》《陕西省建筑施工扬尘治理行动方案》《陕西省建筑施工扬尘治理措施16条》</w:t>
            </w:r>
            <w:r>
              <w:rPr>
                <w:rFonts w:hint="default" w:ascii="Times New Roman" w:hAnsi="Times New Roman" w:cs="Times New Roman"/>
                <w:color w:val="000000" w:themeColor="text1"/>
                <w:lang w:eastAsia="zh-CN"/>
                <w14:textFill>
                  <w14:solidFill>
                    <w14:schemeClr w14:val="tx1"/>
                  </w14:solidFill>
                </w14:textFill>
              </w:rPr>
              <w:t>和《西安市大气污染治理专项行动方案（2023-2027年）》</w:t>
            </w:r>
            <w:r>
              <w:rPr>
                <w:rFonts w:hint="default" w:ascii="Times New Roman" w:hAnsi="Times New Roman" w:cs="Times New Roman"/>
                <w:color w:val="000000" w:themeColor="text1"/>
                <w14:textFill>
                  <w14:solidFill>
                    <w14:schemeClr w14:val="tx1"/>
                  </w14:solidFill>
                </w14:textFill>
              </w:rPr>
              <w:t>等的相关要求，建立扬尘污染防治工作机制，进一步明确治理扬尘污染的责任，加强对建设施工工地扬尘污染的管理与控制，遇有4级以上（含4级）风力时，施工单位必须停止施工。因此，为减轻本项目建筑施工场地扬尘污染，必须严格执行以下措施：</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施工组织设计中，必须制定施工现场扬尘预防治理专项方案，并指定专人负责落实，无专项方案严禁开工。所有工地全面施行湿法作业、清洗覆盖等措施。</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施工工地达到施工现场100%围挡、设1.8m以上围挡，并在围挡上方安装喷淋设施。工地渣土100%覆盖（简易绿化或喷洒扬尘抑制剂）、工地内施工道路和出入口100%硬化并保持整洁、驶出工地车辆100%冲洗干净后方可上路。裸露场地要增加洒水降尘频次（至少2次/日）。</w:t>
            </w:r>
          </w:p>
          <w:p>
            <w:pPr>
              <w:pStyle w:val="19"/>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开工前，在施工现场施工段必须连续设置硬质围挡并进行维护；暂未开工的建设用地，对裸露地面进行覆盖；超过三个月未开工的，应当采取临时绿化等防尘措施。在施工现场出入口公示施工现场负责人、环保监督员、扬尘污染控制措施、举报电话等信息。</w:t>
            </w:r>
          </w:p>
          <w:p>
            <w:pPr>
              <w:pStyle w:val="19"/>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在施工现场出口处设置车辆冲洗设施并配套设置排水、泥浆沉淀设施，施工车辆不得带泥上路行驶，施工现场道路以及出口周边的道路不得存留建筑垃圾和泥土。 </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施工现场出入口和场内施工道路、材料加工堆放区、办公区、生活区必须采用混凝土硬化或用硬质砌块铺设，硬化后的地面应清扫整洁无浮土、积土。</w:t>
            </w:r>
          </w:p>
          <w:p>
            <w:pPr>
              <w:pStyle w:val="19"/>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施工工地内的车行道路采取硬化或者铺设礁渣、砾石或其他功能相当的材料，并辅以洒水、喷洒抑尘剂等措施；保持施工工地出入口通道及其周边100m以内道路的清洁；</w:t>
            </w:r>
          </w:p>
          <w:p>
            <w:pPr>
              <w:pStyle w:val="19"/>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施工现场采取临时绿化或者采取覆盖防尘布或者防尘网等措施，保持施工场所和周围环境的清洁。施工现场必须建立洒水清扫抑尘制度，配备洒水设备。现场施工道路洒水须实现全覆盖，每2小时1次，并有专人负责，重污染天气时相应增加洒水频次。安装在线监测和视频监控。</w:t>
            </w:r>
          </w:p>
          <w:p>
            <w:pPr>
              <w:pStyle w:val="19"/>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土方工程（基坑开挖、道路刨掘）作业时，须采取湿法作业，配备固定式、移动式洒水降尘设备，落实洒水、喷雾降尘等措施。</w:t>
            </w:r>
          </w:p>
          <w:p>
            <w:pPr>
              <w:pStyle w:val="19"/>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施工工地出入口必须设立环境保护监督牌。必须注明项目名称、建设单位、施工单位、防治扬尘污染现场监督员姓名和联系电话、项目工期、环保措施、辖区环保部门举报电话等内容。</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项目竣工施工单位应当平整施工工地，并清除积土、堆物。</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建设单位应当在施工前向工程主管部门、环境保护行政主管部门提交工地扬尘污染防治方案，将扬尘污染防治纳入工程监理范围，所需费用列入工程预算，并在工程承包合同中明确施工单位防治扬尘污染的责任。</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施工单位应当按照工地扬尘污染防治方案的要求施工，在施工现场出入口公示扬尘污染控制措施、负责人、环保监督员、扬尘监管行政主管部门等有关信息，接受社会监督。</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t>工程项目部必须制定空气重污染应急预案，政府发布重污染预警时，立即启动应急响应；</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t>拆除工程必须采用围挡隔离，并采取洒水降尘或雾化降尘措施，废弃物应及时覆盖或清运，严禁敞开式拆除。</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13）</w:t>
            </w:r>
            <w:r>
              <w:rPr>
                <w:rFonts w:hint="default" w:ascii="Times New Roman" w:hAnsi="Times New Roman" w:cs="Times New Roman"/>
                <w:color w:val="000000" w:themeColor="text1"/>
                <w:sz w:val="24"/>
                <w14:textFill>
                  <w14:solidFill>
                    <w14:schemeClr w14:val="tx1"/>
                  </w14:solidFill>
                </w14:textFill>
              </w:rPr>
              <w:t>项目施工期间，在施工现场安装扬尘在线监测系统，实时监测施工现场扬尘等污染物。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14）</w:t>
            </w:r>
            <w:r>
              <w:rPr>
                <w:rFonts w:hint="default" w:ascii="Times New Roman" w:hAnsi="Times New Roman" w:cs="Times New Roman"/>
                <w:color w:val="000000" w:themeColor="text1"/>
                <w:sz w:val="24"/>
                <w14:textFill>
                  <w14:solidFill>
                    <w14:schemeClr w14:val="tx1"/>
                  </w14:solidFill>
                </w14:textFill>
              </w:rPr>
              <w:t>建设单位应加强扬尘控制措施，注意运输道路的清扫，洗车要规范，洒水要到位，并建立健全的施工扬尘管理制度。</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根据《陕西省施工场界扬尘排放限值》（DB61/1078-2017）中的扬尘排放控制要求，城市建成区、规划区施工场界内施工扬尘浓度在周界外浓度最高点拆除、土方及地基处理工程小时平均浓度限值控制在不大于0.8mg/m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，在周界外浓度最高点基础、主体结构及装饰工程小时平均浓度限值控制在不大于0.7mg/m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。为落实以上要求，建设单位施工过程中应严格落实―洒水、覆盖、硬化、冲洗、绿化、围挡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六个100%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措施，尽量减缓施工扬尘对周围环境的影响。采取如上措施后施工期扬尘对周围环境影响不大，且施工期对大气环境的污染是短期的，施工完成后就会消失。</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（2）施工机械、车辆尾气</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本项目为减小施工期施工机械、材料运输车辆尾气对周围环境的影响，本环评要求拟采取如下控制措施：</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选用符合国家标准的施工机械设备和运输车辆；</w:t>
            </w:r>
          </w:p>
          <w:p>
            <w:pPr>
              <w:pStyle w:val="2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加强对施工机械及施工车辆的检修和维护，严禁使用超期服役和尾气超标的施工机械及车辆；</w:t>
            </w:r>
          </w:p>
          <w:p>
            <w:pPr>
              <w:pStyle w:val="20"/>
              <w:ind w:firstLine="480"/>
              <w:rPr>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尽可能使用气动和电动设备及机械，或使用优质燃油，以减少机械和车辆有害气体的排放。采取以上措施</w:t>
            </w:r>
            <w:r>
              <w:rPr>
                <w:rFonts w:hint="eastAsia"/>
                <w:color w:val="000000" w:themeColor="text1"/>
                <w14:textFill>
                  <w14:solidFill>
                    <w14:schemeClr w14:val="tx1"/>
                  </w14:solidFill>
                </w14:textFill>
              </w:rPr>
              <w:t>后，可有效减少施工机械、车辆尾气对周围环境的影响，排放废气可满 足非道路移动机械相关标准要求。</w:t>
            </w:r>
          </w:p>
          <w:p>
            <w:pPr>
              <w:pStyle w:val="2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2、施工期水污染防治措施</w:t>
            </w:r>
          </w:p>
          <w:p>
            <w:pPr>
              <w:pStyle w:val="20"/>
              <w:ind w:firstLine="480"/>
              <w:rPr>
                <w:rFonts w:hint="eastAsia"/>
                <w:color w:val="000000" w:themeColor="text1"/>
                <w:sz w:val="24"/>
                <w:szCs w:val="24"/>
                <w:highlight w:val="none"/>
                <w14:textFill>
                  <w14:solidFill>
                    <w14:schemeClr w14:val="tx1"/>
                  </w14:solidFill>
                </w14:textFill>
              </w:rPr>
            </w:pPr>
            <w:r>
              <w:rPr>
                <w:rFonts w:hint="eastAsia"/>
                <w:color w:val="000000" w:themeColor="text1"/>
                <w14:textFill>
                  <w14:solidFill>
                    <w14:schemeClr w14:val="tx1"/>
                  </w14:solidFill>
                </w14:textFill>
              </w:rPr>
              <w:t>（1）施工废水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本项目在秦岭保护区外设沉淀池2个用于处理车辆冲洗废水，施工车辆经冲洗后方可进入秦岭保护区。废水中主要的污染物为SS和少量的石油类，SS的浓度约1000-2000mg/m</w:t>
            </w:r>
            <w:r>
              <w:rPr>
                <w:rFonts w:hint="eastAsia" w:cs="Times New Roman"/>
                <w:bCs/>
                <w:color w:val="000000" w:themeColor="text1"/>
                <w:spacing w:val="0"/>
                <w:sz w:val="24"/>
                <w:szCs w:val="24"/>
                <w:highlight w:val="none"/>
                <w:vertAlign w:val="superscript"/>
                <w:lang w:val="en-US" w:eastAsia="zh-CN"/>
                <w14:textFill>
                  <w14:solidFill>
                    <w14:schemeClr w14:val="tx1"/>
                  </w14:solidFill>
                </w14:textFill>
              </w:rPr>
              <w:t>3</w:t>
            </w:r>
            <w:r>
              <w:rPr>
                <w:rFonts w:hint="eastAsia" w:cs="Times New Roman"/>
                <w:bCs/>
                <w:color w:val="000000" w:themeColor="text1"/>
                <w:spacing w:val="0"/>
                <w:sz w:val="24"/>
                <w:szCs w:val="24"/>
                <w:highlight w:val="none"/>
                <w:lang w:val="en-US" w:eastAsia="zh-CN"/>
                <w14:textFill>
                  <w14:solidFill>
                    <w14:schemeClr w14:val="tx1"/>
                  </w14:solidFill>
                </w14:textFill>
              </w:rPr>
              <w:t>。由于工程施工期生产废水产生点较为分散，难以集中处理，且项目为逐段施工，因此设沉淀罐用于处理施工废水，施工废水经沉淀罐处理后，在秦岭保护区外回用于洗车</w:t>
            </w:r>
            <w:r>
              <w:rPr>
                <w:rFonts w:hint="eastAsia" w:cs="Times New Roman"/>
                <w:bCs/>
                <w:color w:val="000000" w:themeColor="text1"/>
                <w:spacing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eastAsia="zh-CN"/>
                <w14:textFill>
                  <w14:solidFill>
                    <w14:schemeClr w14:val="tx1"/>
                  </w14:solidFill>
                </w14:textFill>
              </w:rPr>
              <w:t>（</w:t>
            </w: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s="Times New Roman"/>
                <w:bCs/>
                <w:color w:val="000000" w:themeColor="text1"/>
                <w:spacing w:val="0"/>
                <w:sz w:val="24"/>
                <w:szCs w:val="24"/>
                <w:highlight w:val="none"/>
                <w:lang w:eastAsia="zh-CN"/>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eastAsia="zh-CN"/>
                <w14:textFill>
                  <w14:solidFill>
                    <w14:schemeClr w14:val="tx1"/>
                  </w14:solidFill>
                </w14:textFill>
              </w:rPr>
              <w:t>本项目设置1个项目指挥部和</w:t>
            </w:r>
            <w:r>
              <w:rPr>
                <w:rFonts w:hint="eastAsia" w:cs="Times New Roman"/>
                <w:bCs/>
                <w:color w:val="000000" w:themeColor="text1"/>
                <w:spacing w:val="0"/>
                <w:sz w:val="24"/>
                <w:szCs w:val="24"/>
                <w:highlight w:val="none"/>
                <w:lang w:val="en-US" w:eastAsia="zh-CN"/>
                <w14:textFill>
                  <w14:solidFill>
                    <w14:schemeClr w14:val="tx1"/>
                  </w14:solidFill>
                </w14:textFill>
              </w:rPr>
              <w:t>4</w:t>
            </w:r>
            <w:r>
              <w:rPr>
                <w:rFonts w:hint="eastAsia" w:cs="Times New Roman"/>
                <w:bCs/>
                <w:color w:val="000000" w:themeColor="text1"/>
                <w:spacing w:val="0"/>
                <w:sz w:val="24"/>
                <w:szCs w:val="24"/>
                <w:highlight w:val="none"/>
                <w:lang w:eastAsia="zh-CN"/>
                <w14:textFill>
                  <w14:solidFill>
                    <w14:schemeClr w14:val="tx1"/>
                  </w14:solidFill>
                </w14:textFill>
              </w:rPr>
              <w:t>个主要的工区营地，项目指挥部及营地皆租用民房建筑，不自行建设。施工人员生活污水依托周边村民现有的污水设施。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eastAsia="zh-CN"/>
                <w14:textFill>
                  <w14:solidFill>
                    <w14:schemeClr w14:val="tx1"/>
                  </w14:solidFill>
                </w14:textFill>
              </w:rPr>
              <w:t>（</w:t>
            </w: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cs="Times New Roman"/>
                <w:bCs/>
                <w:color w:val="000000" w:themeColor="text1"/>
                <w:spacing w:val="0"/>
                <w:sz w:val="24"/>
                <w:szCs w:val="24"/>
                <w:highlight w:val="none"/>
                <w:lang w:eastAsia="zh-CN"/>
                <w14:textFill>
                  <w14:solidFill>
                    <w14:schemeClr w14:val="tx1"/>
                  </w14:solidFill>
                </w14:textFill>
              </w:rPr>
              <w:t>）施工过程对河流水质的环境保护措施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eastAsia="zh-CN"/>
                <w14:textFill>
                  <w14:solidFill>
                    <w14:schemeClr w14:val="tx1"/>
                  </w14:solidFill>
                </w14:textFill>
              </w:rPr>
              <w:t>施工过程对河流水质拟采取的治理措施如下：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cs="Times New Roman"/>
                <w:bCs/>
                <w:color w:val="000000" w:themeColor="text1"/>
                <w:spacing w:val="0"/>
                <w:sz w:val="24"/>
                <w:szCs w:val="24"/>
                <w:highlight w:val="none"/>
                <w:lang w:eastAsia="zh-CN"/>
                <w14:textFill>
                  <w14:solidFill>
                    <w14:schemeClr w14:val="tx1"/>
                  </w14:solidFill>
                </w14:textFill>
              </w:rPr>
              <w:t>河道施工主要安排在枯水期进行。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s="Times New Roman"/>
                <w:bCs/>
                <w:color w:val="000000" w:themeColor="text1"/>
                <w:spacing w:val="0"/>
                <w:sz w:val="24"/>
                <w:szCs w:val="24"/>
                <w:highlight w:val="none"/>
                <w:lang w:eastAsia="zh-CN"/>
                <w14:textFill>
                  <w14:solidFill>
                    <w14:schemeClr w14:val="tx1"/>
                  </w14:solidFill>
                </w14:textFill>
              </w:rPr>
              <w:t>）河道施工设临时围堰。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cs="Times New Roman"/>
                <w:bCs/>
                <w:color w:val="000000" w:themeColor="text1"/>
                <w:spacing w:val="0"/>
                <w:sz w:val="24"/>
                <w:szCs w:val="24"/>
                <w:highlight w:val="none"/>
                <w:lang w:eastAsia="zh-CN"/>
                <w14:textFill>
                  <w14:solidFill>
                    <w14:schemeClr w14:val="tx1"/>
                  </w14:solidFill>
                </w14:textFill>
              </w:rPr>
              <w:t>）加强施工管理，各工程严格按照设计的范围进行，不得随意扩大施工范围。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4</w:t>
            </w:r>
            <w:r>
              <w:rPr>
                <w:rFonts w:hint="eastAsia" w:cs="Times New Roman"/>
                <w:bCs/>
                <w:color w:val="000000" w:themeColor="text1"/>
                <w:spacing w:val="0"/>
                <w:sz w:val="24"/>
                <w:szCs w:val="24"/>
                <w:highlight w:val="none"/>
                <w:lang w:eastAsia="zh-CN"/>
                <w14:textFill>
                  <w14:solidFill>
                    <w14:schemeClr w14:val="tx1"/>
                  </w14:solidFill>
                </w14:textFill>
              </w:rPr>
              <w:t>）施工过程产生的废水经沉淀后回用，禁止排入河流。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pacing w:val="0"/>
                <w:sz w:val="24"/>
                <w:szCs w:val="24"/>
                <w:highlight w:val="none"/>
                <w:lang w:eastAsia="zh-CN"/>
                <w14:textFill>
                  <w14:solidFill>
                    <w14:schemeClr w14:val="tx1"/>
                  </w14:solidFill>
                </w14:textFill>
              </w:rPr>
            </w:pPr>
            <w:r>
              <w:rPr>
                <w:rFonts w:hint="eastAsia" w:cs="Times New Roman"/>
                <w:bCs/>
                <w:color w:val="000000" w:themeColor="text1"/>
                <w:spacing w:val="0"/>
                <w:sz w:val="24"/>
                <w:szCs w:val="24"/>
                <w:highlight w:val="none"/>
                <w:lang w:eastAsia="zh-CN"/>
                <w14:textFill>
                  <w14:solidFill>
                    <w14:schemeClr w14:val="tx1"/>
                  </w14:solidFill>
                </w14:textFill>
              </w:rPr>
              <w:t>在采取上述措施后，本项目施工期产生的废水均可得到妥善的处理，施工期产生的废水对周围环境影响较小，治理措施可行。</w:t>
            </w:r>
          </w:p>
          <w:p>
            <w:pPr>
              <w:pStyle w:val="2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3、施工期噪声污染防控措施</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场地内机械设备大多属于移动声源，要准确预测施工场地各场界噪声值较为困难，且根据施工阶段不同各个机械作业时间无法确定，基本不存在集中作业，因此，无法对施工机械进行叠加预测。单台施工机械约在50m以外噪声值才基本能达到施工阶段场界昼间噪声限值，夜间单台机械约在200m以外噪声值才基本能达到施工阶段场界夜间噪声限值。</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为最大限度地减少施工期噪声对环境和敏感点的影响，要求建设单位在工程施工期采取以下噪声控制措施：</w:t>
            </w:r>
          </w:p>
          <w:p>
            <w:pPr>
              <w:pStyle w:val="20"/>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从源头上降低噪声源强。必须选用符合国家噪声标准的设备，尽可能选用低噪声施工机械和工艺。</w:t>
            </w:r>
          </w:p>
          <w:p>
            <w:pPr>
              <w:pStyle w:val="20"/>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加强设备的维护和保养，保持设备良好运转状态，降低设备运行噪声。</w:t>
            </w:r>
          </w:p>
          <w:p>
            <w:pPr>
              <w:pStyle w:val="20"/>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在距离施工作业点较近居民区段，应设置移动式围挡，隔离施工作业场地，对高噪声设备应增加阻尼金属减振器或橡胶减振垫以减少施工噪声对上述敏感点的影响。</w:t>
            </w:r>
          </w:p>
          <w:p>
            <w:pPr>
              <w:pStyle w:val="20"/>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合理安排施工时间，禁止夜间进行产生环境噪声污染的建筑施工作业（22：00～06：00）。</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了有效地控制施工噪声影响，除落实有关的控制措施外，还必须加强施工环境管理，由环保部门实施统一的监督管理，建设单位与施工单位在工程承包时，应将环境保护内容列入承包合同，落实各项施工噪声的控制措施和有关主管部门的要求。据现场调查，运输道路200m范围内有居民集中居住区，但由于项目夜间不施工，因此，在加强施工噪声管理之后施工噪声对周围环境影响可以接受。</w:t>
            </w:r>
          </w:p>
          <w:p>
            <w:pPr>
              <w:pStyle w:val="20"/>
              <w:ind w:firstLine="48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采取以上措施后，大峪河、小峪河施工工程段厂界噪声能达到《建筑施工场界环境噪声排放标准》（GB12523-2011）要求。同时可有效降低声环境敏感点噪声。</w:t>
            </w:r>
          </w:p>
          <w:p>
            <w:pPr>
              <w:pStyle w:val="2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4、固体废物环境保护措施</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根据项目施工方案，</w:t>
            </w:r>
            <w:r>
              <w:rPr>
                <w:rFonts w:hint="eastAsia" w:cs="Times New Roman"/>
                <w:color w:val="000000" w:themeColor="text1"/>
                <w:kern w:val="0"/>
                <w:sz w:val="24"/>
                <w:szCs w:val="24"/>
                <w:highlight w:val="none"/>
                <w:lang w:val="en-US" w:eastAsia="zh-CN"/>
                <w14:textFill>
                  <w14:solidFill>
                    <w14:schemeClr w14:val="tx1"/>
                  </w14:solidFill>
                </w14:textFill>
              </w:rPr>
              <w:t>本工程土石方填挖方基本持衡，其中挖方总量为34722.25m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，工程利用石料方量9133.89m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cs="Times New Roman"/>
                <w:color w:val="000000" w:themeColor="text1"/>
                <w:kern w:val="0"/>
                <w:sz w:val="24"/>
                <w:szCs w:val="24"/>
                <w:highlight w:val="none"/>
                <w:lang w:val="en-US" w:eastAsia="zh-CN"/>
                <w14:textFill>
                  <w14:solidFill>
                    <w14:schemeClr w14:val="tx1"/>
                  </w14:solidFill>
                </w14:textFill>
              </w:rPr>
              <w:t>，总回填方量为25588.36m</w:t>
            </w:r>
            <w:r>
              <w:rPr>
                <w:rFonts w:hint="eastAsia" w:cs="Times New Roman"/>
                <w:color w:val="000000" w:themeColor="text1"/>
                <w:kern w:val="0"/>
                <w:sz w:val="24"/>
                <w:szCs w:val="24"/>
                <w:highlight w:val="none"/>
                <w:vertAlign w:val="superscript"/>
                <w:lang w:val="en-US" w:eastAsia="zh-CN"/>
                <w14:textFill>
                  <w14:solidFill>
                    <w14:schemeClr w14:val="tx1"/>
                  </w14:solidFill>
                </w14:textFill>
              </w:rPr>
              <w:t>3</w:t>
            </w:r>
            <w:r>
              <w:rPr>
                <w:rFonts w:hint="eastAsia"/>
                <w:b w:val="0"/>
                <w:bCs w:val="0"/>
                <w:color w:val="000000" w:themeColor="text1"/>
                <w:lang w:val="en-US" w:eastAsia="zh-CN"/>
                <w14:textFill>
                  <w14:solidFill>
                    <w14:schemeClr w14:val="tx1"/>
                  </w14:solidFill>
                </w14:textFill>
              </w:rPr>
              <w:t>，实施过程土石方平衡，不产生弃渣</w:t>
            </w:r>
            <w:r>
              <w:rPr>
                <w:rFonts w:hint="eastAsia"/>
                <w:color w:val="000000" w:themeColor="text1"/>
                <w14:textFill>
                  <w14:solidFill>
                    <w14:schemeClr w14:val="tx1"/>
                  </w14:solidFill>
                </w14:textFill>
              </w:rPr>
              <w:t>。</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生活垃圾依托周边村民现有的生活垃圾设施。</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本工程应当采取的固体废物处置措施包括：</w:t>
            </w:r>
          </w:p>
          <w:p>
            <w:pPr>
              <w:pStyle w:val="20"/>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施工现场临时堆土场做好覆盖措施；</w:t>
            </w:r>
          </w:p>
          <w:p>
            <w:pPr>
              <w:pStyle w:val="20"/>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物料运输车辆采取覆盖，防止遗撒；</w:t>
            </w:r>
          </w:p>
          <w:p>
            <w:pPr>
              <w:pStyle w:val="20"/>
              <w:ind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在施工区内布置垃圾桶，并委托当地环卫部门定期清运生活垃圾；</w:t>
            </w:r>
          </w:p>
          <w:p>
            <w:pPr>
              <w:pStyle w:val="20"/>
              <w:ind w:firstLine="48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）施工机械在专业修车厂进行保养，杜绝在施工现场更换机油、液压油；</w:t>
            </w:r>
          </w:p>
          <w:p>
            <w:pPr>
              <w:pStyle w:val="20"/>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加强管理，禁止固体废物进入河道和水体。</w:t>
            </w:r>
          </w:p>
          <w:p>
            <w:pPr>
              <w:pStyle w:val="2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5、生态环境保护措施</w:t>
            </w:r>
          </w:p>
          <w:p>
            <w:pPr>
              <w:pStyle w:val="2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建设单位拟采取以下生态环境保护措施：</w:t>
            </w:r>
          </w:p>
          <w:p>
            <w:pPr>
              <w:pStyle w:val="20"/>
              <w:ind w:firstLine="480"/>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1</w:t>
            </w:r>
            <w:r>
              <w:rPr>
                <w:rFonts w:hint="eastAsia"/>
                <w:b/>
                <w:bCs/>
                <w:color w:val="000000" w:themeColor="text1"/>
                <w:lang w:eastAsia="zh-CN"/>
                <w14:textFill>
                  <w14:solidFill>
                    <w14:schemeClr w14:val="tx1"/>
                  </w14:solidFill>
                </w14:textFill>
              </w:rPr>
              <w:t>）施工占地保护措施</w:t>
            </w:r>
          </w:p>
          <w:p>
            <w:pPr>
              <w:pStyle w:val="20"/>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临时道路应充分利用现有道路或工程范围内用地，因项目分多段施工，部分河段需修建临时连接段与已有道路相连。沿左右岸防洪堤轴线各布置临时施工连接道路，对道路布置原则为满足重车通行宽度及坡度要求，最大坡度控制在10%以内，泥结石路面，路面宽3.5m，道路总长460m（大峪河段工程350m，小峪河段工程110m）。临时施工道路的开挖应按照不同的地质条件，设置不同的开挖边坡，以保证边坡的安全稳定，路基坡底已设排水沟，以利于排水。在施工完毕后对所有临时施工道路区域进行清理，拆除地上建筑物。本工程临时占地总计10580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，主要用于临时堆放外购石料，停放机械设备。占地选择位置位于项目区河道生态修复区域内相对开阔、平缓、无安全隐患的地块内。</w:t>
            </w:r>
          </w:p>
          <w:p>
            <w:pPr>
              <w:pStyle w:val="20"/>
              <w:ind w:firstLine="48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施工临时占地对该区土地只是建设期的临时影响，施工结束后可基本恢复</w:t>
            </w:r>
            <w:r>
              <w:rPr>
                <w:rFonts w:hint="eastAsia"/>
                <w:color w:val="000000" w:themeColor="text1"/>
                <w14:textFill>
                  <w14:solidFill>
                    <w14:schemeClr w14:val="tx1"/>
                  </w14:solidFill>
                </w14:textFill>
              </w:rPr>
              <w:t>。</w:t>
            </w:r>
          </w:p>
          <w:p>
            <w:pPr>
              <w:pStyle w:val="20"/>
              <w:ind w:firstLine="480"/>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2</w:t>
            </w:r>
            <w:r>
              <w:rPr>
                <w:rFonts w:hint="eastAsia"/>
                <w:b/>
                <w:bCs/>
                <w:color w:val="000000" w:themeColor="text1"/>
                <w:lang w:eastAsia="zh-CN"/>
                <w14:textFill>
                  <w14:solidFill>
                    <w14:schemeClr w14:val="tx1"/>
                  </w14:solidFill>
                </w14:textFill>
              </w:rPr>
              <w:t>）植被破坏保护措施</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为减轻施工期对植被的影响，评价要求施工期建设单位采取以下污染防治措施：</w:t>
            </w:r>
          </w:p>
          <w:p>
            <w:pPr>
              <w:pStyle w:val="20"/>
              <w:ind w:firstLine="480"/>
              <w:rPr>
                <w:rFonts w:hint="eastAsia" w:eastAsia="宋体"/>
                <w:color w:val="000000" w:themeColor="text1"/>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14:textFill>
                  <w14:solidFill>
                    <w14:schemeClr w14:val="tx1"/>
                  </w14:solidFill>
                </w14:textFill>
              </w:rPr>
              <w:t>施工期严格控制施工作业带，避免超挖破坏周围植被，严格保护临时用地内植被，减少植被损坏，保护区域生态环境功能。施工过程中保护好表层土壤，施工结束后及时清理清除施工遗留不利于作物生长的杂物，恢复土层，对临时占地、裸地进行平整绿化；采用乡土物种或者占用地原有物种对临时占地进行绿化，乡土物种或者占用地原有物种不但容易存活，而且可防止外来物种入侵，减少生态风险。</w:t>
            </w:r>
          </w:p>
          <w:p>
            <w:pPr>
              <w:pStyle w:val="20"/>
              <w:ind w:firstLine="480"/>
              <w:rPr>
                <w:rFonts w:hint="eastAsia"/>
                <w:color w:val="000000" w:themeColor="text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olor w:val="000000" w:themeColor="text1"/>
                <w14:textFill>
                  <w14:solidFill>
                    <w14:schemeClr w14:val="tx1"/>
                  </w14:solidFill>
                </w14:textFill>
              </w:rPr>
              <w:t>加强绿化植物的管理维护，建立专门的绿化管理机构，采取浇灌抚育管护等措施，确保绿化物种的成活以及绿化效果。</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整体来看，本项目施工期占地面积较小，对该区土地资源不会造成太大影响，不会危及到某一类型生态体系的完整性和稳定性，不会造成当地土地利用功能和性质改变。施工结束后通过对施工期临时占地进行功能恢复，可进一步降低占地影响。</w:t>
            </w:r>
          </w:p>
          <w:p>
            <w:pPr>
              <w:pStyle w:val="20"/>
              <w:ind w:firstLine="480"/>
              <w:rPr>
                <w:rFonts w:hint="eastAsia"/>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3</w:t>
            </w:r>
            <w:r>
              <w:rPr>
                <w:rFonts w:hint="eastAsia"/>
                <w:b/>
                <w:bCs/>
                <w:color w:val="000000" w:themeColor="text1"/>
                <w:lang w:eastAsia="zh-CN"/>
                <w14:textFill>
                  <w14:solidFill>
                    <w14:schemeClr w14:val="tx1"/>
                  </w14:solidFill>
                </w14:textFill>
              </w:rPr>
              <w:t>）对水生生物的影响保护措施</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工程施工期基坑开挖、施工导流产生的废水和泥沙如不采取措施直接排放，会导致施工河段水体透明度及溶解氧降低，导致区域内浮游生物种类发生变化。施工期间产生的固体废物、施工废水及施工人员生活污水处理不当可能会对工程区域水环境产生污染，导致施工河段原有底栖生物及鱼类栖息条件环境发生改变，使施工区域短期内底栖生物及鱼类密度降低。</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为降低项目施工期对水生生物产生影响，评价要求施工期采取以下防治措施：</w:t>
            </w:r>
          </w:p>
          <w:p>
            <w:pPr>
              <w:pStyle w:val="20"/>
              <w:ind w:firstLine="480"/>
              <w:rPr>
                <w:rFonts w:hint="eastAsia"/>
                <w:color w:val="000000" w:themeColor="text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14:textFill>
                  <w14:solidFill>
                    <w14:schemeClr w14:val="tx1"/>
                  </w14:solidFill>
                </w14:textFill>
              </w:rPr>
              <w:t>施工期做好施工导流，以减轻施工活动对河流水体的扰动。施工期间施工废水处理后全部回用不外排，施工期员工生活均依托</w:t>
            </w:r>
            <w:r>
              <w:rPr>
                <w:rFonts w:hint="eastAsia"/>
                <w:color w:val="000000" w:themeColor="text1"/>
                <w:lang w:eastAsia="zh-CN"/>
                <w14:textFill>
                  <w14:solidFill>
                    <w14:schemeClr w14:val="tx1"/>
                  </w14:solidFill>
                </w14:textFill>
              </w:rPr>
              <w:t>周边村民现有的污水处理设施</w:t>
            </w:r>
            <w:r>
              <w:rPr>
                <w:rFonts w:hint="eastAsia"/>
                <w:color w:val="000000" w:themeColor="text1"/>
                <w14:textFill>
                  <w14:solidFill>
                    <w14:schemeClr w14:val="tx1"/>
                  </w14:solidFill>
                </w14:textFill>
              </w:rPr>
              <w:t>。禁止在河道内存放油料和进行施工机械维修，以免油料堆放场地和维修废水等污染物质进入地表水体，影响</w:t>
            </w:r>
            <w:r>
              <w:rPr>
                <w:rFonts w:hint="eastAsia"/>
                <w:color w:val="000000" w:themeColor="text1"/>
                <w:lang w:eastAsia="zh-CN"/>
                <w14:textFill>
                  <w14:solidFill>
                    <w14:schemeClr w14:val="tx1"/>
                  </w14:solidFill>
                </w14:textFill>
              </w:rPr>
              <w:t>潏</w:t>
            </w:r>
            <w:r>
              <w:rPr>
                <w:rFonts w:hint="eastAsia"/>
                <w:color w:val="000000" w:themeColor="text1"/>
                <w14:textFill>
                  <w14:solidFill>
                    <w14:schemeClr w14:val="tx1"/>
                  </w14:solidFill>
                </w14:textFill>
              </w:rPr>
              <w:t>河水质。</w:t>
            </w:r>
          </w:p>
          <w:p>
            <w:pPr>
              <w:pStyle w:val="20"/>
              <w:ind w:firstLine="480"/>
              <w:rPr>
                <w:rFonts w:hint="eastAsia"/>
                <w:color w:val="000000" w:themeColor="text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olor w:val="000000" w:themeColor="text1"/>
                <w14:textFill>
                  <w14:solidFill>
                    <w14:schemeClr w14:val="tx1"/>
                  </w14:solidFill>
                </w14:textFill>
              </w:rPr>
              <w:t>施工中产生的建筑垃圾等应尽量做到回收，不能回收的拉运至建筑垃圾填埋场处理，严禁随意堆放、丢弃；生活垃圾应进行分类收集，及时清运处理，严禁向河道河流水体倾倒，防止污染水体。</w:t>
            </w:r>
          </w:p>
          <w:p>
            <w:pPr>
              <w:pStyle w:val="20"/>
              <w:ind w:firstLine="480"/>
              <w:rPr>
                <w:rFonts w:hint="eastAsia"/>
                <w:color w:val="000000" w:themeColor="text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color w:val="000000" w:themeColor="text1"/>
                <w14:textFill>
                  <w14:solidFill>
                    <w14:schemeClr w14:val="tx1"/>
                  </w14:solidFill>
                </w14:textFill>
              </w:rPr>
              <w:t>施工期禁止引进外来鱼类；严禁施工人员毁坏、捕杀水生动植物。</w:t>
            </w:r>
          </w:p>
          <w:p>
            <w:pPr>
              <w:pStyle w:val="20"/>
              <w:ind w:firstLine="480"/>
              <w:rPr>
                <w:rFonts w:hint="eastAsia" w:eastAsia="宋体"/>
                <w:color w:val="000000" w:themeColor="text1"/>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项目工程安排在枯水期施工，</w:t>
            </w:r>
            <w:r>
              <w:rPr>
                <w:rFonts w:hint="eastAsia" w:ascii="宋体" w:hAnsi="宋体" w:eastAsia="宋体" w:cs="宋体"/>
                <w:color w:val="000000" w:themeColor="text1"/>
                <w14:textFill>
                  <w14:solidFill>
                    <w14:schemeClr w14:val="tx1"/>
                  </w14:solidFill>
                </w14:textFill>
              </w:rPr>
              <w:t>围堰在枯水期施工搭建</w:t>
            </w:r>
            <w:r>
              <w:rPr>
                <w:rFonts w:hint="eastAsia" w:ascii="宋体" w:hAnsi="宋体" w:eastAsia="宋体" w:cs="宋体"/>
                <w:color w:val="000000" w:themeColor="text1"/>
                <w:lang w:eastAsia="zh-CN"/>
                <w14:textFill>
                  <w14:solidFill>
                    <w14:schemeClr w14:val="tx1"/>
                  </w14:solidFill>
                </w14:textFill>
              </w:rPr>
              <w:t>。</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总体来看，由于本项目施工期较短、施工期所有废水及固体废物得到合理处置，杜绝向水体排污，项目区的生态环境在施工期会受到一定的影响，但影响较小，施工结束后将会快速得到恢复。</w:t>
            </w:r>
          </w:p>
          <w:p>
            <w:pPr>
              <w:pStyle w:val="20"/>
              <w:ind w:firstLine="480"/>
              <w:rPr>
                <w:rFonts w:hint="eastAsia"/>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4</w:t>
            </w:r>
            <w:r>
              <w:rPr>
                <w:rFonts w:hint="eastAsia"/>
                <w:b/>
                <w:bCs/>
                <w:color w:val="000000" w:themeColor="text1"/>
                <w:lang w:eastAsia="zh-CN"/>
                <w14:textFill>
                  <w14:solidFill>
                    <w14:schemeClr w14:val="tx1"/>
                  </w14:solidFill>
                </w14:textFill>
              </w:rPr>
              <w:t>）水生生态系统保护措施</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挡墙修复和堤岸修复工程的建设，改善河道上下游连通性，河道内现有水生生物将更容易进入上游或下游水体，改善使现有水生生物的环境。随着工程完工，区域环境改善，区域内过水能力大大增加，将有利于河道对污染物的降解能力，水质明显改善，水生态环境大为改观，适宜本地生长的鱼类及浮游植物等水生生物数量、种类将大大增加，新的水生生态系统和生态平衡将会重新形成。</w:t>
            </w:r>
          </w:p>
          <w:p>
            <w:pPr>
              <w:pStyle w:val="20"/>
              <w:ind w:firstLine="480"/>
              <w:rPr>
                <w:rFonts w:hint="eastAsia"/>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5</w:t>
            </w:r>
            <w:r>
              <w:rPr>
                <w:rFonts w:hint="eastAsia"/>
                <w:b/>
                <w:bCs/>
                <w:color w:val="000000" w:themeColor="text1"/>
                <w:lang w:eastAsia="zh-CN"/>
                <w14:textFill>
                  <w14:solidFill>
                    <w14:schemeClr w14:val="tx1"/>
                  </w14:solidFill>
                </w14:textFill>
              </w:rPr>
              <w:t>）陆生动物的保护措施</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施工队伍进驻造成人类活动频繁，以及各类施工活动产生的噪声、扬尘、废气等，会对施工区及其附近的野生动物生存、繁殖产生干扰，使该区域野生动物栖息适宜度降低。野生动物可能由于栖息地受到干扰而外迁，种类、数量减少。为减轻施工对野生动物的影响，施工期应采取以下措施：</w:t>
            </w:r>
          </w:p>
          <w:p>
            <w:pPr>
              <w:pStyle w:val="20"/>
              <w:ind w:firstLine="480"/>
              <w:rPr>
                <w:rFonts w:hint="eastAsia"/>
                <w:color w:val="000000" w:themeColor="text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14:textFill>
                  <w14:solidFill>
                    <w14:schemeClr w14:val="tx1"/>
                  </w14:solidFill>
                </w14:textFill>
              </w:rPr>
              <w:t>加大宣教力度，在施工期大力宣传野生动物保护法。通过图片教育、公告、宣传册发放等形式，增强施工人员环保意识，并设保护动物宣传牌。</w:t>
            </w:r>
          </w:p>
          <w:p>
            <w:pPr>
              <w:pStyle w:val="20"/>
              <w:ind w:firstLine="480"/>
              <w:rPr>
                <w:rFonts w:hint="eastAsia"/>
                <w:color w:val="000000" w:themeColor="text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olor w:val="000000" w:themeColor="text1"/>
                <w14:textFill>
                  <w14:solidFill>
                    <w14:schemeClr w14:val="tx1"/>
                  </w14:solidFill>
                </w14:textFill>
              </w:rPr>
              <w:t>施工单位必须禁止施工人员随意捕猎和惊吓各类野生动物；施工过程中应对野生动物采取保护措施，特别是保护动物。</w:t>
            </w:r>
          </w:p>
          <w:p>
            <w:pPr>
              <w:pStyle w:val="20"/>
              <w:ind w:firstLine="480"/>
              <w:rPr>
                <w:rFonts w:hint="eastAsia"/>
                <w:color w:val="000000" w:themeColor="text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color w:val="000000" w:themeColor="text1"/>
                <w14:textFill>
                  <w14:solidFill>
                    <w14:schemeClr w14:val="tx1"/>
                  </w14:solidFill>
                </w14:textFill>
              </w:rPr>
              <w:t>合理组织施工生产，合理安排高噪声机械施工时间。禁止安排在夜间作业，以免惊扰动物栖息、觅食等活动。</w:t>
            </w:r>
          </w:p>
          <w:p>
            <w:pPr>
              <w:pStyle w:val="20"/>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本项目施工期短暂，施工结束随着施工区域植被逐渐恢复，生态环境将得到逐步改善，部分迁走动物将返回，与建设前相比，施工结束后所在区域陆生动物量将基本不变。</w:t>
            </w:r>
          </w:p>
          <w:p>
            <w:pPr>
              <w:pStyle w:val="20"/>
              <w:ind w:firstLine="480"/>
              <w:rPr>
                <w:rFonts w:hint="eastAsia"/>
                <w:b/>
                <w:bCs/>
                <w:color w:val="000000" w:themeColor="text1"/>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6</w:t>
            </w:r>
            <w:r>
              <w:rPr>
                <w:rFonts w:hint="eastAsia"/>
                <w:b/>
                <w:bCs/>
                <w:color w:val="000000" w:themeColor="text1"/>
                <w:lang w:eastAsia="zh-CN"/>
                <w14:textFill>
                  <w14:solidFill>
                    <w14:schemeClr w14:val="tx1"/>
                  </w14:solidFill>
                </w14:textFill>
              </w:rPr>
              <w:t>）对秦岭重点保护区、一般保护区的保护措施</w:t>
            </w:r>
          </w:p>
          <w:p>
            <w:pPr>
              <w:adjustRightInd w:val="0"/>
              <w:snapToGrid w:val="0"/>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在施工过程中，应加强对施工人员进行植物资源保护的宣传工作，加强施工人员的环保意识，严格要求施工队伍有组织、有计划地施工，工程设计应因地制宜，尽可能减少一般控制区内的工程内容，减少对现有野生植被的破坏。加强施工期内对施工人员保护生态环境意识的宣传教育，在施工过程中，严禁任何乱砍乱伐破坏植被的行为。</w:t>
            </w:r>
          </w:p>
          <w:p>
            <w:pPr>
              <w:adjustRightInd w:val="0"/>
              <w:snapToGrid w:val="0"/>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项目施工前应划定施工范围，施工必须限制在划定范围内，并且在工程施工区设置警示牌，禁止施工人员和车辆在施工范围以外的区域，尽可能减少占地、噪声、扬尘等，尽可能最大限度的消除和减缓对一般控制区野生动物正常栖息的影响。</w:t>
            </w:r>
          </w:p>
          <w:p>
            <w:pPr>
              <w:pStyle w:val="20"/>
              <w:ind w:firstLine="48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施工单位进入施工区域之前必须对施工人员进行培训教育，加强对施工人员生态保护的宣传教育，通过制度化严禁施工人员非法猎捕野生动物，以减轻施工对野生动物的影响。</w:t>
            </w:r>
          </w:p>
          <w:p>
            <w:pPr>
              <w:pStyle w:val="20"/>
              <w:numPr>
                <w:ilvl w:val="0"/>
                <w:numId w:val="0"/>
              </w:numPr>
              <w:ind w:firstLine="482" w:firstLineChars="20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7</w:t>
            </w:r>
            <w:r>
              <w:rPr>
                <w:rFonts w:hint="eastAsia"/>
                <w:b/>
                <w:bCs/>
                <w:color w:val="000000" w:themeColor="text1"/>
                <w:lang w:eastAsia="zh-CN"/>
                <w14:textFill>
                  <w14:solidFill>
                    <w14:schemeClr w14:val="tx1"/>
                  </w14:solidFill>
                </w14:textFill>
              </w:rPr>
              <w:t>）对陕西陕西太兴山森林公园（生态保护红线）的保护措施</w:t>
            </w:r>
          </w:p>
          <w:p>
            <w:pPr>
              <w:pStyle w:val="20"/>
              <w:numPr>
                <w:ilvl w:val="0"/>
                <w:numId w:val="0"/>
              </w:numPr>
              <w:ind w:firstLine="48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项目大峪河3+429—3+667段工程位于陕西太兴山森林公园保护区内。在施工过程中：</w:t>
            </w:r>
          </w:p>
          <w:p>
            <w:pPr>
              <w:pStyle w:val="20"/>
              <w:numPr>
                <w:ilvl w:val="0"/>
                <w:numId w:val="0"/>
              </w:numPr>
              <w:ind w:firstLine="480" w:firstLineChars="200"/>
              <w:rPr>
                <w:rFonts w:hint="eastAsia"/>
                <w:color w:val="000000" w:themeColor="text1"/>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在大峪河3+429—3+667段工程施工过程中，项目施工前应划定施工范围，施工必须限制在划定范围内，并且在工程施工区设置警示牌，禁止施工人员和车辆在施工范围以外的区域，尽可能减少占地，降低噪声、扬尘污染。</w:t>
            </w:r>
          </w:p>
          <w:p>
            <w:pPr>
              <w:pStyle w:val="20"/>
              <w:numPr>
                <w:ilvl w:val="0"/>
                <w:numId w:val="0"/>
              </w:numPr>
              <w:ind w:firstLine="480" w:firstLineChars="200"/>
              <w:rPr>
                <w:rFonts w:hint="eastAsia"/>
                <w:color w:val="000000" w:themeColor="text1"/>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在施工过程中，应加强对施工人员进行植物资源保护的宣传工作，加强施工人员的环保意识，严格要求施工队伍有组织、有计划地施工。加强施工期内对施工人员保护生态环境意识的宣传教育，在施工过程中，严禁任何乱砍乱伐破坏植被的行为。</w:t>
            </w:r>
          </w:p>
          <w:p>
            <w:pPr>
              <w:adjustRightInd w:val="0"/>
              <w:snapToGrid w:val="0"/>
              <w:spacing w:line="360" w:lineRule="auto"/>
              <w:ind w:firstLine="480" w:firstLineChars="200"/>
              <w:rPr>
                <w:rFonts w:hint="eastAsia"/>
                <w:color w:val="000000" w:themeColor="text1"/>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施工单位进入施工区域之前必须对施工人员进行培训教育，加强对施工人员生态保护的宣传教育，通过制度化严禁施工人员非法猎捕野生动物，以减轻施工对自然保护区陆生动物的影响。</w:t>
            </w:r>
          </w:p>
          <w:p>
            <w:pPr>
              <w:pStyle w:val="20"/>
              <w:numPr>
                <w:ilvl w:val="0"/>
                <w:numId w:val="0"/>
              </w:numPr>
              <w:ind w:firstLine="482" w:firstLineChars="200"/>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8</w:t>
            </w:r>
            <w:r>
              <w:rPr>
                <w:rFonts w:hint="eastAsia"/>
                <w:b/>
                <w:bCs/>
                <w:color w:val="000000" w:themeColor="text1"/>
                <w:lang w:eastAsia="zh-CN"/>
                <w14:textFill>
                  <w14:solidFill>
                    <w14:schemeClr w14:val="tx1"/>
                  </w14:solidFill>
                </w14:textFill>
              </w:rPr>
              <w:t>）对大峪水库、小峪水库的保护措施</w:t>
            </w:r>
          </w:p>
          <w:p>
            <w:pPr>
              <w:adjustRightInd w:val="0"/>
              <w:snapToGrid w:val="0"/>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设置警告性宣传牌，向路人作限制、禁止性提示，对水库工程保护范围内的生态系统及动、植物资源加强保护，并不得损害保护区内的环境质量。</w:t>
            </w:r>
          </w:p>
          <w:p>
            <w:pPr>
              <w:adjustRightInd w:val="0"/>
              <w:snapToGrid w:val="0"/>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加强对大峪河工程段9+383—9+472和</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9+542—9+807</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两段工程和小峪河工程段5+897—6+034的施工管理，严格执行施工期水污染防治措施及固体废物防治措施，制定应急措施，防止对大峪水库、小峪水库产生不良影响</w:t>
            </w:r>
          </w:p>
          <w:p>
            <w:pPr>
              <w:adjustRightInd w:val="0"/>
              <w:snapToGrid w:val="0"/>
              <w:spacing w:line="360" w:lineRule="auto"/>
              <w:ind w:firstLine="480" w:firstLineChars="200"/>
              <w:rPr>
                <w:rFonts w:hint="eastAsia"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定期对本项目靠近大峪水库、小峪水库的河道断面开展水质监测，加强水质监测与预警。</w:t>
            </w:r>
          </w:p>
          <w:p>
            <w:pPr>
              <w:adjustRightInd w:val="0"/>
              <w:snapToGrid w:val="0"/>
              <w:spacing w:line="360" w:lineRule="auto"/>
              <w:ind w:firstLine="480" w:firstLineChars="200"/>
              <w:rPr>
                <w:rFonts w:hint="eastAsia"/>
                <w:color w:val="000000" w:themeColor="text1"/>
                <w:lang w:eastAsia="zh-CN"/>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建立对河段工程日常巡查制度，加强对本项目河道施工的日常巡查监管，每次巡查结束后及时填写日常巡查记录表，并将巡查过程中发现的问题及时向水库管理机构、环保等相关部门报告，确保问题得到及时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753" w:type="dxa"/>
            <w:tcMar>
              <w:left w:w="28" w:type="dxa"/>
              <w:right w:w="28" w:type="dxa"/>
            </w:tcMar>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cs="宋体"/>
                <w:bCs/>
                <w:color w:val="000000" w:themeColor="text1"/>
                <w:spacing w:val="10"/>
                <w:szCs w:val="21"/>
                <w14:textFill>
                  <w14:solidFill>
                    <w14:schemeClr w14:val="tx1"/>
                  </w14:solidFill>
                </w14:textFill>
              </w:rPr>
              <w:t>运营期生态环境保护措施</w:t>
            </w:r>
          </w:p>
        </w:tc>
        <w:tc>
          <w:tcPr>
            <w:tcW w:w="8457" w:type="dxa"/>
            <w:vAlign w:val="center"/>
          </w:tcPr>
          <w:p>
            <w:pPr>
              <w:pageBreakBefore w:val="0"/>
              <w:widowControl/>
              <w:kinsoku/>
              <w:overflowPunct/>
              <w:topLinePunct w:val="0"/>
              <w:autoSpaceDE/>
              <w:autoSpaceDN/>
              <w:bidi w:val="0"/>
              <w:adjustRightInd w:val="0"/>
              <w:snapToGrid w:val="0"/>
              <w:spacing w:line="360" w:lineRule="auto"/>
              <w:ind w:firstLine="480" w:firstLineChars="200"/>
              <w:textAlignment w:val="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本项目运行期间不产生废气、废水、固废及噪声影响，因此不进行评价，对项目运行期间产生的环境</w:t>
            </w:r>
            <w:r>
              <w:rPr>
                <w:rFonts w:hint="eastAsia"/>
                <w:color w:val="000000" w:themeColor="text1"/>
                <w:kern w:val="0"/>
                <w:sz w:val="24"/>
                <w:lang w:eastAsia="zh-CN" w:bidi="ar"/>
                <w14:textFill>
                  <w14:solidFill>
                    <w14:schemeClr w14:val="tx1"/>
                  </w14:solidFill>
                </w14:textFill>
              </w:rPr>
              <w:t>效益</w:t>
            </w:r>
            <w:r>
              <w:rPr>
                <w:rFonts w:hint="eastAsia"/>
                <w:color w:val="000000" w:themeColor="text1"/>
                <w:kern w:val="0"/>
                <w:sz w:val="24"/>
                <w:lang w:bidi="ar"/>
                <w14:textFill>
                  <w14:solidFill>
                    <w14:schemeClr w14:val="tx1"/>
                  </w14:solidFill>
                </w14:textFill>
              </w:rPr>
              <w:t>进行分析</w:t>
            </w:r>
            <w:r>
              <w:rPr>
                <w:color w:val="000000" w:themeColor="text1"/>
                <w:kern w:val="0"/>
                <w:sz w:val="24"/>
                <w:lang w:bidi="ar"/>
                <w14:textFill>
                  <w14:solidFill>
                    <w14:schemeClr w14:val="tx1"/>
                  </w14:solidFill>
                </w14:textFill>
              </w:rPr>
              <w:t>。</w:t>
            </w:r>
          </w:p>
          <w:p>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eastAsia="宋体"/>
                <w:color w:val="000000" w:themeColor="text1"/>
                <w:lang w:eastAsia="zh-CN"/>
                <w14:textFill>
                  <w14:solidFill>
                    <w14:schemeClr w14:val="tx1"/>
                  </w14:solidFill>
                </w14:textFill>
              </w:rPr>
            </w:pPr>
            <w:r>
              <w:rPr>
                <w:rFonts w:hint="eastAsia" w:cs="Times New Roman"/>
                <w:color w:val="000000" w:themeColor="text1"/>
                <w:kern w:val="0"/>
                <w:sz w:val="24"/>
                <w:lang w:eastAsia="zh-CN" w:bidi="ar"/>
                <w14:textFill>
                  <w14:solidFill>
                    <w14:schemeClr w14:val="tx1"/>
                  </w14:solidFill>
                </w14:textFill>
              </w:rPr>
              <w:t>本</w:t>
            </w:r>
            <w:r>
              <w:rPr>
                <w:rFonts w:hint="eastAsia" w:ascii="Times New Roman" w:hAnsi="Times New Roman" w:eastAsia="宋体" w:cs="Times New Roman"/>
                <w:color w:val="000000" w:themeColor="text1"/>
                <w:kern w:val="0"/>
                <w:sz w:val="24"/>
                <w:lang w:bidi="ar"/>
                <w14:textFill>
                  <w14:solidFill>
                    <w14:schemeClr w14:val="tx1"/>
                  </w14:solidFill>
                </w14:textFill>
              </w:rPr>
              <w:t>工程实施后，通过防洪堤坝的合理布设，大峪河、小峪河蓄水能力增强，保护土地不遭受破坏。潏河生态环境趋向良性转化，在河道冲毁、滑坡</w:t>
            </w:r>
            <w:r>
              <w:rPr>
                <w:rFonts w:hint="eastAsia" w:cs="Times New Roman"/>
                <w:color w:val="000000" w:themeColor="text1"/>
                <w:kern w:val="0"/>
                <w:sz w:val="24"/>
                <w:lang w:eastAsia="zh-CN" w:bidi="ar"/>
                <w14:textFill>
                  <w14:solidFill>
                    <w14:schemeClr w14:val="tx1"/>
                  </w14:solidFill>
                </w14:textFill>
              </w:rPr>
              <w:t>段</w:t>
            </w:r>
            <w:r>
              <w:rPr>
                <w:rFonts w:hint="eastAsia" w:ascii="Times New Roman" w:hAnsi="Times New Roman" w:eastAsia="宋体" w:cs="Times New Roman"/>
                <w:color w:val="000000" w:themeColor="text1"/>
                <w:kern w:val="0"/>
                <w:sz w:val="24"/>
                <w:lang w:bidi="ar"/>
                <w14:textFill>
                  <w14:solidFill>
                    <w14:schemeClr w14:val="tx1"/>
                  </w14:solidFill>
                </w14:textFill>
              </w:rPr>
              <w:t>修复岸堤，建设生态护岸，实现河道稳定，满足生态需水，提升河道面源污染的处理能力和水质净化，进一步改善生态环境。</w:t>
            </w:r>
            <w:r>
              <w:rPr>
                <w:rFonts w:hint="eastAsia" w:cs="Times New Roman"/>
                <w:color w:val="000000" w:themeColor="text1"/>
                <w:kern w:val="0"/>
                <w:sz w:val="24"/>
                <w:lang w:eastAsia="zh-CN" w:bidi="ar"/>
                <w14:textFill>
                  <w14:solidFill>
                    <w14:schemeClr w14:val="tx1"/>
                  </w14:solidFill>
                </w14:textFill>
              </w:rPr>
              <w:t>项目建设完成后，能改善河道水生生物的生存环境，丰富物种多样性。</w:t>
            </w:r>
            <w:r>
              <w:rPr>
                <w:rFonts w:hint="eastAsia" w:ascii="Times New Roman" w:hAnsi="Times New Roman" w:eastAsia="宋体" w:cs="Times New Roman"/>
                <w:color w:val="000000" w:themeColor="text1"/>
                <w:kern w:val="0"/>
                <w:sz w:val="24"/>
                <w:lang w:bidi="ar"/>
                <w14:textFill>
                  <w14:solidFill>
                    <w14:schemeClr w14:val="tx1"/>
                  </w14:solidFill>
                </w14:textFill>
              </w:rPr>
              <w:t>各项措施完成并充分发挥效益后，将进一步改善生态环境，减轻洪涝、崩塌等自然灾害，对保护农田、交通、村镇，为群众构建安居乐业的生产生活环境，维护社会安定有重要的作用</w:t>
            </w:r>
            <w:r>
              <w:rPr>
                <w:rFonts w:hint="eastAsia" w:cs="Times New Roman"/>
                <w:color w:val="000000" w:themeColor="text1"/>
                <w:kern w:val="0"/>
                <w:sz w:val="24"/>
                <w:lang w:eastAsia="zh-CN"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753" w:type="dxa"/>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其他</w:t>
            </w:r>
          </w:p>
        </w:tc>
        <w:tc>
          <w:tcPr>
            <w:tcW w:w="8457" w:type="dxa"/>
          </w:tcPr>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1、环境管理计划</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按照《建设项目环境保护管理设计规定》等有关要求，建设单位应建立健全环境管理机构与职责，加强对项目环保设施的运行管理和污染预防，应设环保专职管理人员1～2人，</w:t>
            </w:r>
            <w:r>
              <w:rPr>
                <w:rFonts w:hint="eastAsia"/>
                <w:color w:val="000000" w:themeColor="text1"/>
                <w:sz w:val="24"/>
                <w14:textFill>
                  <w14:solidFill>
                    <w14:schemeClr w14:val="tx1"/>
                  </w14:solidFill>
                </w14:textFill>
              </w:rPr>
              <w:t>施工期环境管理计划见表5-1。</w:t>
            </w:r>
          </w:p>
          <w:p>
            <w:pPr>
              <w:pStyle w:val="54"/>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表5-1   施工期环境管理计划表</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00"/>
              <w:gridCol w:w="3186"/>
              <w:gridCol w:w="3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序号</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管理</w:t>
                  </w:r>
                </w:p>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项目</w:t>
                  </w:r>
                </w:p>
              </w:tc>
              <w:tc>
                <w:tcPr>
                  <w:tcW w:w="1934" w:type="pct"/>
                  <w:tcBorders>
                    <w:tl2br w:val="nil"/>
                    <w:tr2bl w:val="nil"/>
                  </w:tcBorders>
                  <w:noWrap w:val="0"/>
                  <w:vAlign w:val="center"/>
                </w:tcPr>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管理内容</w:t>
                  </w:r>
                </w:p>
              </w:tc>
              <w:tc>
                <w:tcPr>
                  <w:tcW w:w="1976" w:type="pct"/>
                  <w:tcBorders>
                    <w:tl2br w:val="nil"/>
                    <w:tr2bl w:val="nil"/>
                  </w:tcBorders>
                  <w:noWrap w:val="0"/>
                  <w:vAlign w:val="center"/>
                </w:tcPr>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管理要求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基础开挖</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①开挖产生砂土应用于场区填方</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②干燥天气施工要定时洒水降尘</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①砂土在场区内合理处置</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②强化环境管理，减少施工扬尘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2</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施工扬尘点</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建筑材料石灰、水泥、砂石堆场（库）及现场作业点等</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应选在常住人群下风向，远离环境敏感点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3</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建筑砂石材料运输</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①水泥、石灰等运输、装卸</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②运输建筑砂石料车辆加盖篷布</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①使用商品混凝土，罐装运输</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②无篷布车辆不得运输砂石料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4</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建筑物料、堆放</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沙、渣土、灰土等易产生扬尘的物料，必须采取覆盖等防尘措施</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①扬尘物料不得露天堆放</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②扬尘控制不利追究领导责任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5</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施工噪声</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定期对临近场界周边敏感点监测施工噪声</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①昼间≤60dB(A)，夜间≤50dB（A）</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②夜间22时～凌晨6时严禁施工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6</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临时道路</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硬化临时道路地面，防止扬尘</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定时洒水灭尘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7</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施工废水</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施工生产废水</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项目在秦岭保护区外设沉淀池2个用于处理车辆冲洗废水，施工车辆经冲洗后方可进出秦岭保护区，施工废水经沉淀罐处理后，在秦岭保护区外回用于洗车，不外排。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8</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施工固废</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合理处置剩余土方、建筑垃圾</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①工程剩余土方用于道路或低洼处的填平。</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②建筑垃圾分类收集，综合利用，不可利用的运往建筑垃圾场填埋处理。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9</w:t>
                  </w:r>
                </w:p>
              </w:tc>
              <w:tc>
                <w:tcPr>
                  <w:tcW w:w="668"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生态环境</w:t>
                  </w:r>
                </w:p>
              </w:tc>
              <w:tc>
                <w:tcPr>
                  <w:tcW w:w="1934"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①及时平整迹地，恢复植被</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②易引起水土流失的土石方堆放点采取土工布围栏等措施。</w:t>
                  </w:r>
                </w:p>
              </w:tc>
              <w:tc>
                <w:tcPr>
                  <w:tcW w:w="1976" w:type="pct"/>
                  <w:tcBorders>
                    <w:tl2br w:val="nil"/>
                    <w:tr2bl w:val="nil"/>
                  </w:tcBorders>
                  <w:noWrap w:val="0"/>
                  <w:vAlign w:val="center"/>
                </w:tcPr>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①临时占地及时恢复</w:t>
                  </w:r>
                </w:p>
                <w:p>
                  <w:pPr>
                    <w:pStyle w:val="56"/>
                    <w:spacing w:line="320" w:lineRule="atLeast"/>
                    <w:jc w:val="lef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②严格控制水土流失发生</w:t>
                  </w:r>
                </w:p>
              </w:tc>
            </w:tr>
          </w:tbl>
          <w:p>
            <w:pPr>
              <w:spacing w:before="120" w:beforeLines="50" w:line="360" w:lineRule="auto"/>
              <w:ind w:firstLine="482" w:firstLineChars="200"/>
              <w:rPr>
                <w:rFonts w:hint="eastAsia" w:eastAsia="宋体"/>
                <w:b/>
                <w:bCs/>
                <w:color w:val="000000" w:themeColor="text1"/>
                <w:sz w:val="24"/>
                <w:lang w:eastAsia="zh-CN"/>
                <w14:textFill>
                  <w14:solidFill>
                    <w14:schemeClr w14:val="tx1"/>
                  </w14:solidFill>
                </w14:textFill>
              </w:rPr>
            </w:pPr>
            <w:r>
              <w:rPr>
                <w:rFonts w:hint="eastAsia"/>
                <w:b/>
                <w:bCs/>
                <w:color w:val="000000" w:themeColor="text1"/>
                <w:sz w:val="24"/>
                <w14:textFill>
                  <w14:solidFill>
                    <w14:schemeClr w14:val="tx1"/>
                  </w14:solidFill>
                </w14:textFill>
              </w:rPr>
              <w:t>2、</w:t>
            </w:r>
            <w:r>
              <w:rPr>
                <w:rFonts w:hint="eastAsia"/>
                <w:b/>
                <w:bCs/>
                <w:color w:val="000000" w:themeColor="text1"/>
                <w:sz w:val="24"/>
                <w:lang w:eastAsia="zh-CN"/>
                <w14:textFill>
                  <w14:solidFill>
                    <w14:schemeClr w14:val="tx1"/>
                  </w14:solidFill>
                </w14:textFill>
              </w:rPr>
              <w:t>信息公开</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根据《企业事业单位环境信息公开办法》（环保部令第31号）的相关要求，企业事业单位应当建立健全本单位环境信息公开制度，指定机构负责环境信息公开日常工作。</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（1）环境信息公开方式</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建设单位可通过采取以下一种或者几种方式予以公开：</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sz w:val="24"/>
                <w14:textFill>
                  <w14:solidFill>
                    <w14:schemeClr w14:val="tx1"/>
                  </w14:solidFill>
                </w14:textFill>
              </w:rPr>
              <w:t>公告或者公开发行的信息专刊；</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olor w:val="000000" w:themeColor="text1"/>
                <w:sz w:val="24"/>
                <w14:textFill>
                  <w14:solidFill>
                    <w14:schemeClr w14:val="tx1"/>
                  </w14:solidFill>
                </w14:textFill>
              </w:rPr>
              <w:t>广播、电视、网站等新闻媒体；</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color w:val="000000" w:themeColor="text1"/>
                <w:sz w:val="24"/>
                <w14:textFill>
                  <w14:solidFill>
                    <w14:schemeClr w14:val="tx1"/>
                  </w14:solidFill>
                </w14:textFill>
              </w:rPr>
              <w:t>信息公开服务、监督热线电话；</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4）</w:t>
            </w:r>
            <w:r>
              <w:rPr>
                <w:rFonts w:hint="eastAsia"/>
                <w:color w:val="000000" w:themeColor="text1"/>
                <w:sz w:val="24"/>
                <w14:textFill>
                  <w14:solidFill>
                    <w14:schemeClr w14:val="tx1"/>
                  </w14:solidFill>
                </w14:textFill>
              </w:rPr>
              <w:t>单位的资料索取点、信息公开栏、信息亭、电子屏幕、电子触摸屏等场所或者设施；</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5）</w:t>
            </w:r>
            <w:r>
              <w:rPr>
                <w:rFonts w:hint="eastAsia"/>
                <w:color w:val="000000" w:themeColor="text1"/>
                <w:sz w:val="24"/>
                <w14:textFill>
                  <w14:solidFill>
                    <w14:schemeClr w14:val="tx1"/>
                  </w14:solidFill>
                </w14:textFill>
              </w:rPr>
              <w:t>其他便于公众及时、准确获得信息的方式。</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（2）环境信息公开内容</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1）</w:t>
            </w:r>
            <w:r>
              <w:rPr>
                <w:rFonts w:hint="eastAsia"/>
                <w:color w:val="000000" w:themeColor="text1"/>
                <w:sz w:val="24"/>
                <w14:textFill>
                  <w14:solidFill>
                    <w14:schemeClr w14:val="tx1"/>
                  </w14:solidFill>
                </w14:textFill>
              </w:rPr>
              <w:t>基础信息，包括单位名称、组织机构代码、法定代表人、生产地址、联系方式；</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2）</w:t>
            </w:r>
            <w:r>
              <w:rPr>
                <w:rFonts w:hint="eastAsia"/>
                <w:color w:val="000000" w:themeColor="text1"/>
                <w:sz w:val="24"/>
                <w14:textFill>
                  <w14:solidFill>
                    <w14:schemeClr w14:val="tx1"/>
                  </w14:solidFill>
                </w14:textFill>
              </w:rPr>
              <w:t>排污信息，包括主要污染物及特征污染物的名称、排放方式、排放口数量和分布情况、排放浓度和总量、超标情况，以及执行的污染物排放标准、核定的排放总量；</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3）</w:t>
            </w:r>
            <w:r>
              <w:rPr>
                <w:rFonts w:hint="eastAsia"/>
                <w:color w:val="000000" w:themeColor="text1"/>
                <w:sz w:val="24"/>
                <w14:textFill>
                  <w14:solidFill>
                    <w14:schemeClr w14:val="tx1"/>
                  </w14:solidFill>
                </w14:textFill>
              </w:rPr>
              <w:t>防治污染设施的建设和运行情况；</w:t>
            </w:r>
          </w:p>
          <w:p>
            <w:pPr>
              <w:spacing w:line="360" w:lineRule="auto"/>
              <w:ind w:firstLine="480" w:firstLineChars="200"/>
              <w:rPr>
                <w:rFonts w:hint="eastAsia"/>
                <w:color w:val="000000" w:themeColor="text1"/>
                <w:sz w:val="24"/>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4）</w:t>
            </w:r>
            <w:r>
              <w:rPr>
                <w:rFonts w:hint="eastAsia"/>
                <w:color w:val="000000" w:themeColor="text1"/>
                <w:sz w:val="24"/>
                <w14:textFill>
                  <w14:solidFill>
                    <w14:schemeClr w14:val="tx1"/>
                  </w14:solidFill>
                </w14:textFill>
              </w:rPr>
              <w:t>建设项目环境影响评价及其他环境保护行政许可情况；</w:t>
            </w:r>
          </w:p>
          <w:p>
            <w:pPr>
              <w:spacing w:line="360" w:lineRule="auto"/>
              <w:ind w:firstLine="480" w:firstLineChars="200"/>
              <w:rPr>
                <w:rFonts w:ascii="宋体" w:hAnsi="宋体" w:cs="宋体"/>
                <w:bCs/>
                <w:color w:val="000000" w:themeColor="text1"/>
                <w:spacing w:val="10"/>
                <w:szCs w:val="21"/>
                <w14:textFill>
                  <w14:solidFill>
                    <w14:schemeClr w14:val="tx1"/>
                  </w14:solidFill>
                </w14:textFill>
              </w:rPr>
            </w:pPr>
            <w:r>
              <w:rPr>
                <w:rFonts w:hint="eastAsia" w:cs="Times New Roman"/>
                <w:bCs/>
                <w:color w:val="000000" w:themeColor="text1"/>
                <w:spacing w:val="0"/>
                <w:sz w:val="24"/>
                <w:szCs w:val="24"/>
                <w:highlight w:val="none"/>
                <w:lang w:val="en-US" w:eastAsia="zh-CN"/>
                <w14:textFill>
                  <w14:solidFill>
                    <w14:schemeClr w14:val="tx1"/>
                  </w14:solidFill>
                </w14:textFill>
              </w:rPr>
              <w:t>5）</w:t>
            </w:r>
            <w:r>
              <w:rPr>
                <w:rFonts w:hint="eastAsia"/>
                <w:color w:val="000000" w:themeColor="text1"/>
                <w:sz w:val="24"/>
                <w14:textFill>
                  <w14:solidFill>
                    <w14:schemeClr w14:val="tx1"/>
                  </w14:solidFill>
                </w14:textFill>
              </w:rPr>
              <w:t>其他应当公开的环境信息。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53" w:type="dxa"/>
            <w:vAlign w:val="center"/>
          </w:tcPr>
          <w:p>
            <w:pPr>
              <w:adjustRightInd w:val="0"/>
              <w:snapToGrid w:val="0"/>
              <w:jc w:val="center"/>
              <w:rPr>
                <w:rFonts w:ascii="宋体" w:hAnsi="宋体" w:cs="宋体"/>
                <w:bCs/>
                <w:color w:val="000000" w:themeColor="text1"/>
                <w:spacing w:val="1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环保投资</w:t>
            </w:r>
          </w:p>
        </w:tc>
        <w:tc>
          <w:tcPr>
            <w:tcW w:w="8457" w:type="dxa"/>
          </w:tcPr>
          <w:p>
            <w:pPr>
              <w:widowControl/>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项目工程总投资1174.12万元</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bidi="ar"/>
                <w14:textFill>
                  <w14:solidFill>
                    <w14:schemeClr w14:val="tx1"/>
                  </w14:solidFill>
                </w14:textFill>
              </w:rPr>
              <w:t>本次评价河道岸堤修复工程中格宾石笼挡墙</w:t>
            </w:r>
            <w:r>
              <w:rPr>
                <w:rFonts w:hint="eastAsia"/>
                <w:color w:val="000000" w:themeColor="text1"/>
                <w:kern w:val="0"/>
                <w:sz w:val="24"/>
                <w:lang w:eastAsia="zh-CN" w:bidi="ar"/>
                <w14:textFill>
                  <w14:solidFill>
                    <w14:schemeClr w14:val="tx1"/>
                  </w14:solidFill>
                </w14:textFill>
              </w:rPr>
              <w:t>护岸</w:t>
            </w:r>
            <w:r>
              <w:rPr>
                <w:rFonts w:hint="eastAsia"/>
                <w:color w:val="000000" w:themeColor="text1"/>
                <w:kern w:val="0"/>
                <w:sz w:val="24"/>
                <w:lang w:bidi="ar"/>
                <w14:textFill>
                  <w14:solidFill>
                    <w14:schemeClr w14:val="tx1"/>
                  </w14:solidFill>
                </w14:textFill>
              </w:rPr>
              <w:t>工程和浆砌石挡墙</w:t>
            </w:r>
            <w:r>
              <w:rPr>
                <w:rFonts w:hint="eastAsia"/>
                <w:color w:val="000000" w:themeColor="text1"/>
                <w:kern w:val="0"/>
                <w:sz w:val="24"/>
                <w:lang w:eastAsia="zh-CN" w:bidi="ar"/>
                <w14:textFill>
                  <w14:solidFill>
                    <w14:schemeClr w14:val="tx1"/>
                  </w14:solidFill>
                </w14:textFill>
              </w:rPr>
              <w:t>护岸</w:t>
            </w:r>
            <w:r>
              <w:rPr>
                <w:rFonts w:hint="eastAsia"/>
                <w:color w:val="000000" w:themeColor="text1"/>
                <w:kern w:val="0"/>
                <w:sz w:val="24"/>
                <w:lang w:bidi="ar"/>
                <w14:textFill>
                  <w14:solidFill>
                    <w14:schemeClr w14:val="tx1"/>
                  </w14:solidFill>
                </w14:textFill>
              </w:rPr>
              <w:t>工程总投资795.17万元</w:t>
            </w:r>
            <w:r>
              <w:rPr>
                <w:color w:val="000000" w:themeColor="text1"/>
                <w:kern w:val="0"/>
                <w:sz w:val="24"/>
                <w:lang w:bidi="ar"/>
                <w14:textFill>
                  <w14:solidFill>
                    <w14:schemeClr w14:val="tx1"/>
                  </w14:solidFill>
                </w14:textFill>
              </w:rPr>
              <w:t>，</w:t>
            </w:r>
            <w:r>
              <w:rPr>
                <w:rFonts w:hint="eastAsia"/>
                <w:color w:val="000000" w:themeColor="text1"/>
                <w:kern w:val="0"/>
                <w:sz w:val="24"/>
                <w:lang w:eastAsia="zh-CN" w:bidi="ar"/>
                <w14:textFill>
                  <w14:solidFill>
                    <w14:schemeClr w14:val="tx1"/>
                  </w14:solidFill>
                </w14:textFill>
              </w:rPr>
              <w:t>全部为环保投资，占比</w:t>
            </w:r>
            <w:r>
              <w:rPr>
                <w:rFonts w:hint="eastAsia"/>
                <w:color w:val="000000" w:themeColor="text1"/>
                <w:kern w:val="0"/>
                <w:sz w:val="24"/>
                <w:lang w:val="en-US" w:eastAsia="zh-CN" w:bidi="ar"/>
                <w14:textFill>
                  <w14:solidFill>
                    <w14:schemeClr w14:val="tx1"/>
                  </w14:solidFill>
                </w14:textFill>
              </w:rPr>
              <w:t>100</w:t>
            </w:r>
            <w:r>
              <w:rPr>
                <w:rFonts w:hint="eastAsia"/>
                <w:color w:val="000000" w:themeColor="text1"/>
                <w:kern w:val="0"/>
                <w:sz w:val="24"/>
                <w:lang w:eastAsia="zh-CN" w:bidi="ar"/>
                <w14:textFill>
                  <w14:solidFill>
                    <w14:schemeClr w14:val="tx1"/>
                  </w14:solidFill>
                </w14:textFill>
              </w:rPr>
              <w:t>%，项目为逐段施工，部分环保设施可多次利用</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投资估算项目表</w:t>
            </w:r>
            <w:r>
              <w:rPr>
                <w:rFonts w:hint="eastAsia"/>
                <w:color w:val="000000" w:themeColor="text1"/>
                <w:kern w:val="0"/>
                <w:sz w:val="24"/>
                <w:lang w:eastAsia="zh-CN" w:bidi="ar"/>
                <w14:textFill>
                  <w14:solidFill>
                    <w14:schemeClr w14:val="tx1"/>
                  </w14:solidFill>
                </w14:textFill>
              </w:rPr>
              <w:t>见</w:t>
            </w:r>
            <w:r>
              <w:rPr>
                <w:rFonts w:hint="eastAsia"/>
                <w:color w:val="000000" w:themeColor="text1"/>
                <w:kern w:val="0"/>
                <w:sz w:val="24"/>
                <w:lang w:bidi="ar"/>
                <w14:textFill>
                  <w14:solidFill>
                    <w14:schemeClr w14:val="tx1"/>
                  </w14:solidFill>
                </w14:textFill>
              </w:rPr>
              <w:t>5</w:t>
            </w:r>
            <w:r>
              <w:rPr>
                <w:rFonts w:hint="eastAsia"/>
                <w:color w:val="000000" w:themeColor="text1"/>
                <w:kern w:val="0"/>
                <w:sz w:val="24"/>
                <w:lang w:val="en-US" w:eastAsia="zh-CN" w:bidi="ar"/>
                <w14:textFill>
                  <w14:solidFill>
                    <w14:schemeClr w14:val="tx1"/>
                  </w14:solidFill>
                </w14:textFill>
              </w:rPr>
              <w:t>-2</w:t>
            </w:r>
            <w:r>
              <w:rPr>
                <w:color w:val="000000" w:themeColor="text1"/>
                <w:kern w:val="0"/>
                <w:sz w:val="24"/>
                <w:lang w:bidi="ar"/>
                <w14:textFill>
                  <w14:solidFill>
                    <w14:schemeClr w14:val="tx1"/>
                  </w14:solidFill>
                </w14:textFill>
              </w:rPr>
              <w:t>。</w:t>
            </w:r>
          </w:p>
          <w:p>
            <w:pPr>
              <w:pStyle w:val="54"/>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表5-</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 xml:space="preserve">  工程环保设施与投资概算一览表</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405"/>
              <w:gridCol w:w="5156"/>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时段</w:t>
                  </w:r>
                </w:p>
              </w:tc>
              <w:tc>
                <w:tcPr>
                  <w:tcW w:w="3983" w:type="pct"/>
                  <w:gridSpan w:val="2"/>
                  <w:tcBorders>
                    <w:tl2br w:val="nil"/>
                    <w:tr2bl w:val="nil"/>
                  </w:tcBorders>
                  <w:noWrap w:val="0"/>
                  <w:vAlign w:val="center"/>
                </w:tcPr>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环保措施</w:t>
                  </w:r>
                </w:p>
              </w:tc>
              <w:tc>
                <w:tcPr>
                  <w:tcW w:w="700" w:type="pct"/>
                  <w:tcBorders>
                    <w:tl2br w:val="nil"/>
                    <w:tr2bl w:val="nil"/>
                  </w:tcBorders>
                  <w:noWrap w:val="0"/>
                  <w:vAlign w:val="center"/>
                </w:tcPr>
                <w:p>
                  <w:pPr>
                    <w:pStyle w:val="56"/>
                    <w:spacing w:line="320" w:lineRule="atLeast"/>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restar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施工期</w:t>
                  </w:r>
                </w:p>
              </w:tc>
              <w:tc>
                <w:tcPr>
                  <w:tcW w:w="853" w:type="pct"/>
                  <w:vMerge w:val="restart"/>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主体工程</w:t>
                  </w:r>
                </w:p>
              </w:tc>
              <w:tc>
                <w:tcPr>
                  <w:tcW w:w="3130" w:type="pct"/>
                  <w:tcBorders>
                    <w:tl2br w:val="nil"/>
                    <w:tr2bl w:val="nil"/>
                  </w:tcBorders>
                  <w:noWrap w:val="0"/>
                  <w:vAlign w:val="center"/>
                </w:tcPr>
                <w:p>
                  <w:pPr>
                    <w:pStyle w:val="56"/>
                    <w:spacing w:line="320" w:lineRule="atLeast"/>
                    <w:ind w:firstLine="0" w:firstLineChars="0"/>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格宾石笼挡墙护岸工程</w:t>
                  </w:r>
                </w:p>
              </w:tc>
              <w:tc>
                <w:tcPr>
                  <w:tcW w:w="700" w:type="pct"/>
                  <w:tcBorders>
                    <w:tl2br w:val="nil"/>
                    <w:tr2bl w:val="nil"/>
                  </w:tcBorders>
                  <w:noWrap w:val="0"/>
                  <w:vAlign w:val="center"/>
                </w:tcPr>
                <w:p>
                  <w:pPr>
                    <w:pStyle w:val="56"/>
                    <w:spacing w:line="320" w:lineRule="atLeast"/>
                    <w:ind w:firstLine="0" w:firstLineChars="0"/>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212.17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vMerge w:val="continue"/>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p>
              </w:tc>
              <w:tc>
                <w:tcPr>
                  <w:tcW w:w="3130" w:type="pct"/>
                  <w:tcBorders>
                    <w:tl2br w:val="nil"/>
                    <w:tr2bl w:val="nil"/>
                  </w:tcBorders>
                  <w:noWrap w:val="0"/>
                  <w:vAlign w:val="center"/>
                </w:tcPr>
                <w:p>
                  <w:pPr>
                    <w:pStyle w:val="56"/>
                    <w:spacing w:line="320" w:lineRule="atLeast"/>
                    <w:ind w:firstLine="0" w:firstLineChars="0"/>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浆砌石挡墙护岸工程</w:t>
                  </w:r>
                </w:p>
              </w:tc>
              <w:tc>
                <w:tcPr>
                  <w:tcW w:w="700" w:type="pct"/>
                  <w:tcBorders>
                    <w:tl2br w:val="nil"/>
                    <w:tr2bl w:val="nil"/>
                  </w:tcBorders>
                  <w:noWrap w:val="0"/>
                  <w:vAlign w:val="center"/>
                </w:tcPr>
                <w:p>
                  <w:pPr>
                    <w:pStyle w:val="56"/>
                    <w:spacing w:line="320" w:lineRule="atLeast"/>
                    <w:ind w:firstLine="0" w:firstLineChars="0"/>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515.94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vMerge w:val="restar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临时工程</w:t>
                  </w:r>
                </w:p>
              </w:tc>
              <w:tc>
                <w:tcPr>
                  <w:tcW w:w="313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沉淀池</w:t>
                  </w:r>
                </w:p>
              </w:tc>
              <w:tc>
                <w:tcPr>
                  <w:tcW w:w="700" w:type="pct"/>
                  <w:tcBorders>
                    <w:tl2br w:val="nil"/>
                    <w:tr2bl w:val="nil"/>
                  </w:tcBorders>
                  <w:noWrap w:val="0"/>
                  <w:vAlign w:val="center"/>
                </w:tcPr>
                <w:p>
                  <w:pPr>
                    <w:pStyle w:val="56"/>
                    <w:spacing w:line="320" w:lineRule="atLeast"/>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vMerge w:val="continue"/>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p>
              </w:tc>
              <w:tc>
                <w:tcPr>
                  <w:tcW w:w="3130" w:type="pct"/>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沉淀罐</w:t>
                  </w:r>
                </w:p>
              </w:tc>
              <w:tc>
                <w:tcPr>
                  <w:tcW w:w="700" w:type="pct"/>
                  <w:tcBorders>
                    <w:tl2br w:val="nil"/>
                    <w:tr2bl w:val="nil"/>
                  </w:tcBorders>
                  <w:noWrap w:val="0"/>
                  <w:vAlign w:val="center"/>
                </w:tcPr>
                <w:p>
                  <w:pPr>
                    <w:pStyle w:val="56"/>
                    <w:spacing w:line="320" w:lineRule="atLeast"/>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vMerge w:val="continue"/>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p>
              </w:tc>
              <w:tc>
                <w:tcPr>
                  <w:tcW w:w="3130" w:type="pct"/>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加强管理、施工场地及道路及时洒水、临时围挡、运输车辆苫盖、易产尘物料密网覆盖</w:t>
                  </w:r>
                </w:p>
              </w:tc>
              <w:tc>
                <w:tcPr>
                  <w:tcW w:w="700" w:type="pct"/>
                  <w:tcBorders>
                    <w:tl2br w:val="nil"/>
                    <w:tr2bl w:val="nil"/>
                  </w:tcBorders>
                  <w:noWrap w:val="0"/>
                  <w:vAlign w:val="center"/>
                </w:tcPr>
                <w:p>
                  <w:pPr>
                    <w:pStyle w:val="56"/>
                    <w:spacing w:line="320" w:lineRule="atLeast"/>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vMerge w:val="continue"/>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p>
              </w:tc>
              <w:tc>
                <w:tcPr>
                  <w:tcW w:w="313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环境保护警示牌</w:t>
                  </w:r>
                  <w:r>
                    <w:rPr>
                      <w:rFonts w:hint="eastAsia" w:cs="宋体"/>
                      <w:color w:val="000000" w:themeColor="text1"/>
                      <w:lang w:eastAsia="zh-CN"/>
                      <w14:textFill>
                        <w14:solidFill>
                          <w14:schemeClr w14:val="tx1"/>
                        </w14:solidFill>
                      </w14:textFill>
                    </w:rPr>
                    <w:t>、</w:t>
                  </w:r>
                  <w:r>
                    <w:rPr>
                      <w:rFonts w:hint="eastAsia" w:ascii="Times New Roman" w:hAnsi="Times New Roman" w:eastAsia="宋体" w:cs="宋体"/>
                      <w:color w:val="000000" w:themeColor="text1"/>
                      <w14:textFill>
                        <w14:solidFill>
                          <w14:schemeClr w14:val="tx1"/>
                        </w14:solidFill>
                      </w14:textFill>
                    </w:rPr>
                    <w:t>减速慢行标志</w:t>
                  </w:r>
                </w:p>
              </w:tc>
              <w:tc>
                <w:tcPr>
                  <w:tcW w:w="700" w:type="pct"/>
                  <w:tcBorders>
                    <w:tl2br w:val="nil"/>
                    <w:tr2bl w:val="nil"/>
                  </w:tcBorders>
                  <w:noWrap w:val="0"/>
                  <w:vAlign w:val="center"/>
                </w:tcPr>
                <w:p>
                  <w:pPr>
                    <w:pStyle w:val="56"/>
                    <w:spacing w:line="320" w:lineRule="atLeast"/>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vMerge w:val="continue"/>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p>
              </w:tc>
              <w:tc>
                <w:tcPr>
                  <w:tcW w:w="313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建筑垃圾及时清运</w:t>
                  </w:r>
                </w:p>
              </w:tc>
              <w:tc>
                <w:tcPr>
                  <w:tcW w:w="700" w:type="pct"/>
                  <w:tcBorders>
                    <w:tl2br w:val="nil"/>
                    <w:tr2bl w:val="nil"/>
                  </w:tcBorders>
                  <w:noWrap w:val="0"/>
                  <w:vAlign w:val="center"/>
                </w:tcPr>
                <w:p>
                  <w:pPr>
                    <w:pStyle w:val="56"/>
                    <w:spacing w:line="320" w:lineRule="atLeast"/>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3130" w:type="pct"/>
                  <w:tcBorders>
                    <w:tl2br w:val="nil"/>
                    <w:tr2bl w:val="nil"/>
                  </w:tcBorders>
                  <w:noWrap w:val="0"/>
                  <w:vAlign w:val="center"/>
                </w:tcPr>
                <w:p>
                  <w:pPr>
                    <w:pStyle w:val="56"/>
                    <w:spacing w:line="320" w:lineRule="atLeast"/>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临时道路和临时占地的建设、维护与生态修复</w:t>
                  </w:r>
                </w:p>
              </w:tc>
              <w:tc>
                <w:tcPr>
                  <w:tcW w:w="700" w:type="pct"/>
                  <w:tcBorders>
                    <w:tl2br w:val="nil"/>
                    <w:tr2bl w:val="nil"/>
                  </w:tcBorders>
                  <w:noWrap w:val="0"/>
                  <w:vAlign w:val="center"/>
                </w:tcPr>
                <w:p>
                  <w:pPr>
                    <w:pStyle w:val="56"/>
                    <w:spacing w:line="320" w:lineRule="atLeast"/>
                    <w:rPr>
                      <w:rFonts w:hint="default"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37.56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p>
              </w:tc>
              <w:tc>
                <w:tcPr>
                  <w:tcW w:w="853"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环境监测</w:t>
                  </w:r>
                </w:p>
              </w:tc>
              <w:tc>
                <w:tcPr>
                  <w:tcW w:w="313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施工期大气、水质、噪声、生态监测</w:t>
                  </w:r>
                </w:p>
              </w:tc>
              <w:tc>
                <w:tcPr>
                  <w:tcW w:w="700" w:type="pct"/>
                  <w:tcBorders>
                    <w:tl2br w:val="nil"/>
                    <w:tr2bl w:val="nil"/>
                  </w:tcBorders>
                  <w:noWrap w:val="0"/>
                  <w:vAlign w:val="center"/>
                </w:tcPr>
                <w:p>
                  <w:pPr>
                    <w:pStyle w:val="56"/>
                    <w:spacing w:line="320" w:lineRule="atLeast"/>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8" w:type="pct"/>
                  <w:gridSpan w:val="2"/>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合  计</w:t>
                  </w:r>
                </w:p>
              </w:tc>
              <w:tc>
                <w:tcPr>
                  <w:tcW w:w="3130" w:type="pct"/>
                  <w:tcBorders>
                    <w:tl2br w:val="nil"/>
                    <w:tr2bl w:val="nil"/>
                  </w:tcBorders>
                  <w:noWrap w:val="0"/>
                  <w:vAlign w:val="center"/>
                </w:tcPr>
                <w:p>
                  <w:pPr>
                    <w:pStyle w:val="56"/>
                    <w:spacing w:line="320" w:lineRule="atLeas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w:t>
                  </w:r>
                </w:p>
              </w:tc>
              <w:tc>
                <w:tcPr>
                  <w:tcW w:w="700" w:type="pct"/>
                  <w:tcBorders>
                    <w:tl2br w:val="nil"/>
                    <w:tr2bl w:val="nil"/>
                  </w:tcBorders>
                  <w:noWrap w:val="0"/>
                  <w:vAlign w:val="center"/>
                </w:tcPr>
                <w:p>
                  <w:pPr>
                    <w:pStyle w:val="56"/>
                    <w:spacing w:line="320" w:lineRule="atLeast"/>
                    <w:rPr>
                      <w:rFonts w:hint="default" w:ascii="Times New Roman" w:hAnsi="Times New Roman"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795.17</w:t>
                  </w:r>
                </w:p>
              </w:tc>
            </w:tr>
          </w:tbl>
          <w:p>
            <w:pPr>
              <w:adjustRightInd w:val="0"/>
              <w:snapToGrid w:val="0"/>
              <w:spacing w:before="120" w:beforeLines="50" w:line="360" w:lineRule="auto"/>
              <w:ind w:firstLine="460" w:firstLineChars="200"/>
              <w:rPr>
                <w:rFonts w:ascii="宋体" w:hAnsi="宋体" w:cs="宋体"/>
                <w:bCs/>
                <w:color w:val="000000" w:themeColor="text1"/>
                <w:spacing w:val="10"/>
                <w:szCs w:val="2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p>
            <w:pPr>
              <w:pStyle w:val="30"/>
              <w:rPr>
                <w:color w:val="000000" w:themeColor="text1"/>
                <w14:textFill>
                  <w14:solidFill>
                    <w14:schemeClr w14:val="tx1"/>
                  </w14:solidFill>
                </w14:textFill>
              </w:rPr>
            </w:pPr>
          </w:p>
        </w:tc>
      </w:tr>
    </w:tbl>
    <w:p>
      <w:pPr>
        <w:rPr>
          <w:color w:val="000000" w:themeColor="text1"/>
          <w14:textFill>
            <w14:solidFill>
              <w14:schemeClr w14:val="tx1"/>
            </w14:solidFill>
          </w14:textFill>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678"/>
        <w:gridCol w:w="1830"/>
        <w:gridCol w:w="1650"/>
        <w:gridCol w:w="15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Merge w:val="restart"/>
            <w:tcBorders>
              <w:tl2br w:val="single" w:color="auto" w:sz="4" w:space="0"/>
            </w:tcBorders>
          </w:tcPr>
          <w:p>
            <w:pPr>
              <w:pStyle w:val="22"/>
              <w:adjustRightInd w:val="0"/>
              <w:snapToGrid w:val="0"/>
              <w:spacing w:before="72" w:beforeLines="30" w:beforeAutospacing="0" w:after="0" w:afterAutospacing="0"/>
              <w:jc w:val="center"/>
              <w:outlineLvl w:val="0"/>
              <w:rPr>
                <w:rFonts w:ascii="黑体" w:hAnsi="黑体" w:eastAsia="黑体" w:cs="宋体"/>
                <w:color w:val="000000" w:themeColor="text1"/>
                <w:kern w:val="2"/>
                <w:sz w:val="21"/>
                <w:szCs w:val="21"/>
                <w14:textFill>
                  <w14:solidFill>
                    <w14:schemeClr w14:val="tx1"/>
                  </w14:solidFill>
                </w14:textFill>
              </w:rPr>
            </w:pPr>
            <w:r>
              <w:rPr>
                <w:rFonts w:hint="eastAsia" w:ascii="黑体" w:hAnsi="黑体" w:eastAsia="黑体" w:cs="宋体"/>
                <w:color w:val="000000" w:themeColor="text1"/>
                <w:kern w:val="2"/>
                <w:sz w:val="21"/>
                <w:szCs w:val="21"/>
                <w14:textFill>
                  <w14:solidFill>
                    <w14:schemeClr w14:val="tx1"/>
                  </w14:solidFill>
                </w14:textFill>
              </w:rPr>
              <w:t>内容</w:t>
            </w:r>
          </w:p>
          <w:p>
            <w:pPr>
              <w:pStyle w:val="22"/>
              <w:adjustRightInd w:val="0"/>
              <w:snapToGrid w:val="0"/>
              <w:spacing w:before="72" w:beforeLines="30" w:beforeAutospacing="0" w:after="0" w:afterAutospacing="0"/>
              <w:jc w:val="center"/>
              <w:outlineLvl w:val="0"/>
              <w:rPr>
                <w:rFonts w:ascii="黑体" w:hAnsi="黑体" w:eastAsia="黑体" w:cs="宋体"/>
                <w:color w:val="000000" w:themeColor="text1"/>
                <w:kern w:val="2"/>
                <w:sz w:val="21"/>
                <w:szCs w:val="21"/>
                <w14:textFill>
                  <w14:solidFill>
                    <w14:schemeClr w14:val="tx1"/>
                  </w14:solidFill>
                </w14:textFill>
              </w:rPr>
            </w:pPr>
          </w:p>
          <w:p>
            <w:pPr>
              <w:pStyle w:val="22"/>
              <w:adjustRightInd w:val="0"/>
              <w:snapToGrid w:val="0"/>
              <w:spacing w:before="0" w:beforeAutospacing="0" w:after="0" w:afterAutospacing="0" w:line="14" w:lineRule="auto"/>
              <w:outlineLvl w:val="0"/>
              <w:rPr>
                <w:rFonts w:ascii="黑体" w:hAnsi="黑体" w:eastAsia="黑体" w:cs="宋体"/>
                <w:color w:val="000000" w:themeColor="text1"/>
                <w:kern w:val="2"/>
                <w:sz w:val="135"/>
                <w:szCs w:val="21"/>
                <w14:textFill>
                  <w14:solidFill>
                    <w14:schemeClr w14:val="tx1"/>
                  </w14:solidFill>
                </w14:textFill>
              </w:rPr>
            </w:pPr>
            <w:r>
              <w:rPr>
                <w:rFonts w:hint="eastAsia" w:ascii="黑体" w:hAnsi="黑体" w:eastAsia="黑体" w:cs="宋体"/>
                <w:color w:val="000000" w:themeColor="text1"/>
                <w:kern w:val="2"/>
                <w:sz w:val="21"/>
                <w:szCs w:val="21"/>
                <w14:textFill>
                  <w14:solidFill>
                    <w14:schemeClr w14:val="tx1"/>
                  </w14:solidFill>
                </w14:textFill>
              </w:rPr>
              <w:t xml:space="preserve"> </w:t>
            </w:r>
            <w:r>
              <w:rPr>
                <w:rFonts w:hint="eastAsia" w:ascii="黑体" w:hAnsi="黑体" w:eastAsia="黑体" w:cs="宋体"/>
                <w:color w:val="000000" w:themeColor="text1"/>
                <w:kern w:val="2"/>
                <w:sz w:val="135"/>
                <w:szCs w:val="21"/>
                <w14:textFill>
                  <w14:solidFill>
                    <w14:schemeClr w14:val="tx1"/>
                  </w14:solidFill>
                </w14:textFill>
              </w:rPr>
              <w:t xml:space="preserve"> </w:t>
            </w:r>
          </w:p>
          <w:p>
            <w:pPr>
              <w:pStyle w:val="22"/>
              <w:adjustRightInd w:val="0"/>
              <w:snapToGrid w:val="0"/>
              <w:spacing w:before="0" w:beforeAutospacing="0" w:after="0" w:afterAutospacing="0"/>
              <w:outlineLvl w:val="0"/>
              <w:rPr>
                <w:rFonts w:ascii="黑体" w:hAnsi="黑体" w:eastAsia="黑体" w:cs="宋体"/>
                <w:color w:val="000000" w:themeColor="text1"/>
                <w:kern w:val="2"/>
                <w:sz w:val="21"/>
                <w:szCs w:val="21"/>
                <w14:textFill>
                  <w14:solidFill>
                    <w14:schemeClr w14:val="tx1"/>
                  </w14:solidFill>
                </w14:textFill>
              </w:rPr>
            </w:pPr>
            <w:r>
              <w:rPr>
                <w:rFonts w:hint="eastAsia" w:ascii="黑体" w:hAnsi="黑体" w:eastAsia="黑体" w:cs="宋体"/>
                <w:color w:val="000000" w:themeColor="text1"/>
                <w:kern w:val="2"/>
                <w:sz w:val="21"/>
                <w:szCs w:val="21"/>
                <w14:textFill>
                  <w14:solidFill>
                    <w14:schemeClr w14:val="tx1"/>
                  </w14:solidFill>
                </w14:textFill>
              </w:rPr>
              <w:t>要素</w:t>
            </w:r>
          </w:p>
        </w:tc>
        <w:tc>
          <w:tcPr>
            <w:tcW w:w="2563" w:type="pct"/>
            <w:gridSpan w:val="2"/>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1832" w:type="pct"/>
            <w:gridSpan w:val="2"/>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Merge w:val="continue"/>
          </w:tcPr>
          <w:p>
            <w:pPr>
              <w:pStyle w:val="22"/>
              <w:adjustRightInd w:val="0"/>
              <w:snapToGrid w:val="0"/>
              <w:spacing w:before="0" w:beforeAutospacing="0" w:after="0" w:afterAutospacing="0"/>
              <w:ind w:firstLine="840"/>
              <w:jc w:val="center"/>
              <w:outlineLvl w:val="0"/>
              <w:rPr>
                <w:rFonts w:ascii="黑体" w:hAnsi="黑体" w:eastAsia="黑体" w:cs="宋体"/>
                <w:color w:val="000000" w:themeColor="text1"/>
                <w:kern w:val="2"/>
                <w:sz w:val="21"/>
                <w:szCs w:val="21"/>
                <w14:textFill>
                  <w14:solidFill>
                    <w14:schemeClr w14:val="tx1"/>
                  </w14:solidFill>
                </w14:textFill>
              </w:rPr>
            </w:pPr>
          </w:p>
        </w:tc>
        <w:tc>
          <w:tcPr>
            <w:tcW w:w="1522" w:type="pct"/>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环境保护措施</w:t>
            </w:r>
          </w:p>
        </w:tc>
        <w:tc>
          <w:tcPr>
            <w:tcW w:w="1040" w:type="pct"/>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验收要求</w:t>
            </w:r>
          </w:p>
        </w:tc>
        <w:tc>
          <w:tcPr>
            <w:tcW w:w="938" w:type="pct"/>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环境保护措施</w:t>
            </w:r>
          </w:p>
        </w:tc>
        <w:tc>
          <w:tcPr>
            <w:tcW w:w="893" w:type="pct"/>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陆生生态</w:t>
            </w:r>
          </w:p>
        </w:tc>
        <w:tc>
          <w:tcPr>
            <w:tcW w:w="1522" w:type="pct"/>
            <w:vAlign w:val="center"/>
          </w:tcPr>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①加强施工期环境管理，将工程引起的难以避免的植被破坏减少到最低限度。</w:t>
            </w:r>
          </w:p>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②加强生态环境保护意识的教育，严禁施工人员随意砍伐树木。</w:t>
            </w:r>
          </w:p>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③植被恢复所用树种选择区域内的乡土物种，尽量不栽植外来树种，防止引入生态入侵种，破坏和影响生态系统的生物多样性。</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减轻对陆生生态系统的影响</w:t>
            </w:r>
            <w:r>
              <w:rPr>
                <w:rFonts w:hint="eastAsia" w:cs="Times New Roman"/>
                <w:color w:val="000000" w:themeColor="text1"/>
                <w:szCs w:val="21"/>
                <w:lang w:eastAsia="zh-CN"/>
                <w14:textFill>
                  <w14:solidFill>
                    <w14:schemeClr w14:val="tx1"/>
                  </w14:solidFill>
                </w14:textFill>
              </w:rPr>
              <w:t>。</w:t>
            </w:r>
          </w:p>
        </w:tc>
        <w:tc>
          <w:tcPr>
            <w:tcW w:w="938" w:type="pct"/>
            <w:vAlign w:val="center"/>
          </w:tcPr>
          <w:p>
            <w:pPr>
              <w:adjustRightInd w:val="0"/>
              <w:snapToGrid w:val="0"/>
              <w:jc w:val="left"/>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本工程建成后，对临时占地进行栽植草种，恢复植被，主要种植当地物种</w:t>
            </w:r>
            <w:r>
              <w:rPr>
                <w:rFonts w:hint="eastAsia" w:cs="Times New Roman"/>
                <w:color w:val="000000" w:themeColor="text1"/>
                <w:szCs w:val="21"/>
                <w:lang w:eastAsia="zh-CN"/>
                <w14:textFill>
                  <w14:solidFill>
                    <w14:schemeClr w14:val="tx1"/>
                  </w14:solidFill>
                </w14:textFill>
              </w:rPr>
              <w:t>。</w:t>
            </w:r>
          </w:p>
        </w:tc>
        <w:tc>
          <w:tcPr>
            <w:tcW w:w="893" w:type="pct"/>
            <w:vAlign w:val="center"/>
          </w:tcPr>
          <w:p>
            <w:pPr>
              <w:adjustRightInd w:val="0"/>
              <w:snapToGrid w:val="0"/>
              <w:jc w:val="left"/>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工程影响区内的陆生生态系统影响较小</w:t>
            </w:r>
            <w:r>
              <w:rPr>
                <w:rFonts w:hint="eastAsia" w:cs="Times New Roman"/>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水生生态</w:t>
            </w:r>
          </w:p>
        </w:tc>
        <w:tc>
          <w:tcPr>
            <w:tcW w:w="1522" w:type="pct"/>
            <w:vAlign w:val="center"/>
          </w:tcPr>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禁止向河流排放施工废水、施工垃圾、生活垃圾等。</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对施工区水生生态环境影响较小</w:t>
            </w:r>
            <w:r>
              <w:rPr>
                <w:rFonts w:hint="eastAsia" w:cs="Times New Roman"/>
                <w:color w:val="000000" w:themeColor="text1"/>
                <w:szCs w:val="21"/>
                <w:lang w:eastAsia="zh-CN"/>
                <w14:textFill>
                  <w14:solidFill>
                    <w14:schemeClr w14:val="tx1"/>
                  </w14:solidFill>
                </w14:textFill>
              </w:rPr>
              <w:t>。</w:t>
            </w:r>
          </w:p>
        </w:tc>
        <w:tc>
          <w:tcPr>
            <w:tcW w:w="938"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522" w:type="pct"/>
            <w:vAlign w:val="center"/>
          </w:tcPr>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项目在秦岭保护区外设沉淀池2个用于处理车辆冲洗废水，施工车辆经冲洗后方可进出秦岭保护区，施工废水经沉淀罐处理后，在秦岭保护区外回用于洗车</w:t>
            </w:r>
            <w:r>
              <w:rPr>
                <w:rFonts w:hint="eastAsia" w:ascii="Times New Roman" w:hAnsi="Times New Roman" w:eastAsia="宋体" w:cs="Times New Roman"/>
                <w:color w:val="000000" w:themeColor="text1"/>
                <w:szCs w:val="21"/>
                <w14:textFill>
                  <w14:solidFill>
                    <w14:schemeClr w14:val="tx1"/>
                  </w14:solidFill>
                </w14:textFill>
              </w:rPr>
              <w:t>。</w:t>
            </w:r>
          </w:p>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施工人员生活依托周边村民现有的污水设施。</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废水不外排</w:t>
            </w:r>
            <w:r>
              <w:rPr>
                <w:rFonts w:hint="eastAsia" w:cs="Times New Roman"/>
                <w:color w:val="000000" w:themeColor="text1"/>
                <w:szCs w:val="21"/>
                <w:lang w:eastAsia="zh-CN"/>
                <w14:textFill>
                  <w14:solidFill>
                    <w14:schemeClr w14:val="tx1"/>
                  </w14:solidFill>
                </w14:textFill>
              </w:rPr>
              <w:t>。</w:t>
            </w:r>
          </w:p>
        </w:tc>
        <w:tc>
          <w:tcPr>
            <w:tcW w:w="938"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地下水及土壤环境</w:t>
            </w:r>
          </w:p>
        </w:tc>
        <w:tc>
          <w:tcPr>
            <w:tcW w:w="1522"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938"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522" w:type="pct"/>
            <w:vAlign w:val="center"/>
          </w:tcPr>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①合理安排施工作业时间，尽量避免高噪声设备同时施工，并且严禁在夜间和午休时间进行高噪声设备施工，以免造成扰民现象</w:t>
            </w:r>
          </w:p>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②选用低噪声机械设备，同时做好施工机械的维护和保养，有效降低机械设备运转的噪声源强</w:t>
            </w:r>
          </w:p>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③合理安排车辆运输时间，沿线涉及居民段禁止鸣笛</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厂界噪声达到《建筑施工场界环境噪声排放标准》（GB12523-2011）</w:t>
            </w:r>
            <w:r>
              <w:rPr>
                <w:rFonts w:hint="eastAsia" w:cs="Times New Roman"/>
                <w:color w:val="000000" w:themeColor="text1"/>
                <w:szCs w:val="21"/>
                <w:lang w:eastAsia="zh-CN"/>
                <w14:textFill>
                  <w14:solidFill>
                    <w14:schemeClr w14:val="tx1"/>
                  </w14:solidFill>
                </w14:textFill>
              </w:rPr>
              <w:t>。</w:t>
            </w:r>
          </w:p>
        </w:tc>
        <w:tc>
          <w:tcPr>
            <w:tcW w:w="938"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振动</w:t>
            </w:r>
          </w:p>
        </w:tc>
        <w:tc>
          <w:tcPr>
            <w:tcW w:w="1522"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938"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522" w:type="pct"/>
            <w:vAlign w:val="center"/>
          </w:tcPr>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施工物料苫盖，加强运输车辆管理，如限载、限速，对道路进行洒水降尘。</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《施工场界扬尘排放限值》DB61/1078-2017标准</w:t>
            </w:r>
            <w:r>
              <w:rPr>
                <w:rFonts w:hint="eastAsia" w:cs="Times New Roman"/>
                <w:color w:val="000000" w:themeColor="text1"/>
                <w:szCs w:val="21"/>
                <w:lang w:eastAsia="zh-CN"/>
                <w14:textFill>
                  <w14:solidFill>
                    <w14:schemeClr w14:val="tx1"/>
                  </w14:solidFill>
                </w14:textFill>
              </w:rPr>
              <w:t>。</w:t>
            </w:r>
          </w:p>
        </w:tc>
        <w:tc>
          <w:tcPr>
            <w:tcW w:w="938"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1522" w:type="pct"/>
            <w:vAlign w:val="center"/>
          </w:tcPr>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①项目实施过程土石方平衡，不产生弃渣，不设弃渣场；</w:t>
            </w:r>
          </w:p>
          <w:p>
            <w:pPr>
              <w:adjustRightInd w:val="0"/>
              <w:snapToGrid w:val="0"/>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②施工人员生活垃圾依托周边村民现有的生活垃圾设施。</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妥善处理，对周围环境影响较小</w:t>
            </w:r>
            <w:r>
              <w:rPr>
                <w:rFonts w:hint="eastAsia" w:cs="Times New Roman"/>
                <w:color w:val="000000" w:themeColor="text1"/>
                <w:szCs w:val="21"/>
                <w:lang w:eastAsia="zh-CN"/>
                <w14:textFill>
                  <w14:solidFill>
                    <w14:schemeClr w14:val="tx1"/>
                  </w14:solidFill>
                </w14:textFill>
              </w:rPr>
              <w:t>。</w:t>
            </w:r>
          </w:p>
        </w:tc>
        <w:tc>
          <w:tcPr>
            <w:tcW w:w="938"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电磁环境</w:t>
            </w:r>
          </w:p>
        </w:tc>
        <w:tc>
          <w:tcPr>
            <w:tcW w:w="1522"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040"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938"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tc>
        <w:tc>
          <w:tcPr>
            <w:tcW w:w="1522"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040"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938"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03" w:type="pct"/>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环境监测</w:t>
            </w:r>
          </w:p>
        </w:tc>
        <w:tc>
          <w:tcPr>
            <w:tcW w:w="1522"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040" w:type="pct"/>
            <w:vAlign w:val="center"/>
          </w:tcPr>
          <w:p>
            <w:pPr>
              <w:adjustRightInd w:val="0"/>
              <w:snapToGrid w:val="0"/>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938" w:type="pct"/>
            <w:vAlign w:val="center"/>
          </w:tcPr>
          <w:p>
            <w:pPr>
              <w:adjustRightInd w:val="0"/>
              <w:snapToGrid w:val="0"/>
              <w:jc w:val="center"/>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03"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tc>
        <w:tc>
          <w:tcPr>
            <w:tcW w:w="1522"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040"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938"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893" w:type="pct"/>
            <w:vAlign w:val="center"/>
          </w:tcPr>
          <w:p>
            <w:pPr>
              <w:adjustRightInd w:val="0"/>
              <w:snapToGrid w:val="0"/>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bl>
    <w:p>
      <w:pPr>
        <w:pStyle w:val="22"/>
        <w:spacing w:before="0" w:beforeAutospacing="0" w:line="14" w:lineRule="auto"/>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sz w:val="30"/>
          <w:szCs w:val="30"/>
          <w14:textFill>
            <w14:solidFill>
              <w14:schemeClr w14:val="tx1"/>
            </w14:solidFill>
          </w14:textFill>
        </w:rPr>
        <w:br w:type="page"/>
      </w:r>
    </w:p>
    <w:p>
      <w:pPr>
        <w:pStyle w:val="22"/>
        <w:spacing w:before="192" w:beforeLines="80" w:before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七、结论</w:t>
      </w:r>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6" w:hRule="atLeast"/>
          <w:jc w:val="center"/>
        </w:trPr>
        <w:tc>
          <w:tcPr>
            <w:tcW w:w="5000" w:type="pct"/>
          </w:tcPr>
          <w:p>
            <w:pPr>
              <w:wordWrap w:val="0"/>
              <w:spacing w:line="360" w:lineRule="auto"/>
              <w:ind w:firstLine="480" w:firstLineChars="200"/>
              <w:rPr>
                <w:color w:val="000000" w:themeColor="text1"/>
                <w14:textFill>
                  <w14:solidFill>
                    <w14:schemeClr w14:val="tx1"/>
                  </w14:solidFill>
                </w14:textFill>
              </w:rPr>
            </w:pPr>
            <w:r>
              <w:rPr>
                <w:rFonts w:hint="eastAsia"/>
                <w:color w:val="000000" w:themeColor="text1"/>
                <w:sz w:val="24"/>
                <w:lang w:eastAsia="zh-CN"/>
                <w14:textFill>
                  <w14:solidFill>
                    <w14:schemeClr w14:val="tx1"/>
                  </w14:solidFill>
                </w14:textFill>
              </w:rPr>
              <w:t>潏河流域上游水土保持及河道水生态保护修复工程</w:t>
            </w:r>
            <w:r>
              <w:rPr>
                <w:rFonts w:hint="eastAsia"/>
                <w:color w:val="000000" w:themeColor="text1"/>
                <w:sz w:val="24"/>
                <w14:textFill>
                  <w14:solidFill>
                    <w14:schemeClr w14:val="tx1"/>
                  </w14:solidFill>
                </w14:textFill>
              </w:rPr>
              <w:t>项目符合国家产业政策和相关生态环境保护法律法规政策要求，在认真落实本报告表提出的各项污染防治措施的前提下，项目施工期废气、噪声可达标排放，废水不外排，固体废物可得到妥善处置，对外环境的影响较小。从环境保护角度分析，建设项目环境影响可行。</w:t>
            </w:r>
          </w:p>
        </w:tc>
      </w:tr>
    </w:tbl>
    <w:p>
      <w:pPr>
        <w:pStyle w:val="20"/>
        <w:ind w:firstLine="0" w:firstLineChars="0"/>
        <w:rPr>
          <w:color w:val="000000" w:themeColor="text1"/>
          <w14:textFill>
            <w14:solidFill>
              <w14:schemeClr w14:val="tx1"/>
            </w14:solidFill>
          </w14:textFill>
        </w:rPr>
      </w:pPr>
    </w:p>
    <w:sectPr>
      <w:pgSz w:w="11906" w:h="16838"/>
      <w:pgMar w:top="1701" w:right="1800"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CD5FC6-E9A7-45F9-80BE-A80F65F65D6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1440ACA-02FC-4493-A807-B8E0D76CCBB6}"/>
  </w:font>
  <w:font w:name="楷体_GB2312">
    <w:panose1 w:val="02010609030101010101"/>
    <w:charset w:val="86"/>
    <w:family w:val="auto"/>
    <w:pitch w:val="default"/>
    <w:sig w:usb0="00000001" w:usb1="080E0000" w:usb2="00000000" w:usb3="00000000" w:csb0="00040000" w:csb1="00000000"/>
    <w:embedRegular r:id="rId3" w:fontKey="{FE7E8D24-A6F2-448C-B03F-56E40698DAEF}"/>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93600A4F-4176-48AD-8230-7C937620174B}"/>
  </w:font>
  <w:font w:name="方正小标宋_GBK">
    <w:panose1 w:val="02000000000000000000"/>
    <w:charset w:val="86"/>
    <w:family w:val="script"/>
    <w:pitch w:val="default"/>
    <w:sig w:usb0="A00002BF" w:usb1="38CF7CFA" w:usb2="00082016" w:usb3="00000000" w:csb0="00040001" w:csb1="00000000"/>
    <w:embedRegular r:id="rId5" w:fontKey="{066A65E4-CF64-4A90-A727-87C45A425E59}"/>
  </w:font>
  <w:font w:name="华文仿宋">
    <w:panose1 w:val="02010600040101010101"/>
    <w:charset w:val="86"/>
    <w:family w:val="auto"/>
    <w:pitch w:val="default"/>
    <w:sig w:usb0="00000287" w:usb1="080F0000" w:usb2="00000000" w:usb3="00000000" w:csb0="0004009F" w:csb1="DFD70000"/>
    <w:embedRegular r:id="rId6" w:fontKey="{D39FB4C8-6A5A-4C00-8913-49B8D7D89F98}"/>
  </w:font>
  <w:font w:name="仿宋">
    <w:panose1 w:val="02010609060101010101"/>
    <w:charset w:val="86"/>
    <w:family w:val="modern"/>
    <w:pitch w:val="default"/>
    <w:sig w:usb0="800002BF" w:usb1="38CF7CFA" w:usb2="00000016" w:usb3="00000000" w:csb0="00040001" w:csb1="00000000"/>
    <w:embedRegular r:id="rId7" w:fontKey="{3D3094B3-6507-4996-9246-E60BB77B980D}"/>
  </w:font>
  <w:font w:name="Wingdings 2">
    <w:panose1 w:val="05020102010507070707"/>
    <w:charset w:val="02"/>
    <w:family w:val="roman"/>
    <w:pitch w:val="default"/>
    <w:sig w:usb0="00000000" w:usb1="00000000" w:usb2="00000000" w:usb3="00000000" w:csb0="80000000" w:csb1="00000000"/>
    <w:embedRegular r:id="rId8" w:fontKey="{18D35E7F-C9EC-4344-9FB9-ED837DC4297E}"/>
  </w:font>
  <w:font w:name="微软雅黑">
    <w:panose1 w:val="020B0503020204020204"/>
    <w:charset w:val="86"/>
    <w:family w:val="auto"/>
    <w:pitch w:val="default"/>
    <w:sig w:usb0="80000287" w:usb1="280F3C52" w:usb2="00000016" w:usb3="00000000" w:csb0="0004001F" w:csb1="00000000"/>
    <w:embedRegular r:id="rId9" w:fontKey="{4DE2CCA5-65C4-489D-9630-545C96E2137F}"/>
  </w:font>
  <w:font w:name="等线">
    <w:panose1 w:val="02010600030101010101"/>
    <w:charset w:val="86"/>
    <w:family w:val="auto"/>
    <w:pitch w:val="default"/>
    <w:sig w:usb0="A00002BF" w:usb1="38CF7CFA" w:usb2="00000016" w:usb3="00000000" w:csb0="0004000F" w:csb1="00000000"/>
    <w:embedRegular r:id="rId10" w:fontKey="{842B66FD-6A25-4079-BA68-243755EFC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8"/>
      </w:rPr>
    </w:pPr>
    <w:r>
      <w:rPr>
        <w:rStyle w:val="28"/>
      </w:rPr>
      <w:fldChar w:fldCharType="begin"/>
    </w:r>
    <w:r>
      <w:rPr>
        <w:rStyle w:val="28"/>
      </w:rPr>
      <w:instrText xml:space="preserve">PAGE  </w:instrText>
    </w:r>
    <w:r>
      <w:rPr>
        <w:rStyle w:val="28"/>
      </w:rP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5"/>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F2454D"/>
    <w:multiLevelType w:val="singleLevel"/>
    <w:tmpl w:val="41F2454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xMDM0ZDA0NDdjNjdiZWI4NTRkZDEwYzRhNThiZjIifQ=="/>
  </w:docVars>
  <w:rsids>
    <w:rsidRoot w:val="00172A27"/>
    <w:rsid w:val="00001CED"/>
    <w:rsid w:val="00001E67"/>
    <w:rsid w:val="00003CD8"/>
    <w:rsid w:val="00007374"/>
    <w:rsid w:val="000117D9"/>
    <w:rsid w:val="00014965"/>
    <w:rsid w:val="0001523A"/>
    <w:rsid w:val="00016ECB"/>
    <w:rsid w:val="0002197B"/>
    <w:rsid w:val="00021E10"/>
    <w:rsid w:val="0002260F"/>
    <w:rsid w:val="00022E92"/>
    <w:rsid w:val="00025AA1"/>
    <w:rsid w:val="000269F6"/>
    <w:rsid w:val="00031939"/>
    <w:rsid w:val="00031BA3"/>
    <w:rsid w:val="00032D25"/>
    <w:rsid w:val="0003712D"/>
    <w:rsid w:val="00042CB4"/>
    <w:rsid w:val="000475FB"/>
    <w:rsid w:val="00051547"/>
    <w:rsid w:val="0005219D"/>
    <w:rsid w:val="0005568F"/>
    <w:rsid w:val="00057B06"/>
    <w:rsid w:val="0006153D"/>
    <w:rsid w:val="00061B1F"/>
    <w:rsid w:val="0006354C"/>
    <w:rsid w:val="000641DB"/>
    <w:rsid w:val="000664DB"/>
    <w:rsid w:val="000702B2"/>
    <w:rsid w:val="0007127D"/>
    <w:rsid w:val="00071AE5"/>
    <w:rsid w:val="00073F5F"/>
    <w:rsid w:val="00074783"/>
    <w:rsid w:val="00075C78"/>
    <w:rsid w:val="0007730F"/>
    <w:rsid w:val="000801E0"/>
    <w:rsid w:val="000806D1"/>
    <w:rsid w:val="00082A29"/>
    <w:rsid w:val="0008331D"/>
    <w:rsid w:val="00083C18"/>
    <w:rsid w:val="000847F8"/>
    <w:rsid w:val="00086AA3"/>
    <w:rsid w:val="00086C88"/>
    <w:rsid w:val="00092899"/>
    <w:rsid w:val="00093A79"/>
    <w:rsid w:val="0009526F"/>
    <w:rsid w:val="000A0CB6"/>
    <w:rsid w:val="000A178E"/>
    <w:rsid w:val="000A3455"/>
    <w:rsid w:val="000A389F"/>
    <w:rsid w:val="000A557E"/>
    <w:rsid w:val="000A687D"/>
    <w:rsid w:val="000B058F"/>
    <w:rsid w:val="000B3B67"/>
    <w:rsid w:val="000B693F"/>
    <w:rsid w:val="000B7602"/>
    <w:rsid w:val="000C07F2"/>
    <w:rsid w:val="000C09AC"/>
    <w:rsid w:val="000C0A63"/>
    <w:rsid w:val="000C3BC6"/>
    <w:rsid w:val="000C437E"/>
    <w:rsid w:val="000C568E"/>
    <w:rsid w:val="000C74A0"/>
    <w:rsid w:val="000D0CCE"/>
    <w:rsid w:val="000D3FCA"/>
    <w:rsid w:val="000D419D"/>
    <w:rsid w:val="000D53A1"/>
    <w:rsid w:val="000E2DD0"/>
    <w:rsid w:val="000E30D1"/>
    <w:rsid w:val="000E3B4E"/>
    <w:rsid w:val="000E3E57"/>
    <w:rsid w:val="000E5F16"/>
    <w:rsid w:val="000E7155"/>
    <w:rsid w:val="000E7242"/>
    <w:rsid w:val="000F4452"/>
    <w:rsid w:val="000F4512"/>
    <w:rsid w:val="000F57E4"/>
    <w:rsid w:val="000F6DA1"/>
    <w:rsid w:val="000F701B"/>
    <w:rsid w:val="0010213C"/>
    <w:rsid w:val="00104D2C"/>
    <w:rsid w:val="001056A0"/>
    <w:rsid w:val="001056CC"/>
    <w:rsid w:val="001062AA"/>
    <w:rsid w:val="001070AD"/>
    <w:rsid w:val="00107B0F"/>
    <w:rsid w:val="001146A5"/>
    <w:rsid w:val="001149A8"/>
    <w:rsid w:val="00115279"/>
    <w:rsid w:val="00117459"/>
    <w:rsid w:val="0011749A"/>
    <w:rsid w:val="0012349D"/>
    <w:rsid w:val="001252B5"/>
    <w:rsid w:val="00126800"/>
    <w:rsid w:val="00127A68"/>
    <w:rsid w:val="0013046B"/>
    <w:rsid w:val="00131A77"/>
    <w:rsid w:val="001324BB"/>
    <w:rsid w:val="001372C4"/>
    <w:rsid w:val="00140B13"/>
    <w:rsid w:val="00141B68"/>
    <w:rsid w:val="00143B83"/>
    <w:rsid w:val="001448B9"/>
    <w:rsid w:val="001466DA"/>
    <w:rsid w:val="001540F2"/>
    <w:rsid w:val="00154DE1"/>
    <w:rsid w:val="00155B40"/>
    <w:rsid w:val="00157435"/>
    <w:rsid w:val="00160AAF"/>
    <w:rsid w:val="00163EEA"/>
    <w:rsid w:val="00167A07"/>
    <w:rsid w:val="0017046A"/>
    <w:rsid w:val="001704A3"/>
    <w:rsid w:val="0017504D"/>
    <w:rsid w:val="001768B3"/>
    <w:rsid w:val="00177422"/>
    <w:rsid w:val="00182B7F"/>
    <w:rsid w:val="0018493C"/>
    <w:rsid w:val="00184F10"/>
    <w:rsid w:val="00185546"/>
    <w:rsid w:val="00187892"/>
    <w:rsid w:val="0019015C"/>
    <w:rsid w:val="001908D7"/>
    <w:rsid w:val="0019146B"/>
    <w:rsid w:val="00193375"/>
    <w:rsid w:val="00194398"/>
    <w:rsid w:val="00196B9B"/>
    <w:rsid w:val="0019771B"/>
    <w:rsid w:val="00197BFD"/>
    <w:rsid w:val="001A5595"/>
    <w:rsid w:val="001A7D2A"/>
    <w:rsid w:val="001B13BD"/>
    <w:rsid w:val="001B13D4"/>
    <w:rsid w:val="001B574C"/>
    <w:rsid w:val="001C0AF9"/>
    <w:rsid w:val="001C155A"/>
    <w:rsid w:val="001C2502"/>
    <w:rsid w:val="001C2B8E"/>
    <w:rsid w:val="001C48C0"/>
    <w:rsid w:val="001D0A4B"/>
    <w:rsid w:val="001D2B28"/>
    <w:rsid w:val="001D6275"/>
    <w:rsid w:val="001D6726"/>
    <w:rsid w:val="001F3347"/>
    <w:rsid w:val="001F4440"/>
    <w:rsid w:val="001F69E4"/>
    <w:rsid w:val="001F799D"/>
    <w:rsid w:val="002019BA"/>
    <w:rsid w:val="0020221C"/>
    <w:rsid w:val="00203499"/>
    <w:rsid w:val="0020699C"/>
    <w:rsid w:val="00206A65"/>
    <w:rsid w:val="00207372"/>
    <w:rsid w:val="00207D1A"/>
    <w:rsid w:val="00210547"/>
    <w:rsid w:val="00211D03"/>
    <w:rsid w:val="00212D31"/>
    <w:rsid w:val="002130C7"/>
    <w:rsid w:val="00221498"/>
    <w:rsid w:val="002218A8"/>
    <w:rsid w:val="00222EA1"/>
    <w:rsid w:val="0022306D"/>
    <w:rsid w:val="00224FC3"/>
    <w:rsid w:val="002257F2"/>
    <w:rsid w:val="00226574"/>
    <w:rsid w:val="00226D11"/>
    <w:rsid w:val="00227283"/>
    <w:rsid w:val="002278EC"/>
    <w:rsid w:val="00233307"/>
    <w:rsid w:val="00234E29"/>
    <w:rsid w:val="00235420"/>
    <w:rsid w:val="002357C7"/>
    <w:rsid w:val="002367C4"/>
    <w:rsid w:val="00237E17"/>
    <w:rsid w:val="0024182A"/>
    <w:rsid w:val="00241FD3"/>
    <w:rsid w:val="002420C6"/>
    <w:rsid w:val="00246491"/>
    <w:rsid w:val="00247687"/>
    <w:rsid w:val="002501D9"/>
    <w:rsid w:val="00250CC3"/>
    <w:rsid w:val="0025149A"/>
    <w:rsid w:val="0025640B"/>
    <w:rsid w:val="0025679E"/>
    <w:rsid w:val="0025719E"/>
    <w:rsid w:val="00260C68"/>
    <w:rsid w:val="002648B0"/>
    <w:rsid w:val="00273D3B"/>
    <w:rsid w:val="00275271"/>
    <w:rsid w:val="0027535E"/>
    <w:rsid w:val="002754A6"/>
    <w:rsid w:val="00275AA6"/>
    <w:rsid w:val="0027677E"/>
    <w:rsid w:val="00277ED2"/>
    <w:rsid w:val="00280478"/>
    <w:rsid w:val="002807D5"/>
    <w:rsid w:val="00282CCD"/>
    <w:rsid w:val="00293B74"/>
    <w:rsid w:val="0029757D"/>
    <w:rsid w:val="002A168C"/>
    <w:rsid w:val="002A2C48"/>
    <w:rsid w:val="002A32A2"/>
    <w:rsid w:val="002A3EED"/>
    <w:rsid w:val="002A4A39"/>
    <w:rsid w:val="002A5A17"/>
    <w:rsid w:val="002A6425"/>
    <w:rsid w:val="002A7088"/>
    <w:rsid w:val="002A7D9C"/>
    <w:rsid w:val="002B0001"/>
    <w:rsid w:val="002B099D"/>
    <w:rsid w:val="002B1C51"/>
    <w:rsid w:val="002B21F2"/>
    <w:rsid w:val="002B49E2"/>
    <w:rsid w:val="002B6B8D"/>
    <w:rsid w:val="002B7B00"/>
    <w:rsid w:val="002B7C44"/>
    <w:rsid w:val="002C1388"/>
    <w:rsid w:val="002C2C38"/>
    <w:rsid w:val="002C3927"/>
    <w:rsid w:val="002C3C6A"/>
    <w:rsid w:val="002C423F"/>
    <w:rsid w:val="002C5203"/>
    <w:rsid w:val="002C746F"/>
    <w:rsid w:val="002D0EC6"/>
    <w:rsid w:val="002D42DB"/>
    <w:rsid w:val="002D4945"/>
    <w:rsid w:val="002E00FD"/>
    <w:rsid w:val="002E142E"/>
    <w:rsid w:val="002E1508"/>
    <w:rsid w:val="002E1F3A"/>
    <w:rsid w:val="002E298A"/>
    <w:rsid w:val="002E3691"/>
    <w:rsid w:val="002E4022"/>
    <w:rsid w:val="002E5282"/>
    <w:rsid w:val="002E5BE8"/>
    <w:rsid w:val="002F01B2"/>
    <w:rsid w:val="002F02A4"/>
    <w:rsid w:val="002F04C9"/>
    <w:rsid w:val="002F272B"/>
    <w:rsid w:val="002F55B1"/>
    <w:rsid w:val="002F7C6D"/>
    <w:rsid w:val="003024AA"/>
    <w:rsid w:val="003027E4"/>
    <w:rsid w:val="0030332C"/>
    <w:rsid w:val="003109CC"/>
    <w:rsid w:val="00312296"/>
    <w:rsid w:val="0031340E"/>
    <w:rsid w:val="00316319"/>
    <w:rsid w:val="00316464"/>
    <w:rsid w:val="00320294"/>
    <w:rsid w:val="0032073A"/>
    <w:rsid w:val="00321D8E"/>
    <w:rsid w:val="00322A45"/>
    <w:rsid w:val="003231B6"/>
    <w:rsid w:val="0032504E"/>
    <w:rsid w:val="00332838"/>
    <w:rsid w:val="00334996"/>
    <w:rsid w:val="00335D2E"/>
    <w:rsid w:val="00336969"/>
    <w:rsid w:val="00336C52"/>
    <w:rsid w:val="0034131F"/>
    <w:rsid w:val="00341B3E"/>
    <w:rsid w:val="00341B42"/>
    <w:rsid w:val="003427E3"/>
    <w:rsid w:val="00345154"/>
    <w:rsid w:val="0034560E"/>
    <w:rsid w:val="00347013"/>
    <w:rsid w:val="00347FB6"/>
    <w:rsid w:val="00350523"/>
    <w:rsid w:val="0035224E"/>
    <w:rsid w:val="00352975"/>
    <w:rsid w:val="00354070"/>
    <w:rsid w:val="00354EB0"/>
    <w:rsid w:val="00356868"/>
    <w:rsid w:val="00360A7D"/>
    <w:rsid w:val="0036155F"/>
    <w:rsid w:val="0036230D"/>
    <w:rsid w:val="003639C7"/>
    <w:rsid w:val="0036485B"/>
    <w:rsid w:val="00364F86"/>
    <w:rsid w:val="003656A4"/>
    <w:rsid w:val="00366324"/>
    <w:rsid w:val="00366904"/>
    <w:rsid w:val="00370C5E"/>
    <w:rsid w:val="00373B0D"/>
    <w:rsid w:val="00374B44"/>
    <w:rsid w:val="00376988"/>
    <w:rsid w:val="00376B76"/>
    <w:rsid w:val="00381A72"/>
    <w:rsid w:val="00382036"/>
    <w:rsid w:val="00383FFF"/>
    <w:rsid w:val="00392342"/>
    <w:rsid w:val="003926E5"/>
    <w:rsid w:val="003A0802"/>
    <w:rsid w:val="003A11F9"/>
    <w:rsid w:val="003A1948"/>
    <w:rsid w:val="003A232E"/>
    <w:rsid w:val="003A7BB9"/>
    <w:rsid w:val="003B152A"/>
    <w:rsid w:val="003B37A9"/>
    <w:rsid w:val="003B545B"/>
    <w:rsid w:val="003B5AD8"/>
    <w:rsid w:val="003C7127"/>
    <w:rsid w:val="003C7362"/>
    <w:rsid w:val="003C7A3D"/>
    <w:rsid w:val="003D06F7"/>
    <w:rsid w:val="003D1C25"/>
    <w:rsid w:val="003D3EE9"/>
    <w:rsid w:val="003D70A5"/>
    <w:rsid w:val="003D7EE4"/>
    <w:rsid w:val="003E343E"/>
    <w:rsid w:val="003E4E78"/>
    <w:rsid w:val="003E57B5"/>
    <w:rsid w:val="003E7644"/>
    <w:rsid w:val="003E7681"/>
    <w:rsid w:val="003F0809"/>
    <w:rsid w:val="003F0E16"/>
    <w:rsid w:val="003F1ADC"/>
    <w:rsid w:val="003F4656"/>
    <w:rsid w:val="003F611C"/>
    <w:rsid w:val="003F755C"/>
    <w:rsid w:val="004010C7"/>
    <w:rsid w:val="0040198B"/>
    <w:rsid w:val="00401A70"/>
    <w:rsid w:val="00403860"/>
    <w:rsid w:val="00404433"/>
    <w:rsid w:val="00404A8E"/>
    <w:rsid w:val="00406E31"/>
    <w:rsid w:val="00406F01"/>
    <w:rsid w:val="00410F6F"/>
    <w:rsid w:val="00411B36"/>
    <w:rsid w:val="004121D7"/>
    <w:rsid w:val="00412433"/>
    <w:rsid w:val="00416D50"/>
    <w:rsid w:val="00416D57"/>
    <w:rsid w:val="00417772"/>
    <w:rsid w:val="004204BF"/>
    <w:rsid w:val="00420E6A"/>
    <w:rsid w:val="0042233C"/>
    <w:rsid w:val="00422C09"/>
    <w:rsid w:val="00423DE0"/>
    <w:rsid w:val="0042742C"/>
    <w:rsid w:val="00432217"/>
    <w:rsid w:val="004328A9"/>
    <w:rsid w:val="00432D08"/>
    <w:rsid w:val="00433110"/>
    <w:rsid w:val="00433CA9"/>
    <w:rsid w:val="0043521D"/>
    <w:rsid w:val="00435F50"/>
    <w:rsid w:val="00440AD1"/>
    <w:rsid w:val="004411FD"/>
    <w:rsid w:val="00441AE1"/>
    <w:rsid w:val="00442024"/>
    <w:rsid w:val="00442361"/>
    <w:rsid w:val="0044254C"/>
    <w:rsid w:val="00443F6A"/>
    <w:rsid w:val="00450015"/>
    <w:rsid w:val="00450A17"/>
    <w:rsid w:val="0045524C"/>
    <w:rsid w:val="00466321"/>
    <w:rsid w:val="004672AF"/>
    <w:rsid w:val="00467D82"/>
    <w:rsid w:val="004727B0"/>
    <w:rsid w:val="004753FE"/>
    <w:rsid w:val="00475597"/>
    <w:rsid w:val="00480247"/>
    <w:rsid w:val="0048081D"/>
    <w:rsid w:val="0048117E"/>
    <w:rsid w:val="00483428"/>
    <w:rsid w:val="00484A2D"/>
    <w:rsid w:val="00484A90"/>
    <w:rsid w:val="004855F6"/>
    <w:rsid w:val="00485922"/>
    <w:rsid w:val="00486F0C"/>
    <w:rsid w:val="00494670"/>
    <w:rsid w:val="00495919"/>
    <w:rsid w:val="00496A09"/>
    <w:rsid w:val="00497AFA"/>
    <w:rsid w:val="004A0EB4"/>
    <w:rsid w:val="004A1783"/>
    <w:rsid w:val="004A24A3"/>
    <w:rsid w:val="004A3823"/>
    <w:rsid w:val="004A59BB"/>
    <w:rsid w:val="004A72CD"/>
    <w:rsid w:val="004A7ECC"/>
    <w:rsid w:val="004B0372"/>
    <w:rsid w:val="004B43A3"/>
    <w:rsid w:val="004B4C49"/>
    <w:rsid w:val="004B58A5"/>
    <w:rsid w:val="004B5B08"/>
    <w:rsid w:val="004B60AF"/>
    <w:rsid w:val="004B63D9"/>
    <w:rsid w:val="004B6ECB"/>
    <w:rsid w:val="004B7A49"/>
    <w:rsid w:val="004B7DD1"/>
    <w:rsid w:val="004C0882"/>
    <w:rsid w:val="004C3B55"/>
    <w:rsid w:val="004C4D9B"/>
    <w:rsid w:val="004C55BE"/>
    <w:rsid w:val="004D03E6"/>
    <w:rsid w:val="004D051B"/>
    <w:rsid w:val="004D4D33"/>
    <w:rsid w:val="004D61BE"/>
    <w:rsid w:val="004D7029"/>
    <w:rsid w:val="004D7DC4"/>
    <w:rsid w:val="004D7E1E"/>
    <w:rsid w:val="004E0BCE"/>
    <w:rsid w:val="004E3966"/>
    <w:rsid w:val="004E5B30"/>
    <w:rsid w:val="004E61C4"/>
    <w:rsid w:val="004E623F"/>
    <w:rsid w:val="004F0779"/>
    <w:rsid w:val="004F1230"/>
    <w:rsid w:val="004F1341"/>
    <w:rsid w:val="004F173F"/>
    <w:rsid w:val="004F177C"/>
    <w:rsid w:val="004F1C37"/>
    <w:rsid w:val="004F2DCE"/>
    <w:rsid w:val="004F524C"/>
    <w:rsid w:val="004F72DF"/>
    <w:rsid w:val="004F73C9"/>
    <w:rsid w:val="005003A4"/>
    <w:rsid w:val="00501979"/>
    <w:rsid w:val="005039CB"/>
    <w:rsid w:val="0050558F"/>
    <w:rsid w:val="005057E0"/>
    <w:rsid w:val="00506286"/>
    <w:rsid w:val="005077E1"/>
    <w:rsid w:val="00507F15"/>
    <w:rsid w:val="00510813"/>
    <w:rsid w:val="00510C85"/>
    <w:rsid w:val="0051143A"/>
    <w:rsid w:val="00511DE0"/>
    <w:rsid w:val="00517F02"/>
    <w:rsid w:val="00520DD6"/>
    <w:rsid w:val="00523F5D"/>
    <w:rsid w:val="0052438D"/>
    <w:rsid w:val="00524547"/>
    <w:rsid w:val="005258A2"/>
    <w:rsid w:val="005260D6"/>
    <w:rsid w:val="0053013C"/>
    <w:rsid w:val="005303E3"/>
    <w:rsid w:val="00530F7C"/>
    <w:rsid w:val="005342E9"/>
    <w:rsid w:val="00534567"/>
    <w:rsid w:val="00534F43"/>
    <w:rsid w:val="00535335"/>
    <w:rsid w:val="00535A84"/>
    <w:rsid w:val="00536889"/>
    <w:rsid w:val="005376AF"/>
    <w:rsid w:val="00542E07"/>
    <w:rsid w:val="00553B52"/>
    <w:rsid w:val="00554A7B"/>
    <w:rsid w:val="00555482"/>
    <w:rsid w:val="0055572C"/>
    <w:rsid w:val="00555CB6"/>
    <w:rsid w:val="0056064F"/>
    <w:rsid w:val="00561B84"/>
    <w:rsid w:val="00564D31"/>
    <w:rsid w:val="00564DE5"/>
    <w:rsid w:val="00565216"/>
    <w:rsid w:val="00566B24"/>
    <w:rsid w:val="00571D98"/>
    <w:rsid w:val="005720AE"/>
    <w:rsid w:val="00574A5C"/>
    <w:rsid w:val="0057687D"/>
    <w:rsid w:val="0058010A"/>
    <w:rsid w:val="0058030D"/>
    <w:rsid w:val="00582045"/>
    <w:rsid w:val="00585AB2"/>
    <w:rsid w:val="00585C42"/>
    <w:rsid w:val="00590AE3"/>
    <w:rsid w:val="005918F1"/>
    <w:rsid w:val="005932A2"/>
    <w:rsid w:val="00597B42"/>
    <w:rsid w:val="005A03BB"/>
    <w:rsid w:val="005A06B7"/>
    <w:rsid w:val="005A1759"/>
    <w:rsid w:val="005B280A"/>
    <w:rsid w:val="005B3F09"/>
    <w:rsid w:val="005B49F4"/>
    <w:rsid w:val="005B4D8E"/>
    <w:rsid w:val="005B73FF"/>
    <w:rsid w:val="005C1082"/>
    <w:rsid w:val="005C7971"/>
    <w:rsid w:val="005D0369"/>
    <w:rsid w:val="005D0A72"/>
    <w:rsid w:val="005D2498"/>
    <w:rsid w:val="005D2A59"/>
    <w:rsid w:val="005D3965"/>
    <w:rsid w:val="005D53FE"/>
    <w:rsid w:val="005D5C03"/>
    <w:rsid w:val="005D6C47"/>
    <w:rsid w:val="005D7A0F"/>
    <w:rsid w:val="005E0438"/>
    <w:rsid w:val="005E1791"/>
    <w:rsid w:val="005E2CE6"/>
    <w:rsid w:val="005E378A"/>
    <w:rsid w:val="005E53E8"/>
    <w:rsid w:val="005E6324"/>
    <w:rsid w:val="005E7468"/>
    <w:rsid w:val="005F228B"/>
    <w:rsid w:val="005F23C9"/>
    <w:rsid w:val="005F29CD"/>
    <w:rsid w:val="005F3534"/>
    <w:rsid w:val="005F4DFB"/>
    <w:rsid w:val="005F5B1B"/>
    <w:rsid w:val="005F6538"/>
    <w:rsid w:val="005F65F0"/>
    <w:rsid w:val="005F6CC0"/>
    <w:rsid w:val="00601D6F"/>
    <w:rsid w:val="00603E5B"/>
    <w:rsid w:val="00604506"/>
    <w:rsid w:val="00604BC8"/>
    <w:rsid w:val="00604F63"/>
    <w:rsid w:val="00605B84"/>
    <w:rsid w:val="00611C14"/>
    <w:rsid w:val="00613B2C"/>
    <w:rsid w:val="00615B4C"/>
    <w:rsid w:val="00615B5D"/>
    <w:rsid w:val="0061689D"/>
    <w:rsid w:val="0061734B"/>
    <w:rsid w:val="0062146F"/>
    <w:rsid w:val="00624BC6"/>
    <w:rsid w:val="00624E70"/>
    <w:rsid w:val="006260BB"/>
    <w:rsid w:val="0063338A"/>
    <w:rsid w:val="006343AF"/>
    <w:rsid w:val="00635B3D"/>
    <w:rsid w:val="0063634A"/>
    <w:rsid w:val="00636E2D"/>
    <w:rsid w:val="0064250D"/>
    <w:rsid w:val="00646D65"/>
    <w:rsid w:val="0064797F"/>
    <w:rsid w:val="00650C5C"/>
    <w:rsid w:val="00651CCF"/>
    <w:rsid w:val="0065237A"/>
    <w:rsid w:val="006535EB"/>
    <w:rsid w:val="00653C25"/>
    <w:rsid w:val="006542C7"/>
    <w:rsid w:val="006618F6"/>
    <w:rsid w:val="00663016"/>
    <w:rsid w:val="006641D6"/>
    <w:rsid w:val="006654FF"/>
    <w:rsid w:val="0066556C"/>
    <w:rsid w:val="00673247"/>
    <w:rsid w:val="00674605"/>
    <w:rsid w:val="006746CE"/>
    <w:rsid w:val="006748B8"/>
    <w:rsid w:val="00676746"/>
    <w:rsid w:val="00676B51"/>
    <w:rsid w:val="00681962"/>
    <w:rsid w:val="00684D22"/>
    <w:rsid w:val="0068535B"/>
    <w:rsid w:val="00685B29"/>
    <w:rsid w:val="0068619A"/>
    <w:rsid w:val="00687267"/>
    <w:rsid w:val="0068736E"/>
    <w:rsid w:val="0069290A"/>
    <w:rsid w:val="006938F8"/>
    <w:rsid w:val="00695D98"/>
    <w:rsid w:val="00696A4C"/>
    <w:rsid w:val="00697032"/>
    <w:rsid w:val="006975AC"/>
    <w:rsid w:val="006A15FB"/>
    <w:rsid w:val="006A1E1E"/>
    <w:rsid w:val="006A5856"/>
    <w:rsid w:val="006A72BF"/>
    <w:rsid w:val="006B332A"/>
    <w:rsid w:val="006B33BD"/>
    <w:rsid w:val="006B557F"/>
    <w:rsid w:val="006B59C2"/>
    <w:rsid w:val="006B5C0A"/>
    <w:rsid w:val="006C15A4"/>
    <w:rsid w:val="006C23D5"/>
    <w:rsid w:val="006C3F75"/>
    <w:rsid w:val="006D170E"/>
    <w:rsid w:val="006D1F6F"/>
    <w:rsid w:val="006E06AF"/>
    <w:rsid w:val="006E0CFF"/>
    <w:rsid w:val="006E2E4D"/>
    <w:rsid w:val="006E388F"/>
    <w:rsid w:val="006E7A42"/>
    <w:rsid w:val="006F00FA"/>
    <w:rsid w:val="006F03C8"/>
    <w:rsid w:val="006F1789"/>
    <w:rsid w:val="006F2AD9"/>
    <w:rsid w:val="006F5DC0"/>
    <w:rsid w:val="00702B65"/>
    <w:rsid w:val="00703EF1"/>
    <w:rsid w:val="00704E3C"/>
    <w:rsid w:val="00706C5D"/>
    <w:rsid w:val="00707AAB"/>
    <w:rsid w:val="00710BE1"/>
    <w:rsid w:val="007118E6"/>
    <w:rsid w:val="00712DA1"/>
    <w:rsid w:val="00713A24"/>
    <w:rsid w:val="00715037"/>
    <w:rsid w:val="007168A3"/>
    <w:rsid w:val="007225C9"/>
    <w:rsid w:val="0072272B"/>
    <w:rsid w:val="0072443E"/>
    <w:rsid w:val="007249C9"/>
    <w:rsid w:val="0072539D"/>
    <w:rsid w:val="007266FB"/>
    <w:rsid w:val="0073081E"/>
    <w:rsid w:val="00731425"/>
    <w:rsid w:val="00734CDB"/>
    <w:rsid w:val="007355CE"/>
    <w:rsid w:val="00735CD7"/>
    <w:rsid w:val="00743D3E"/>
    <w:rsid w:val="007441E4"/>
    <w:rsid w:val="007470D0"/>
    <w:rsid w:val="00750FD1"/>
    <w:rsid w:val="00753F28"/>
    <w:rsid w:val="00754034"/>
    <w:rsid w:val="00754BF1"/>
    <w:rsid w:val="00755A30"/>
    <w:rsid w:val="00755C60"/>
    <w:rsid w:val="00755E1C"/>
    <w:rsid w:val="00756556"/>
    <w:rsid w:val="0076132B"/>
    <w:rsid w:val="007623AE"/>
    <w:rsid w:val="00762A0B"/>
    <w:rsid w:val="00763413"/>
    <w:rsid w:val="00763D46"/>
    <w:rsid w:val="00765E22"/>
    <w:rsid w:val="0076682A"/>
    <w:rsid w:val="00766B58"/>
    <w:rsid w:val="00770712"/>
    <w:rsid w:val="00770853"/>
    <w:rsid w:val="00770B19"/>
    <w:rsid w:val="00771BB6"/>
    <w:rsid w:val="00774FA0"/>
    <w:rsid w:val="00776620"/>
    <w:rsid w:val="00777924"/>
    <w:rsid w:val="00777B6D"/>
    <w:rsid w:val="007829F5"/>
    <w:rsid w:val="00784855"/>
    <w:rsid w:val="00784F39"/>
    <w:rsid w:val="0078545C"/>
    <w:rsid w:val="007869F9"/>
    <w:rsid w:val="00786ECF"/>
    <w:rsid w:val="007906C4"/>
    <w:rsid w:val="007932A4"/>
    <w:rsid w:val="007940EA"/>
    <w:rsid w:val="007967E8"/>
    <w:rsid w:val="007A1C90"/>
    <w:rsid w:val="007A2062"/>
    <w:rsid w:val="007A2C50"/>
    <w:rsid w:val="007A47A6"/>
    <w:rsid w:val="007A63F2"/>
    <w:rsid w:val="007A666B"/>
    <w:rsid w:val="007B68DE"/>
    <w:rsid w:val="007B7546"/>
    <w:rsid w:val="007B7916"/>
    <w:rsid w:val="007C1857"/>
    <w:rsid w:val="007C2989"/>
    <w:rsid w:val="007C514F"/>
    <w:rsid w:val="007D0F95"/>
    <w:rsid w:val="007D483C"/>
    <w:rsid w:val="007D48C5"/>
    <w:rsid w:val="007D5A63"/>
    <w:rsid w:val="007D782D"/>
    <w:rsid w:val="007D7ECB"/>
    <w:rsid w:val="007E12DE"/>
    <w:rsid w:val="007E1555"/>
    <w:rsid w:val="007E25A1"/>
    <w:rsid w:val="007E277F"/>
    <w:rsid w:val="007E3F09"/>
    <w:rsid w:val="007E4BD2"/>
    <w:rsid w:val="007E57B0"/>
    <w:rsid w:val="007E7145"/>
    <w:rsid w:val="007F3413"/>
    <w:rsid w:val="007F3916"/>
    <w:rsid w:val="007F3D3C"/>
    <w:rsid w:val="007F74D3"/>
    <w:rsid w:val="00801179"/>
    <w:rsid w:val="00802479"/>
    <w:rsid w:val="00803081"/>
    <w:rsid w:val="00805372"/>
    <w:rsid w:val="00805B7B"/>
    <w:rsid w:val="0081293E"/>
    <w:rsid w:val="00814FFB"/>
    <w:rsid w:val="00816DC0"/>
    <w:rsid w:val="00820568"/>
    <w:rsid w:val="00827EF7"/>
    <w:rsid w:val="00827FB4"/>
    <w:rsid w:val="008307CD"/>
    <w:rsid w:val="00831A80"/>
    <w:rsid w:val="00831B27"/>
    <w:rsid w:val="00832BEB"/>
    <w:rsid w:val="008332C8"/>
    <w:rsid w:val="00833743"/>
    <w:rsid w:val="008340A4"/>
    <w:rsid w:val="00836799"/>
    <w:rsid w:val="00836828"/>
    <w:rsid w:val="00837028"/>
    <w:rsid w:val="00837131"/>
    <w:rsid w:val="008413DC"/>
    <w:rsid w:val="0084281F"/>
    <w:rsid w:val="00843509"/>
    <w:rsid w:val="00844B7D"/>
    <w:rsid w:val="00845F57"/>
    <w:rsid w:val="008521E0"/>
    <w:rsid w:val="008525B0"/>
    <w:rsid w:val="0085320D"/>
    <w:rsid w:val="00854222"/>
    <w:rsid w:val="00863D4F"/>
    <w:rsid w:val="00867CBC"/>
    <w:rsid w:val="00873EC6"/>
    <w:rsid w:val="008741A4"/>
    <w:rsid w:val="00876C30"/>
    <w:rsid w:val="00877017"/>
    <w:rsid w:val="008773C0"/>
    <w:rsid w:val="008778E4"/>
    <w:rsid w:val="00877BAC"/>
    <w:rsid w:val="00880364"/>
    <w:rsid w:val="0088467D"/>
    <w:rsid w:val="00886C4C"/>
    <w:rsid w:val="0088711C"/>
    <w:rsid w:val="00892ECF"/>
    <w:rsid w:val="00892F06"/>
    <w:rsid w:val="008941DD"/>
    <w:rsid w:val="00894285"/>
    <w:rsid w:val="0089473D"/>
    <w:rsid w:val="00895BB5"/>
    <w:rsid w:val="008A2F23"/>
    <w:rsid w:val="008A40AE"/>
    <w:rsid w:val="008A4C7F"/>
    <w:rsid w:val="008A4E19"/>
    <w:rsid w:val="008A61F9"/>
    <w:rsid w:val="008A67C5"/>
    <w:rsid w:val="008B02FA"/>
    <w:rsid w:val="008B22E1"/>
    <w:rsid w:val="008B3C78"/>
    <w:rsid w:val="008B4AE9"/>
    <w:rsid w:val="008B5AB6"/>
    <w:rsid w:val="008B5DB4"/>
    <w:rsid w:val="008C0541"/>
    <w:rsid w:val="008C2A11"/>
    <w:rsid w:val="008C30AD"/>
    <w:rsid w:val="008C5A94"/>
    <w:rsid w:val="008D068E"/>
    <w:rsid w:val="008D0F7A"/>
    <w:rsid w:val="008D3AD8"/>
    <w:rsid w:val="008D4F2F"/>
    <w:rsid w:val="008D625D"/>
    <w:rsid w:val="008D63BE"/>
    <w:rsid w:val="008E0361"/>
    <w:rsid w:val="008E039F"/>
    <w:rsid w:val="008E0CFF"/>
    <w:rsid w:val="008E2EB1"/>
    <w:rsid w:val="008E35EE"/>
    <w:rsid w:val="008E5D6B"/>
    <w:rsid w:val="008E689B"/>
    <w:rsid w:val="008E7267"/>
    <w:rsid w:val="008E76F0"/>
    <w:rsid w:val="008E7A48"/>
    <w:rsid w:val="008F08CC"/>
    <w:rsid w:val="008F15FE"/>
    <w:rsid w:val="008F2A94"/>
    <w:rsid w:val="008F5187"/>
    <w:rsid w:val="008F709C"/>
    <w:rsid w:val="00901595"/>
    <w:rsid w:val="0090312B"/>
    <w:rsid w:val="00904961"/>
    <w:rsid w:val="00912B86"/>
    <w:rsid w:val="00912C92"/>
    <w:rsid w:val="00915BE8"/>
    <w:rsid w:val="0091736D"/>
    <w:rsid w:val="00920BF8"/>
    <w:rsid w:val="00931001"/>
    <w:rsid w:val="009315E5"/>
    <w:rsid w:val="00931863"/>
    <w:rsid w:val="009328C2"/>
    <w:rsid w:val="00933524"/>
    <w:rsid w:val="00933E4F"/>
    <w:rsid w:val="00935BEC"/>
    <w:rsid w:val="00940E44"/>
    <w:rsid w:val="0094278D"/>
    <w:rsid w:val="00944F67"/>
    <w:rsid w:val="0095308A"/>
    <w:rsid w:val="0095391A"/>
    <w:rsid w:val="00955AEE"/>
    <w:rsid w:val="00956F14"/>
    <w:rsid w:val="00961F30"/>
    <w:rsid w:val="009620FD"/>
    <w:rsid w:val="0096247A"/>
    <w:rsid w:val="00964E45"/>
    <w:rsid w:val="00965F4B"/>
    <w:rsid w:val="00967632"/>
    <w:rsid w:val="00967F6E"/>
    <w:rsid w:val="00970F8A"/>
    <w:rsid w:val="00971B54"/>
    <w:rsid w:val="00971FB5"/>
    <w:rsid w:val="00972D2A"/>
    <w:rsid w:val="00972FA3"/>
    <w:rsid w:val="009733EA"/>
    <w:rsid w:val="00975CC5"/>
    <w:rsid w:val="00976328"/>
    <w:rsid w:val="00976B4E"/>
    <w:rsid w:val="00980FEC"/>
    <w:rsid w:val="00984458"/>
    <w:rsid w:val="00985283"/>
    <w:rsid w:val="00987322"/>
    <w:rsid w:val="00990812"/>
    <w:rsid w:val="009943AA"/>
    <w:rsid w:val="009A0F3B"/>
    <w:rsid w:val="009A5121"/>
    <w:rsid w:val="009A72C7"/>
    <w:rsid w:val="009A75ED"/>
    <w:rsid w:val="009B0897"/>
    <w:rsid w:val="009B1F33"/>
    <w:rsid w:val="009B398C"/>
    <w:rsid w:val="009B3C3B"/>
    <w:rsid w:val="009B61AA"/>
    <w:rsid w:val="009B7CC5"/>
    <w:rsid w:val="009C07A3"/>
    <w:rsid w:val="009C29D2"/>
    <w:rsid w:val="009C353B"/>
    <w:rsid w:val="009C7CD1"/>
    <w:rsid w:val="009C7EAC"/>
    <w:rsid w:val="009D06FE"/>
    <w:rsid w:val="009D0852"/>
    <w:rsid w:val="009D1FBF"/>
    <w:rsid w:val="009D2401"/>
    <w:rsid w:val="009D2E0C"/>
    <w:rsid w:val="009D59FF"/>
    <w:rsid w:val="009D72E7"/>
    <w:rsid w:val="009D766F"/>
    <w:rsid w:val="009E2CE4"/>
    <w:rsid w:val="009E399C"/>
    <w:rsid w:val="009E43C1"/>
    <w:rsid w:val="009E594C"/>
    <w:rsid w:val="009E7E95"/>
    <w:rsid w:val="009F0330"/>
    <w:rsid w:val="009F116F"/>
    <w:rsid w:val="009F2868"/>
    <w:rsid w:val="009F329E"/>
    <w:rsid w:val="009F4FE2"/>
    <w:rsid w:val="009F5614"/>
    <w:rsid w:val="009F7182"/>
    <w:rsid w:val="009F7ED3"/>
    <w:rsid w:val="00A01AF5"/>
    <w:rsid w:val="00A03607"/>
    <w:rsid w:val="00A03E82"/>
    <w:rsid w:val="00A047FF"/>
    <w:rsid w:val="00A04FEF"/>
    <w:rsid w:val="00A056F7"/>
    <w:rsid w:val="00A06741"/>
    <w:rsid w:val="00A10132"/>
    <w:rsid w:val="00A10F40"/>
    <w:rsid w:val="00A12247"/>
    <w:rsid w:val="00A122CD"/>
    <w:rsid w:val="00A129F4"/>
    <w:rsid w:val="00A12A32"/>
    <w:rsid w:val="00A14248"/>
    <w:rsid w:val="00A14947"/>
    <w:rsid w:val="00A14EC4"/>
    <w:rsid w:val="00A22F8B"/>
    <w:rsid w:val="00A23DC5"/>
    <w:rsid w:val="00A2430C"/>
    <w:rsid w:val="00A27847"/>
    <w:rsid w:val="00A32082"/>
    <w:rsid w:val="00A34028"/>
    <w:rsid w:val="00A35568"/>
    <w:rsid w:val="00A35939"/>
    <w:rsid w:val="00A37056"/>
    <w:rsid w:val="00A407A9"/>
    <w:rsid w:val="00A4358F"/>
    <w:rsid w:val="00A441C1"/>
    <w:rsid w:val="00A44AB7"/>
    <w:rsid w:val="00A456E9"/>
    <w:rsid w:val="00A4651C"/>
    <w:rsid w:val="00A46F67"/>
    <w:rsid w:val="00A50AD4"/>
    <w:rsid w:val="00A520A9"/>
    <w:rsid w:val="00A52B2B"/>
    <w:rsid w:val="00A54AA1"/>
    <w:rsid w:val="00A55F65"/>
    <w:rsid w:val="00A568FF"/>
    <w:rsid w:val="00A6103D"/>
    <w:rsid w:val="00A6122D"/>
    <w:rsid w:val="00A61496"/>
    <w:rsid w:val="00A61833"/>
    <w:rsid w:val="00A6243E"/>
    <w:rsid w:val="00A624C6"/>
    <w:rsid w:val="00A62DEA"/>
    <w:rsid w:val="00A63CEC"/>
    <w:rsid w:val="00A641CD"/>
    <w:rsid w:val="00A7031E"/>
    <w:rsid w:val="00A728B1"/>
    <w:rsid w:val="00A763DE"/>
    <w:rsid w:val="00A776C0"/>
    <w:rsid w:val="00A803D6"/>
    <w:rsid w:val="00A80605"/>
    <w:rsid w:val="00A81282"/>
    <w:rsid w:val="00A8313B"/>
    <w:rsid w:val="00A8527B"/>
    <w:rsid w:val="00A86D07"/>
    <w:rsid w:val="00A8713F"/>
    <w:rsid w:val="00A90757"/>
    <w:rsid w:val="00A90DCA"/>
    <w:rsid w:val="00A91167"/>
    <w:rsid w:val="00A9171C"/>
    <w:rsid w:val="00A92A9C"/>
    <w:rsid w:val="00A92FFD"/>
    <w:rsid w:val="00A933DB"/>
    <w:rsid w:val="00A94591"/>
    <w:rsid w:val="00A95975"/>
    <w:rsid w:val="00A962C9"/>
    <w:rsid w:val="00A9708D"/>
    <w:rsid w:val="00AA2C17"/>
    <w:rsid w:val="00AA4172"/>
    <w:rsid w:val="00AA4692"/>
    <w:rsid w:val="00AA4EAD"/>
    <w:rsid w:val="00AA50E8"/>
    <w:rsid w:val="00AA776A"/>
    <w:rsid w:val="00AA7FAE"/>
    <w:rsid w:val="00AB1914"/>
    <w:rsid w:val="00AB2892"/>
    <w:rsid w:val="00AB5330"/>
    <w:rsid w:val="00AB7571"/>
    <w:rsid w:val="00AB7747"/>
    <w:rsid w:val="00AC215C"/>
    <w:rsid w:val="00AC2532"/>
    <w:rsid w:val="00AC395F"/>
    <w:rsid w:val="00AC39CB"/>
    <w:rsid w:val="00AC6899"/>
    <w:rsid w:val="00AD06E0"/>
    <w:rsid w:val="00AD1507"/>
    <w:rsid w:val="00AD5620"/>
    <w:rsid w:val="00AD5A70"/>
    <w:rsid w:val="00AD738B"/>
    <w:rsid w:val="00AE1647"/>
    <w:rsid w:val="00AE1763"/>
    <w:rsid w:val="00AE1BF4"/>
    <w:rsid w:val="00AE3101"/>
    <w:rsid w:val="00AE325B"/>
    <w:rsid w:val="00AE5D97"/>
    <w:rsid w:val="00AE6041"/>
    <w:rsid w:val="00AE667D"/>
    <w:rsid w:val="00AE6794"/>
    <w:rsid w:val="00AF0EE9"/>
    <w:rsid w:val="00B01110"/>
    <w:rsid w:val="00B02262"/>
    <w:rsid w:val="00B02C2F"/>
    <w:rsid w:val="00B03AD7"/>
    <w:rsid w:val="00B03CEC"/>
    <w:rsid w:val="00B03E03"/>
    <w:rsid w:val="00B03E59"/>
    <w:rsid w:val="00B10A6F"/>
    <w:rsid w:val="00B11D53"/>
    <w:rsid w:val="00B11E3A"/>
    <w:rsid w:val="00B1209F"/>
    <w:rsid w:val="00B12AD0"/>
    <w:rsid w:val="00B12AE6"/>
    <w:rsid w:val="00B13C8C"/>
    <w:rsid w:val="00B1417C"/>
    <w:rsid w:val="00B17D25"/>
    <w:rsid w:val="00B22E41"/>
    <w:rsid w:val="00B24F30"/>
    <w:rsid w:val="00B25C23"/>
    <w:rsid w:val="00B31A38"/>
    <w:rsid w:val="00B31ABF"/>
    <w:rsid w:val="00B31E50"/>
    <w:rsid w:val="00B335AE"/>
    <w:rsid w:val="00B34D4D"/>
    <w:rsid w:val="00B37CE1"/>
    <w:rsid w:val="00B37E33"/>
    <w:rsid w:val="00B40570"/>
    <w:rsid w:val="00B40ACF"/>
    <w:rsid w:val="00B437CC"/>
    <w:rsid w:val="00B43971"/>
    <w:rsid w:val="00B448B2"/>
    <w:rsid w:val="00B46BAA"/>
    <w:rsid w:val="00B47DE1"/>
    <w:rsid w:val="00B50B5F"/>
    <w:rsid w:val="00B54128"/>
    <w:rsid w:val="00B55826"/>
    <w:rsid w:val="00B55938"/>
    <w:rsid w:val="00B56D8A"/>
    <w:rsid w:val="00B60426"/>
    <w:rsid w:val="00B61232"/>
    <w:rsid w:val="00B622DD"/>
    <w:rsid w:val="00B63522"/>
    <w:rsid w:val="00B63887"/>
    <w:rsid w:val="00B67076"/>
    <w:rsid w:val="00B71415"/>
    <w:rsid w:val="00B71AB7"/>
    <w:rsid w:val="00B726D4"/>
    <w:rsid w:val="00B7385B"/>
    <w:rsid w:val="00B742C4"/>
    <w:rsid w:val="00B74F9D"/>
    <w:rsid w:val="00B76F1D"/>
    <w:rsid w:val="00B80C34"/>
    <w:rsid w:val="00B819BB"/>
    <w:rsid w:val="00B82F66"/>
    <w:rsid w:val="00B85045"/>
    <w:rsid w:val="00B92A19"/>
    <w:rsid w:val="00B9544C"/>
    <w:rsid w:val="00BA16A9"/>
    <w:rsid w:val="00BA29E9"/>
    <w:rsid w:val="00BA3CEF"/>
    <w:rsid w:val="00BA5102"/>
    <w:rsid w:val="00BA7B7F"/>
    <w:rsid w:val="00BB05EF"/>
    <w:rsid w:val="00BB2A81"/>
    <w:rsid w:val="00BB3618"/>
    <w:rsid w:val="00BB3F3E"/>
    <w:rsid w:val="00BB56E4"/>
    <w:rsid w:val="00BB6BFB"/>
    <w:rsid w:val="00BB7045"/>
    <w:rsid w:val="00BB749B"/>
    <w:rsid w:val="00BC0C9E"/>
    <w:rsid w:val="00BC2D3B"/>
    <w:rsid w:val="00BC2E8A"/>
    <w:rsid w:val="00BC32DC"/>
    <w:rsid w:val="00BC3D1E"/>
    <w:rsid w:val="00BD1B51"/>
    <w:rsid w:val="00BD47F6"/>
    <w:rsid w:val="00BD6E90"/>
    <w:rsid w:val="00BD6FA1"/>
    <w:rsid w:val="00BD7F67"/>
    <w:rsid w:val="00BE1F78"/>
    <w:rsid w:val="00BE312D"/>
    <w:rsid w:val="00BE3FCA"/>
    <w:rsid w:val="00BE5B2A"/>
    <w:rsid w:val="00BE63AF"/>
    <w:rsid w:val="00BE7ED6"/>
    <w:rsid w:val="00BF0CC9"/>
    <w:rsid w:val="00BF0F97"/>
    <w:rsid w:val="00BF116C"/>
    <w:rsid w:val="00BF2F04"/>
    <w:rsid w:val="00BF3039"/>
    <w:rsid w:val="00BF51A7"/>
    <w:rsid w:val="00BF540C"/>
    <w:rsid w:val="00BF572A"/>
    <w:rsid w:val="00C05719"/>
    <w:rsid w:val="00C07A22"/>
    <w:rsid w:val="00C10578"/>
    <w:rsid w:val="00C17D62"/>
    <w:rsid w:val="00C21FDC"/>
    <w:rsid w:val="00C24EE7"/>
    <w:rsid w:val="00C2596A"/>
    <w:rsid w:val="00C26554"/>
    <w:rsid w:val="00C271BE"/>
    <w:rsid w:val="00C27425"/>
    <w:rsid w:val="00C328FE"/>
    <w:rsid w:val="00C33607"/>
    <w:rsid w:val="00C33A05"/>
    <w:rsid w:val="00C34234"/>
    <w:rsid w:val="00C351EC"/>
    <w:rsid w:val="00C42500"/>
    <w:rsid w:val="00C42FDC"/>
    <w:rsid w:val="00C4409D"/>
    <w:rsid w:val="00C455BE"/>
    <w:rsid w:val="00C45BB2"/>
    <w:rsid w:val="00C460A3"/>
    <w:rsid w:val="00C51E5F"/>
    <w:rsid w:val="00C605B0"/>
    <w:rsid w:val="00C61E4B"/>
    <w:rsid w:val="00C62E3A"/>
    <w:rsid w:val="00C64503"/>
    <w:rsid w:val="00C64A1F"/>
    <w:rsid w:val="00C64BFF"/>
    <w:rsid w:val="00C66761"/>
    <w:rsid w:val="00C66FF3"/>
    <w:rsid w:val="00C677E0"/>
    <w:rsid w:val="00C7523E"/>
    <w:rsid w:val="00C763C9"/>
    <w:rsid w:val="00C77685"/>
    <w:rsid w:val="00C7777D"/>
    <w:rsid w:val="00C80057"/>
    <w:rsid w:val="00C807AC"/>
    <w:rsid w:val="00C82C79"/>
    <w:rsid w:val="00C84753"/>
    <w:rsid w:val="00C85B89"/>
    <w:rsid w:val="00C914B7"/>
    <w:rsid w:val="00C91611"/>
    <w:rsid w:val="00C91C34"/>
    <w:rsid w:val="00C934DF"/>
    <w:rsid w:val="00C937CB"/>
    <w:rsid w:val="00C94090"/>
    <w:rsid w:val="00CA067A"/>
    <w:rsid w:val="00CA2050"/>
    <w:rsid w:val="00CA3585"/>
    <w:rsid w:val="00CA3D5A"/>
    <w:rsid w:val="00CA475E"/>
    <w:rsid w:val="00CA4C7C"/>
    <w:rsid w:val="00CB0183"/>
    <w:rsid w:val="00CB02D7"/>
    <w:rsid w:val="00CB1EA3"/>
    <w:rsid w:val="00CB552C"/>
    <w:rsid w:val="00CB5E28"/>
    <w:rsid w:val="00CB6A9E"/>
    <w:rsid w:val="00CC11BC"/>
    <w:rsid w:val="00CC3B9E"/>
    <w:rsid w:val="00CC3E1A"/>
    <w:rsid w:val="00CC434C"/>
    <w:rsid w:val="00CC4CD6"/>
    <w:rsid w:val="00CC6181"/>
    <w:rsid w:val="00CD2BCD"/>
    <w:rsid w:val="00CD2EFE"/>
    <w:rsid w:val="00CD36AA"/>
    <w:rsid w:val="00CD3791"/>
    <w:rsid w:val="00CD37A8"/>
    <w:rsid w:val="00CD41D9"/>
    <w:rsid w:val="00CD6420"/>
    <w:rsid w:val="00CD65B0"/>
    <w:rsid w:val="00CE02CD"/>
    <w:rsid w:val="00CE10E9"/>
    <w:rsid w:val="00CE34A3"/>
    <w:rsid w:val="00CE406C"/>
    <w:rsid w:val="00CF18F8"/>
    <w:rsid w:val="00CF2044"/>
    <w:rsid w:val="00CF234B"/>
    <w:rsid w:val="00CF61F2"/>
    <w:rsid w:val="00CF7A34"/>
    <w:rsid w:val="00D0072E"/>
    <w:rsid w:val="00D00D74"/>
    <w:rsid w:val="00D036A5"/>
    <w:rsid w:val="00D07187"/>
    <w:rsid w:val="00D10090"/>
    <w:rsid w:val="00D103CF"/>
    <w:rsid w:val="00D11FD4"/>
    <w:rsid w:val="00D1219F"/>
    <w:rsid w:val="00D128EC"/>
    <w:rsid w:val="00D12EFB"/>
    <w:rsid w:val="00D15727"/>
    <w:rsid w:val="00D16332"/>
    <w:rsid w:val="00D243A8"/>
    <w:rsid w:val="00D24972"/>
    <w:rsid w:val="00D2515E"/>
    <w:rsid w:val="00D26D9B"/>
    <w:rsid w:val="00D27879"/>
    <w:rsid w:val="00D308ED"/>
    <w:rsid w:val="00D32310"/>
    <w:rsid w:val="00D3561B"/>
    <w:rsid w:val="00D35BDC"/>
    <w:rsid w:val="00D368F8"/>
    <w:rsid w:val="00D52ADF"/>
    <w:rsid w:val="00D56178"/>
    <w:rsid w:val="00D5651A"/>
    <w:rsid w:val="00D56CF0"/>
    <w:rsid w:val="00D56F5C"/>
    <w:rsid w:val="00D60F9E"/>
    <w:rsid w:val="00D614CB"/>
    <w:rsid w:val="00D64B83"/>
    <w:rsid w:val="00D661B9"/>
    <w:rsid w:val="00D67D60"/>
    <w:rsid w:val="00D67F7A"/>
    <w:rsid w:val="00D67F7D"/>
    <w:rsid w:val="00D704B1"/>
    <w:rsid w:val="00D709FA"/>
    <w:rsid w:val="00D70B63"/>
    <w:rsid w:val="00D71AEC"/>
    <w:rsid w:val="00D71DC2"/>
    <w:rsid w:val="00D72B92"/>
    <w:rsid w:val="00D72ED4"/>
    <w:rsid w:val="00D73F61"/>
    <w:rsid w:val="00D754C0"/>
    <w:rsid w:val="00D772C7"/>
    <w:rsid w:val="00D776A2"/>
    <w:rsid w:val="00D801C4"/>
    <w:rsid w:val="00D842EB"/>
    <w:rsid w:val="00D84AC6"/>
    <w:rsid w:val="00D85978"/>
    <w:rsid w:val="00D85E35"/>
    <w:rsid w:val="00D86DAF"/>
    <w:rsid w:val="00D90836"/>
    <w:rsid w:val="00D95896"/>
    <w:rsid w:val="00D95CC6"/>
    <w:rsid w:val="00D9692D"/>
    <w:rsid w:val="00DA2DA3"/>
    <w:rsid w:val="00DA376A"/>
    <w:rsid w:val="00DA5B5F"/>
    <w:rsid w:val="00DA5EB6"/>
    <w:rsid w:val="00DA6615"/>
    <w:rsid w:val="00DA6C65"/>
    <w:rsid w:val="00DA76AE"/>
    <w:rsid w:val="00DB181E"/>
    <w:rsid w:val="00DB1C7A"/>
    <w:rsid w:val="00DB2983"/>
    <w:rsid w:val="00DB343D"/>
    <w:rsid w:val="00DB3815"/>
    <w:rsid w:val="00DB41C2"/>
    <w:rsid w:val="00DB5579"/>
    <w:rsid w:val="00DB5CFE"/>
    <w:rsid w:val="00DB6EB9"/>
    <w:rsid w:val="00DC2F7F"/>
    <w:rsid w:val="00DC635A"/>
    <w:rsid w:val="00DC72A6"/>
    <w:rsid w:val="00DC72F6"/>
    <w:rsid w:val="00DD0E7B"/>
    <w:rsid w:val="00DD2113"/>
    <w:rsid w:val="00DD265E"/>
    <w:rsid w:val="00DE004C"/>
    <w:rsid w:val="00DE004E"/>
    <w:rsid w:val="00DE089C"/>
    <w:rsid w:val="00DE1641"/>
    <w:rsid w:val="00DE2F19"/>
    <w:rsid w:val="00DE3B5F"/>
    <w:rsid w:val="00DE64E4"/>
    <w:rsid w:val="00DE7A99"/>
    <w:rsid w:val="00DF168C"/>
    <w:rsid w:val="00DF1930"/>
    <w:rsid w:val="00DF514A"/>
    <w:rsid w:val="00DF5B0A"/>
    <w:rsid w:val="00DF7231"/>
    <w:rsid w:val="00E02D7A"/>
    <w:rsid w:val="00E0358D"/>
    <w:rsid w:val="00E06327"/>
    <w:rsid w:val="00E06A34"/>
    <w:rsid w:val="00E07D9C"/>
    <w:rsid w:val="00E10396"/>
    <w:rsid w:val="00E10CCD"/>
    <w:rsid w:val="00E1131B"/>
    <w:rsid w:val="00E14383"/>
    <w:rsid w:val="00E2064B"/>
    <w:rsid w:val="00E22C16"/>
    <w:rsid w:val="00E25239"/>
    <w:rsid w:val="00E265B1"/>
    <w:rsid w:val="00E275B0"/>
    <w:rsid w:val="00E324C2"/>
    <w:rsid w:val="00E333D2"/>
    <w:rsid w:val="00E37536"/>
    <w:rsid w:val="00E4018D"/>
    <w:rsid w:val="00E412D0"/>
    <w:rsid w:val="00E47CDB"/>
    <w:rsid w:val="00E50192"/>
    <w:rsid w:val="00E510D3"/>
    <w:rsid w:val="00E55389"/>
    <w:rsid w:val="00E566BC"/>
    <w:rsid w:val="00E60982"/>
    <w:rsid w:val="00E60B0D"/>
    <w:rsid w:val="00E60C8D"/>
    <w:rsid w:val="00E6143E"/>
    <w:rsid w:val="00E6162F"/>
    <w:rsid w:val="00E6311B"/>
    <w:rsid w:val="00E65B4C"/>
    <w:rsid w:val="00E65D97"/>
    <w:rsid w:val="00E67EFD"/>
    <w:rsid w:val="00E700F2"/>
    <w:rsid w:val="00E702DC"/>
    <w:rsid w:val="00E71FFB"/>
    <w:rsid w:val="00E73C42"/>
    <w:rsid w:val="00E76D1D"/>
    <w:rsid w:val="00E77D11"/>
    <w:rsid w:val="00E802B0"/>
    <w:rsid w:val="00E806F8"/>
    <w:rsid w:val="00E8170D"/>
    <w:rsid w:val="00E824BE"/>
    <w:rsid w:val="00E84CA4"/>
    <w:rsid w:val="00E856B2"/>
    <w:rsid w:val="00E87752"/>
    <w:rsid w:val="00E8793B"/>
    <w:rsid w:val="00E87B9D"/>
    <w:rsid w:val="00E90F81"/>
    <w:rsid w:val="00E91A6D"/>
    <w:rsid w:val="00E9242D"/>
    <w:rsid w:val="00E94CE9"/>
    <w:rsid w:val="00E94E0C"/>
    <w:rsid w:val="00E95520"/>
    <w:rsid w:val="00EA4A8B"/>
    <w:rsid w:val="00EA5C29"/>
    <w:rsid w:val="00EA5C93"/>
    <w:rsid w:val="00EA604A"/>
    <w:rsid w:val="00EA7CCA"/>
    <w:rsid w:val="00EB041C"/>
    <w:rsid w:val="00EB33A2"/>
    <w:rsid w:val="00EB4C7A"/>
    <w:rsid w:val="00EC217E"/>
    <w:rsid w:val="00EC3D99"/>
    <w:rsid w:val="00EC5175"/>
    <w:rsid w:val="00EC5874"/>
    <w:rsid w:val="00EC65DB"/>
    <w:rsid w:val="00EC6E02"/>
    <w:rsid w:val="00ED0B2B"/>
    <w:rsid w:val="00ED192D"/>
    <w:rsid w:val="00ED2A57"/>
    <w:rsid w:val="00ED30B4"/>
    <w:rsid w:val="00ED318E"/>
    <w:rsid w:val="00ED31F5"/>
    <w:rsid w:val="00ED3D8B"/>
    <w:rsid w:val="00ED4950"/>
    <w:rsid w:val="00ED7ACB"/>
    <w:rsid w:val="00EE2531"/>
    <w:rsid w:val="00EE40B8"/>
    <w:rsid w:val="00EE42C7"/>
    <w:rsid w:val="00EE52CA"/>
    <w:rsid w:val="00EE5520"/>
    <w:rsid w:val="00EF2759"/>
    <w:rsid w:val="00EF3E5A"/>
    <w:rsid w:val="00EF45EB"/>
    <w:rsid w:val="00EF5099"/>
    <w:rsid w:val="00EF532C"/>
    <w:rsid w:val="00EF5E33"/>
    <w:rsid w:val="00F00075"/>
    <w:rsid w:val="00F06C15"/>
    <w:rsid w:val="00F07822"/>
    <w:rsid w:val="00F105B9"/>
    <w:rsid w:val="00F133BD"/>
    <w:rsid w:val="00F14968"/>
    <w:rsid w:val="00F15C95"/>
    <w:rsid w:val="00F20441"/>
    <w:rsid w:val="00F22273"/>
    <w:rsid w:val="00F22985"/>
    <w:rsid w:val="00F241AB"/>
    <w:rsid w:val="00F30D76"/>
    <w:rsid w:val="00F31382"/>
    <w:rsid w:val="00F35829"/>
    <w:rsid w:val="00F42868"/>
    <w:rsid w:val="00F465A7"/>
    <w:rsid w:val="00F504D2"/>
    <w:rsid w:val="00F50B7C"/>
    <w:rsid w:val="00F51E28"/>
    <w:rsid w:val="00F5202D"/>
    <w:rsid w:val="00F52CF6"/>
    <w:rsid w:val="00F54496"/>
    <w:rsid w:val="00F6059D"/>
    <w:rsid w:val="00F61097"/>
    <w:rsid w:val="00F65D5F"/>
    <w:rsid w:val="00F67C45"/>
    <w:rsid w:val="00F722FB"/>
    <w:rsid w:val="00F74345"/>
    <w:rsid w:val="00F74441"/>
    <w:rsid w:val="00F744B3"/>
    <w:rsid w:val="00F7451F"/>
    <w:rsid w:val="00F74B0F"/>
    <w:rsid w:val="00F75430"/>
    <w:rsid w:val="00F77E55"/>
    <w:rsid w:val="00F77F30"/>
    <w:rsid w:val="00F81480"/>
    <w:rsid w:val="00F82589"/>
    <w:rsid w:val="00F82B19"/>
    <w:rsid w:val="00F90AA7"/>
    <w:rsid w:val="00F917A1"/>
    <w:rsid w:val="00F9212D"/>
    <w:rsid w:val="00F924DC"/>
    <w:rsid w:val="00F936F5"/>
    <w:rsid w:val="00F944E0"/>
    <w:rsid w:val="00FA275B"/>
    <w:rsid w:val="00FA301A"/>
    <w:rsid w:val="00FA406A"/>
    <w:rsid w:val="00FA473C"/>
    <w:rsid w:val="00FA593E"/>
    <w:rsid w:val="00FA5CB6"/>
    <w:rsid w:val="00FB14EC"/>
    <w:rsid w:val="00FB2074"/>
    <w:rsid w:val="00FB251C"/>
    <w:rsid w:val="00FB7F3C"/>
    <w:rsid w:val="00FC1BC0"/>
    <w:rsid w:val="00FC21D9"/>
    <w:rsid w:val="00FC66AC"/>
    <w:rsid w:val="00FD18F4"/>
    <w:rsid w:val="00FD2FE6"/>
    <w:rsid w:val="00FD3EE2"/>
    <w:rsid w:val="00FD74B4"/>
    <w:rsid w:val="00FE21A7"/>
    <w:rsid w:val="00FE4785"/>
    <w:rsid w:val="00FE7FD1"/>
    <w:rsid w:val="00FF228E"/>
    <w:rsid w:val="00FF65CD"/>
    <w:rsid w:val="00FF6AB1"/>
    <w:rsid w:val="00FF6FCE"/>
    <w:rsid w:val="00FF7518"/>
    <w:rsid w:val="00FF7FD8"/>
    <w:rsid w:val="01577B87"/>
    <w:rsid w:val="0170525C"/>
    <w:rsid w:val="018F049E"/>
    <w:rsid w:val="01DC6F3A"/>
    <w:rsid w:val="020C4B3B"/>
    <w:rsid w:val="0214302F"/>
    <w:rsid w:val="021440A4"/>
    <w:rsid w:val="03F248A9"/>
    <w:rsid w:val="0458135D"/>
    <w:rsid w:val="04CB7FB7"/>
    <w:rsid w:val="05452DFC"/>
    <w:rsid w:val="05742AC8"/>
    <w:rsid w:val="05763297"/>
    <w:rsid w:val="05863EE7"/>
    <w:rsid w:val="05CD4EA0"/>
    <w:rsid w:val="05CF5FA2"/>
    <w:rsid w:val="06352F05"/>
    <w:rsid w:val="063E7D85"/>
    <w:rsid w:val="06B83774"/>
    <w:rsid w:val="070875E0"/>
    <w:rsid w:val="072403EC"/>
    <w:rsid w:val="07293586"/>
    <w:rsid w:val="07295285"/>
    <w:rsid w:val="074E3E00"/>
    <w:rsid w:val="07770C56"/>
    <w:rsid w:val="07F33F03"/>
    <w:rsid w:val="07FE6A62"/>
    <w:rsid w:val="08341E78"/>
    <w:rsid w:val="08C61754"/>
    <w:rsid w:val="08C81E3A"/>
    <w:rsid w:val="092217DD"/>
    <w:rsid w:val="093A7294"/>
    <w:rsid w:val="09590B5D"/>
    <w:rsid w:val="09934DB0"/>
    <w:rsid w:val="09D063F9"/>
    <w:rsid w:val="0A5C08C2"/>
    <w:rsid w:val="0A6A360A"/>
    <w:rsid w:val="0AC23797"/>
    <w:rsid w:val="0AD75635"/>
    <w:rsid w:val="0ADA5575"/>
    <w:rsid w:val="0B767BA0"/>
    <w:rsid w:val="0B7827DF"/>
    <w:rsid w:val="0BD27BF6"/>
    <w:rsid w:val="0C3703FE"/>
    <w:rsid w:val="0C720778"/>
    <w:rsid w:val="0DA6728B"/>
    <w:rsid w:val="0DF03ABC"/>
    <w:rsid w:val="0E05424B"/>
    <w:rsid w:val="0E0B2751"/>
    <w:rsid w:val="0E110D06"/>
    <w:rsid w:val="0E2F54FD"/>
    <w:rsid w:val="0E3A65AE"/>
    <w:rsid w:val="0E4822B4"/>
    <w:rsid w:val="0EDB722B"/>
    <w:rsid w:val="0EFD37D6"/>
    <w:rsid w:val="0F13775A"/>
    <w:rsid w:val="0F26343A"/>
    <w:rsid w:val="0F3F7CF5"/>
    <w:rsid w:val="0F9A112B"/>
    <w:rsid w:val="0FB73AE0"/>
    <w:rsid w:val="102F34BF"/>
    <w:rsid w:val="106D2F64"/>
    <w:rsid w:val="10B63710"/>
    <w:rsid w:val="10CC7FC6"/>
    <w:rsid w:val="10CF3D3B"/>
    <w:rsid w:val="111C2F7A"/>
    <w:rsid w:val="113013DE"/>
    <w:rsid w:val="11CA3D71"/>
    <w:rsid w:val="12006059"/>
    <w:rsid w:val="120A764C"/>
    <w:rsid w:val="122B06C2"/>
    <w:rsid w:val="12BE4B95"/>
    <w:rsid w:val="12F04EE7"/>
    <w:rsid w:val="13594AF0"/>
    <w:rsid w:val="13951726"/>
    <w:rsid w:val="14021808"/>
    <w:rsid w:val="14396509"/>
    <w:rsid w:val="1447165C"/>
    <w:rsid w:val="14DD7E4B"/>
    <w:rsid w:val="15417343"/>
    <w:rsid w:val="15A554A7"/>
    <w:rsid w:val="15D36B59"/>
    <w:rsid w:val="15D47FF3"/>
    <w:rsid w:val="15DD2016"/>
    <w:rsid w:val="15F53C70"/>
    <w:rsid w:val="15F96981"/>
    <w:rsid w:val="168B07CC"/>
    <w:rsid w:val="16BC6B4A"/>
    <w:rsid w:val="16CA4EFD"/>
    <w:rsid w:val="17075B7B"/>
    <w:rsid w:val="17172B57"/>
    <w:rsid w:val="171D0565"/>
    <w:rsid w:val="172023F4"/>
    <w:rsid w:val="17735226"/>
    <w:rsid w:val="177C6A85"/>
    <w:rsid w:val="182B04E1"/>
    <w:rsid w:val="18663532"/>
    <w:rsid w:val="187257FB"/>
    <w:rsid w:val="18FD711F"/>
    <w:rsid w:val="194D1626"/>
    <w:rsid w:val="197355A4"/>
    <w:rsid w:val="19E67858"/>
    <w:rsid w:val="19F43859"/>
    <w:rsid w:val="1A1C66C0"/>
    <w:rsid w:val="1A1F14F7"/>
    <w:rsid w:val="1A42393B"/>
    <w:rsid w:val="1A9442D4"/>
    <w:rsid w:val="1B046F80"/>
    <w:rsid w:val="1B1A1457"/>
    <w:rsid w:val="1B3267B5"/>
    <w:rsid w:val="1B7F71D4"/>
    <w:rsid w:val="1B922BFA"/>
    <w:rsid w:val="1BC25DC8"/>
    <w:rsid w:val="1BCB2980"/>
    <w:rsid w:val="1BEE259A"/>
    <w:rsid w:val="1C5E7925"/>
    <w:rsid w:val="1C7D5A8A"/>
    <w:rsid w:val="1C887FC8"/>
    <w:rsid w:val="1D5F6196"/>
    <w:rsid w:val="1D6132A5"/>
    <w:rsid w:val="1D8E56D5"/>
    <w:rsid w:val="1DBD671B"/>
    <w:rsid w:val="1E7A43DA"/>
    <w:rsid w:val="1E921B03"/>
    <w:rsid w:val="1EA829C3"/>
    <w:rsid w:val="1EB277FE"/>
    <w:rsid w:val="1F423B9A"/>
    <w:rsid w:val="1FAB7D03"/>
    <w:rsid w:val="1FE7539E"/>
    <w:rsid w:val="20963CB8"/>
    <w:rsid w:val="20B07FB6"/>
    <w:rsid w:val="213B74B1"/>
    <w:rsid w:val="215A2310"/>
    <w:rsid w:val="217A55E5"/>
    <w:rsid w:val="21DE318A"/>
    <w:rsid w:val="21E223CA"/>
    <w:rsid w:val="21EF5B80"/>
    <w:rsid w:val="22576990"/>
    <w:rsid w:val="22680B04"/>
    <w:rsid w:val="229C4EAB"/>
    <w:rsid w:val="234D2CBD"/>
    <w:rsid w:val="23C6578D"/>
    <w:rsid w:val="240D0D30"/>
    <w:rsid w:val="24420A20"/>
    <w:rsid w:val="24AB2C7C"/>
    <w:rsid w:val="24D126D2"/>
    <w:rsid w:val="252D53FE"/>
    <w:rsid w:val="25416FAA"/>
    <w:rsid w:val="25A35452"/>
    <w:rsid w:val="25EC2D81"/>
    <w:rsid w:val="25F50CB6"/>
    <w:rsid w:val="263F794A"/>
    <w:rsid w:val="264528BD"/>
    <w:rsid w:val="26C62652"/>
    <w:rsid w:val="26DB0C4F"/>
    <w:rsid w:val="270A4FDD"/>
    <w:rsid w:val="27CA5E9E"/>
    <w:rsid w:val="27D15DD1"/>
    <w:rsid w:val="28A76295"/>
    <w:rsid w:val="28A85165"/>
    <w:rsid w:val="29153E8A"/>
    <w:rsid w:val="29206EB8"/>
    <w:rsid w:val="29376FF2"/>
    <w:rsid w:val="293D417C"/>
    <w:rsid w:val="294134AB"/>
    <w:rsid w:val="29444BD3"/>
    <w:rsid w:val="29E325E0"/>
    <w:rsid w:val="29F33585"/>
    <w:rsid w:val="2A377810"/>
    <w:rsid w:val="2A452503"/>
    <w:rsid w:val="2A846959"/>
    <w:rsid w:val="2ABC1379"/>
    <w:rsid w:val="2BA936A8"/>
    <w:rsid w:val="2BAF7B59"/>
    <w:rsid w:val="2BEE0569"/>
    <w:rsid w:val="2C315A5A"/>
    <w:rsid w:val="2CCE21BC"/>
    <w:rsid w:val="2D0B3DCF"/>
    <w:rsid w:val="2D9E56F5"/>
    <w:rsid w:val="2DC3366E"/>
    <w:rsid w:val="2DD30DE8"/>
    <w:rsid w:val="2DD4780A"/>
    <w:rsid w:val="2E667F96"/>
    <w:rsid w:val="2E8226AB"/>
    <w:rsid w:val="2ECA3572"/>
    <w:rsid w:val="2EFD7542"/>
    <w:rsid w:val="2F234AE5"/>
    <w:rsid w:val="2F832C79"/>
    <w:rsid w:val="2FEF2D58"/>
    <w:rsid w:val="2FFD7BC0"/>
    <w:rsid w:val="30580BC9"/>
    <w:rsid w:val="310C0712"/>
    <w:rsid w:val="311E2ED7"/>
    <w:rsid w:val="315C449C"/>
    <w:rsid w:val="31B82709"/>
    <w:rsid w:val="31CA1FD1"/>
    <w:rsid w:val="31D32E02"/>
    <w:rsid w:val="32400B34"/>
    <w:rsid w:val="326014D8"/>
    <w:rsid w:val="329C4E3E"/>
    <w:rsid w:val="329E6876"/>
    <w:rsid w:val="32CD4644"/>
    <w:rsid w:val="32F244F5"/>
    <w:rsid w:val="335F713B"/>
    <w:rsid w:val="33AC2A52"/>
    <w:rsid w:val="33D934D4"/>
    <w:rsid w:val="33FE2F6A"/>
    <w:rsid w:val="345468FB"/>
    <w:rsid w:val="35621980"/>
    <w:rsid w:val="35754554"/>
    <w:rsid w:val="3579773D"/>
    <w:rsid w:val="35EE274A"/>
    <w:rsid w:val="36074A7F"/>
    <w:rsid w:val="363F16CB"/>
    <w:rsid w:val="365371DC"/>
    <w:rsid w:val="36853330"/>
    <w:rsid w:val="36923549"/>
    <w:rsid w:val="36B07B82"/>
    <w:rsid w:val="36B75FBF"/>
    <w:rsid w:val="36FB4891"/>
    <w:rsid w:val="37F963E3"/>
    <w:rsid w:val="38577F93"/>
    <w:rsid w:val="38A32329"/>
    <w:rsid w:val="38DC4DE4"/>
    <w:rsid w:val="38F12CD3"/>
    <w:rsid w:val="38F94775"/>
    <w:rsid w:val="392971ED"/>
    <w:rsid w:val="394E50DF"/>
    <w:rsid w:val="39D97884"/>
    <w:rsid w:val="39F7761C"/>
    <w:rsid w:val="3AC550FF"/>
    <w:rsid w:val="3ACD172A"/>
    <w:rsid w:val="3B170BF4"/>
    <w:rsid w:val="3B3763D1"/>
    <w:rsid w:val="3BBC428E"/>
    <w:rsid w:val="3CDA245A"/>
    <w:rsid w:val="3CEE0A37"/>
    <w:rsid w:val="3D340D13"/>
    <w:rsid w:val="3D6371A7"/>
    <w:rsid w:val="3DC049D3"/>
    <w:rsid w:val="3E733F03"/>
    <w:rsid w:val="3EC40A14"/>
    <w:rsid w:val="3F660E74"/>
    <w:rsid w:val="3F7D43BB"/>
    <w:rsid w:val="3FDA34DD"/>
    <w:rsid w:val="407A6407"/>
    <w:rsid w:val="409804ED"/>
    <w:rsid w:val="412D581E"/>
    <w:rsid w:val="41334492"/>
    <w:rsid w:val="41560390"/>
    <w:rsid w:val="41C04416"/>
    <w:rsid w:val="41DB5741"/>
    <w:rsid w:val="41E37B0C"/>
    <w:rsid w:val="423A3BCC"/>
    <w:rsid w:val="42901845"/>
    <w:rsid w:val="42A258CA"/>
    <w:rsid w:val="433A6FE6"/>
    <w:rsid w:val="434F6F53"/>
    <w:rsid w:val="4350713C"/>
    <w:rsid w:val="436653E0"/>
    <w:rsid w:val="43897E8C"/>
    <w:rsid w:val="439251F8"/>
    <w:rsid w:val="443A453E"/>
    <w:rsid w:val="444A43AC"/>
    <w:rsid w:val="449C0BFE"/>
    <w:rsid w:val="44CD14E0"/>
    <w:rsid w:val="44CD1DEC"/>
    <w:rsid w:val="456652D4"/>
    <w:rsid w:val="4569581E"/>
    <w:rsid w:val="458946E9"/>
    <w:rsid w:val="45A06EF2"/>
    <w:rsid w:val="464D4C19"/>
    <w:rsid w:val="46D955A7"/>
    <w:rsid w:val="47133957"/>
    <w:rsid w:val="471D3993"/>
    <w:rsid w:val="473213D6"/>
    <w:rsid w:val="4779329E"/>
    <w:rsid w:val="479569BC"/>
    <w:rsid w:val="479832B5"/>
    <w:rsid w:val="47A07E0C"/>
    <w:rsid w:val="47B75F51"/>
    <w:rsid w:val="47F90E79"/>
    <w:rsid w:val="4844182E"/>
    <w:rsid w:val="4870272E"/>
    <w:rsid w:val="48B03B41"/>
    <w:rsid w:val="48B45213"/>
    <w:rsid w:val="493712C9"/>
    <w:rsid w:val="499F7A2F"/>
    <w:rsid w:val="49DC7715"/>
    <w:rsid w:val="4A023139"/>
    <w:rsid w:val="4A431740"/>
    <w:rsid w:val="4A5060FA"/>
    <w:rsid w:val="4A5F1C07"/>
    <w:rsid w:val="4A7B576F"/>
    <w:rsid w:val="4B1740FC"/>
    <w:rsid w:val="4B3B3424"/>
    <w:rsid w:val="4BA30F2C"/>
    <w:rsid w:val="4BA851FA"/>
    <w:rsid w:val="4C1710D6"/>
    <w:rsid w:val="4C4A0649"/>
    <w:rsid w:val="4CD15511"/>
    <w:rsid w:val="4CE470D3"/>
    <w:rsid w:val="4DEC4FB0"/>
    <w:rsid w:val="4E075D8A"/>
    <w:rsid w:val="4E3430C1"/>
    <w:rsid w:val="4E3B3B16"/>
    <w:rsid w:val="4E5401FF"/>
    <w:rsid w:val="4EA82290"/>
    <w:rsid w:val="4F753DB9"/>
    <w:rsid w:val="4FC62A8C"/>
    <w:rsid w:val="4FE20F0D"/>
    <w:rsid w:val="50101B5D"/>
    <w:rsid w:val="5031093B"/>
    <w:rsid w:val="504C3032"/>
    <w:rsid w:val="50504C4B"/>
    <w:rsid w:val="508A3E96"/>
    <w:rsid w:val="509C6E7C"/>
    <w:rsid w:val="50EB1B76"/>
    <w:rsid w:val="510D7AE9"/>
    <w:rsid w:val="511D3E6C"/>
    <w:rsid w:val="5138463D"/>
    <w:rsid w:val="5156127D"/>
    <w:rsid w:val="5162104E"/>
    <w:rsid w:val="51740593"/>
    <w:rsid w:val="51DC7D51"/>
    <w:rsid w:val="51E743B0"/>
    <w:rsid w:val="52183D3E"/>
    <w:rsid w:val="525459CB"/>
    <w:rsid w:val="526F7AC8"/>
    <w:rsid w:val="52E93185"/>
    <w:rsid w:val="538406F0"/>
    <w:rsid w:val="53A039CC"/>
    <w:rsid w:val="53A1505A"/>
    <w:rsid w:val="54063E08"/>
    <w:rsid w:val="543437E8"/>
    <w:rsid w:val="54A21453"/>
    <w:rsid w:val="54C16083"/>
    <w:rsid w:val="54FE29D2"/>
    <w:rsid w:val="550124F0"/>
    <w:rsid w:val="553041D0"/>
    <w:rsid w:val="559B174B"/>
    <w:rsid w:val="55CE0CF4"/>
    <w:rsid w:val="56B22A9C"/>
    <w:rsid w:val="56B31DD0"/>
    <w:rsid w:val="56FA7D4D"/>
    <w:rsid w:val="57976E8C"/>
    <w:rsid w:val="57B72A76"/>
    <w:rsid w:val="57D50354"/>
    <w:rsid w:val="57DC2E04"/>
    <w:rsid w:val="584667E1"/>
    <w:rsid w:val="58FE6E66"/>
    <w:rsid w:val="595250FE"/>
    <w:rsid w:val="59BE3FA7"/>
    <w:rsid w:val="59D15ED4"/>
    <w:rsid w:val="5A3C747D"/>
    <w:rsid w:val="5A762D88"/>
    <w:rsid w:val="5ABE2233"/>
    <w:rsid w:val="5AC116C5"/>
    <w:rsid w:val="5AE26D33"/>
    <w:rsid w:val="5B1F5766"/>
    <w:rsid w:val="5B276D18"/>
    <w:rsid w:val="5B990DA7"/>
    <w:rsid w:val="5BDF5D95"/>
    <w:rsid w:val="5C0A2FB7"/>
    <w:rsid w:val="5C44620A"/>
    <w:rsid w:val="5C4C30D9"/>
    <w:rsid w:val="5D134A58"/>
    <w:rsid w:val="5D65456C"/>
    <w:rsid w:val="5D6C76CB"/>
    <w:rsid w:val="5D9C38EB"/>
    <w:rsid w:val="5DF87A0F"/>
    <w:rsid w:val="5E0C4B77"/>
    <w:rsid w:val="5E962BDC"/>
    <w:rsid w:val="5EBE69A7"/>
    <w:rsid w:val="5F1A2B43"/>
    <w:rsid w:val="5F5C2F3B"/>
    <w:rsid w:val="5F6B3391"/>
    <w:rsid w:val="5F9A2CC8"/>
    <w:rsid w:val="5FB837BB"/>
    <w:rsid w:val="5FBE533C"/>
    <w:rsid w:val="60186D3C"/>
    <w:rsid w:val="6029703A"/>
    <w:rsid w:val="60634EA3"/>
    <w:rsid w:val="613E517C"/>
    <w:rsid w:val="61B86958"/>
    <w:rsid w:val="61C8243C"/>
    <w:rsid w:val="61ED04B8"/>
    <w:rsid w:val="62160761"/>
    <w:rsid w:val="62364782"/>
    <w:rsid w:val="623716E9"/>
    <w:rsid w:val="62576AEA"/>
    <w:rsid w:val="626F1BA8"/>
    <w:rsid w:val="62FA4FB1"/>
    <w:rsid w:val="63093D4D"/>
    <w:rsid w:val="631858CA"/>
    <w:rsid w:val="63D40BE9"/>
    <w:rsid w:val="63E0211F"/>
    <w:rsid w:val="63E37F00"/>
    <w:rsid w:val="63F919AB"/>
    <w:rsid w:val="64E7059A"/>
    <w:rsid w:val="650855F5"/>
    <w:rsid w:val="65373578"/>
    <w:rsid w:val="65852DAA"/>
    <w:rsid w:val="65953A54"/>
    <w:rsid w:val="659F1450"/>
    <w:rsid w:val="65AF3EB4"/>
    <w:rsid w:val="6652331C"/>
    <w:rsid w:val="66712C11"/>
    <w:rsid w:val="66B32C4D"/>
    <w:rsid w:val="66DB44CF"/>
    <w:rsid w:val="66DD791D"/>
    <w:rsid w:val="66FA2330"/>
    <w:rsid w:val="6732370A"/>
    <w:rsid w:val="673F2C7A"/>
    <w:rsid w:val="677A5FF1"/>
    <w:rsid w:val="67AE3532"/>
    <w:rsid w:val="67E507B8"/>
    <w:rsid w:val="681F6961"/>
    <w:rsid w:val="68610A2F"/>
    <w:rsid w:val="68805514"/>
    <w:rsid w:val="6897633B"/>
    <w:rsid w:val="694E2071"/>
    <w:rsid w:val="697A3B33"/>
    <w:rsid w:val="699E2456"/>
    <w:rsid w:val="69C66042"/>
    <w:rsid w:val="69FA63E6"/>
    <w:rsid w:val="6A226A83"/>
    <w:rsid w:val="6A227655"/>
    <w:rsid w:val="6A2E1617"/>
    <w:rsid w:val="6A4823DC"/>
    <w:rsid w:val="6AD24D09"/>
    <w:rsid w:val="6B1E5517"/>
    <w:rsid w:val="6B322639"/>
    <w:rsid w:val="6BC10FDC"/>
    <w:rsid w:val="6BC44BD6"/>
    <w:rsid w:val="6BFB196D"/>
    <w:rsid w:val="6C2A4B84"/>
    <w:rsid w:val="6C636C38"/>
    <w:rsid w:val="6C847828"/>
    <w:rsid w:val="6CC16CF3"/>
    <w:rsid w:val="6CF4696F"/>
    <w:rsid w:val="6DB34098"/>
    <w:rsid w:val="6DB545B6"/>
    <w:rsid w:val="6E0214AF"/>
    <w:rsid w:val="6E4375A0"/>
    <w:rsid w:val="6E514CED"/>
    <w:rsid w:val="6E643688"/>
    <w:rsid w:val="6E79491A"/>
    <w:rsid w:val="6EB563D5"/>
    <w:rsid w:val="6EDD3662"/>
    <w:rsid w:val="6F225983"/>
    <w:rsid w:val="6F47485A"/>
    <w:rsid w:val="6F6C2DFF"/>
    <w:rsid w:val="6F774B3A"/>
    <w:rsid w:val="6FFC5590"/>
    <w:rsid w:val="701516CE"/>
    <w:rsid w:val="70301DA3"/>
    <w:rsid w:val="706D1DD0"/>
    <w:rsid w:val="70856B87"/>
    <w:rsid w:val="70D527EE"/>
    <w:rsid w:val="715B5300"/>
    <w:rsid w:val="715F4BD7"/>
    <w:rsid w:val="716B1A1F"/>
    <w:rsid w:val="71D27F8A"/>
    <w:rsid w:val="71DC5BF5"/>
    <w:rsid w:val="71F744C6"/>
    <w:rsid w:val="71F960CF"/>
    <w:rsid w:val="722448CD"/>
    <w:rsid w:val="726B29AB"/>
    <w:rsid w:val="73093A6A"/>
    <w:rsid w:val="731F5D5E"/>
    <w:rsid w:val="73481DDD"/>
    <w:rsid w:val="73A86934"/>
    <w:rsid w:val="73AD43B3"/>
    <w:rsid w:val="73C80274"/>
    <w:rsid w:val="73DB3E0D"/>
    <w:rsid w:val="73F15FA2"/>
    <w:rsid w:val="741E793C"/>
    <w:rsid w:val="74212B2A"/>
    <w:rsid w:val="7470419A"/>
    <w:rsid w:val="749665AE"/>
    <w:rsid w:val="758D75E2"/>
    <w:rsid w:val="764D5099"/>
    <w:rsid w:val="76D621C1"/>
    <w:rsid w:val="76E62E8B"/>
    <w:rsid w:val="77762421"/>
    <w:rsid w:val="780F09F4"/>
    <w:rsid w:val="783969F8"/>
    <w:rsid w:val="789C4F47"/>
    <w:rsid w:val="78A90480"/>
    <w:rsid w:val="78F91F95"/>
    <w:rsid w:val="790C1827"/>
    <w:rsid w:val="79811327"/>
    <w:rsid w:val="799F010F"/>
    <w:rsid w:val="79B86CE8"/>
    <w:rsid w:val="79C6591B"/>
    <w:rsid w:val="7A3421DD"/>
    <w:rsid w:val="7A364017"/>
    <w:rsid w:val="7A8265E1"/>
    <w:rsid w:val="7A952F4A"/>
    <w:rsid w:val="7B686D42"/>
    <w:rsid w:val="7B841746"/>
    <w:rsid w:val="7D0239FF"/>
    <w:rsid w:val="7D436E98"/>
    <w:rsid w:val="7D5E40CD"/>
    <w:rsid w:val="7D693BED"/>
    <w:rsid w:val="7DC12511"/>
    <w:rsid w:val="7DF605EB"/>
    <w:rsid w:val="7E4554C4"/>
    <w:rsid w:val="7E6048EB"/>
    <w:rsid w:val="7E6B4F7A"/>
    <w:rsid w:val="7EA33DA7"/>
    <w:rsid w:val="7F78421F"/>
    <w:rsid w:val="7FE47E50"/>
    <w:rsid w:val="7FF25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unhideWhenUsed/>
    <w:qFormat/>
    <w:locked/>
    <w:uiPriority w:val="0"/>
    <w:pPr>
      <w:keepNext/>
      <w:keepLines/>
      <w:spacing w:line="360" w:lineRule="auto"/>
      <w:outlineLvl w:val="1"/>
    </w:pPr>
    <w:rPr>
      <w:rFonts w:ascii="Arial" w:hAnsi="Arial" w:eastAsia="楷体_GB2312"/>
      <w:b/>
      <w:sz w:val="28"/>
    </w:rPr>
  </w:style>
  <w:style w:type="paragraph" w:styleId="5">
    <w:name w:val="heading 4"/>
    <w:basedOn w:val="1"/>
    <w:next w:val="1"/>
    <w:link w:val="62"/>
    <w:autoRedefine/>
    <w:semiHidden/>
    <w:unhideWhenUsed/>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60"/>
    <w:autoRedefine/>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style>
  <w:style w:type="paragraph" w:styleId="7">
    <w:name w:val="annotation text"/>
    <w:basedOn w:val="1"/>
    <w:link w:val="35"/>
    <w:autoRedefine/>
    <w:semiHidden/>
    <w:qFormat/>
    <w:uiPriority w:val="0"/>
    <w:pPr>
      <w:jc w:val="left"/>
    </w:pPr>
    <w:rPr>
      <w:kern w:val="0"/>
      <w:sz w:val="20"/>
    </w:rPr>
  </w:style>
  <w:style w:type="paragraph" w:styleId="8">
    <w:name w:val="Body Text 3"/>
    <w:basedOn w:val="1"/>
    <w:autoRedefine/>
    <w:qFormat/>
    <w:uiPriority w:val="0"/>
    <w:pPr>
      <w:spacing w:after="120"/>
    </w:pPr>
    <w:rPr>
      <w:rFonts w:ascii="Calibri" w:hAnsi="Calibri"/>
      <w:sz w:val="16"/>
      <w:szCs w:val="16"/>
    </w:rPr>
  </w:style>
  <w:style w:type="paragraph" w:styleId="9">
    <w:name w:val="Body Text"/>
    <w:basedOn w:val="1"/>
    <w:next w:val="1"/>
    <w:link w:val="36"/>
    <w:autoRedefine/>
    <w:qFormat/>
    <w:uiPriority w:val="0"/>
    <w:pPr>
      <w:widowControl/>
      <w:snapToGrid w:val="0"/>
      <w:spacing w:before="60" w:after="160" w:line="259" w:lineRule="auto"/>
      <w:ind w:right="113"/>
    </w:pPr>
    <w:rPr>
      <w:kern w:val="0"/>
      <w:sz w:val="18"/>
      <w:szCs w:val="18"/>
    </w:rPr>
  </w:style>
  <w:style w:type="paragraph" w:styleId="10">
    <w:name w:val="Body Text Indent"/>
    <w:basedOn w:val="1"/>
    <w:link w:val="37"/>
    <w:autoRedefine/>
    <w:semiHidden/>
    <w:qFormat/>
    <w:uiPriority w:val="0"/>
    <w:pPr>
      <w:spacing w:after="120"/>
      <w:ind w:left="420" w:leftChars="200"/>
    </w:pPr>
  </w:style>
  <w:style w:type="paragraph" w:styleId="11">
    <w:name w:val="Block Text"/>
    <w:basedOn w:val="1"/>
    <w:autoRedefine/>
    <w:qFormat/>
    <w:uiPriority w:val="0"/>
    <w:pPr>
      <w:tabs>
        <w:tab w:val="left" w:pos="5985"/>
      </w:tabs>
      <w:adjustRightInd w:val="0"/>
      <w:spacing w:line="360" w:lineRule="auto"/>
      <w:ind w:left="-105" w:leftChars="-50" w:right="168" w:rightChars="80" w:firstLine="630" w:firstLineChars="225"/>
    </w:pPr>
    <w:rPr>
      <w:rFonts w:ascii="宋体" w:hAnsi="宋体"/>
      <w:sz w:val="28"/>
      <w:szCs w:val="28"/>
    </w:rPr>
  </w:style>
  <w:style w:type="paragraph" w:styleId="12">
    <w:name w:val="Plain Text"/>
    <w:basedOn w:val="1"/>
    <w:autoRedefine/>
    <w:qFormat/>
    <w:uiPriority w:val="0"/>
    <w:rPr>
      <w:rFonts w:ascii="宋体" w:hAnsi="Courier New"/>
    </w:rPr>
  </w:style>
  <w:style w:type="paragraph" w:styleId="13">
    <w:name w:val="Date"/>
    <w:basedOn w:val="1"/>
    <w:next w:val="1"/>
    <w:link w:val="38"/>
    <w:autoRedefine/>
    <w:qFormat/>
    <w:uiPriority w:val="0"/>
    <w:pPr>
      <w:ind w:left="100" w:leftChars="2500"/>
    </w:pPr>
    <w:rPr>
      <w:kern w:val="0"/>
      <w:sz w:val="20"/>
    </w:rPr>
  </w:style>
  <w:style w:type="paragraph" w:styleId="14">
    <w:name w:val="Balloon Text"/>
    <w:basedOn w:val="1"/>
    <w:link w:val="39"/>
    <w:autoRedefine/>
    <w:semiHidden/>
    <w:qFormat/>
    <w:uiPriority w:val="0"/>
    <w:rPr>
      <w:sz w:val="18"/>
      <w:szCs w:val="18"/>
    </w:rPr>
  </w:style>
  <w:style w:type="paragraph" w:styleId="15">
    <w:name w:val="footer"/>
    <w:basedOn w:val="1"/>
    <w:link w:val="40"/>
    <w:autoRedefine/>
    <w:qFormat/>
    <w:uiPriority w:val="99"/>
    <w:pPr>
      <w:tabs>
        <w:tab w:val="center" w:pos="4153"/>
        <w:tab w:val="right" w:pos="8306"/>
      </w:tabs>
      <w:snapToGrid w:val="0"/>
      <w:jc w:val="left"/>
    </w:pPr>
    <w:rPr>
      <w:sz w:val="18"/>
      <w:szCs w:val="18"/>
    </w:rPr>
  </w:style>
  <w:style w:type="paragraph" w:styleId="16">
    <w:name w:val="header"/>
    <w:basedOn w:val="1"/>
    <w:next w:val="17"/>
    <w:link w:val="41"/>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7">
    <w:name w:val="样式5"/>
    <w:basedOn w:val="2"/>
    <w:autoRedefine/>
    <w:qFormat/>
    <w:uiPriority w:val="0"/>
    <w:pPr>
      <w:pBdr>
        <w:top w:val="single" w:color="auto" w:sz="4" w:space="1"/>
      </w:pBdr>
      <w:tabs>
        <w:tab w:val="center" w:pos="4153"/>
        <w:tab w:val="right" w:pos="8306"/>
      </w:tabs>
      <w:spacing w:line="400" w:lineRule="exact"/>
      <w:ind w:firstLine="360"/>
    </w:pPr>
  </w:style>
  <w:style w:type="paragraph" w:styleId="18">
    <w:name w:val="toc 1"/>
    <w:basedOn w:val="1"/>
    <w:next w:val="1"/>
    <w:autoRedefine/>
    <w:unhideWhenUsed/>
    <w:qFormat/>
    <w:locked/>
    <w:uiPriority w:val="39"/>
  </w:style>
  <w:style w:type="paragraph" w:styleId="19">
    <w:name w:val="Subtitle"/>
    <w:basedOn w:val="1"/>
    <w:next w:val="20"/>
    <w:autoRedefine/>
    <w:qFormat/>
    <w:locked/>
    <w:uiPriority w:val="0"/>
    <w:pPr>
      <w:spacing w:line="360" w:lineRule="auto"/>
      <w:ind w:firstLine="200" w:firstLineChars="200"/>
    </w:pPr>
    <w:rPr>
      <w:bCs/>
      <w:kern w:val="28"/>
      <w:sz w:val="24"/>
      <w:szCs w:val="32"/>
    </w:rPr>
  </w:style>
  <w:style w:type="paragraph" w:customStyle="1" w:styleId="20">
    <w:name w:val="正文1"/>
    <w:basedOn w:val="21"/>
    <w:link w:val="55"/>
    <w:autoRedefine/>
    <w:qFormat/>
    <w:uiPriority w:val="0"/>
    <w:pPr>
      <w:ind w:firstLine="200" w:firstLineChars="200"/>
      <w:jc w:val="both"/>
    </w:pPr>
    <w:rPr>
      <w:b w:val="0"/>
    </w:rPr>
  </w:style>
  <w:style w:type="paragraph" w:customStyle="1" w:styleId="21">
    <w:name w:val="标题1"/>
    <w:basedOn w:val="1"/>
    <w:link w:val="53"/>
    <w:autoRedefine/>
    <w:qFormat/>
    <w:uiPriority w:val="0"/>
    <w:pPr>
      <w:adjustRightInd w:val="0"/>
      <w:snapToGrid w:val="0"/>
      <w:spacing w:line="360" w:lineRule="auto"/>
      <w:jc w:val="left"/>
    </w:pPr>
    <w:rPr>
      <w:rFonts w:cs="宋体"/>
      <w:b/>
      <w:kern w:val="0"/>
      <w:sz w:val="24"/>
      <w:szCs w:val="21"/>
    </w:rPr>
  </w:style>
  <w:style w:type="paragraph" w:styleId="22">
    <w:name w:val="Normal (Web)"/>
    <w:basedOn w:val="1"/>
    <w:link w:val="42"/>
    <w:autoRedefine/>
    <w:qFormat/>
    <w:uiPriority w:val="0"/>
    <w:pPr>
      <w:widowControl/>
      <w:spacing w:before="100" w:beforeAutospacing="1" w:after="100" w:afterAutospacing="1"/>
      <w:jc w:val="left"/>
    </w:pPr>
    <w:rPr>
      <w:rFonts w:ascii="宋体" w:hAnsi="宋体"/>
      <w:kern w:val="0"/>
      <w:sz w:val="24"/>
    </w:rPr>
  </w:style>
  <w:style w:type="paragraph" w:styleId="23">
    <w:name w:val="annotation subject"/>
    <w:basedOn w:val="7"/>
    <w:next w:val="7"/>
    <w:link w:val="43"/>
    <w:autoRedefine/>
    <w:semiHidden/>
    <w:qFormat/>
    <w:uiPriority w:val="0"/>
    <w:rPr>
      <w:b/>
      <w:bCs/>
    </w:rPr>
  </w:style>
  <w:style w:type="paragraph" w:styleId="24">
    <w:name w:val="Body Text First Indent 2"/>
    <w:basedOn w:val="10"/>
    <w:next w:val="1"/>
    <w:autoRedefine/>
    <w:qFormat/>
    <w:uiPriority w:val="0"/>
    <w:pPr>
      <w:ind w:firstLine="420" w:firstLineChars="200"/>
    </w:pPr>
    <w:rPr>
      <w:sz w:val="24"/>
    </w:rPr>
  </w:style>
  <w:style w:type="table" w:styleId="26">
    <w:name w:val="Table Grid"/>
    <w:basedOn w:val="2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autoRedefine/>
    <w:qFormat/>
    <w:uiPriority w:val="0"/>
  </w:style>
  <w:style w:type="character" w:styleId="29">
    <w:name w:val="annotation reference"/>
    <w:autoRedefine/>
    <w:semiHidden/>
    <w:qFormat/>
    <w:uiPriority w:val="0"/>
    <w:rPr>
      <w:sz w:val="21"/>
    </w:rPr>
  </w:style>
  <w:style w:type="paragraph" w:customStyle="1" w:styleId="3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Normal (Web)1"/>
    <w:basedOn w:val="1"/>
    <w:next w:val="32"/>
    <w:autoRedefine/>
    <w:qFormat/>
    <w:uiPriority w:val="0"/>
    <w:pPr>
      <w:widowControl/>
    </w:pPr>
    <w:rPr>
      <w:rFonts w:ascii="宋体" w:eastAsia="宋体" w:cs="Times New Roman"/>
      <w:sz w:val="24"/>
      <w:szCs w:val="21"/>
    </w:rPr>
  </w:style>
  <w:style w:type="paragraph" w:customStyle="1" w:styleId="32">
    <w:name w:val="Date1"/>
    <w:basedOn w:val="1"/>
    <w:next w:val="1"/>
    <w:autoRedefine/>
    <w:qFormat/>
    <w:uiPriority w:val="0"/>
    <w:pPr>
      <w:ind w:left="2500" w:leftChars="2500"/>
    </w:pPr>
  </w:style>
  <w:style w:type="paragraph" w:customStyle="1" w:styleId="33">
    <w:name w:val="Table Paragraph"/>
    <w:basedOn w:val="1"/>
    <w:autoRedefine/>
    <w:qFormat/>
    <w:uiPriority w:val="1"/>
    <w:pPr>
      <w:autoSpaceDE w:val="0"/>
      <w:autoSpaceDN w:val="0"/>
      <w:jc w:val="center"/>
    </w:pPr>
    <w:rPr>
      <w:rFonts w:ascii="宋体" w:hAnsi="宋体" w:cs="宋体"/>
      <w:kern w:val="0"/>
      <w:sz w:val="22"/>
      <w:szCs w:val="22"/>
      <w:lang w:val="zh-CN" w:bidi="zh-CN"/>
    </w:rPr>
  </w:style>
  <w:style w:type="paragraph" w:customStyle="1" w:styleId="34">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5">
    <w:name w:val="批注文字 Char"/>
    <w:link w:val="7"/>
    <w:autoRedefine/>
    <w:qFormat/>
    <w:locked/>
    <w:uiPriority w:val="0"/>
    <w:rPr>
      <w:rFonts w:ascii="Times New Roman" w:hAnsi="Times New Roman" w:eastAsia="宋体"/>
      <w:sz w:val="24"/>
    </w:rPr>
  </w:style>
  <w:style w:type="character" w:customStyle="1" w:styleId="36">
    <w:name w:val="正文文本 Char"/>
    <w:link w:val="9"/>
    <w:autoRedefine/>
    <w:qFormat/>
    <w:locked/>
    <w:uiPriority w:val="0"/>
    <w:rPr>
      <w:sz w:val="18"/>
    </w:rPr>
  </w:style>
  <w:style w:type="character" w:customStyle="1" w:styleId="37">
    <w:name w:val="正文文本缩进 Char"/>
    <w:link w:val="10"/>
    <w:autoRedefine/>
    <w:semiHidden/>
    <w:qFormat/>
    <w:locked/>
    <w:uiPriority w:val="0"/>
    <w:rPr>
      <w:rFonts w:ascii="Times New Roman" w:hAnsi="Times New Roman" w:eastAsia="宋体" w:cs="Times New Roman"/>
      <w:sz w:val="24"/>
      <w:szCs w:val="24"/>
    </w:rPr>
  </w:style>
  <w:style w:type="character" w:customStyle="1" w:styleId="38">
    <w:name w:val="日期 Char"/>
    <w:link w:val="13"/>
    <w:autoRedefine/>
    <w:qFormat/>
    <w:locked/>
    <w:uiPriority w:val="0"/>
    <w:rPr>
      <w:rFonts w:ascii="Times New Roman" w:hAnsi="Times New Roman" w:eastAsia="宋体"/>
      <w:sz w:val="24"/>
    </w:rPr>
  </w:style>
  <w:style w:type="character" w:customStyle="1" w:styleId="39">
    <w:name w:val="批注框文本 Char"/>
    <w:link w:val="14"/>
    <w:autoRedefine/>
    <w:semiHidden/>
    <w:qFormat/>
    <w:locked/>
    <w:uiPriority w:val="0"/>
    <w:rPr>
      <w:rFonts w:ascii="Times New Roman" w:hAnsi="Times New Roman" w:eastAsia="宋体" w:cs="Times New Roman"/>
      <w:sz w:val="18"/>
      <w:szCs w:val="18"/>
    </w:rPr>
  </w:style>
  <w:style w:type="character" w:customStyle="1" w:styleId="40">
    <w:name w:val="页脚 Char"/>
    <w:link w:val="15"/>
    <w:autoRedefine/>
    <w:qFormat/>
    <w:locked/>
    <w:uiPriority w:val="99"/>
    <w:rPr>
      <w:rFonts w:cs="Times New Roman"/>
      <w:sz w:val="18"/>
      <w:szCs w:val="18"/>
    </w:rPr>
  </w:style>
  <w:style w:type="character" w:customStyle="1" w:styleId="41">
    <w:name w:val="页眉 Char"/>
    <w:link w:val="16"/>
    <w:autoRedefine/>
    <w:qFormat/>
    <w:locked/>
    <w:uiPriority w:val="0"/>
    <w:rPr>
      <w:rFonts w:cs="Times New Roman"/>
      <w:sz w:val="18"/>
      <w:szCs w:val="18"/>
    </w:rPr>
  </w:style>
  <w:style w:type="character" w:customStyle="1" w:styleId="42">
    <w:name w:val="普通(网站) Char1"/>
    <w:link w:val="22"/>
    <w:autoRedefine/>
    <w:qFormat/>
    <w:locked/>
    <w:uiPriority w:val="0"/>
    <w:rPr>
      <w:rFonts w:ascii="宋体" w:hAnsi="宋体" w:eastAsia="宋体"/>
      <w:sz w:val="24"/>
    </w:rPr>
  </w:style>
  <w:style w:type="character" w:customStyle="1" w:styleId="43">
    <w:name w:val="批注主题 Char"/>
    <w:link w:val="23"/>
    <w:autoRedefine/>
    <w:semiHidden/>
    <w:qFormat/>
    <w:locked/>
    <w:uiPriority w:val="0"/>
    <w:rPr>
      <w:rFonts w:cs="Times New Roman"/>
      <w:b/>
      <w:bCs/>
      <w:kern w:val="2"/>
      <w:szCs w:val="24"/>
    </w:rPr>
  </w:style>
  <w:style w:type="character" w:customStyle="1" w:styleId="44">
    <w:name w:val="表格 Char"/>
    <w:link w:val="45"/>
    <w:autoRedefine/>
    <w:qFormat/>
    <w:locked/>
    <w:uiPriority w:val="0"/>
    <w:rPr>
      <w:rFonts w:ascii="宋体"/>
      <w:sz w:val="21"/>
    </w:rPr>
  </w:style>
  <w:style w:type="paragraph" w:customStyle="1" w:styleId="45">
    <w:name w:val="表格"/>
    <w:basedOn w:val="1"/>
    <w:next w:val="1"/>
    <w:link w:val="44"/>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46">
    <w:name w:val="日期 字符"/>
    <w:autoRedefine/>
    <w:semiHidden/>
    <w:qFormat/>
    <w:uiPriority w:val="0"/>
    <w:rPr>
      <w:rFonts w:ascii="Times New Roman" w:hAnsi="Times New Roman" w:eastAsia="宋体" w:cs="Times New Roman"/>
      <w:sz w:val="24"/>
      <w:szCs w:val="24"/>
    </w:rPr>
  </w:style>
  <w:style w:type="character" w:customStyle="1" w:styleId="47">
    <w:name w:val="正文文本 字符1"/>
    <w:autoRedefine/>
    <w:semiHidden/>
    <w:qFormat/>
    <w:uiPriority w:val="0"/>
    <w:rPr>
      <w:rFonts w:ascii="Times New Roman" w:hAnsi="Times New Roman" w:eastAsia="宋体" w:cs="Times New Roman"/>
      <w:sz w:val="24"/>
      <w:szCs w:val="24"/>
    </w:rPr>
  </w:style>
  <w:style w:type="paragraph" w:customStyle="1" w:styleId="48">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49">
    <w:name w:val="批注文字 字符1"/>
    <w:autoRedefine/>
    <w:semiHidden/>
    <w:qFormat/>
    <w:uiPriority w:val="0"/>
    <w:rPr>
      <w:rFonts w:ascii="Times New Roman" w:hAnsi="Times New Roman" w:eastAsia="宋体" w:cs="Times New Roman"/>
      <w:sz w:val="24"/>
      <w:szCs w:val="24"/>
    </w:rPr>
  </w:style>
  <w:style w:type="character" w:customStyle="1" w:styleId="50">
    <w:name w:val="普通(网站) Char"/>
    <w:autoRedefine/>
    <w:qFormat/>
    <w:locked/>
    <w:uiPriority w:val="0"/>
    <w:rPr>
      <w:rFonts w:ascii="宋体" w:hAnsi="宋体" w:eastAsia="宋体"/>
      <w:sz w:val="24"/>
    </w:rPr>
  </w:style>
  <w:style w:type="paragraph" w:customStyle="1" w:styleId="51">
    <w:name w:val="大标题"/>
    <w:basedOn w:val="22"/>
    <w:link w:val="52"/>
    <w:autoRedefine/>
    <w:qFormat/>
    <w:uiPriority w:val="0"/>
    <w:pPr>
      <w:jc w:val="center"/>
      <w:outlineLvl w:val="0"/>
    </w:pPr>
    <w:rPr>
      <w:rFonts w:ascii="黑体" w:hAnsi="黑体" w:eastAsia="黑体"/>
      <w:snapToGrid w:val="0"/>
      <w:sz w:val="30"/>
      <w:szCs w:val="30"/>
    </w:rPr>
  </w:style>
  <w:style w:type="character" w:customStyle="1" w:styleId="52">
    <w:name w:val="大标题 字符"/>
    <w:link w:val="51"/>
    <w:autoRedefine/>
    <w:qFormat/>
    <w:uiPriority w:val="0"/>
    <w:rPr>
      <w:rFonts w:ascii="黑体" w:hAnsi="黑体" w:eastAsia="黑体"/>
      <w:snapToGrid w:val="0"/>
      <w:sz w:val="30"/>
      <w:szCs w:val="30"/>
    </w:rPr>
  </w:style>
  <w:style w:type="character" w:customStyle="1" w:styleId="53">
    <w:name w:val="标题1 字符"/>
    <w:link w:val="21"/>
    <w:autoRedefine/>
    <w:qFormat/>
    <w:uiPriority w:val="0"/>
    <w:rPr>
      <w:rFonts w:cs="宋体"/>
      <w:b/>
      <w:sz w:val="24"/>
      <w:szCs w:val="21"/>
    </w:rPr>
  </w:style>
  <w:style w:type="paragraph" w:customStyle="1" w:styleId="54">
    <w:name w:val="表头"/>
    <w:basedOn w:val="20"/>
    <w:link w:val="57"/>
    <w:autoRedefine/>
    <w:qFormat/>
    <w:uiPriority w:val="0"/>
    <w:pPr>
      <w:spacing w:line="240" w:lineRule="auto"/>
      <w:ind w:firstLine="0" w:firstLineChars="0"/>
      <w:jc w:val="center"/>
    </w:pPr>
    <w:rPr>
      <w:b/>
      <w:sz w:val="21"/>
    </w:rPr>
  </w:style>
  <w:style w:type="character" w:customStyle="1" w:styleId="55">
    <w:name w:val="正文1 字符"/>
    <w:link w:val="20"/>
    <w:autoRedefine/>
    <w:qFormat/>
    <w:uiPriority w:val="0"/>
    <w:rPr>
      <w:rFonts w:cs="宋体"/>
      <w:sz w:val="24"/>
      <w:szCs w:val="21"/>
    </w:rPr>
  </w:style>
  <w:style w:type="paragraph" w:customStyle="1" w:styleId="56">
    <w:name w:val="表格内容"/>
    <w:basedOn w:val="54"/>
    <w:link w:val="59"/>
    <w:autoRedefine/>
    <w:qFormat/>
    <w:uiPriority w:val="0"/>
    <w:rPr>
      <w:b w:val="0"/>
    </w:rPr>
  </w:style>
  <w:style w:type="character" w:customStyle="1" w:styleId="57">
    <w:name w:val="表头 字符"/>
    <w:link w:val="54"/>
    <w:autoRedefine/>
    <w:qFormat/>
    <w:uiPriority w:val="0"/>
    <w:rPr>
      <w:rFonts w:cs="宋体"/>
      <w:b/>
      <w:sz w:val="21"/>
      <w:szCs w:val="21"/>
    </w:rPr>
  </w:style>
  <w:style w:type="paragraph" w:styleId="58">
    <w:name w:val="List Paragraph"/>
    <w:basedOn w:val="1"/>
    <w:autoRedefine/>
    <w:qFormat/>
    <w:uiPriority w:val="99"/>
    <w:pPr>
      <w:ind w:firstLine="420" w:firstLineChars="200"/>
    </w:pPr>
  </w:style>
  <w:style w:type="character" w:customStyle="1" w:styleId="59">
    <w:name w:val="表格内容 字符"/>
    <w:link w:val="56"/>
    <w:autoRedefine/>
    <w:qFormat/>
    <w:uiPriority w:val="0"/>
    <w:rPr>
      <w:rFonts w:cs="宋体"/>
      <w:sz w:val="21"/>
      <w:szCs w:val="21"/>
    </w:rPr>
  </w:style>
  <w:style w:type="character" w:customStyle="1" w:styleId="60">
    <w:name w:val="标题 5 Char"/>
    <w:link w:val="6"/>
    <w:autoRedefine/>
    <w:semiHidden/>
    <w:qFormat/>
    <w:uiPriority w:val="0"/>
    <w:rPr>
      <w:b/>
      <w:bCs/>
      <w:kern w:val="2"/>
      <w:sz w:val="28"/>
      <w:szCs w:val="28"/>
    </w:rPr>
  </w:style>
  <w:style w:type="table" w:customStyle="1" w:styleId="6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62">
    <w:name w:val="标题 4 Char"/>
    <w:link w:val="5"/>
    <w:autoRedefine/>
    <w:semiHidden/>
    <w:qFormat/>
    <w:uiPriority w:val="0"/>
    <w:rPr>
      <w:rFonts w:ascii="等线 Light" w:hAnsi="等线 Light" w:eastAsia="等线 Light" w:cs="Times New Roman"/>
      <w:b/>
      <w:bCs/>
      <w:kern w:val="2"/>
      <w:sz w:val="28"/>
      <w:szCs w:val="28"/>
    </w:rPr>
  </w:style>
  <w:style w:type="paragraph" w:customStyle="1" w:styleId="63">
    <w:name w:val="样式6"/>
    <w:basedOn w:val="56"/>
    <w:autoRedefine/>
    <w:qFormat/>
    <w:uiPriority w:val="0"/>
    <w:pPr>
      <w:tabs>
        <w:tab w:val="left" w:pos="2340"/>
      </w:tabs>
    </w:pPr>
    <w:rPr>
      <w:rFonts w:hAnsi="Calibri"/>
      <w:color w:val="0070C0"/>
      <w:sz w:val="20"/>
    </w:rPr>
  </w:style>
  <w:style w:type="paragraph" w:customStyle="1" w:styleId="64">
    <w:name w:val="惠泽正文"/>
    <w:basedOn w:val="1"/>
    <w:autoRedefine/>
    <w:qFormat/>
    <w:uiPriority w:val="0"/>
    <w:pPr>
      <w:spacing w:line="480" w:lineRule="exact"/>
      <w:ind w:firstLine="480" w:firstLineChars="200"/>
    </w:pPr>
    <w:rPr>
      <w:rFonts w:hAnsi="宋体" w:cs="宋体"/>
      <w:sz w:val="24"/>
      <w:szCs w:val="20"/>
    </w:rPr>
  </w:style>
  <w:style w:type="paragraph" w:customStyle="1" w:styleId="65">
    <w:name w:val="表格1"/>
    <w:basedOn w:val="1"/>
    <w:autoRedefine/>
    <w:qFormat/>
    <w:uiPriority w:val="0"/>
    <w:pPr>
      <w:widowControl/>
      <w:snapToGrid w:val="0"/>
      <w:spacing w:line="240" w:lineRule="auto"/>
      <w:ind w:firstLine="0" w:firstLineChars="0"/>
      <w:jc w:val="center"/>
    </w:pPr>
    <w:rPr>
      <w:kern w:val="0"/>
      <w:sz w:val="21"/>
      <w:szCs w:val="20"/>
    </w:rPr>
  </w:style>
  <w:style w:type="paragraph" w:customStyle="1" w:styleId="66">
    <w:name w:val="5E8A942B92774C978FFC2A16BCB09EA4"/>
    <w:autoRedefine/>
    <w:qFormat/>
    <w:uiPriority w:val="99"/>
    <w:pPr>
      <w:spacing w:after="200" w:line="276" w:lineRule="auto"/>
    </w:pPr>
    <w:rPr>
      <w:rFonts w:ascii="Calibri" w:hAnsi="Calibri" w:eastAsia="宋体" w:cs="Times New Roman"/>
      <w:sz w:val="22"/>
      <w:szCs w:val="22"/>
      <w:lang w:val="en-US" w:eastAsia="en-US" w:bidi="ar-SA"/>
    </w:rPr>
  </w:style>
  <w:style w:type="paragraph" w:customStyle="1" w:styleId="67">
    <w:name w:val="简单回函地址"/>
    <w:basedOn w:val="1"/>
    <w:autoRedefine/>
    <w:qFormat/>
    <w:uiPriority w:val="0"/>
  </w:style>
  <w:style w:type="paragraph" w:customStyle="1" w:styleId="68">
    <w:name w:val="正文 New"/>
    <w:autoRedefine/>
    <w:qFormat/>
    <w:uiPriority w:val="0"/>
    <w:pPr>
      <w:widowControl w:val="0"/>
      <w:spacing w:line="360" w:lineRule="auto"/>
      <w:ind w:firstLine="200" w:firstLineChars="200"/>
      <w:jc w:val="both"/>
    </w:pPr>
    <w:rPr>
      <w:rFonts w:ascii="Calibri" w:hAnsi="Calibri" w:eastAsia="宋体" w:cs="Times New Roman"/>
      <w:kern w:val="2"/>
      <w:sz w:val="28"/>
      <w:szCs w:val="24"/>
      <w:lang w:val="en-US" w:eastAsia="zh-CN" w:bidi="ar-SA"/>
    </w:rPr>
  </w:style>
  <w:style w:type="paragraph" w:customStyle="1" w:styleId="69">
    <w:name w:val="表内文字"/>
    <w:basedOn w:val="1"/>
    <w:autoRedefine/>
    <w:qFormat/>
    <w:uiPriority w:val="0"/>
    <w:pPr>
      <w:spacing w:line="240" w:lineRule="auto"/>
      <w:ind w:firstLine="0" w:firstLineChars="0"/>
      <w:jc w:val="center"/>
    </w:pPr>
    <w:rPr>
      <w:rFonts w:eastAsia="宋体" w:cs="Times New Roman"/>
      <w:kern w:val="2"/>
      <w:szCs w:val="22"/>
    </w:rPr>
  </w:style>
  <w:style w:type="paragraph" w:customStyle="1" w:styleId="70">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D82646-CC56-4E92-BF0D-B6B05C11328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44556</Words>
  <Characters>52435</Characters>
  <Lines>215</Lines>
  <Paragraphs>60</Paragraphs>
  <TotalTime>26</TotalTime>
  <ScaleCrop>false</ScaleCrop>
  <LinksUpToDate>false</LinksUpToDate>
  <CharactersWithSpaces>52911</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2021-06-10T02:58:00Z</dcterms:created>
  <dc:creator>lhj</dc:creator>
  <cp:lastModifiedBy>漫步者</cp:lastModifiedBy>
  <cp:lastPrinted>2024-04-02T08:21:00Z</cp:lastPrinted>
  <dcterms:modified xsi:type="dcterms:W3CDTF">2024-05-16T02:41:47Z</dcterms:modified>
  <cp:revision>693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DD161483E6DB4CEB981B6FB9AF7A1798_13</vt:lpwstr>
  </property>
</Properties>
</file>