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宋体" w:cs="Times New Roman"/>
          <w:color w:val="auto"/>
          <w:sz w:val="36"/>
          <w:szCs w:val="36"/>
          <w:lang w:val="en-US" w:eastAsia="zh-CN"/>
        </w:rPr>
      </w:pPr>
    </w:p>
    <w:p>
      <w:pPr>
        <w:rPr>
          <w:rFonts w:hint="default" w:ascii="Times New Roman" w:hAnsi="Times New Roman" w:eastAsia="宋体" w:cs="Times New Roman"/>
          <w:color w:val="auto"/>
          <w:sz w:val="36"/>
          <w:szCs w:val="36"/>
        </w:rPr>
      </w:pPr>
    </w:p>
    <w:p>
      <w:pPr>
        <w:rPr>
          <w:rFonts w:hint="default" w:ascii="Times New Roman" w:hAnsi="Times New Roman" w:eastAsia="宋体" w:cs="Times New Roman"/>
          <w:color w:val="auto"/>
          <w:sz w:val="36"/>
          <w:szCs w:val="36"/>
        </w:rPr>
      </w:pPr>
    </w:p>
    <w:p>
      <w:pPr>
        <w:adjustRightInd w:val="0"/>
        <w:snapToGrid w:val="0"/>
        <w:jc w:val="center"/>
        <w:outlineLvl w:val="0"/>
        <w:rPr>
          <w:rFonts w:hint="default" w:ascii="Times New Roman" w:hAnsi="Times New Roman" w:eastAsia="宋体" w:cs="Times New Roman"/>
          <w:bCs/>
          <w:color w:val="auto"/>
          <w:sz w:val="72"/>
          <w:szCs w:val="72"/>
        </w:rPr>
      </w:pPr>
      <w:r>
        <w:rPr>
          <w:rFonts w:hint="default" w:ascii="Times New Roman" w:hAnsi="Times New Roman" w:eastAsia="宋体" w:cs="Times New Roman"/>
          <w:bCs/>
          <w:color w:val="auto"/>
          <w:sz w:val="72"/>
          <w:szCs w:val="72"/>
        </w:rPr>
        <w:t>建设项目环境影响报告表</w:t>
      </w:r>
    </w:p>
    <w:p>
      <w:pPr>
        <w:adjustRightInd w:val="0"/>
        <w:snapToGrid w:val="0"/>
        <w:spacing w:before="192" w:beforeLines="80"/>
        <w:jc w:val="center"/>
        <w:rPr>
          <w:rFonts w:hint="default" w:ascii="Times New Roman" w:hAnsi="Times New Roman" w:eastAsia="宋体" w:cs="Times New Roman"/>
          <w:bCs/>
          <w:color w:val="auto"/>
          <w:sz w:val="48"/>
          <w:szCs w:val="48"/>
        </w:rPr>
      </w:pPr>
      <w:r>
        <w:rPr>
          <w:rFonts w:hint="default" w:ascii="Times New Roman" w:hAnsi="Times New Roman" w:eastAsia="宋体" w:cs="Times New Roman"/>
          <w:bCs/>
          <w:color w:val="auto"/>
          <w:sz w:val="48"/>
          <w:szCs w:val="48"/>
        </w:rPr>
        <w:t>（污染影响类）</w:t>
      </w:r>
    </w:p>
    <w:p>
      <w:pPr>
        <w:tabs>
          <w:tab w:val="left" w:pos="5631"/>
        </w:tabs>
        <w:adjustRightInd w:val="0"/>
        <w:snapToGrid w:val="0"/>
        <w:spacing w:line="288" w:lineRule="auto"/>
        <w:jc w:val="left"/>
        <w:outlineLvl w:val="0"/>
        <w:rPr>
          <w:rFonts w:hint="default" w:ascii="Times New Roman" w:hAnsi="Times New Roman" w:eastAsia="宋体" w:cs="Times New Roman"/>
          <w:color w:val="auto"/>
          <w:kern w:val="44"/>
          <w:sz w:val="44"/>
          <w:szCs w:val="44"/>
          <w:lang w:eastAsia="zh-CN"/>
        </w:rPr>
      </w:pPr>
      <w:r>
        <w:rPr>
          <w:rFonts w:hint="default" w:ascii="Times New Roman" w:hAnsi="Times New Roman" w:eastAsia="宋体" w:cs="Times New Roman"/>
          <w:color w:val="auto"/>
          <w:kern w:val="44"/>
          <w:sz w:val="44"/>
          <w:szCs w:val="44"/>
          <w:lang w:eastAsia="zh-CN"/>
        </w:rPr>
        <w:tab/>
      </w:r>
    </w:p>
    <w:p>
      <w:pPr>
        <w:jc w:val="center"/>
        <w:rPr>
          <w:rFonts w:hint="default" w:ascii="Times New Roman" w:hAnsi="Times New Roman" w:eastAsia="宋体" w:cs="Times New Roman"/>
          <w:color w:val="auto"/>
          <w:sz w:val="52"/>
          <w:szCs w:val="52"/>
        </w:rPr>
      </w:pPr>
    </w:p>
    <w:p>
      <w:pPr>
        <w:ind w:firstLine="1040"/>
        <w:rPr>
          <w:rFonts w:hint="default" w:ascii="Times New Roman" w:hAnsi="Times New Roman" w:eastAsia="宋体" w:cs="Times New Roman"/>
          <w:color w:val="auto"/>
          <w:sz w:val="44"/>
          <w:szCs w:val="44"/>
        </w:rPr>
      </w:pPr>
    </w:p>
    <w:p>
      <w:pPr>
        <w:ind w:firstLine="1040"/>
        <w:rPr>
          <w:rFonts w:hint="default" w:ascii="Times New Roman" w:hAnsi="Times New Roman" w:eastAsia="宋体" w:cs="Times New Roman"/>
          <w:color w:val="auto"/>
          <w:sz w:val="44"/>
          <w:szCs w:val="44"/>
        </w:rPr>
      </w:pPr>
    </w:p>
    <w:p>
      <w:pPr>
        <w:ind w:firstLine="1040"/>
        <w:rPr>
          <w:rFonts w:hint="default" w:ascii="Times New Roman" w:hAnsi="Times New Roman" w:eastAsia="宋体" w:cs="Times New Roman"/>
          <w:color w:val="auto"/>
          <w:sz w:val="44"/>
          <w:szCs w:val="44"/>
          <w:lang w:val="en-US" w:eastAsia="zh-CN"/>
        </w:rPr>
      </w:pPr>
      <w:r>
        <w:rPr>
          <w:rFonts w:hint="default" w:ascii="Times New Roman" w:hAnsi="Times New Roman" w:eastAsia="宋体" w:cs="Times New Roman"/>
          <w:color w:val="auto"/>
          <w:sz w:val="44"/>
          <w:szCs w:val="44"/>
          <w:lang w:val="en-US" w:eastAsia="zh-CN"/>
        </w:rPr>
        <w:t xml:space="preserve"> </w:t>
      </w:r>
    </w:p>
    <w:p>
      <w:pPr>
        <w:ind w:firstLine="1040"/>
        <w:rPr>
          <w:rFonts w:hint="default" w:ascii="Times New Roman" w:hAnsi="Times New Roman" w:eastAsia="宋体" w:cs="Times New Roman"/>
          <w:color w:val="auto"/>
          <w:sz w:val="44"/>
          <w:szCs w:val="44"/>
        </w:rPr>
      </w:pPr>
    </w:p>
    <w:p>
      <w:pPr>
        <w:ind w:firstLine="1040"/>
        <w:rPr>
          <w:rFonts w:hint="default" w:ascii="Times New Roman" w:hAnsi="Times New Roman" w:eastAsia="宋体" w:cs="Times New Roman"/>
          <w:color w:val="auto"/>
          <w:sz w:val="44"/>
          <w:szCs w:val="44"/>
        </w:rPr>
      </w:pPr>
    </w:p>
    <w:p>
      <w:pPr>
        <w:keepNext w:val="0"/>
        <w:keepLines w:val="0"/>
        <w:pageBreakBefore w:val="0"/>
        <w:widowControl w:val="0"/>
        <w:kinsoku/>
        <w:wordWrap/>
        <w:overflowPunct/>
        <w:topLinePunct w:val="0"/>
        <w:autoSpaceDE/>
        <w:autoSpaceDN/>
        <w:bidi w:val="0"/>
        <w:adjustRightInd w:val="0"/>
        <w:snapToGrid w:val="0"/>
        <w:spacing w:line="360" w:lineRule="auto"/>
        <w:ind w:firstLine="1080" w:firstLineChars="300"/>
        <w:jc w:val="left"/>
        <w:textAlignment w:val="auto"/>
        <w:rPr>
          <w:rFonts w:hint="default" w:ascii="Times New Roman" w:hAnsi="Times New Roman" w:eastAsia="宋体" w:cs="Times New Roman"/>
          <w:color w:val="auto"/>
          <w:sz w:val="36"/>
          <w:szCs w:val="36"/>
          <w:u w:val="single"/>
          <w:lang w:val="en-US"/>
        </w:rPr>
      </w:pPr>
      <w:r>
        <w:rPr>
          <w:rFonts w:hint="default" w:ascii="Times New Roman" w:hAnsi="Times New Roman" w:eastAsia="宋体" w:cs="Times New Roman"/>
          <w:color w:val="auto"/>
          <w:sz w:val="36"/>
          <w:szCs w:val="36"/>
        </w:rPr>
        <w:t>项目名称：</w:t>
      </w:r>
      <w:r>
        <w:rPr>
          <w:rFonts w:hint="default" w:ascii="Times New Roman" w:hAnsi="Times New Roman" w:eastAsia="宋体" w:cs="Times New Roman"/>
          <w:color w:val="auto"/>
          <w:sz w:val="32"/>
          <w:szCs w:val="32"/>
          <w:u w:val="single"/>
          <w:lang w:val="en-US" w:eastAsia="zh-CN"/>
        </w:rPr>
        <w:t xml:space="preserve">    </w:t>
      </w:r>
      <w:r>
        <w:rPr>
          <w:rFonts w:hint="default" w:ascii="Times New Roman" w:hAnsi="Times New Roman" w:eastAsia="宋体" w:cs="Times New Roman"/>
          <w:color w:val="auto"/>
          <w:sz w:val="36"/>
          <w:szCs w:val="36"/>
          <w:u w:val="single"/>
          <w:lang w:eastAsia="zh-CN"/>
        </w:rPr>
        <w:t>高科建材玻璃深加工建设项目</w:t>
      </w:r>
      <w:r>
        <w:rPr>
          <w:rFonts w:hint="default" w:ascii="Times New Roman" w:hAnsi="Times New Roman" w:eastAsia="宋体" w:cs="Times New Roman"/>
          <w:color w:val="auto"/>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4317" w:leftChars="513" w:hanging="3240" w:hangingChars="900"/>
        <w:jc w:val="left"/>
        <w:textAlignment w:val="auto"/>
        <w:rPr>
          <w:rFonts w:hint="default" w:ascii="Times New Roman" w:hAnsi="Times New Roman" w:eastAsia="宋体" w:cs="Times New Roman"/>
          <w:color w:val="auto"/>
          <w:sz w:val="36"/>
          <w:szCs w:val="36"/>
          <w:u w:val="single"/>
        </w:rPr>
      </w:pPr>
      <w:r>
        <w:rPr>
          <w:rFonts w:hint="default" w:ascii="Times New Roman" w:hAnsi="Times New Roman" w:eastAsia="宋体" w:cs="Times New Roman"/>
          <w:color w:val="auto"/>
          <w:sz w:val="36"/>
          <w:szCs w:val="36"/>
        </w:rPr>
        <w:t>建设单位（盖章）：</w:t>
      </w:r>
      <w:r>
        <w:rPr>
          <w:rFonts w:hint="default" w:ascii="Times New Roman" w:hAnsi="Times New Roman" w:eastAsia="宋体" w:cs="Times New Roman"/>
          <w:color w:val="auto"/>
          <w:sz w:val="36"/>
          <w:szCs w:val="36"/>
          <w:u w:val="single"/>
        </w:rPr>
        <w:t>高科建材（西安）新材料科技有限公司</w:t>
      </w:r>
    </w:p>
    <w:p>
      <w:pPr>
        <w:keepNext w:val="0"/>
        <w:keepLines w:val="0"/>
        <w:pageBreakBefore w:val="0"/>
        <w:widowControl w:val="0"/>
        <w:kinsoku/>
        <w:wordWrap/>
        <w:overflowPunct/>
        <w:topLinePunct w:val="0"/>
        <w:autoSpaceDE/>
        <w:autoSpaceDN/>
        <w:bidi w:val="0"/>
        <w:adjustRightInd w:val="0"/>
        <w:snapToGrid w:val="0"/>
        <w:spacing w:line="360" w:lineRule="auto"/>
        <w:ind w:firstLine="1080" w:firstLineChars="300"/>
        <w:jc w:val="left"/>
        <w:textAlignment w:val="auto"/>
        <w:rPr>
          <w:rFonts w:hint="default" w:ascii="Times New Roman" w:hAnsi="Times New Roman" w:eastAsia="宋体" w:cs="Times New Roman"/>
          <w:color w:val="auto"/>
          <w:sz w:val="36"/>
          <w:szCs w:val="36"/>
          <w:u w:val="single"/>
          <w:lang w:val="en-US" w:eastAsia="zh-CN"/>
        </w:rPr>
      </w:pPr>
      <w:r>
        <w:rPr>
          <w:rFonts w:hint="default" w:ascii="Times New Roman" w:hAnsi="Times New Roman" w:eastAsia="宋体" w:cs="Times New Roman"/>
          <w:color w:val="auto"/>
          <w:sz w:val="36"/>
          <w:szCs w:val="36"/>
        </w:rPr>
        <w:t>编制日期：</w:t>
      </w:r>
      <w:r>
        <w:rPr>
          <w:rFonts w:hint="default" w:ascii="Times New Roman" w:hAnsi="Times New Roman" w:eastAsia="宋体" w:cs="Times New Roman"/>
          <w:color w:val="auto"/>
          <w:sz w:val="32"/>
          <w:szCs w:val="32"/>
          <w:u w:val="single"/>
          <w:lang w:val="en-US" w:eastAsia="zh-CN"/>
        </w:rPr>
        <w:t xml:space="preserve">           </w:t>
      </w:r>
      <w:r>
        <w:rPr>
          <w:rFonts w:hint="default" w:ascii="Times New Roman" w:hAnsi="Times New Roman" w:eastAsia="宋体" w:cs="Times New Roman"/>
          <w:color w:val="auto"/>
          <w:sz w:val="36"/>
          <w:szCs w:val="36"/>
          <w:u w:val="single"/>
        </w:rPr>
        <w:t>二〇二</w:t>
      </w:r>
      <w:r>
        <w:rPr>
          <w:rFonts w:hint="default" w:ascii="Times New Roman" w:hAnsi="Times New Roman" w:eastAsia="宋体" w:cs="Times New Roman"/>
          <w:color w:val="auto"/>
          <w:sz w:val="36"/>
          <w:szCs w:val="36"/>
          <w:u w:val="single"/>
          <w:lang w:val="en-US" w:eastAsia="zh-CN"/>
        </w:rPr>
        <w:t>四</w:t>
      </w:r>
      <w:r>
        <w:rPr>
          <w:rFonts w:hint="default" w:ascii="Times New Roman" w:hAnsi="Times New Roman" w:eastAsia="宋体" w:cs="Times New Roman"/>
          <w:color w:val="auto"/>
          <w:sz w:val="36"/>
          <w:szCs w:val="36"/>
          <w:u w:val="single"/>
        </w:rPr>
        <w:t>年</w:t>
      </w:r>
      <w:r>
        <w:rPr>
          <w:rFonts w:hint="default" w:ascii="Times New Roman" w:hAnsi="Times New Roman" w:eastAsia="宋体" w:cs="Times New Roman"/>
          <w:color w:val="auto"/>
          <w:sz w:val="36"/>
          <w:szCs w:val="36"/>
          <w:u w:val="single"/>
          <w:lang w:val="en-US" w:eastAsia="zh-CN"/>
        </w:rPr>
        <w:t>四</w:t>
      </w:r>
      <w:r>
        <w:rPr>
          <w:rFonts w:hint="default" w:ascii="Times New Roman" w:hAnsi="Times New Roman" w:eastAsia="宋体" w:cs="Times New Roman"/>
          <w:color w:val="auto"/>
          <w:sz w:val="36"/>
          <w:szCs w:val="36"/>
          <w:u w:val="single"/>
        </w:rPr>
        <w:t>月</w:t>
      </w:r>
      <w:bookmarkStart w:id="0" w:name="_Hlk57884087"/>
      <w:r>
        <w:rPr>
          <w:rFonts w:hint="default" w:ascii="Times New Roman" w:hAnsi="Times New Roman" w:eastAsia="宋体" w:cs="Times New Roman"/>
          <w:color w:val="auto"/>
          <w:sz w:val="32"/>
          <w:szCs w:val="32"/>
          <w:u w:val="single"/>
          <w:lang w:val="en-US" w:eastAsia="zh-CN"/>
        </w:rPr>
        <w:t xml:space="preserve">         </w:t>
      </w:r>
    </w:p>
    <w:p>
      <w:pPr>
        <w:adjustRightInd w:val="0"/>
        <w:snapToGrid w:val="0"/>
        <w:spacing w:line="288" w:lineRule="auto"/>
        <w:ind w:firstLine="1040"/>
        <w:rPr>
          <w:rFonts w:hint="default" w:ascii="Times New Roman" w:hAnsi="Times New Roman" w:eastAsia="宋体" w:cs="Times New Roman"/>
          <w:color w:val="auto"/>
          <w:sz w:val="36"/>
          <w:szCs w:val="36"/>
        </w:rPr>
      </w:pPr>
    </w:p>
    <w:p>
      <w:pPr>
        <w:adjustRightInd w:val="0"/>
        <w:snapToGrid w:val="0"/>
        <w:spacing w:line="288" w:lineRule="auto"/>
        <w:ind w:firstLine="1040"/>
        <w:rPr>
          <w:rFonts w:hint="default" w:ascii="Times New Roman" w:hAnsi="Times New Roman" w:eastAsia="宋体" w:cs="Times New Roman"/>
          <w:color w:val="auto"/>
          <w:sz w:val="36"/>
          <w:szCs w:val="36"/>
        </w:rPr>
      </w:pPr>
    </w:p>
    <w:p>
      <w:pPr>
        <w:adjustRightInd w:val="0"/>
        <w:snapToGrid w:val="0"/>
        <w:spacing w:line="288" w:lineRule="auto"/>
        <w:ind w:firstLine="1040"/>
        <w:rPr>
          <w:rFonts w:hint="default" w:ascii="Times New Roman" w:hAnsi="Times New Roman" w:eastAsia="宋体" w:cs="Times New Roman"/>
          <w:color w:val="auto"/>
          <w:sz w:val="36"/>
          <w:szCs w:val="36"/>
        </w:rPr>
      </w:pPr>
    </w:p>
    <w:p>
      <w:pPr>
        <w:adjustRightInd w:val="0"/>
        <w:snapToGrid w:val="0"/>
        <w:spacing w:line="288" w:lineRule="auto"/>
        <w:rPr>
          <w:rFonts w:hint="default" w:ascii="Times New Roman" w:hAnsi="Times New Roman" w:eastAsia="宋体" w:cs="Times New Roman"/>
          <w:color w:val="auto"/>
          <w:sz w:val="36"/>
          <w:szCs w:val="36"/>
        </w:rPr>
      </w:pPr>
    </w:p>
    <w:bookmarkEnd w:id="0"/>
    <w:p>
      <w:pPr>
        <w:adjustRightInd w:val="0"/>
        <w:snapToGrid w:val="0"/>
        <w:spacing w:line="288" w:lineRule="auto"/>
        <w:jc w:val="center"/>
        <w:rPr>
          <w:rFonts w:hint="default" w:ascii="Times New Roman" w:hAnsi="Times New Roman" w:eastAsia="宋体" w:cs="Times New Roman"/>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default" w:ascii="Times New Roman" w:hAnsi="Times New Roman" w:eastAsia="宋体" w:cs="Times New Roman"/>
          <w:color w:val="auto"/>
          <w:sz w:val="36"/>
          <w:szCs w:val="36"/>
        </w:rPr>
        <w:t>中华人民共和国生态环境部制</w:t>
      </w:r>
    </w:p>
    <w:p>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hint="default" w:ascii="Times New Roman" w:hAnsi="Times New Roman" w:eastAsia="宋体" w:cs="Times New Roman"/>
          <w:b/>
          <w:bCs/>
          <w:snapToGrid w:val="0"/>
          <w:color w:val="auto"/>
          <w:sz w:val="30"/>
          <w:szCs w:val="30"/>
        </w:rPr>
      </w:pPr>
      <w:r>
        <w:rPr>
          <w:rFonts w:hint="default" w:ascii="Times New Roman" w:hAnsi="Times New Roman" w:eastAsia="宋体" w:cs="Times New Roman"/>
          <w:b/>
          <w:bCs/>
          <w:snapToGrid w:val="0"/>
          <w:color w:val="auto"/>
          <w:sz w:val="30"/>
          <w:szCs w:val="30"/>
        </w:rPr>
        <w:t>一、建设项目基本情况</w:t>
      </w:r>
    </w:p>
    <w:tbl>
      <w:tblPr>
        <w:tblStyle w:val="34"/>
        <w:tblW w:w="495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71"/>
        <w:gridCol w:w="2435"/>
        <w:gridCol w:w="1839"/>
        <w:gridCol w:w="3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37"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建设项目名称</w:t>
            </w:r>
          </w:p>
        </w:tc>
        <w:tc>
          <w:tcPr>
            <w:tcW w:w="4162" w:type="pct"/>
            <w:gridSpan w:val="3"/>
            <w:noWrap w:val="0"/>
            <w:vAlign w:val="center"/>
          </w:tcPr>
          <w:p>
            <w:pPr>
              <w:adjustRightInd w:val="0"/>
              <w:snapToGrid w:val="0"/>
              <w:jc w:val="center"/>
              <w:rPr>
                <w:rFonts w:hint="default" w:ascii="Times New Roman" w:hAnsi="Times New Roman" w:eastAsia="宋体" w:cs="Times New Roman"/>
                <w:color w:val="auto"/>
                <w:sz w:val="24"/>
                <w:szCs w:val="24"/>
                <w:highlight w:val="green"/>
                <w:lang w:val="en-US" w:eastAsia="zh-CN"/>
              </w:rPr>
            </w:pPr>
            <w:r>
              <w:rPr>
                <w:rFonts w:hint="default" w:ascii="Times New Roman" w:hAnsi="Times New Roman" w:eastAsia="宋体" w:cs="Times New Roman"/>
                <w:color w:val="auto"/>
                <w:sz w:val="24"/>
                <w:szCs w:val="24"/>
                <w:highlight w:val="none"/>
                <w:lang w:val="en-US" w:eastAsia="zh-CN"/>
              </w:rPr>
              <w:t>高科建材玻璃深加工建设项目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37"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项目代码</w:t>
            </w:r>
          </w:p>
        </w:tc>
        <w:tc>
          <w:tcPr>
            <w:tcW w:w="4162" w:type="pct"/>
            <w:gridSpan w:val="3"/>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2404-610161-04-03-732702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37"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建设单位联系人</w:t>
            </w:r>
          </w:p>
        </w:tc>
        <w:tc>
          <w:tcPr>
            <w:tcW w:w="1386" w:type="pct"/>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李本立</w:t>
            </w:r>
          </w:p>
        </w:tc>
        <w:tc>
          <w:tcPr>
            <w:tcW w:w="1047" w:type="pct"/>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联系方式</w:t>
            </w:r>
          </w:p>
        </w:tc>
        <w:tc>
          <w:tcPr>
            <w:tcW w:w="1729" w:type="pct"/>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135</w:t>
            </w:r>
            <w:r>
              <w:rPr>
                <w:rFonts w:hint="eastAsia" w:cs="Times New Roman"/>
                <w:color w:val="auto"/>
                <w:sz w:val="24"/>
                <w:szCs w:val="24"/>
                <w:highlight w:val="none"/>
                <w:lang w:val="en-US" w:eastAsia="zh-CN"/>
              </w:rPr>
              <w:t>****</w:t>
            </w:r>
            <w:bookmarkStart w:id="4" w:name="_GoBack"/>
            <w:bookmarkEnd w:id="4"/>
            <w:r>
              <w:rPr>
                <w:rFonts w:hint="default" w:ascii="Times New Roman" w:hAnsi="Times New Roman" w:eastAsia="宋体" w:cs="Times New Roman"/>
                <w:color w:val="auto"/>
                <w:sz w:val="24"/>
                <w:szCs w:val="24"/>
                <w:highlight w:val="none"/>
                <w:lang w:val="en-US" w:eastAsia="zh-CN"/>
              </w:rPr>
              <w:t>0949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37"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建设地点</w:t>
            </w:r>
          </w:p>
        </w:tc>
        <w:tc>
          <w:tcPr>
            <w:tcW w:w="4162" w:type="pct"/>
            <w:gridSpan w:val="3"/>
            <w:noWrap w:val="0"/>
            <w:vAlign w:val="center"/>
          </w:tcPr>
          <w:p>
            <w:pPr>
              <w:adjustRightInd w:val="0"/>
              <w:snapToGrid w:val="0"/>
              <w:jc w:val="center"/>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西安市高新区集贤园科技大道8号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37"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地理坐标</w:t>
            </w:r>
          </w:p>
        </w:tc>
        <w:tc>
          <w:tcPr>
            <w:tcW w:w="4162" w:type="pct"/>
            <w:gridSpan w:val="3"/>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lang w:val="en-US" w:eastAsia="zh-CN"/>
              </w:rPr>
              <w:t>经度：108°23′6.974″，纬度：34°4′38.366″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837"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国民经济</w:t>
            </w: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p>
        </w:tc>
        <w:tc>
          <w:tcPr>
            <w:tcW w:w="1386" w:type="pct"/>
            <w:noWrap w:val="0"/>
            <w:vAlign w:val="center"/>
          </w:tcPr>
          <w:p>
            <w:pPr>
              <w:keepNext w:val="0"/>
              <w:keepLines w:val="0"/>
              <w:widowControl/>
              <w:suppressLineNumbers w:val="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C3042 特种玻璃制造</w:t>
            </w:r>
          </w:p>
        </w:tc>
        <w:tc>
          <w:tcPr>
            <w:tcW w:w="1047" w:type="pct"/>
            <w:noWrap w:val="0"/>
            <w:vAlign w:val="center"/>
          </w:tcPr>
          <w:p>
            <w:pPr>
              <w:pStyle w:val="137"/>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pacing w:val="-3"/>
              </w:rPr>
              <w:t>建设项目</w:t>
            </w:r>
          </w:p>
          <w:p>
            <w:pPr>
              <w:pStyle w:val="137"/>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3"/>
              </w:rPr>
              <w:t>行业类别</w:t>
            </w:r>
          </w:p>
        </w:tc>
        <w:tc>
          <w:tcPr>
            <w:tcW w:w="1729" w:type="pct"/>
            <w:noWrap w:val="0"/>
            <w:vAlign w:val="top"/>
          </w:tcPr>
          <w:p>
            <w:pPr>
              <w:keepNext w:val="0"/>
              <w:keepLines w:val="0"/>
              <w:widowControl/>
              <w:suppressLineNumbers w:val="0"/>
              <w:jc w:val="left"/>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kern w:val="0"/>
                <w:sz w:val="24"/>
                <w:szCs w:val="24"/>
                <w:lang w:val="en-US" w:eastAsia="zh-CN" w:bidi="ar"/>
              </w:rPr>
              <w:t>二十七、非金属矿物制品业30 57 玻璃制造304；玻璃制品制造305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837"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建设性质</w:t>
            </w:r>
          </w:p>
        </w:tc>
        <w:tc>
          <w:tcPr>
            <w:tcW w:w="1386" w:type="pct"/>
            <w:noWrap w:val="0"/>
            <w:vAlign w:val="center"/>
          </w:tcPr>
          <w:p>
            <w:pPr>
              <w:adjustRightInd w:val="0"/>
              <w:snapToGrid w:val="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52"/>
            </w:r>
            <w:r>
              <w:rPr>
                <w:rFonts w:hint="default" w:ascii="Times New Roman" w:hAnsi="Times New Roman" w:eastAsia="宋体" w:cs="Times New Roman"/>
                <w:color w:val="auto"/>
                <w:sz w:val="24"/>
                <w:szCs w:val="24"/>
              </w:rPr>
              <w:t>新建（迁建）</w:t>
            </w:r>
          </w:p>
          <w:p>
            <w:pPr>
              <w:adjustRightInd w:val="0"/>
              <w:snapToGrid w:val="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改建</w:t>
            </w:r>
          </w:p>
          <w:p>
            <w:pPr>
              <w:adjustRightInd w:val="0"/>
              <w:snapToGrid w:val="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扩建</w:t>
            </w:r>
          </w:p>
          <w:p>
            <w:pPr>
              <w:adjustRightInd w:val="0"/>
              <w:snapToGrid w:val="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技术改造</w:t>
            </w:r>
          </w:p>
        </w:tc>
        <w:tc>
          <w:tcPr>
            <w:tcW w:w="1047" w:type="pct"/>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w:t>
            </w: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申报情形</w:t>
            </w:r>
          </w:p>
        </w:tc>
        <w:tc>
          <w:tcPr>
            <w:tcW w:w="1729" w:type="pct"/>
            <w:noWrap w:val="0"/>
            <w:vAlign w:val="center"/>
          </w:tcPr>
          <w:p>
            <w:pPr>
              <w:adjustRightInd w:val="0"/>
              <w:snapToGrid w:val="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52"/>
            </w:r>
            <w:r>
              <w:rPr>
                <w:rFonts w:hint="default" w:ascii="Times New Roman" w:hAnsi="Times New Roman" w:eastAsia="宋体" w:cs="Times New Roman"/>
                <w:color w:val="auto"/>
                <w:sz w:val="24"/>
                <w:szCs w:val="24"/>
              </w:rPr>
              <w:t>首次申报项目</w:t>
            </w:r>
          </w:p>
          <w:p>
            <w:pPr>
              <w:adjustRightInd w:val="0"/>
              <w:snapToGrid w:val="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不予批准后再次申报项目</w:t>
            </w:r>
          </w:p>
          <w:p>
            <w:pPr>
              <w:adjustRightInd w:val="0"/>
              <w:snapToGrid w:val="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超五年重新审核项目</w:t>
            </w:r>
          </w:p>
          <w:p>
            <w:pPr>
              <w:adjustRightInd w:val="0"/>
              <w:snapToGrid w:val="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837"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项目审批（核准/备案）部门（选填）</w:t>
            </w:r>
          </w:p>
        </w:tc>
        <w:tc>
          <w:tcPr>
            <w:tcW w:w="1386"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西安高新区行政审批服务局</w:t>
            </w:r>
          </w:p>
        </w:tc>
        <w:tc>
          <w:tcPr>
            <w:tcW w:w="1047" w:type="pct"/>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项目审批（核准/</w:t>
            </w: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备案）文号（选填）</w:t>
            </w:r>
          </w:p>
        </w:tc>
        <w:tc>
          <w:tcPr>
            <w:tcW w:w="1729" w:type="pct"/>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37"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总投资（万元）</w:t>
            </w:r>
          </w:p>
        </w:tc>
        <w:tc>
          <w:tcPr>
            <w:tcW w:w="1386" w:type="pct"/>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1800</w:t>
            </w:r>
          </w:p>
        </w:tc>
        <w:tc>
          <w:tcPr>
            <w:tcW w:w="1047"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环保投资（万元）</w:t>
            </w:r>
          </w:p>
        </w:tc>
        <w:tc>
          <w:tcPr>
            <w:tcW w:w="1729" w:type="pct"/>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37"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环保投资占比（%）</w:t>
            </w:r>
          </w:p>
        </w:tc>
        <w:tc>
          <w:tcPr>
            <w:tcW w:w="1386" w:type="pct"/>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0.56</w:t>
            </w:r>
          </w:p>
        </w:tc>
        <w:tc>
          <w:tcPr>
            <w:tcW w:w="1047"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施工工期</w:t>
            </w:r>
          </w:p>
        </w:tc>
        <w:tc>
          <w:tcPr>
            <w:tcW w:w="1729" w:type="pct"/>
            <w:noWrap w:val="0"/>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jc w:val="center"/>
        </w:trPr>
        <w:tc>
          <w:tcPr>
            <w:tcW w:w="837"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是否开工建设</w:t>
            </w:r>
          </w:p>
        </w:tc>
        <w:tc>
          <w:tcPr>
            <w:tcW w:w="1386" w:type="pct"/>
            <w:noWrap w:val="0"/>
            <w:vAlign w:val="center"/>
          </w:tcPr>
          <w:p>
            <w:pPr>
              <w:adjustRightInd w:val="0"/>
              <w:snapToGrid w:val="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52"/>
            </w:r>
            <w:r>
              <w:rPr>
                <w:rFonts w:hint="default" w:ascii="Times New Roman" w:hAnsi="Times New Roman" w:eastAsia="宋体" w:cs="Times New Roman"/>
                <w:color w:val="auto"/>
                <w:sz w:val="24"/>
                <w:szCs w:val="24"/>
              </w:rPr>
              <w:t>否</w:t>
            </w:r>
          </w:p>
          <w:p>
            <w:pPr>
              <w:adjustRightInd w:val="0"/>
              <w:snapToGrid w:val="0"/>
              <w:jc w:val="left"/>
              <w:rPr>
                <w:rFonts w:hint="default" w:ascii="Times New Roman" w:hAnsi="Times New Roman" w:eastAsia="宋体" w:cs="Times New Roman"/>
                <w:color w:val="auto"/>
                <w:sz w:val="24"/>
                <w:szCs w:val="24"/>
                <w:u w:val="single"/>
                <w:lang w:val="en-US" w:eastAsia="zh-CN"/>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是：</w:t>
            </w:r>
            <w:r>
              <w:rPr>
                <w:rFonts w:hint="default" w:ascii="Times New Roman" w:hAnsi="Times New Roman" w:eastAsia="宋体" w:cs="Times New Roman"/>
                <w:color w:val="auto"/>
                <w:sz w:val="24"/>
                <w:szCs w:val="24"/>
                <w:u w:val="single"/>
                <w:lang w:val="en-US" w:eastAsia="zh-CN"/>
              </w:rPr>
              <w:t xml:space="preserve">     </w:t>
            </w:r>
          </w:p>
        </w:tc>
        <w:tc>
          <w:tcPr>
            <w:tcW w:w="1047"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6"/>
                <w:sz w:val="24"/>
                <w:szCs w:val="24"/>
              </w:rPr>
              <w:t>用地面积（m</w:t>
            </w:r>
            <w:r>
              <w:rPr>
                <w:rFonts w:hint="default" w:ascii="Times New Roman" w:hAnsi="Times New Roman" w:eastAsia="宋体" w:cs="Times New Roman"/>
                <w:color w:val="auto"/>
                <w:spacing w:val="-6"/>
                <w:sz w:val="24"/>
                <w:szCs w:val="24"/>
                <w:vertAlign w:val="superscript"/>
              </w:rPr>
              <w:t>2</w:t>
            </w:r>
            <w:r>
              <w:rPr>
                <w:rFonts w:hint="default" w:ascii="Times New Roman" w:hAnsi="Times New Roman" w:eastAsia="宋体" w:cs="Times New Roman"/>
                <w:color w:val="auto"/>
                <w:spacing w:val="-6"/>
                <w:sz w:val="24"/>
                <w:szCs w:val="24"/>
              </w:rPr>
              <w:t>）</w:t>
            </w:r>
          </w:p>
        </w:tc>
        <w:tc>
          <w:tcPr>
            <w:tcW w:w="1729"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37"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专项评价设置情况</w:t>
            </w:r>
          </w:p>
        </w:tc>
        <w:tc>
          <w:tcPr>
            <w:tcW w:w="4162" w:type="pct"/>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37"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规划情况</w:t>
            </w:r>
          </w:p>
        </w:tc>
        <w:tc>
          <w:tcPr>
            <w:tcW w:w="4162" w:type="pct"/>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规划名称：《西安市周至县集贤产业园总体规划（2009-2025年）》</w:t>
            </w:r>
          </w:p>
          <w:p>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审批机关：周至县人民政府</w:t>
            </w:r>
          </w:p>
          <w:p>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sz w:val="24"/>
              </w:rPr>
              <w:t>审批文件名称及文号：《周至县人民政府关于集贤产业园总体规划的批复》（周政发〔2009〕19号）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7" w:type="pct"/>
            <w:noWrap w:val="0"/>
            <w:vAlign w:val="center"/>
          </w:tcPr>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规划环境影响评价情况</w:t>
            </w:r>
          </w:p>
        </w:tc>
        <w:tc>
          <w:tcPr>
            <w:tcW w:w="4162" w:type="pct"/>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规划环评：《周至县集贤产业园区总体规划环境影响报告书》</w:t>
            </w:r>
          </w:p>
          <w:p>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审查机关：</w:t>
            </w:r>
            <w:r>
              <w:rPr>
                <w:rFonts w:hint="default" w:ascii="Times New Roman" w:hAnsi="Times New Roman" w:eastAsia="宋体" w:cs="Times New Roman"/>
                <w:color w:val="auto"/>
                <w:sz w:val="24"/>
                <w:lang w:val="en-US" w:eastAsia="zh-CN"/>
              </w:rPr>
              <w:t>原</w:t>
            </w:r>
            <w:r>
              <w:rPr>
                <w:rFonts w:hint="default" w:ascii="Times New Roman" w:hAnsi="Times New Roman" w:eastAsia="宋体" w:cs="Times New Roman"/>
                <w:color w:val="auto"/>
                <w:sz w:val="24"/>
              </w:rPr>
              <w:t>西安市周至县</w:t>
            </w:r>
            <w:r>
              <w:rPr>
                <w:rFonts w:hint="default" w:ascii="Times New Roman" w:hAnsi="Times New Roman" w:eastAsia="宋体" w:cs="Times New Roman"/>
                <w:color w:val="auto"/>
                <w:sz w:val="24"/>
                <w:lang w:val="en-US" w:eastAsia="zh-CN"/>
              </w:rPr>
              <w:t>环境保护</w:t>
            </w:r>
            <w:r>
              <w:rPr>
                <w:rFonts w:hint="default" w:ascii="Times New Roman" w:hAnsi="Times New Roman" w:eastAsia="宋体" w:cs="Times New Roman"/>
                <w:color w:val="auto"/>
                <w:sz w:val="24"/>
              </w:rPr>
              <w:t>局</w:t>
            </w:r>
          </w:p>
          <w:p>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宋体" w:cs="Times New Roman"/>
                <w:color w:val="auto"/>
                <w:kern w:val="0"/>
                <w:sz w:val="24"/>
                <w:szCs w:val="21"/>
                <w:lang w:val="en-US" w:eastAsia="zh-CN" w:bidi="ar-SA"/>
              </w:rPr>
            </w:pPr>
            <w:r>
              <w:rPr>
                <w:rFonts w:hint="default" w:ascii="Times New Roman" w:hAnsi="Times New Roman" w:eastAsia="宋体" w:cs="Times New Roman"/>
                <w:color w:val="auto"/>
                <w:sz w:val="24"/>
              </w:rPr>
              <w:t>审批文件名称及文号：《关于周至县集贤产业园区总体规划环境影响报告书的审查意见》（周环批复〔2012〕62号）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37"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规划及规划环境影响评价符合性分析</w:t>
            </w:r>
          </w:p>
        </w:tc>
        <w:tc>
          <w:tcPr>
            <w:tcW w:w="4162"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根据周至县集贤产业园总体规划（2009-2025）</w:t>
            </w:r>
            <w:r>
              <w:rPr>
                <w:rFonts w:hint="eastAsia" w:cs="Times New Roman"/>
                <w:color w:val="auto"/>
                <w:sz w:val="24"/>
                <w:lang w:eastAsia="zh-CN"/>
              </w:rPr>
              <w:t>、</w:t>
            </w:r>
            <w:r>
              <w:rPr>
                <w:rFonts w:hint="default" w:ascii="Times New Roman" w:hAnsi="Times New Roman" w:eastAsia="宋体" w:cs="Times New Roman"/>
                <w:color w:val="auto"/>
                <w:sz w:val="24"/>
              </w:rPr>
              <w:t>土地利用规划，本次项目所在地属于工业用地，符合土地利用规划</w:t>
            </w:r>
            <w:r>
              <w:rPr>
                <w:rFonts w:hint="eastAsia" w:cs="Times New Roman"/>
                <w:color w:val="auto"/>
                <w:sz w:val="24"/>
                <w:lang w:val="en-US" w:eastAsia="zh-CN"/>
              </w:rPr>
              <w:t>及</w:t>
            </w:r>
            <w:r>
              <w:rPr>
                <w:rFonts w:hint="default" w:ascii="Times New Roman" w:hAnsi="Times New Roman" w:eastAsia="宋体" w:cs="Times New Roman"/>
                <w:color w:val="auto"/>
                <w:sz w:val="24"/>
              </w:rPr>
              <w:t>周至县集贤产业园总体规划（2009-2025）</w:t>
            </w:r>
            <w:r>
              <w:rPr>
                <w:rFonts w:hint="eastAsia" w:cs="Times New Roman"/>
                <w:color w:val="auto"/>
                <w:sz w:val="24"/>
                <w:lang w:eastAsia="zh-CN"/>
              </w:rPr>
              <w:t>中</w:t>
            </w:r>
            <w:r>
              <w:rPr>
                <w:rFonts w:hint="eastAsia" w:cs="Times New Roman"/>
                <w:color w:val="auto"/>
                <w:sz w:val="24"/>
                <w:lang w:val="en-US" w:eastAsia="zh-CN"/>
              </w:rPr>
              <w:t>产业规划</w:t>
            </w:r>
            <w:r>
              <w:rPr>
                <w:rFonts w:hint="default" w:ascii="Times New Roman" w:hAnsi="Times New Roman" w:eastAsia="宋体" w:cs="Times New Roman"/>
                <w:color w:val="auto"/>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项目与《周至县集贤产业园区总体规划</w:t>
            </w:r>
            <w:r>
              <w:rPr>
                <w:rFonts w:hint="eastAsia" w:cs="Times New Roman"/>
                <w:color w:val="auto"/>
                <w:sz w:val="24"/>
                <w:lang w:val="en-US" w:eastAsia="zh-CN"/>
              </w:rPr>
              <w:t>环评</w:t>
            </w:r>
            <w:r>
              <w:rPr>
                <w:rFonts w:hint="default" w:ascii="Times New Roman" w:hAnsi="Times New Roman" w:eastAsia="宋体" w:cs="Times New Roman"/>
                <w:color w:val="auto"/>
                <w:sz w:val="24"/>
              </w:rPr>
              <w:t>》及审查意见相符性见下表。</w:t>
            </w:r>
          </w:p>
          <w:p>
            <w:pPr>
              <w:keepNext w:val="0"/>
              <w:keepLines w:val="0"/>
              <w:pageBreakBefore w:val="0"/>
              <w:kinsoku/>
              <w:wordWrap/>
              <w:overflowPunct/>
              <w:autoSpaceDE w:val="0"/>
              <w:autoSpaceDN w:val="0"/>
              <w:bidi w:val="0"/>
              <w:adjustRightInd w:val="0"/>
              <w:snapToGrid w:val="0"/>
              <w:spacing w:line="360" w:lineRule="auto"/>
              <w:ind w:firstLine="0" w:firstLineChars="0"/>
              <w:jc w:val="center"/>
              <w:rPr>
                <w:rFonts w:hint="default" w:ascii="Times New Roman" w:hAnsi="Times New Roman" w:eastAsia="宋体" w:cs="Times New Roman"/>
                <w:b/>
                <w:bCs w:val="0"/>
                <w:color w:val="auto"/>
                <w:kern w:val="0"/>
                <w:sz w:val="24"/>
                <w:szCs w:val="24"/>
              </w:rPr>
            </w:pPr>
            <w:r>
              <w:rPr>
                <w:rFonts w:hint="default" w:ascii="Times New Roman" w:hAnsi="Times New Roman" w:eastAsia="宋体" w:cs="Times New Roman"/>
                <w:b/>
                <w:bCs w:val="0"/>
                <w:color w:val="auto"/>
                <w:kern w:val="0"/>
                <w:sz w:val="24"/>
                <w:szCs w:val="24"/>
              </w:rPr>
              <w:t>表1-1  与集贤产业园总体规划环评及审查意见相符性</w:t>
            </w:r>
          </w:p>
          <w:tbl>
            <w:tblPr>
              <w:tblStyle w:val="34"/>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82"/>
              <w:gridCol w:w="2558"/>
              <w:gridCol w:w="2884"/>
              <w:gridCol w:w="84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55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规划</w:t>
                  </w:r>
                </w:p>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内容</w:t>
                  </w:r>
                </w:p>
              </w:tc>
              <w:tc>
                <w:tcPr>
                  <w:tcW w:w="1810"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规划要求</w:t>
                  </w:r>
                </w:p>
              </w:tc>
              <w:tc>
                <w:tcPr>
                  <w:tcW w:w="2040"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本项目情况</w:t>
                  </w:r>
                </w:p>
              </w:tc>
              <w:tc>
                <w:tcPr>
                  <w:tcW w:w="595"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符合性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55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规划</w:t>
                  </w:r>
                </w:p>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定位</w:t>
                  </w:r>
                </w:p>
              </w:tc>
              <w:tc>
                <w:tcPr>
                  <w:tcW w:w="1810"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sz w:val="21"/>
                      <w:szCs w:val="21"/>
                    </w:rPr>
                    <w:t>以工业为主，居住和公共设施为辅的城市综合区，形成“三大产业板块”，即周至技术产业、现代制造业、现代服务业。</w:t>
                  </w:r>
                </w:p>
              </w:tc>
              <w:tc>
                <w:tcPr>
                  <w:tcW w:w="2040"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本项目为</w:t>
                  </w:r>
                  <w:r>
                    <w:rPr>
                      <w:rFonts w:hint="default" w:ascii="Times New Roman" w:hAnsi="Times New Roman" w:eastAsia="宋体" w:cs="Times New Roman"/>
                      <w:b w:val="0"/>
                      <w:bCs w:val="0"/>
                      <w:color w:val="auto"/>
                      <w:sz w:val="21"/>
                      <w:szCs w:val="21"/>
                      <w:lang w:val="en-US" w:eastAsia="zh-CN"/>
                    </w:rPr>
                    <w:t>特种玻璃制造</w:t>
                  </w:r>
                  <w:r>
                    <w:rPr>
                      <w:rFonts w:hint="default" w:ascii="Times New Roman" w:hAnsi="Times New Roman" w:eastAsia="宋体" w:cs="Times New Roman"/>
                      <w:b w:val="0"/>
                      <w:bCs w:val="0"/>
                      <w:color w:val="auto"/>
                      <w:sz w:val="21"/>
                      <w:szCs w:val="21"/>
                    </w:rPr>
                    <w:t>，属于其中的制造业，符合园区规划定位。</w:t>
                  </w:r>
                </w:p>
              </w:tc>
              <w:tc>
                <w:tcPr>
                  <w:tcW w:w="595"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55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产业</w:t>
                  </w:r>
                </w:p>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定位</w:t>
                  </w:r>
                </w:p>
              </w:tc>
              <w:tc>
                <w:tcPr>
                  <w:tcW w:w="1810"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产业园区规划主导产业工业类型为食品及粮油加工业、纺织工业、电子信息产业、肥料制造业、医药、机械、新型材料等</w:t>
                  </w:r>
                  <w:r>
                    <w:rPr>
                      <w:rFonts w:hint="default" w:ascii="Times New Roman" w:hAnsi="Times New Roman" w:eastAsia="宋体" w:cs="Times New Roman"/>
                      <w:b w:val="0"/>
                      <w:bCs w:val="0"/>
                      <w:color w:val="auto"/>
                      <w:sz w:val="21"/>
                      <w:szCs w:val="21"/>
                      <w:lang w:eastAsia="zh-CN"/>
                    </w:rPr>
                    <w:t>，园</w:t>
                  </w:r>
                  <w:r>
                    <w:rPr>
                      <w:rFonts w:hint="default" w:ascii="Times New Roman" w:hAnsi="Times New Roman" w:eastAsia="宋体" w:cs="Times New Roman"/>
                      <w:b w:val="0"/>
                      <w:bCs w:val="0"/>
                      <w:color w:val="auto"/>
                      <w:sz w:val="21"/>
                      <w:szCs w:val="21"/>
                    </w:rPr>
                    <w:t>区内的工业应按照高效益、高技术、低污染、低耗能、占地少的原则发展，通过周至技术产业的发展带动工业行业的整体发展。</w:t>
                  </w:r>
                </w:p>
              </w:tc>
              <w:tc>
                <w:tcPr>
                  <w:tcW w:w="2040"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本项目为</w:t>
                  </w:r>
                  <w:r>
                    <w:rPr>
                      <w:rFonts w:hint="default" w:ascii="Times New Roman" w:hAnsi="Times New Roman" w:eastAsia="宋体" w:cs="Times New Roman"/>
                      <w:color w:val="auto"/>
                      <w:kern w:val="0"/>
                      <w:sz w:val="21"/>
                      <w:szCs w:val="21"/>
                      <w:lang w:val="en-US" w:eastAsia="zh-CN" w:bidi="ar"/>
                    </w:rPr>
                    <w:t>特种玻璃制造</w:t>
                  </w:r>
                  <w:r>
                    <w:rPr>
                      <w:rFonts w:hint="default" w:ascii="Times New Roman" w:hAnsi="Times New Roman" w:eastAsia="宋体" w:cs="Times New Roman"/>
                      <w:b w:val="0"/>
                      <w:bCs w:val="0"/>
                      <w:color w:val="auto"/>
                      <w:sz w:val="21"/>
                      <w:szCs w:val="21"/>
                    </w:rPr>
                    <w:t>，</w:t>
                  </w:r>
                  <w:r>
                    <w:rPr>
                      <w:rFonts w:hint="eastAsia" w:cs="Times New Roman"/>
                      <w:b w:val="0"/>
                      <w:bCs w:val="0"/>
                      <w:color w:val="auto"/>
                      <w:sz w:val="21"/>
                      <w:szCs w:val="21"/>
                      <w:lang w:val="en-US" w:eastAsia="zh-CN"/>
                    </w:rPr>
                    <w:t>属于</w:t>
                  </w:r>
                  <w:r>
                    <w:rPr>
                      <w:rFonts w:hint="default" w:ascii="Times New Roman" w:hAnsi="Times New Roman" w:eastAsia="宋体" w:cs="Times New Roman"/>
                      <w:b w:val="0"/>
                      <w:bCs w:val="0"/>
                      <w:color w:val="auto"/>
                      <w:sz w:val="21"/>
                      <w:szCs w:val="21"/>
                    </w:rPr>
                    <w:t>新型材料</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不涉及高污染、高耗能的生产工序，符合园区的产业定位。</w:t>
                  </w:r>
                  <w:r>
                    <w:rPr>
                      <w:rFonts w:hint="default" w:ascii="Times New Roman" w:hAnsi="Times New Roman" w:eastAsia="宋体" w:cs="Times New Roman"/>
                      <w:b w:val="0"/>
                      <w:bCs w:val="0"/>
                      <w:color w:val="auto"/>
                      <w:sz w:val="21"/>
                      <w:szCs w:val="21"/>
                      <w:lang w:val="en-US" w:eastAsia="zh-CN"/>
                    </w:rPr>
                    <w:t>同时</w:t>
                  </w:r>
                  <w:r>
                    <w:rPr>
                      <w:rFonts w:hint="eastAsia" w:cs="Times New Roman"/>
                      <w:b w:val="0"/>
                      <w:bCs w:val="0"/>
                      <w:color w:val="auto"/>
                      <w:sz w:val="21"/>
                      <w:szCs w:val="21"/>
                      <w:lang w:val="en-US" w:eastAsia="zh-CN"/>
                    </w:rPr>
                    <w:t>可</w:t>
                  </w:r>
                  <w:r>
                    <w:rPr>
                      <w:rFonts w:hint="default" w:ascii="Times New Roman" w:hAnsi="Times New Roman" w:eastAsia="宋体" w:cs="Times New Roman"/>
                      <w:b w:val="0"/>
                      <w:bCs w:val="0"/>
                      <w:color w:val="auto"/>
                      <w:sz w:val="21"/>
                      <w:szCs w:val="21"/>
                    </w:rPr>
                    <w:t>带动周至技术产业的发展工业行业的整体发展</w:t>
                  </w:r>
                  <w:r>
                    <w:rPr>
                      <w:rFonts w:hint="default" w:ascii="Times New Roman" w:hAnsi="Times New Roman" w:eastAsia="宋体" w:cs="Times New Roman"/>
                      <w:color w:val="auto"/>
                      <w:sz w:val="21"/>
                      <w:szCs w:val="21"/>
                      <w:highlight w:val="none"/>
                      <w:lang w:val="en-US" w:eastAsia="zh-CN"/>
                    </w:rPr>
                    <w:t>。</w:t>
                  </w:r>
                </w:p>
              </w:tc>
              <w:tc>
                <w:tcPr>
                  <w:tcW w:w="595"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55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声环境控制措施</w:t>
                  </w:r>
                </w:p>
              </w:tc>
              <w:tc>
                <w:tcPr>
                  <w:tcW w:w="1810"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规划环评要求入园项目必须确保厂界噪声达标，对各种工业噪声源分别采用隔声、吸声和消声等措施，必要时应增加设置隔声罩、隔声屏障等措施，降低噪声源强，减少对周围环境的影响。</w:t>
                  </w:r>
                </w:p>
              </w:tc>
              <w:tc>
                <w:tcPr>
                  <w:tcW w:w="2040"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本项目拟采用低噪声设备，采取隔声、减振</w:t>
                  </w:r>
                  <w:r>
                    <w:rPr>
                      <w:rFonts w:hint="eastAsia" w:cs="Times New Roman"/>
                      <w:b w:val="0"/>
                      <w:bCs w:val="0"/>
                      <w:color w:val="auto"/>
                      <w:sz w:val="21"/>
                      <w:szCs w:val="21"/>
                      <w:lang w:val="en-US" w:eastAsia="zh-CN"/>
                    </w:rPr>
                    <w:t>及厂房隔声</w:t>
                  </w:r>
                  <w:r>
                    <w:rPr>
                      <w:rFonts w:hint="default" w:ascii="Times New Roman" w:hAnsi="Times New Roman" w:eastAsia="宋体" w:cs="Times New Roman"/>
                      <w:b w:val="0"/>
                      <w:bCs w:val="0"/>
                      <w:color w:val="auto"/>
                      <w:sz w:val="21"/>
                      <w:szCs w:val="21"/>
                    </w:rPr>
                    <w:t>等降噪措施，确保厂界噪声达标，减少对周围环境的影响。</w:t>
                  </w:r>
                </w:p>
              </w:tc>
              <w:tc>
                <w:tcPr>
                  <w:tcW w:w="595"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color w:val="auto"/>
                      <w:kern w:val="0"/>
                      <w:sz w:val="21"/>
                      <w:szCs w:val="21"/>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55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大气污染控制措施</w:t>
                  </w:r>
                </w:p>
              </w:tc>
              <w:tc>
                <w:tcPr>
                  <w:tcW w:w="1810"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实施清洁生产，节约能源，降低物耗，使污染物产生量和排放量最小化，减少大气污染；采取治理措施，对现有污染源进行治理，确保达标排放。</w:t>
                  </w:r>
                </w:p>
              </w:tc>
              <w:tc>
                <w:tcPr>
                  <w:tcW w:w="2040"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本项目采取</w:t>
                  </w:r>
                  <w:r>
                    <w:rPr>
                      <w:rFonts w:hint="default" w:ascii="Times New Roman" w:hAnsi="Times New Roman" w:eastAsia="宋体" w:cs="Times New Roman"/>
                      <w:b w:val="0"/>
                      <w:bCs w:val="0"/>
                      <w:color w:val="auto"/>
                      <w:sz w:val="21"/>
                      <w:szCs w:val="21"/>
                      <w:lang w:val="en-US" w:eastAsia="zh-CN"/>
                    </w:rPr>
                    <w:t>相关环保</w:t>
                  </w:r>
                  <w:r>
                    <w:rPr>
                      <w:rFonts w:hint="default" w:ascii="Times New Roman" w:hAnsi="Times New Roman" w:eastAsia="宋体" w:cs="Times New Roman"/>
                      <w:b w:val="0"/>
                      <w:bCs w:val="0"/>
                      <w:color w:val="auto"/>
                      <w:sz w:val="21"/>
                      <w:szCs w:val="21"/>
                    </w:rPr>
                    <w:t>措施使污染物产生量和排放量最小化，确保</w:t>
                  </w:r>
                  <w:r>
                    <w:rPr>
                      <w:rFonts w:hint="eastAsia" w:cs="Times New Roman"/>
                      <w:b w:val="0"/>
                      <w:bCs w:val="0"/>
                      <w:color w:val="auto"/>
                      <w:sz w:val="21"/>
                      <w:szCs w:val="21"/>
                      <w:lang w:val="en-US" w:eastAsia="zh-CN"/>
                    </w:rPr>
                    <w:t>污染物</w:t>
                  </w:r>
                  <w:r>
                    <w:rPr>
                      <w:rFonts w:hint="default" w:ascii="Times New Roman" w:hAnsi="Times New Roman" w:eastAsia="宋体" w:cs="Times New Roman"/>
                      <w:b w:val="0"/>
                      <w:bCs w:val="0"/>
                      <w:color w:val="auto"/>
                      <w:sz w:val="21"/>
                      <w:szCs w:val="21"/>
                    </w:rPr>
                    <w:t>达标排放。</w:t>
                  </w:r>
                </w:p>
              </w:tc>
              <w:tc>
                <w:tcPr>
                  <w:tcW w:w="595"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55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固废控制措施</w:t>
                  </w:r>
                </w:p>
              </w:tc>
              <w:tc>
                <w:tcPr>
                  <w:tcW w:w="1810"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园区内产生的生活垃圾，由园区统一收集后清运至周至县垃圾填埋场集中处置；一般工业固废按照减量化、资源化的原则，加强废物循环和回收再利用；危险废物委托有资质单位规范处置并严格执行转移联单制度。</w:t>
                  </w:r>
                </w:p>
              </w:tc>
              <w:tc>
                <w:tcPr>
                  <w:tcW w:w="2040"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val="0"/>
                      <w:snapToGrid w:val="0"/>
                      <w:color w:val="auto"/>
                      <w:kern w:val="0"/>
                      <w:sz w:val="21"/>
                      <w:szCs w:val="21"/>
                      <w:highlight w:val="none"/>
                    </w:rPr>
                  </w:pPr>
                  <w:r>
                    <w:rPr>
                      <w:rFonts w:hint="default" w:ascii="Times New Roman" w:hAnsi="Times New Roman" w:eastAsia="宋体" w:cs="Times New Roman"/>
                      <w:b w:val="0"/>
                      <w:bCs w:val="0"/>
                      <w:color w:val="auto"/>
                      <w:sz w:val="21"/>
                      <w:szCs w:val="21"/>
                      <w:highlight w:val="none"/>
                    </w:rPr>
                    <w:t>项目生活垃圾分类收集后暂存垃圾桶由环卫部门统一清运处置；废油脂</w:t>
                  </w:r>
                  <w:r>
                    <w:rPr>
                      <w:rFonts w:hint="default" w:ascii="Times New Roman" w:hAnsi="Times New Roman" w:eastAsia="宋体" w:cs="Times New Roman"/>
                      <w:b w:val="0"/>
                      <w:bCs w:val="0"/>
                      <w:color w:val="auto"/>
                      <w:sz w:val="21"/>
                      <w:szCs w:val="21"/>
                      <w:highlight w:val="none"/>
                      <w:lang w:eastAsia="zh-CN"/>
                    </w:rPr>
                    <w:t>专用桶</w:t>
                  </w:r>
                  <w:r>
                    <w:rPr>
                      <w:rFonts w:hint="default" w:ascii="Times New Roman" w:hAnsi="Times New Roman" w:eastAsia="宋体" w:cs="Times New Roman"/>
                      <w:b w:val="0"/>
                      <w:bCs w:val="0"/>
                      <w:color w:val="auto"/>
                      <w:sz w:val="21"/>
                      <w:szCs w:val="21"/>
                      <w:highlight w:val="none"/>
                    </w:rPr>
                    <w:t>收集后交</w:t>
                  </w:r>
                  <w:r>
                    <w:rPr>
                      <w:rFonts w:hint="default" w:ascii="Times New Roman" w:hAnsi="Times New Roman" w:eastAsia="宋体" w:cs="Times New Roman"/>
                      <w:b w:val="0"/>
                      <w:bCs w:val="0"/>
                      <w:color w:val="auto"/>
                      <w:sz w:val="21"/>
                      <w:szCs w:val="21"/>
                      <w:highlight w:val="none"/>
                      <w:lang w:val="en-US" w:eastAsia="zh-CN"/>
                    </w:rPr>
                    <w:t>有资质单位</w:t>
                  </w:r>
                  <w:r>
                    <w:rPr>
                      <w:rFonts w:hint="default" w:ascii="Times New Roman" w:hAnsi="Times New Roman" w:eastAsia="宋体" w:cs="Times New Roman"/>
                      <w:b w:val="0"/>
                      <w:bCs w:val="0"/>
                      <w:color w:val="auto"/>
                      <w:sz w:val="21"/>
                      <w:szCs w:val="21"/>
                      <w:highlight w:val="none"/>
                    </w:rPr>
                    <w:t>处置</w:t>
                  </w:r>
                  <w:r>
                    <w:rPr>
                      <w:rFonts w:hint="default" w:ascii="Times New Roman" w:hAnsi="Times New Roman" w:eastAsia="宋体" w:cs="Times New Roman"/>
                      <w:b w:val="0"/>
                      <w:bCs w:val="0"/>
                      <w:color w:val="auto"/>
                      <w:sz w:val="21"/>
                      <w:szCs w:val="21"/>
                      <w:highlight w:val="none"/>
                      <w:lang w:eastAsia="zh-CN"/>
                    </w:rPr>
                    <w:t>；废包装材料、沉淀池沉渣、废胶桶（不含胶）</w:t>
                  </w:r>
                  <w:r>
                    <w:rPr>
                      <w:rFonts w:hint="default" w:ascii="Times New Roman" w:hAnsi="Times New Roman" w:eastAsia="宋体" w:cs="Times New Roman"/>
                      <w:b w:val="0"/>
                      <w:bCs w:val="0"/>
                      <w:color w:val="auto"/>
                      <w:sz w:val="21"/>
                      <w:szCs w:val="21"/>
                      <w:highlight w:val="none"/>
                      <w:lang w:val="en-US" w:eastAsia="zh-CN"/>
                    </w:rPr>
                    <w:t>依托高科建材</w:t>
                  </w:r>
                  <w:r>
                    <w:rPr>
                      <w:rFonts w:hint="default" w:ascii="Times New Roman" w:hAnsi="Times New Roman" w:eastAsia="宋体" w:cs="Times New Roman"/>
                      <w:b w:val="0"/>
                      <w:bCs w:val="0"/>
                      <w:color w:val="auto"/>
                      <w:sz w:val="21"/>
                      <w:szCs w:val="21"/>
                      <w:highlight w:val="none"/>
                    </w:rPr>
                    <w:t>一般固废暂存区</w:t>
                  </w:r>
                  <w:r>
                    <w:rPr>
                      <w:rFonts w:hint="default" w:ascii="Times New Roman" w:hAnsi="Times New Roman" w:eastAsia="宋体" w:cs="Times New Roman"/>
                      <w:b w:val="0"/>
                      <w:bCs w:val="0"/>
                      <w:color w:val="auto"/>
                      <w:sz w:val="21"/>
                      <w:szCs w:val="21"/>
                      <w:highlight w:val="none"/>
                      <w:lang w:val="en-US" w:eastAsia="zh-CN"/>
                    </w:rPr>
                    <w:t>暂存，</w:t>
                  </w:r>
                  <w:r>
                    <w:rPr>
                      <w:rFonts w:hint="default" w:ascii="Times New Roman" w:hAnsi="Times New Roman" w:eastAsia="宋体" w:cs="Times New Roman"/>
                      <w:b w:val="0"/>
                      <w:bCs w:val="0"/>
                      <w:color w:val="auto"/>
                      <w:sz w:val="21"/>
                      <w:szCs w:val="21"/>
                      <w:highlight w:val="none"/>
                    </w:rPr>
                    <w:t>定期外售；废滤料、废RO膜</w:t>
                  </w:r>
                  <w:r>
                    <w:rPr>
                      <w:rFonts w:hint="default" w:ascii="Times New Roman" w:hAnsi="Times New Roman" w:eastAsia="宋体" w:cs="Times New Roman"/>
                      <w:b w:val="0"/>
                      <w:bCs w:val="0"/>
                      <w:color w:val="auto"/>
                      <w:sz w:val="21"/>
                      <w:szCs w:val="21"/>
                      <w:highlight w:val="none"/>
                      <w:lang w:val="en-US" w:eastAsia="zh-CN"/>
                    </w:rPr>
                    <w:t>由厂家回收；</w:t>
                  </w:r>
                  <w:r>
                    <w:rPr>
                      <w:rFonts w:hint="default" w:ascii="Times New Roman" w:hAnsi="Times New Roman" w:eastAsia="宋体" w:cs="Times New Roman"/>
                      <w:b w:val="0"/>
                      <w:bCs w:val="0"/>
                      <w:color w:val="auto"/>
                      <w:sz w:val="21"/>
                      <w:szCs w:val="21"/>
                      <w:highlight w:val="none"/>
                    </w:rPr>
                    <w:t>危险</w:t>
                  </w:r>
                  <w:r>
                    <w:rPr>
                      <w:rFonts w:hint="default" w:ascii="Times New Roman" w:hAnsi="Times New Roman" w:eastAsia="宋体" w:cs="Times New Roman"/>
                      <w:b w:val="0"/>
                      <w:bCs w:val="0"/>
                      <w:color w:val="auto"/>
                      <w:sz w:val="21"/>
                      <w:szCs w:val="21"/>
                      <w:highlight w:val="none"/>
                      <w:lang w:val="en-US" w:eastAsia="zh-CN"/>
                    </w:rPr>
                    <w:t>废物依托高科建材</w:t>
                  </w:r>
                  <w:r>
                    <w:rPr>
                      <w:rFonts w:hint="default" w:ascii="Times New Roman" w:hAnsi="Times New Roman" w:eastAsia="宋体" w:cs="Times New Roman"/>
                      <w:b w:val="0"/>
                      <w:bCs w:val="0"/>
                      <w:color w:val="auto"/>
                      <w:sz w:val="21"/>
                      <w:szCs w:val="21"/>
                      <w:highlight w:val="none"/>
                      <w:lang w:eastAsia="zh-CN"/>
                    </w:rPr>
                    <w:t>危废贮存库</w:t>
                  </w:r>
                  <w:r>
                    <w:rPr>
                      <w:rFonts w:hint="default" w:ascii="Times New Roman" w:hAnsi="Times New Roman" w:eastAsia="宋体" w:cs="Times New Roman"/>
                      <w:b w:val="0"/>
                      <w:bCs w:val="0"/>
                      <w:color w:val="auto"/>
                      <w:sz w:val="21"/>
                      <w:szCs w:val="21"/>
                      <w:highlight w:val="none"/>
                      <w:lang w:val="en-US" w:eastAsia="zh-CN"/>
                    </w:rPr>
                    <w:t>分区暂存，</w:t>
                  </w:r>
                  <w:r>
                    <w:rPr>
                      <w:rFonts w:hint="default" w:ascii="Times New Roman" w:hAnsi="Times New Roman" w:eastAsia="宋体" w:cs="Times New Roman"/>
                      <w:b w:val="0"/>
                      <w:bCs w:val="0"/>
                      <w:color w:val="auto"/>
                      <w:sz w:val="21"/>
                      <w:szCs w:val="21"/>
                      <w:highlight w:val="none"/>
                    </w:rPr>
                    <w:t>定期交由有资质单位处置，并严格执行转移联单制度。</w:t>
                  </w:r>
                </w:p>
              </w:tc>
              <w:tc>
                <w:tcPr>
                  <w:tcW w:w="595"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55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水环境保护措施</w:t>
                  </w:r>
                </w:p>
              </w:tc>
              <w:tc>
                <w:tcPr>
                  <w:tcW w:w="1810"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sz w:val="21"/>
                      <w:szCs w:val="21"/>
                    </w:rPr>
                    <w:t>园区建设集中式污水处理厂，并实行雨污分流，入园企业排放废水必须经处理后达到《污水综合排放标准》（GB8978-1996）三级标准后排入</w:t>
                  </w:r>
                  <w:r>
                    <w:rPr>
                      <w:rFonts w:hint="default" w:ascii="Times New Roman" w:hAnsi="Times New Roman" w:eastAsia="宋体" w:cs="Times New Roman"/>
                      <w:b w:val="0"/>
                      <w:bCs w:val="0"/>
                      <w:color w:val="auto"/>
                      <w:sz w:val="21"/>
                      <w:szCs w:val="21"/>
                      <w:lang w:eastAsia="zh-CN"/>
                    </w:rPr>
                    <w:t>至集贤产业园污水处理厂</w:t>
                  </w:r>
                  <w:r>
                    <w:rPr>
                      <w:rFonts w:hint="default" w:ascii="Times New Roman" w:hAnsi="Times New Roman" w:eastAsia="宋体" w:cs="Times New Roman"/>
                      <w:b w:val="0"/>
                      <w:bCs w:val="0"/>
                      <w:color w:val="auto"/>
                      <w:sz w:val="21"/>
                      <w:szCs w:val="21"/>
                    </w:rPr>
                    <w:t>。</w:t>
                  </w:r>
                </w:p>
              </w:tc>
              <w:tc>
                <w:tcPr>
                  <w:tcW w:w="2040"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r>
                    <w:rPr>
                      <w:rFonts w:hint="default" w:ascii="Times New Roman" w:hAnsi="Times New Roman" w:eastAsia="宋体" w:cs="Times New Roman"/>
                      <w:color w:val="auto"/>
                      <w:sz w:val="21"/>
                      <w:szCs w:val="21"/>
                      <w:lang w:val="en-US" w:eastAsia="zh-CN"/>
                    </w:rPr>
                    <w:t>食堂废水经油水分离器处理后与</w:t>
                  </w:r>
                  <w:r>
                    <w:rPr>
                      <w:rFonts w:hint="eastAsia" w:cs="Times New Roman"/>
                      <w:color w:val="auto"/>
                      <w:sz w:val="21"/>
                      <w:szCs w:val="21"/>
                      <w:lang w:val="en-US" w:eastAsia="zh-CN"/>
                    </w:rPr>
                    <w:t>办公</w:t>
                  </w:r>
                  <w:r>
                    <w:rPr>
                      <w:rFonts w:hint="default" w:ascii="Times New Roman" w:hAnsi="Times New Roman" w:eastAsia="宋体" w:cs="Times New Roman"/>
                      <w:color w:val="auto"/>
                      <w:sz w:val="21"/>
                      <w:szCs w:val="21"/>
                      <w:lang w:val="en-US" w:eastAsia="zh-CN"/>
                    </w:rPr>
                    <w:t>废水一同经化粪池处理后，</w:t>
                  </w:r>
                  <w:r>
                    <w:rPr>
                      <w:rFonts w:hint="default" w:ascii="Times New Roman" w:hAnsi="Times New Roman" w:eastAsia="宋体" w:cs="Times New Roman"/>
                      <w:color w:val="auto"/>
                      <w:sz w:val="21"/>
                      <w:szCs w:val="21"/>
                    </w:rPr>
                    <w:t>达到《污水综合排放标准》（GB8978-1996）三级标准后</w:t>
                  </w:r>
                  <w:r>
                    <w:rPr>
                      <w:rFonts w:hint="default" w:ascii="Times New Roman" w:hAnsi="Times New Roman" w:eastAsia="宋体" w:cs="Times New Roman"/>
                      <w:color w:val="auto"/>
                      <w:sz w:val="21"/>
                      <w:szCs w:val="21"/>
                      <w:lang w:val="en-US" w:eastAsia="zh-CN"/>
                    </w:rPr>
                    <w:t>通过市政管网排至集贤产业园污水处理厂</w:t>
                  </w:r>
                  <w:r>
                    <w:rPr>
                      <w:rFonts w:hint="default" w:ascii="Times New Roman" w:hAnsi="Times New Roman" w:eastAsia="宋体" w:cs="Times New Roman"/>
                      <w:color w:val="auto"/>
                      <w:sz w:val="21"/>
                      <w:szCs w:val="21"/>
                    </w:rPr>
                    <w:t>。</w:t>
                  </w:r>
                </w:p>
              </w:tc>
              <w:tc>
                <w:tcPr>
                  <w:tcW w:w="595"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pPr>
              <w:keepNext w:val="0"/>
              <w:keepLines w:val="0"/>
              <w:pageBreakBefore w:val="0"/>
              <w:widowControl/>
              <w:suppressLineNumbers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综上所述，本项目建设符合</w:t>
            </w:r>
            <w:r>
              <w:rPr>
                <w:rFonts w:hint="default" w:ascii="Times New Roman" w:hAnsi="Times New Roman" w:eastAsia="宋体" w:cs="Times New Roman"/>
                <w:color w:val="auto"/>
                <w:sz w:val="24"/>
              </w:rPr>
              <w:t>周至县集贤产业园总体规划</w:t>
            </w:r>
            <w:r>
              <w:rPr>
                <w:rFonts w:hint="default" w:ascii="Times New Roman" w:hAnsi="Times New Roman" w:eastAsia="宋体" w:cs="Times New Roman"/>
                <w:color w:val="auto"/>
                <w:kern w:val="0"/>
                <w:sz w:val="24"/>
                <w:szCs w:val="24"/>
                <w:lang w:val="en-US" w:eastAsia="zh-CN" w:bidi="ar"/>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37"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highlight w:val="green"/>
                <w:lang w:val="en-US" w:eastAsia="zh-CN" w:bidi="ar-SA"/>
              </w:rPr>
            </w:pPr>
            <w:r>
              <w:rPr>
                <w:rFonts w:hint="default" w:ascii="Times New Roman" w:hAnsi="Times New Roman" w:eastAsia="宋体" w:cs="Times New Roman"/>
                <w:color w:val="auto"/>
                <w:kern w:val="0"/>
                <w:sz w:val="24"/>
                <w:szCs w:val="24"/>
              </w:rPr>
              <w:t>其他符合性分析</w:t>
            </w:r>
          </w:p>
        </w:tc>
        <w:tc>
          <w:tcPr>
            <w:tcW w:w="4162" w:type="pct"/>
            <w:gridSpan w:val="3"/>
            <w:noWrap w:val="0"/>
            <w:vAlign w:val="center"/>
          </w:tcPr>
          <w:p>
            <w:pPr>
              <w:pStyle w:val="68"/>
              <w:keepNext w:val="0"/>
              <w:keepLines w:val="0"/>
              <w:pageBreakBefore w:val="0"/>
              <w:widowControl w:val="0"/>
              <w:kinsoku/>
              <w:wordWrap/>
              <w:overflowPunct/>
              <w:topLinePunct w:val="0"/>
              <w:autoSpaceDE/>
              <w:autoSpaceDN/>
              <w:bidi w:val="0"/>
              <w:adjustRightInd w:val="0"/>
              <w:snapToGrid w:val="0"/>
              <w:ind w:firstLine="482" w:firstLineChars="200"/>
              <w:jc w:val="both"/>
              <w:textAlignment w:val="baseline"/>
              <w:rPr>
                <w:rFonts w:hint="default" w:ascii="Times New Roman" w:hAnsi="Times New Roman" w:eastAsia="宋体" w:cs="Times New Roman"/>
                <w:b/>
                <w:bCs/>
                <w:color w:val="auto"/>
              </w:rPr>
            </w:pPr>
            <w:r>
              <w:rPr>
                <w:rFonts w:hint="default" w:ascii="Times New Roman" w:hAnsi="Times New Roman" w:eastAsia="宋体" w:cs="Times New Roman"/>
                <w:b/>
                <w:bCs/>
                <w:color w:val="auto"/>
              </w:rPr>
              <w:t>1、产业政策符合性分析</w:t>
            </w:r>
          </w:p>
          <w:p>
            <w:pPr>
              <w:pStyle w:val="68"/>
              <w:keepNext w:val="0"/>
              <w:keepLines w:val="0"/>
              <w:pageBreakBefore w:val="0"/>
              <w:widowControl w:val="0"/>
              <w:kinsoku/>
              <w:wordWrap/>
              <w:overflowPunct/>
              <w:topLinePunct w:val="0"/>
              <w:autoSpaceDE/>
              <w:autoSpaceDN/>
              <w:bidi w:val="0"/>
              <w:adjustRightInd w:val="0"/>
              <w:snapToGrid w:val="0"/>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根据中华人民共和国国家发展和改革委员会令第7号《产业结构调整指导目录（2024 年本）》，本项目不属于鼓励类、限制类及淘汰类范围，属于允许类项目</w:t>
            </w:r>
            <w:r>
              <w:rPr>
                <w:rFonts w:hint="eastAsia" w:cs="Times New Roman"/>
                <w:color w:val="auto"/>
                <w:lang w:val="en-US" w:eastAsia="zh-CN"/>
              </w:rPr>
              <w:t>，同时不在《陕西省投资限制类产业指导目录》陕发改环资【2007】97号文件之列</w:t>
            </w:r>
            <w:r>
              <w:rPr>
                <w:rFonts w:hint="default" w:ascii="Times New Roman" w:hAnsi="Times New Roman" w:eastAsia="宋体" w:cs="Times New Roman"/>
                <w:color w:val="auto"/>
                <w:lang w:val="en-US" w:eastAsia="zh-CN"/>
              </w:rPr>
              <w:t>。</w:t>
            </w:r>
          </w:p>
          <w:p>
            <w:pPr>
              <w:pStyle w:val="68"/>
              <w:keepNext w:val="0"/>
              <w:keepLines w:val="0"/>
              <w:pageBreakBefore w:val="0"/>
              <w:widowControl w:val="0"/>
              <w:kinsoku/>
              <w:wordWrap/>
              <w:overflowPunct/>
              <w:topLinePunct w:val="0"/>
              <w:autoSpaceDE/>
              <w:autoSpaceDN/>
              <w:bidi w:val="0"/>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本项目</w:t>
            </w:r>
            <w:r>
              <w:rPr>
                <w:rFonts w:hint="default" w:ascii="Times New Roman" w:hAnsi="Times New Roman" w:eastAsia="宋体" w:cs="Times New Roman"/>
                <w:color w:val="auto"/>
              </w:rPr>
              <w:t>不在</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陕西省“两高”项目管理暂行目录（2022年版）》内，不属于《市场准入负面清单（202</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年版）》中禁止准入类及许可准入类项目</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highlight w:val="none"/>
              </w:rPr>
              <w:t>符合地方产业政策。</w:t>
            </w:r>
            <w:r>
              <w:rPr>
                <w:rFonts w:hint="default" w:ascii="Times New Roman" w:hAnsi="Times New Roman" w:eastAsia="宋体" w:cs="Times New Roman"/>
                <w:color w:val="auto"/>
                <w:highlight w:val="none"/>
                <w:lang w:eastAsia="zh-CN"/>
              </w:rPr>
              <w:t>本项目所使用的工艺设备均不属于《限期淘汰产生严重污染环境的工业固体废物的落后生产工艺设备名录》（工业和信息化部公告2021年第25号）中需淘汰的落后生产工艺设备。本项目于202</w:t>
            </w:r>
            <w:r>
              <w:rPr>
                <w:rFonts w:hint="default"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lang w:eastAsia="zh-CN"/>
              </w:rPr>
              <w:t>年</w:t>
            </w: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eastAsia="zh-CN"/>
              </w:rPr>
              <w:t>月</w:t>
            </w:r>
            <w:r>
              <w:rPr>
                <w:rFonts w:hint="default" w:ascii="Times New Roman" w:hAnsi="Times New Roman" w:eastAsia="宋体" w:cs="Times New Roman"/>
                <w:color w:val="auto"/>
                <w:highlight w:val="none"/>
                <w:lang w:val="en-US" w:eastAsia="zh-CN"/>
              </w:rPr>
              <w:t>9</w:t>
            </w:r>
            <w:r>
              <w:rPr>
                <w:rFonts w:hint="default" w:ascii="Times New Roman" w:hAnsi="Times New Roman" w:eastAsia="宋体" w:cs="Times New Roman"/>
                <w:color w:val="auto"/>
                <w:highlight w:val="none"/>
                <w:lang w:eastAsia="zh-CN"/>
              </w:rPr>
              <w:t>日在西安高新区行政审批服务局备案，项目代码：</w:t>
            </w:r>
            <w:r>
              <w:rPr>
                <w:rFonts w:hint="default" w:ascii="Times New Roman" w:hAnsi="Times New Roman" w:eastAsia="宋体" w:cs="Times New Roman"/>
                <w:color w:val="auto"/>
                <w:sz w:val="24"/>
                <w:szCs w:val="24"/>
                <w:highlight w:val="none"/>
                <w:lang w:val="en-US" w:eastAsia="zh-CN"/>
              </w:rPr>
              <w:t>2404-610161-04-03-732702</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lang w:val="en-US" w:eastAsia="zh-CN"/>
              </w:rPr>
              <w:t>同意该项目建设。</w:t>
            </w:r>
          </w:p>
          <w:p>
            <w:pPr>
              <w:pStyle w:val="68"/>
              <w:keepNext w:val="0"/>
              <w:keepLines w:val="0"/>
              <w:pageBreakBefore w:val="0"/>
              <w:widowControl w:val="0"/>
              <w:kinsoku/>
              <w:wordWrap/>
              <w:overflowPunct/>
              <w:topLinePunct w:val="0"/>
              <w:autoSpaceDE/>
              <w:autoSpaceDN/>
              <w:bidi w:val="0"/>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因此，</w:t>
            </w:r>
            <w:r>
              <w:rPr>
                <w:rFonts w:hint="default" w:ascii="Times New Roman" w:hAnsi="Times New Roman" w:eastAsia="宋体" w:cs="Times New Roman"/>
                <w:color w:val="auto"/>
                <w:lang w:eastAsia="zh-CN"/>
              </w:rPr>
              <w:t>本项目</w:t>
            </w:r>
            <w:r>
              <w:rPr>
                <w:rFonts w:hint="default" w:ascii="Times New Roman" w:hAnsi="Times New Roman" w:eastAsia="宋体" w:cs="Times New Roman"/>
                <w:color w:val="auto"/>
              </w:rPr>
              <w:t>符合国家及</w:t>
            </w:r>
            <w:r>
              <w:rPr>
                <w:rFonts w:hint="eastAsia" w:cs="Times New Roman"/>
                <w:color w:val="auto"/>
                <w:lang w:val="en-US" w:eastAsia="zh-CN"/>
              </w:rPr>
              <w:t>当地</w:t>
            </w:r>
            <w:r>
              <w:rPr>
                <w:rFonts w:hint="default" w:ascii="Times New Roman" w:hAnsi="Times New Roman" w:eastAsia="宋体" w:cs="Times New Roman"/>
                <w:color w:val="auto"/>
              </w:rPr>
              <w:t>相关产业政策。</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contextualSpacing/>
              <w:jc w:val="both"/>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与相关生态环境保护政策及规划符合性分析</w:t>
            </w:r>
          </w:p>
          <w:p>
            <w:pPr>
              <w:pStyle w:val="68"/>
              <w:keepNext w:val="0"/>
              <w:keepLines w:val="0"/>
              <w:pageBreakBefore w:val="0"/>
              <w:widowControl w:val="0"/>
              <w:kinsoku/>
              <w:wordWrap/>
              <w:overflowPunct/>
              <w:topLinePunct w:val="0"/>
              <w:autoSpaceDE/>
              <w:autoSpaceDN/>
              <w:bidi w:val="0"/>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rPr>
              <w:t>与相关生态环境保护政策及规划符合性分析见</w:t>
            </w:r>
            <w:r>
              <w:rPr>
                <w:rFonts w:hint="eastAsia" w:ascii="Times New Roman" w:hAnsi="Times New Roman" w:eastAsia="宋体" w:cs="Times New Roman"/>
                <w:color w:val="auto"/>
                <w:sz w:val="24"/>
                <w:szCs w:val="24"/>
                <w:lang w:val="en-US" w:eastAsia="zh-CN"/>
              </w:rPr>
              <w:t>下</w:t>
            </w:r>
            <w:r>
              <w:rPr>
                <w:rFonts w:hint="default" w:ascii="Times New Roman" w:hAnsi="Times New Roman" w:eastAsia="宋体" w:cs="Times New Roman"/>
                <w:color w:val="auto"/>
                <w:sz w:val="24"/>
                <w:szCs w:val="24"/>
              </w:rPr>
              <w:t>表。</w:t>
            </w:r>
          </w:p>
          <w:p>
            <w:pPr>
              <w:keepNext w:val="0"/>
              <w:keepLines w:val="0"/>
              <w:pageBreakBefore w:val="0"/>
              <w:kinsoku/>
              <w:wordWrap/>
              <w:overflowPunct/>
              <w:autoSpaceDE w:val="0"/>
              <w:autoSpaceDN w:val="0"/>
              <w:bidi w:val="0"/>
              <w:spacing w:line="360" w:lineRule="auto"/>
              <w:ind w:firstLine="0" w:firstLineChars="0"/>
              <w:jc w:val="center"/>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rPr>
              <w:t>表1-</w:t>
            </w:r>
            <w:r>
              <w:rPr>
                <w:rFonts w:hint="default" w:ascii="Times New Roman" w:hAnsi="Times New Roman" w:eastAsia="宋体" w:cs="Times New Roman"/>
                <w:b/>
                <w:bCs w:val="0"/>
                <w:color w:val="auto"/>
                <w:sz w:val="24"/>
                <w:szCs w:val="24"/>
                <w:lang w:val="en-US" w:eastAsia="zh-CN"/>
              </w:rPr>
              <w:t xml:space="preserve">2 </w:t>
            </w:r>
            <w:r>
              <w:rPr>
                <w:rFonts w:hint="default" w:ascii="Times New Roman" w:hAnsi="Times New Roman" w:eastAsia="宋体" w:cs="Times New Roman"/>
                <w:b/>
                <w:bCs w:val="0"/>
                <w:color w:val="auto"/>
                <w:sz w:val="24"/>
                <w:szCs w:val="24"/>
              </w:rPr>
              <w:t xml:space="preserve">   项目与相关</w:t>
            </w:r>
            <w:r>
              <w:rPr>
                <w:rFonts w:hint="default" w:ascii="Times New Roman" w:hAnsi="Times New Roman" w:eastAsia="宋体" w:cs="Times New Roman"/>
                <w:b/>
                <w:bCs w:val="0"/>
                <w:color w:val="auto"/>
                <w:sz w:val="24"/>
                <w:szCs w:val="24"/>
                <w:lang w:val="en-US" w:eastAsia="zh-CN"/>
              </w:rPr>
              <w:t>生态环境保护政策及规划符合性</w:t>
            </w:r>
            <w:r>
              <w:rPr>
                <w:rFonts w:hint="default" w:ascii="Times New Roman" w:hAnsi="Times New Roman" w:eastAsia="宋体" w:cs="Times New Roman"/>
                <w:b/>
                <w:bCs w:val="0"/>
                <w:color w:val="auto"/>
                <w:sz w:val="24"/>
                <w:szCs w:val="24"/>
              </w:rPr>
              <w:t>分析一览表</w:t>
            </w:r>
          </w:p>
          <w:tbl>
            <w:tblPr>
              <w:tblStyle w:val="34"/>
              <w:tblW w:w="4995"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
            <w:tblGrid>
              <w:gridCol w:w="1114"/>
              <w:gridCol w:w="2918"/>
              <w:gridCol w:w="2325"/>
              <w:gridCol w:w="70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78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环保政策</w:t>
                  </w:r>
                </w:p>
              </w:tc>
              <w:tc>
                <w:tcPr>
                  <w:tcW w:w="206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要求</w:t>
                  </w:r>
                </w:p>
              </w:tc>
              <w:tc>
                <w:tcPr>
                  <w:tcW w:w="164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本项目情况</w:t>
                  </w:r>
                </w:p>
              </w:tc>
              <w:tc>
                <w:tcPr>
                  <w:tcW w:w="497" w:type="pct"/>
                  <w:tcBorders>
                    <w:tl2br w:val="nil"/>
                    <w:tr2bl w:val="nil"/>
                  </w:tcBorders>
                  <w:noWrap w:val="0"/>
                  <w:vAlign w:val="center"/>
                </w:tcPr>
                <w:p>
                  <w:pPr>
                    <w:keepNext w:val="0"/>
                    <w:keepLines w:val="0"/>
                    <w:pageBreakBefore w:val="0"/>
                    <w:tabs>
                      <w:tab w:val="left" w:pos="1053"/>
                    </w:tabs>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11"/>
                      <w:sz w:val="21"/>
                      <w:szCs w:val="21"/>
                    </w:rPr>
                    <w:t>符合性分析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789"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《陕西省大气污染治理专项行动方案（</w:t>
                  </w:r>
                  <w:r>
                    <w:rPr>
                      <w:rFonts w:hint="default" w:ascii="Times New Roman" w:hAnsi="Times New Roman" w:eastAsia="宋体" w:cs="Times New Roman"/>
                      <w:color w:val="auto"/>
                      <w:kern w:val="0"/>
                      <w:sz w:val="21"/>
                      <w:szCs w:val="21"/>
                      <w:lang w:val="en-US" w:eastAsia="zh-CN"/>
                    </w:rPr>
                    <w:t>2023-2027年</w:t>
                  </w:r>
                  <w:r>
                    <w:rPr>
                      <w:rFonts w:hint="default" w:ascii="Times New Roman" w:hAnsi="Times New Roman" w:eastAsia="宋体" w:cs="Times New Roman"/>
                      <w:color w:val="auto"/>
                      <w:kern w:val="0"/>
                      <w:sz w:val="21"/>
                      <w:szCs w:val="21"/>
                      <w:lang w:eastAsia="zh-CN"/>
                    </w:rPr>
                    <w:t>）》（陕发</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2023</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号</w:t>
                  </w:r>
                  <w:r>
                    <w:rPr>
                      <w:rFonts w:hint="default" w:ascii="Times New Roman" w:hAnsi="Times New Roman" w:eastAsia="宋体" w:cs="Times New Roman"/>
                      <w:color w:val="auto"/>
                      <w:kern w:val="0"/>
                      <w:sz w:val="21"/>
                      <w:szCs w:val="21"/>
                      <w:lang w:eastAsia="zh-CN"/>
                    </w:rPr>
                    <w:t>）</w:t>
                  </w:r>
                </w:p>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p>
              </w:tc>
              <w:tc>
                <w:tcPr>
                  <w:tcW w:w="206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产业发展结构调整。关中地区严禁新增钢铁、焦化、水泥熟料、平板玻璃、电解铝、氧化铝、煤化工产能，合理控制煤制油气产能规模，严控新增炼油产能。</w:t>
                  </w:r>
                </w:p>
              </w:tc>
              <w:tc>
                <w:tcPr>
                  <w:tcW w:w="164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本项目为特种玻璃制造，不涉及上述行业。</w:t>
                  </w:r>
                </w:p>
              </w:tc>
              <w:tc>
                <w:tcPr>
                  <w:tcW w:w="4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78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206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关中地区市辖区及开发区范围内新、改、扩建涉气重点行业企业应达到环保绩效A级、绩效引领性水平，西安市、</w:t>
                  </w:r>
                  <w:r>
                    <w:rPr>
                      <w:rFonts w:hint="eastAsia" w:cs="Times New Roman"/>
                      <w:color w:val="auto"/>
                      <w:sz w:val="21"/>
                      <w:szCs w:val="21"/>
                      <w:lang w:eastAsia="zh-CN"/>
                    </w:rPr>
                    <w:t>西安市</w:t>
                  </w:r>
                  <w:r>
                    <w:rPr>
                      <w:rFonts w:hint="default" w:ascii="Times New Roman" w:hAnsi="Times New Roman" w:eastAsia="宋体" w:cs="Times New Roman"/>
                      <w:color w:val="auto"/>
                      <w:sz w:val="21"/>
                      <w:szCs w:val="21"/>
                    </w:rPr>
                    <w:t>、渭南市的其他区域应达到环保绩效B级及以上</w:t>
                  </w:r>
                  <w:r>
                    <w:rPr>
                      <w:rFonts w:hint="default" w:ascii="Times New Roman" w:hAnsi="Times New Roman" w:eastAsia="宋体" w:cs="Times New Roman"/>
                      <w:color w:val="auto"/>
                      <w:sz w:val="21"/>
                      <w:szCs w:val="21"/>
                      <w:lang w:eastAsia="zh-CN"/>
                    </w:rPr>
                    <w:t>水平。</w:t>
                  </w:r>
                </w:p>
              </w:tc>
              <w:tc>
                <w:tcPr>
                  <w:tcW w:w="164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经对照《重污染天气重点行业应急减排措施制定技术指南》，本项目不属于所列三十九个行业，不进行绩效分级分析，且项目有机废气产生量较少，对区域环境影响较小。</w:t>
                  </w:r>
                </w:p>
              </w:tc>
              <w:tc>
                <w:tcPr>
                  <w:tcW w:w="4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78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20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12.夏季臭氧应对行动。</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强化挥发性有机物无组织排放整治，确保达到相关标准要求。新建挥发性有机物治理设施不再采用单一低温等离子、光氧化、光催化等治理技术，非水溶性挥发性有机物废气不再采用单一喷淋吸收方式处理。</w:t>
                  </w:r>
                </w:p>
              </w:tc>
              <w:tc>
                <w:tcPr>
                  <w:tcW w:w="16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项目</w:t>
                  </w:r>
                  <w:r>
                    <w:rPr>
                      <w:rFonts w:hint="default" w:ascii="Times New Roman" w:hAnsi="Times New Roman" w:eastAsia="宋体" w:cs="Times New Roman"/>
                      <w:color w:val="auto"/>
                      <w:sz w:val="21"/>
                      <w:szCs w:val="21"/>
                      <w:lang w:val="en-US" w:eastAsia="zh-CN"/>
                    </w:rPr>
                    <w:t>涂胶废气经二级活性炭吸附装置处理后经15m高排气筒（DA001）排放</w:t>
                  </w:r>
                  <w:r>
                    <w:rPr>
                      <w:rFonts w:hint="default" w:ascii="Times New Roman" w:hAnsi="Times New Roman" w:eastAsia="宋体" w:cs="Times New Roman"/>
                      <w:color w:val="auto"/>
                      <w:sz w:val="21"/>
                      <w:szCs w:val="21"/>
                      <w:lang w:eastAsia="zh-CN"/>
                    </w:rPr>
                    <w:t>，最大可能降低了无组织排放</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val="en-US" w:eastAsia="zh-CN"/>
                    </w:rPr>
                    <w:t>活性炭吸附装置</w:t>
                  </w:r>
                  <w:r>
                    <w:rPr>
                      <w:rFonts w:hint="default" w:ascii="Times New Roman" w:hAnsi="Times New Roman" w:eastAsia="宋体" w:cs="Times New Roman"/>
                      <w:color w:val="auto"/>
                      <w:sz w:val="21"/>
                      <w:szCs w:val="21"/>
                    </w:rPr>
                    <w:t>不属于“低温等离子、光氧化、光催化、喷淋吸收”等单一治理工艺或者组合工艺，满足现行环保要求</w:t>
                  </w:r>
                </w:p>
              </w:tc>
              <w:tc>
                <w:tcPr>
                  <w:tcW w:w="4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78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eastAsia="zh-CN"/>
                    </w:rPr>
                    <w:t>陕西省生态环境厅《关于进一步加强关中地区涉气重点行业项目环评管理的通知》（陕环环评函〔</w:t>
                  </w:r>
                  <w:r>
                    <w:rPr>
                      <w:rFonts w:hint="default" w:ascii="Times New Roman" w:hAnsi="Times New Roman" w:eastAsia="宋体" w:cs="Times New Roman"/>
                      <w:color w:val="auto"/>
                      <w:kern w:val="0"/>
                      <w:sz w:val="21"/>
                      <w:szCs w:val="21"/>
                      <w:lang w:val="en-US" w:eastAsia="zh-CN"/>
                    </w:rPr>
                    <w:t>2023〕76号</w:t>
                  </w:r>
                  <w:r>
                    <w:rPr>
                      <w:rFonts w:hint="default" w:ascii="Times New Roman" w:hAnsi="Times New Roman" w:eastAsia="宋体" w:cs="Times New Roman"/>
                      <w:color w:val="auto"/>
                      <w:kern w:val="0"/>
                      <w:sz w:val="21"/>
                      <w:szCs w:val="21"/>
                      <w:lang w:eastAsia="zh-CN"/>
                    </w:rPr>
                    <w:t>）</w:t>
                  </w:r>
                </w:p>
              </w:tc>
              <w:tc>
                <w:tcPr>
                  <w:tcW w:w="206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color w:val="auto"/>
                      <w:kern w:val="0"/>
                      <w:sz w:val="21"/>
                      <w:szCs w:val="21"/>
                      <w:lang w:eastAsia="zh-CN"/>
                    </w:rPr>
                    <w:t>关中地区涉气重点行业项目范围为生态环境部确定的</w:t>
                  </w:r>
                  <w:r>
                    <w:rPr>
                      <w:rFonts w:hint="default" w:ascii="Times New Roman" w:hAnsi="Times New Roman" w:eastAsia="宋体" w:cs="Times New Roman"/>
                      <w:color w:val="auto"/>
                      <w:kern w:val="0"/>
                      <w:sz w:val="21"/>
                      <w:szCs w:val="21"/>
                      <w:lang w:val="en-US" w:eastAsia="zh-CN"/>
                    </w:rPr>
                    <w:t>39个重点行业的新改扩建项目，涉及关中各市（区）辖区及开发区范围内的应达到环保绩效A级、绩效引领性水平要求，西安市、</w:t>
                  </w:r>
                  <w:r>
                    <w:rPr>
                      <w:rFonts w:hint="eastAsia" w:cs="Times New Roman"/>
                      <w:color w:val="auto"/>
                      <w:kern w:val="0"/>
                      <w:sz w:val="21"/>
                      <w:szCs w:val="21"/>
                      <w:lang w:val="en-US" w:eastAsia="zh-CN"/>
                    </w:rPr>
                    <w:t>西安市</w:t>
                  </w:r>
                  <w:r>
                    <w:rPr>
                      <w:rFonts w:hint="default" w:ascii="Times New Roman" w:hAnsi="Times New Roman" w:eastAsia="宋体" w:cs="Times New Roman"/>
                      <w:color w:val="auto"/>
                      <w:kern w:val="0"/>
                      <w:sz w:val="21"/>
                      <w:szCs w:val="21"/>
                      <w:lang w:val="en-US" w:eastAsia="zh-CN"/>
                    </w:rPr>
                    <w:t>、渭南市的其他区域应达到环保绩效B级及以上要求。</w:t>
                  </w:r>
                </w:p>
              </w:tc>
              <w:tc>
                <w:tcPr>
                  <w:tcW w:w="164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val="en-US" w:eastAsia="zh-CN"/>
                    </w:rPr>
                    <w:t>本项目为特种玻璃制造</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经对照《重污染天气重点行业应急减排措施制定技术指南》，本项目不属于所列三十九个行业，不进行绩效分级分析，且项目有机废气产生量较少，对区域环境影响较小。</w:t>
                  </w:r>
                </w:p>
              </w:tc>
              <w:tc>
                <w:tcPr>
                  <w:tcW w:w="49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78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《西安市秦岭生态环境保护规划》</w:t>
                  </w:r>
                </w:p>
              </w:tc>
              <w:tc>
                <w:tcPr>
                  <w:tcW w:w="206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西安市秦岭生态环境保护区域划分为核心保护区、重点保护区、一般保护区、建设控制地带，实行全域保护和分区管控。</w:t>
                  </w:r>
                </w:p>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建设控制地带内严格执行法律、法规和省、市人民政府对建设活动的限制要求，各类建设活动应符合省秦岭生态环境保护总体规划、国土空间规划的要求，依法采取相应的生态环境保护措施，保障秦岭生态功能不降低。</w:t>
                  </w:r>
                </w:p>
              </w:tc>
              <w:tc>
                <w:tcPr>
                  <w:tcW w:w="164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位于西安市高新区集贤园科技大道8号，</w:t>
                  </w:r>
                  <w:r>
                    <w:rPr>
                      <w:rFonts w:hint="default" w:ascii="Times New Roman" w:hAnsi="Times New Roman" w:eastAsia="宋体" w:cs="Times New Roman"/>
                      <w:color w:val="auto"/>
                      <w:sz w:val="21"/>
                      <w:szCs w:val="21"/>
                    </w:rPr>
                    <w:t>根据西安市秦岭生态环境保护规划分区图，详见附图，不在秦岭生态环境保护范围内。</w:t>
                  </w:r>
                </w:p>
              </w:tc>
              <w:tc>
                <w:tcPr>
                  <w:tcW w:w="49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789"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《西安市“十四五”生态环境保护规划》</w:t>
                  </w:r>
                </w:p>
              </w:tc>
              <w:tc>
                <w:tcPr>
                  <w:tcW w:w="206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坚持将生态环境保护融入发展全过程，落实“三线一单”制度，强化环评源头预防作用，健全排污许可制度。</w:t>
                  </w:r>
                </w:p>
              </w:tc>
              <w:tc>
                <w:tcPr>
                  <w:tcW w:w="164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本项目位于西安市</w:t>
                  </w:r>
                  <w:r>
                    <w:rPr>
                      <w:rFonts w:hint="default" w:ascii="Times New Roman" w:hAnsi="Times New Roman" w:eastAsia="宋体" w:cs="Times New Roman"/>
                      <w:color w:val="auto"/>
                      <w:sz w:val="21"/>
                      <w:szCs w:val="21"/>
                      <w:lang w:eastAsia="zh-CN"/>
                    </w:rPr>
                    <w:t>周至县</w:t>
                  </w:r>
                  <w:r>
                    <w:rPr>
                      <w:rFonts w:hint="default" w:ascii="Times New Roman" w:hAnsi="Times New Roman" w:eastAsia="宋体" w:cs="Times New Roman"/>
                      <w:color w:val="auto"/>
                      <w:sz w:val="21"/>
                      <w:szCs w:val="21"/>
                    </w:rPr>
                    <w:t>集贤产业园，属于重点管控单元，项目在采取</w:t>
                  </w:r>
                  <w:r>
                    <w:rPr>
                      <w:rFonts w:hint="default" w:ascii="Times New Roman" w:hAnsi="Times New Roman" w:eastAsia="宋体" w:cs="Times New Roman"/>
                      <w:color w:val="auto"/>
                      <w:sz w:val="21"/>
                      <w:szCs w:val="21"/>
                      <w:lang w:eastAsia="zh-CN"/>
                    </w:rPr>
                    <w:t>有效的环保</w:t>
                  </w:r>
                  <w:r>
                    <w:rPr>
                      <w:rFonts w:hint="default" w:ascii="Times New Roman" w:hAnsi="Times New Roman" w:eastAsia="宋体" w:cs="Times New Roman"/>
                      <w:color w:val="auto"/>
                      <w:sz w:val="21"/>
                      <w:szCs w:val="21"/>
                    </w:rPr>
                    <w:t>措施后，污染物排放量小，对环境影响较小，符合重点管控单元</w:t>
                  </w:r>
                  <w:r>
                    <w:rPr>
                      <w:rFonts w:hint="default" w:ascii="Times New Roman" w:hAnsi="Times New Roman" w:eastAsia="宋体" w:cs="Times New Roman"/>
                      <w:color w:val="auto"/>
                      <w:sz w:val="21"/>
                      <w:szCs w:val="21"/>
                      <w:lang w:eastAsia="zh-CN"/>
                    </w:rPr>
                    <w:t>要求</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严格</w:t>
                  </w:r>
                  <w:r>
                    <w:rPr>
                      <w:rFonts w:hint="default" w:ascii="Times New Roman" w:hAnsi="Times New Roman" w:eastAsia="宋体" w:cs="Times New Roman"/>
                      <w:color w:val="auto"/>
                      <w:kern w:val="0"/>
                      <w:sz w:val="21"/>
                      <w:szCs w:val="21"/>
                    </w:rPr>
                    <w:t>落实“三线一单”制度</w:t>
                  </w:r>
                  <w:r>
                    <w:rPr>
                      <w:rFonts w:hint="eastAsia" w:cs="Times New Roman"/>
                      <w:color w:val="auto"/>
                      <w:kern w:val="0"/>
                      <w:sz w:val="21"/>
                      <w:szCs w:val="21"/>
                      <w:lang w:eastAsia="zh-CN"/>
                    </w:rPr>
                    <w:t>。</w:t>
                  </w:r>
                </w:p>
              </w:tc>
              <w:tc>
                <w:tcPr>
                  <w:tcW w:w="49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78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lang w:eastAsia="zh-CN"/>
                    </w:rPr>
                  </w:pPr>
                </w:p>
              </w:tc>
              <w:tc>
                <w:tcPr>
                  <w:tcW w:w="206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开展重点行业工业企业挥发性有机物无组织排放治理，以工业涂装、包装印刷、汽修和油品储运销等为重点领域，以工业园区、企业集群和重点企业为重点管控对象，全面加强对光化学反应活性强的VOCs物质控制。建立完善重点行业源头、过程和末端VOCs全过程控制体系，实施VOCs总量控制。严格落实产品强制标准中VOCs含量限值；全面落实《挥发性有机物无组织排放控制标准》要求，引导企业加强对含VOCs物料的存储、转移和输送等环节的全方位密闭管理，以及对设备与管线组件泄漏、敞开液面逸散以及工艺过程等方面的全过程精细化管控，实现VOCs排放量明显下降。</w:t>
                  </w:r>
                </w:p>
              </w:tc>
              <w:tc>
                <w:tcPr>
                  <w:tcW w:w="164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有机废气产生量较少</w:t>
                  </w:r>
                  <w:r>
                    <w:rPr>
                      <w:rFonts w:hint="default" w:ascii="Times New Roman" w:hAnsi="Times New Roman" w:eastAsia="宋体" w:cs="Times New Roman"/>
                      <w:color w:val="auto"/>
                      <w:sz w:val="21"/>
                      <w:szCs w:val="21"/>
                    </w:rPr>
                    <w:t>，无组织排放量低，产生的有机废气经末端治理措施处理后均可达标排放。</w:t>
                  </w:r>
                </w:p>
              </w:tc>
              <w:tc>
                <w:tcPr>
                  <w:tcW w:w="49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789"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《西安市生态环境 局关于加强挥发性有机物活性炭吸附处理设施运行管理工作的通知》（市环发〔2022〕65号）</w:t>
                  </w:r>
                </w:p>
              </w:tc>
              <w:tc>
                <w:tcPr>
                  <w:tcW w:w="2066" w:type="pct"/>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一</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规范治理技术。涉气企业根据当前有关VOCs治理的法律法规、技术规范、政策文件等要求，选择合理的治理工艺。除恶臭异味治理外，淘汰单一使用低温等离子、光催化氧化、活性炭吸附棉、水喷淋等低效处理工艺或其组合工艺。原料VOCs浓度高、排放总量较大的生产工艺原则上采用RTO、RCO等高效处理技术。</w:t>
                  </w:r>
                </w:p>
              </w:tc>
              <w:tc>
                <w:tcPr>
                  <w:tcW w:w="164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涂胶废气经二级活性炭吸附装置处理后经15m高排气筒（DA001）排放</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不属于“低温等离子、光氧化、光催化、喷淋吸收”等单一治理工艺或者组合工艺，满足现行环保要求</w:t>
                  </w:r>
                </w:p>
              </w:tc>
              <w:tc>
                <w:tcPr>
                  <w:tcW w:w="49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78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21"/>
                      <w:szCs w:val="21"/>
                      <w:lang w:eastAsia="zh-CN"/>
                    </w:rPr>
                  </w:pPr>
                </w:p>
              </w:tc>
              <w:tc>
                <w:tcPr>
                  <w:tcW w:w="2066" w:type="pct"/>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（三）明确填充量并及时更换。企业应当根据风量和VOCs初始浓度范围，明确活性炭的填充 量、填充厚度和更换时间。</w:t>
                  </w:r>
                </w:p>
              </w:tc>
              <w:tc>
                <w:tcPr>
                  <w:tcW w:w="1646" w:type="pct"/>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本项目活性炭填充量为</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t/次，填充厚度＞500mm</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更换时间为500小时更换1次</w:t>
                  </w:r>
                </w:p>
              </w:tc>
              <w:tc>
                <w:tcPr>
                  <w:tcW w:w="49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78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highlight w:val="none"/>
                      <w:lang w:eastAsia="zh-CN"/>
                    </w:rPr>
                  </w:pPr>
                </w:p>
              </w:tc>
              <w:tc>
                <w:tcPr>
                  <w:tcW w:w="2066" w:type="pct"/>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污处设施运行维护管理规程：企业自行制定《污处设施运行维护管理规程》，规程内容要详实，具有针对性和操作性应明确过滤棉、活性炭等易损耗材料的更换周期，更换周期应结合理论计算和实际运行得出，原则上活性炭更换周期一般不应超过累计运行 500小时或</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个月（从严执行）</w:t>
                  </w:r>
                  <w:r>
                    <w:rPr>
                      <w:rFonts w:hint="eastAsia" w:cs="Times New Roman"/>
                      <w:color w:val="auto"/>
                      <w:sz w:val="21"/>
                      <w:szCs w:val="21"/>
                      <w:lang w:val="en-US" w:eastAsia="zh-CN"/>
                    </w:rPr>
                    <w:t>。</w:t>
                  </w:r>
                </w:p>
              </w:tc>
              <w:tc>
                <w:tcPr>
                  <w:tcW w:w="164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本环评要求</w:t>
                  </w:r>
                  <w:r>
                    <w:rPr>
                      <w:rFonts w:hint="default" w:ascii="Times New Roman" w:hAnsi="Times New Roman" w:eastAsia="宋体" w:cs="Times New Roman"/>
                      <w:color w:val="auto"/>
                      <w:sz w:val="21"/>
                      <w:szCs w:val="21"/>
                    </w:rPr>
                    <w:t>活性炭更换周期一般不应超过累计运行 500小时或</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个月（从严执行）</w:t>
                  </w:r>
                </w:p>
              </w:tc>
              <w:tc>
                <w:tcPr>
                  <w:tcW w:w="49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789"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西安市大气污染治理专项行动方案（2023-2027年）</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市字</w:t>
                  </w:r>
                  <w:r>
                    <w:rPr>
                      <w:rFonts w:hint="default" w:ascii="Times New Roman" w:hAnsi="Times New Roman" w:eastAsia="宋体" w:cs="Times New Roman"/>
                      <w:color w:val="auto"/>
                      <w:sz w:val="21"/>
                      <w:szCs w:val="21"/>
                      <w:highlight w:val="none"/>
                      <w:lang w:eastAsia="zh-CN"/>
                    </w:rPr>
                    <w:t>〔20</w:t>
                  </w:r>
                  <w:r>
                    <w:rPr>
                      <w:rFonts w:hint="default" w:ascii="Times New Roman" w:hAnsi="Times New Roman" w:eastAsia="宋体"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32</w:t>
                  </w:r>
                  <w:r>
                    <w:rPr>
                      <w:rFonts w:hint="default" w:ascii="Times New Roman" w:hAnsi="Times New Roman" w:eastAsia="宋体" w:cs="Times New Roman"/>
                      <w:color w:val="auto"/>
                      <w:sz w:val="21"/>
                      <w:szCs w:val="21"/>
                      <w:highlight w:val="none"/>
                      <w:lang w:eastAsia="zh-CN"/>
                    </w:rPr>
                    <w:t>号）</w:t>
                  </w:r>
                </w:p>
              </w:tc>
              <w:tc>
                <w:tcPr>
                  <w:tcW w:w="2066" w:type="pct"/>
                  <w:tcBorders>
                    <w:tl2br w:val="nil"/>
                    <w:tr2bl w:val="nil"/>
                  </w:tcBorders>
                  <w:noWrap w:val="0"/>
                  <w:vAlign w:val="center"/>
                </w:tcPr>
                <w:p>
                  <w:pPr>
                    <w:pStyle w:val="137"/>
                    <w:keepNext w:val="0"/>
                    <w:keepLines w:val="0"/>
                    <w:pageBreakBefore w:val="0"/>
                    <w:kinsoku/>
                    <w:wordWrap/>
                    <w:overflowPunct/>
                    <w:topLinePunct w:val="0"/>
                    <w:autoSpaceDE/>
                    <w:autoSpaceDN/>
                    <w:bidi w:val="0"/>
                    <w:adjustRightInd/>
                    <w:snapToGrid/>
                    <w:spacing w:before="69" w:line="240" w:lineRule="auto"/>
                    <w:ind w:left="114" w:leftChars="0" w:right="102" w:rightChars="0" w:hanging="1"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严格新改扩建涉气重点行业绩效评级限制条件。各区、开发区范围内新改扩建涉气重点行业企业应达到环保绩效A级、绩效引领性水平，周至县、蓝田县应达到环保绩效B级及以上水平。</w:t>
                  </w:r>
                </w:p>
              </w:tc>
              <w:tc>
                <w:tcPr>
                  <w:tcW w:w="1646" w:type="pct"/>
                  <w:tcBorders>
                    <w:tl2br w:val="nil"/>
                    <w:tr2bl w:val="nil"/>
                  </w:tcBorders>
                  <w:noWrap w:val="0"/>
                  <w:vAlign w:val="center"/>
                </w:tcPr>
                <w:p>
                  <w:pPr>
                    <w:pStyle w:val="137"/>
                    <w:keepNext w:val="0"/>
                    <w:keepLines w:val="0"/>
                    <w:pageBreakBefore w:val="0"/>
                    <w:kinsoku/>
                    <w:wordWrap/>
                    <w:overflowPunct/>
                    <w:topLinePunct w:val="0"/>
                    <w:autoSpaceDE/>
                    <w:autoSpaceDN/>
                    <w:bidi w:val="0"/>
                    <w:adjustRightInd/>
                    <w:snapToGrid/>
                    <w:spacing w:before="30" w:line="240" w:lineRule="auto"/>
                    <w:ind w:left="114" w:right="10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5"/>
                      <w:sz w:val="21"/>
                      <w:szCs w:val="21"/>
                    </w:rPr>
                    <w:t>根据《生态环境部办公厅关于印发&lt;重污染天</w:t>
                  </w:r>
                  <w:r>
                    <w:rPr>
                      <w:rFonts w:hint="default" w:ascii="Times New Roman" w:hAnsi="Times New Roman" w:eastAsia="宋体" w:cs="Times New Roman"/>
                      <w:color w:val="auto"/>
                      <w:spacing w:val="-1"/>
                      <w:sz w:val="21"/>
                      <w:szCs w:val="21"/>
                    </w:rPr>
                    <w:t>气重点行业应急减排措施制定技术指</w:t>
                  </w:r>
                  <w:r>
                    <w:rPr>
                      <w:rFonts w:hint="default" w:ascii="Times New Roman" w:hAnsi="Times New Roman" w:eastAsia="宋体" w:cs="Times New Roman"/>
                      <w:color w:val="auto"/>
                      <w:sz w:val="21"/>
                      <w:szCs w:val="21"/>
                    </w:rPr>
                    <w:t>南（2020年修订版）&gt;的</w:t>
                  </w:r>
                  <w:r>
                    <w:rPr>
                      <w:rFonts w:hint="default" w:ascii="Times New Roman" w:hAnsi="Times New Roman" w:eastAsia="宋体" w:cs="Times New Roman"/>
                      <w:color w:val="auto"/>
                      <w:spacing w:val="-4"/>
                      <w:sz w:val="21"/>
                      <w:szCs w:val="21"/>
                    </w:rPr>
                    <w:t>函》（环办大气函</w:t>
                  </w:r>
                  <w:r>
                    <w:rPr>
                      <w:rFonts w:hint="default" w:ascii="Times New Roman" w:hAnsi="Times New Roman" w:eastAsia="宋体" w:cs="Times New Roman"/>
                      <w:color w:val="auto"/>
                      <w:spacing w:val="-2"/>
                      <w:sz w:val="21"/>
                      <w:szCs w:val="21"/>
                    </w:rPr>
                    <w:t>〔2020〕340号）、《陕西省生态环境厅关</w:t>
                  </w:r>
                  <w:r>
                    <w:rPr>
                      <w:rFonts w:hint="default" w:ascii="Times New Roman" w:hAnsi="Times New Roman" w:eastAsia="宋体" w:cs="Times New Roman"/>
                      <w:color w:val="auto"/>
                      <w:spacing w:val="-1"/>
                      <w:sz w:val="21"/>
                      <w:szCs w:val="21"/>
                    </w:rPr>
                    <w:t>于实施重污染天气重点行业绩效分级的通</w:t>
                  </w:r>
                  <w:r>
                    <w:rPr>
                      <w:rFonts w:hint="default" w:ascii="Times New Roman" w:hAnsi="Times New Roman" w:eastAsia="宋体" w:cs="Times New Roman"/>
                      <w:color w:val="auto"/>
                      <w:spacing w:val="-6"/>
                      <w:sz w:val="21"/>
                      <w:szCs w:val="21"/>
                    </w:rPr>
                    <w:t>告》，本项目不属于需要开展绩效分级的行</w:t>
                  </w:r>
                  <w:r>
                    <w:rPr>
                      <w:rFonts w:hint="default" w:ascii="Times New Roman" w:hAnsi="Times New Roman" w:eastAsia="宋体" w:cs="Times New Roman"/>
                      <w:color w:val="auto"/>
                      <w:spacing w:val="-10"/>
                      <w:sz w:val="21"/>
                      <w:szCs w:val="21"/>
                    </w:rPr>
                    <w:t>业。</w:t>
                  </w:r>
                </w:p>
              </w:tc>
              <w:tc>
                <w:tcPr>
                  <w:tcW w:w="4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78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highlight w:val="none"/>
                      <w:lang w:eastAsia="zh-CN"/>
                    </w:rPr>
                  </w:pPr>
                </w:p>
              </w:tc>
              <w:tc>
                <w:tcPr>
                  <w:tcW w:w="206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新建项目不再采用单一低温等离子、光氧化、光催化等治理技术， 非水溶性VOCs废气不再采用单一喷淋吸收方式处理。全面推进涉VOCs排放企业低挥发性原辅材料替代。</w:t>
                  </w:r>
                </w:p>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推进涉VOCs污染治理设施升级改造。</w:t>
                  </w:r>
                </w:p>
              </w:tc>
              <w:tc>
                <w:tcPr>
                  <w:tcW w:w="164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2"/>
                      <w:sz w:val="21"/>
                      <w:szCs w:val="21"/>
                      <w:lang w:val="en-US" w:eastAsia="zh-CN"/>
                    </w:rPr>
                    <w:t>项目涂胶废气经二级活性炭吸附装置处理后经15m高排气筒（DA001）排放。不属于“低温等离子、光氧化、光催化、喷淋吸收”等单一治理工艺或者组合工艺，满足现行环保要求。</w:t>
                  </w:r>
                </w:p>
              </w:tc>
              <w:tc>
                <w:tcPr>
                  <w:tcW w:w="4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789"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《西安市空气质量</w:t>
                  </w:r>
                  <w:r>
                    <w:rPr>
                      <w:rFonts w:hint="eastAsia" w:cs="Times New Roman"/>
                      <w:color w:val="auto"/>
                      <w:sz w:val="21"/>
                      <w:szCs w:val="21"/>
                      <w:highlight w:val="none"/>
                      <w:lang w:val="en-US" w:eastAsia="zh-CN"/>
                    </w:rPr>
                    <w:t>限期</w:t>
                  </w:r>
                  <w:r>
                    <w:rPr>
                      <w:rFonts w:hint="default" w:ascii="Times New Roman" w:hAnsi="Times New Roman" w:eastAsia="宋体" w:cs="Times New Roman"/>
                      <w:color w:val="auto"/>
                      <w:sz w:val="21"/>
                      <w:szCs w:val="21"/>
                      <w:highlight w:val="none"/>
                      <w:lang w:eastAsia="zh-CN"/>
                    </w:rPr>
                    <w:t>达标规划（2023—2030年）》</w:t>
                  </w:r>
                </w:p>
              </w:tc>
              <w:tc>
                <w:tcPr>
                  <w:tcW w:w="2066" w:type="pct"/>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新建项目不再采用单一低温等离子、光氧化、光催化等治理技术，非水溶性VOCs废气不再采用单一喷淋吸收方式处理。</w:t>
                  </w:r>
                </w:p>
              </w:tc>
              <w:tc>
                <w:tcPr>
                  <w:tcW w:w="1646" w:type="pct"/>
                  <w:vMerge w:val="restart"/>
                  <w:tcBorders>
                    <w:tl2br w:val="nil"/>
                    <w:tr2bl w:val="nil"/>
                  </w:tcBorders>
                  <w:noWrap w:val="0"/>
                  <w:vAlign w:val="top"/>
                </w:tcPr>
                <w:p>
                  <w:pPr>
                    <w:pStyle w:val="137"/>
                    <w:keepNext w:val="0"/>
                    <w:keepLines w:val="0"/>
                    <w:pageBreakBefore w:val="0"/>
                    <w:kinsoku/>
                    <w:wordWrap/>
                    <w:overflowPunct/>
                    <w:topLinePunct w:val="0"/>
                    <w:autoSpaceDE/>
                    <w:autoSpaceDN/>
                    <w:bidi w:val="0"/>
                    <w:adjustRightInd/>
                    <w:snapToGrid/>
                    <w:spacing w:before="100" w:line="240" w:lineRule="auto"/>
                    <w:ind w:left="114" w:leftChars="0" w:right="98" w:rightChars="0" w:firstLine="3" w:firstLineChars="0"/>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lang w:val="en-US" w:eastAsia="zh-CN"/>
                    </w:rPr>
                    <w:t>项目涂胶废气经二级活性炭吸附装置处理后经15m高排气筒（DA001）排放。不属于“低温等离子、光氧化、光催化、喷淋吸收”等单一治理工艺或者组合工艺，满足现行环保要求。</w:t>
                  </w:r>
                </w:p>
              </w:tc>
              <w:tc>
                <w:tcPr>
                  <w:tcW w:w="4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78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highlight w:val="none"/>
                      <w:lang w:eastAsia="zh-CN"/>
                    </w:rPr>
                  </w:pPr>
                </w:p>
              </w:tc>
              <w:tc>
                <w:tcPr>
                  <w:tcW w:w="2066" w:type="pct"/>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分行业推进工业污染深度治理。提升重点行业企业工艺水平及污处设备净化水平，实现污染物源头治理、过程控制和末端治理。</w:t>
                  </w:r>
                </w:p>
              </w:tc>
              <w:tc>
                <w:tcPr>
                  <w:tcW w:w="1646" w:type="pct"/>
                  <w:vMerge w:val="continue"/>
                  <w:tcBorders>
                    <w:tl2br w:val="nil"/>
                    <w:tr2bl w:val="nil"/>
                  </w:tcBorders>
                  <w:noWrap w:val="0"/>
                  <w:vAlign w:val="top"/>
                </w:tcPr>
                <w:p>
                  <w:pPr>
                    <w:pStyle w:val="137"/>
                    <w:keepNext w:val="0"/>
                    <w:keepLines w:val="0"/>
                    <w:pageBreakBefore w:val="0"/>
                    <w:kinsoku/>
                    <w:wordWrap/>
                    <w:overflowPunct/>
                    <w:topLinePunct w:val="0"/>
                    <w:autoSpaceDE/>
                    <w:autoSpaceDN/>
                    <w:bidi w:val="0"/>
                    <w:adjustRightInd/>
                    <w:snapToGrid/>
                    <w:spacing w:before="100" w:line="240" w:lineRule="auto"/>
                    <w:ind w:left="114" w:leftChars="0" w:right="98" w:rightChars="0" w:firstLine="3" w:firstLineChars="0"/>
                    <w:jc w:val="center"/>
                    <w:rPr>
                      <w:rFonts w:hint="default" w:ascii="Times New Roman" w:hAnsi="Times New Roman" w:eastAsia="宋体" w:cs="Times New Roman"/>
                      <w:color w:val="auto"/>
                      <w:spacing w:val="-1"/>
                      <w:sz w:val="21"/>
                      <w:szCs w:val="21"/>
                    </w:rPr>
                  </w:pPr>
                </w:p>
              </w:tc>
              <w:tc>
                <w:tcPr>
                  <w:tcW w:w="4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140" w:hRule="atLeast"/>
                <w:jc w:val="center"/>
              </w:trPr>
              <w:tc>
                <w:tcPr>
                  <w:tcW w:w="789"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中共西安市委西安市人民政府关于印发《西安市大气污染治理专项行动方案</w:t>
                  </w:r>
                </w:p>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(2023-2027年)》的通知</w:t>
                  </w:r>
                  <w:r>
                    <w:rPr>
                      <w:rFonts w:hint="eastAsia" w:cs="Times New Roman"/>
                      <w:color w:val="auto"/>
                      <w:sz w:val="21"/>
                      <w:szCs w:val="21"/>
                      <w:highlight w:val="none"/>
                      <w:lang w:val="en-US" w:eastAsia="zh-CN"/>
                    </w:rPr>
                    <w:t>（市字[</w:t>
                  </w:r>
                  <w:r>
                    <w:rPr>
                      <w:rFonts w:hint="default" w:ascii="Times New Roman" w:hAnsi="Times New Roman" w:eastAsia="宋体" w:cs="Times New Roman"/>
                      <w:color w:val="auto"/>
                      <w:sz w:val="21"/>
                      <w:szCs w:val="21"/>
                      <w:highlight w:val="none"/>
                      <w:lang w:eastAsia="zh-CN"/>
                    </w:rPr>
                    <w:t>2023</w:t>
                  </w:r>
                  <w:r>
                    <w:rPr>
                      <w:rFonts w:hint="eastAsia" w:cs="Times New Roman"/>
                      <w:color w:val="auto"/>
                      <w:sz w:val="21"/>
                      <w:szCs w:val="21"/>
                      <w:highlight w:val="none"/>
                      <w:lang w:val="en-US" w:eastAsia="zh-CN"/>
                    </w:rPr>
                    <w:t>]32号）</w:t>
                  </w:r>
                </w:p>
              </w:tc>
              <w:tc>
                <w:tcPr>
                  <w:tcW w:w="2066" w:type="pct"/>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强化源头管控。严格落实国家和我省产业规划、产业政策、“三线一单”、规划环评等要求，深入开展我市区域空间生态环境评价工作，积极推行区域、规划环境影响评价，新改扩建化工、石化、建材、有色等项目的环境影响评价应满足区域和规划环评要求。</w:t>
                  </w:r>
                </w:p>
              </w:tc>
              <w:tc>
                <w:tcPr>
                  <w:tcW w:w="1646" w:type="pct"/>
                  <w:tcBorders>
                    <w:tl2br w:val="nil"/>
                    <w:tr2bl w:val="nil"/>
                  </w:tcBorders>
                  <w:noWrap w:val="0"/>
                  <w:vAlign w:val="center"/>
                </w:tcPr>
                <w:p>
                  <w:pPr>
                    <w:pStyle w:val="13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1"/>
                      <w:sz w:val="21"/>
                      <w:szCs w:val="21"/>
                      <w:lang w:eastAsia="zh-CN"/>
                    </w:rPr>
                  </w:pPr>
                  <w:r>
                    <w:rPr>
                      <w:rFonts w:hint="eastAsia" w:ascii="Times New Roman" w:hAnsi="Times New Roman" w:cs="Times New Roman"/>
                      <w:color w:val="auto"/>
                      <w:sz w:val="21"/>
                      <w:szCs w:val="21"/>
                      <w:lang w:val="en-US" w:eastAsia="zh-CN"/>
                    </w:rPr>
                    <w:t>本环评要求项目</w:t>
                  </w:r>
                  <w:r>
                    <w:rPr>
                      <w:rFonts w:hint="default" w:ascii="Times New Roman" w:hAnsi="Times New Roman" w:eastAsia="宋体" w:cs="Times New Roman"/>
                      <w:color w:val="auto"/>
                      <w:sz w:val="21"/>
                      <w:szCs w:val="21"/>
                    </w:rPr>
                    <w:t>严格落实国家和我省产业规划、产业政策、“三线一单”、规划环评等要求</w:t>
                  </w:r>
                  <w:r>
                    <w:rPr>
                      <w:rFonts w:hint="eastAsia" w:ascii="Times New Roman" w:hAnsi="Times New Roman" w:cs="Times New Roman"/>
                      <w:color w:val="auto"/>
                      <w:sz w:val="21"/>
                      <w:szCs w:val="21"/>
                      <w:lang w:eastAsia="zh-CN"/>
                    </w:rPr>
                    <w:t>。</w:t>
                  </w:r>
                </w:p>
              </w:tc>
              <w:tc>
                <w:tcPr>
                  <w:tcW w:w="4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78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highlight w:val="none"/>
                      <w:lang w:eastAsia="zh-CN"/>
                    </w:rPr>
                  </w:pPr>
                </w:p>
              </w:tc>
              <w:tc>
                <w:tcPr>
                  <w:tcW w:w="2066" w:type="pct"/>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严格新改扩建涉气重点行业绩效评级限制条件。各区、开发区范围内新改扩建涉气重点行业企业应达到环保绩效A级、绩效引领性水平，周至县、蓝田县应达到环保绩</w:t>
                  </w:r>
                </w:p>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效B级及以上水平。</w:t>
                  </w:r>
                </w:p>
              </w:tc>
              <w:tc>
                <w:tcPr>
                  <w:tcW w:w="1646" w:type="pct"/>
                  <w:tcBorders>
                    <w:tl2br w:val="nil"/>
                    <w:tr2bl w:val="nil"/>
                  </w:tcBorders>
                  <w:noWrap w:val="0"/>
                  <w:vAlign w:val="center"/>
                </w:tcPr>
                <w:p>
                  <w:pPr>
                    <w:pStyle w:val="137"/>
                    <w:keepNext w:val="0"/>
                    <w:keepLines w:val="0"/>
                    <w:pageBreakBefore w:val="0"/>
                    <w:kinsoku/>
                    <w:wordWrap/>
                    <w:overflowPunct/>
                    <w:topLinePunct w:val="0"/>
                    <w:autoSpaceDE/>
                    <w:autoSpaceDN/>
                    <w:bidi w:val="0"/>
                    <w:adjustRightInd/>
                    <w:snapToGrid/>
                    <w:spacing w:before="100" w:line="240" w:lineRule="auto"/>
                    <w:ind w:left="114" w:leftChars="0" w:right="98" w:rightChars="0" w:firstLine="3" w:firstLineChars="0"/>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5"/>
                      <w:sz w:val="21"/>
                      <w:szCs w:val="21"/>
                    </w:rPr>
                    <w:t>根据《生态环境部办公厅关于印发&lt;重污染天</w:t>
                  </w:r>
                  <w:r>
                    <w:rPr>
                      <w:rFonts w:hint="default" w:ascii="Times New Roman" w:hAnsi="Times New Roman" w:eastAsia="宋体" w:cs="Times New Roman"/>
                      <w:color w:val="auto"/>
                      <w:spacing w:val="-1"/>
                      <w:sz w:val="21"/>
                      <w:szCs w:val="21"/>
                    </w:rPr>
                    <w:t>气重点行业应急减排措施制定技术指</w:t>
                  </w:r>
                  <w:r>
                    <w:rPr>
                      <w:rFonts w:hint="default" w:ascii="Times New Roman" w:hAnsi="Times New Roman" w:eastAsia="宋体" w:cs="Times New Roman"/>
                      <w:color w:val="auto"/>
                      <w:sz w:val="21"/>
                      <w:szCs w:val="21"/>
                    </w:rPr>
                    <w:t>南（2020年修订版）&gt;的</w:t>
                  </w:r>
                  <w:r>
                    <w:rPr>
                      <w:rFonts w:hint="default" w:ascii="Times New Roman" w:hAnsi="Times New Roman" w:eastAsia="宋体" w:cs="Times New Roman"/>
                      <w:color w:val="auto"/>
                      <w:spacing w:val="-4"/>
                      <w:sz w:val="21"/>
                      <w:szCs w:val="21"/>
                    </w:rPr>
                    <w:t>函》（环办大气函</w:t>
                  </w:r>
                  <w:r>
                    <w:rPr>
                      <w:rFonts w:hint="default" w:ascii="Times New Roman" w:hAnsi="Times New Roman" w:eastAsia="宋体" w:cs="Times New Roman"/>
                      <w:color w:val="auto"/>
                      <w:spacing w:val="-2"/>
                      <w:sz w:val="21"/>
                      <w:szCs w:val="21"/>
                    </w:rPr>
                    <w:t>〔2020〕340号）、《陕西省生态环境厅关</w:t>
                  </w:r>
                  <w:r>
                    <w:rPr>
                      <w:rFonts w:hint="default" w:ascii="Times New Roman" w:hAnsi="Times New Roman" w:eastAsia="宋体" w:cs="Times New Roman"/>
                      <w:color w:val="auto"/>
                      <w:spacing w:val="-1"/>
                      <w:sz w:val="21"/>
                      <w:szCs w:val="21"/>
                    </w:rPr>
                    <w:t>于实施重污染天气重点行业绩效分级的通</w:t>
                  </w:r>
                  <w:r>
                    <w:rPr>
                      <w:rFonts w:hint="default" w:ascii="Times New Roman" w:hAnsi="Times New Roman" w:eastAsia="宋体" w:cs="Times New Roman"/>
                      <w:color w:val="auto"/>
                      <w:spacing w:val="-6"/>
                      <w:sz w:val="21"/>
                      <w:szCs w:val="21"/>
                    </w:rPr>
                    <w:t>告》，本项目不属于需要开展绩效分级的行</w:t>
                  </w:r>
                  <w:r>
                    <w:rPr>
                      <w:rFonts w:hint="default" w:ascii="Times New Roman" w:hAnsi="Times New Roman" w:eastAsia="宋体" w:cs="Times New Roman"/>
                      <w:color w:val="auto"/>
                      <w:spacing w:val="-10"/>
                      <w:sz w:val="21"/>
                      <w:szCs w:val="21"/>
                    </w:rPr>
                    <w:t>业。</w:t>
                  </w:r>
                </w:p>
              </w:tc>
              <w:tc>
                <w:tcPr>
                  <w:tcW w:w="4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78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highlight w:val="none"/>
                      <w:lang w:eastAsia="zh-CN"/>
                    </w:rPr>
                  </w:pPr>
                </w:p>
              </w:tc>
              <w:tc>
                <w:tcPr>
                  <w:tcW w:w="2066" w:type="pct"/>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强化涉活性炭VOCs处理工艺治理。动态更新挥发性有机物治理设施台账，开展简易低效挥发性有机物治理设施清理整治、涉活性炭挥发性有机物处理工艺专项整治行动，强化挥发性有机物无组织排放整治，确保达到相关标准要求。新建项目不再采用单一低温等离子、光氧化、光催化等治理技术，非水溶性VOCs废气不再采用单一喷淋吸收方式处理。</w:t>
                  </w:r>
                </w:p>
              </w:tc>
              <w:tc>
                <w:tcPr>
                  <w:tcW w:w="1646" w:type="pct"/>
                  <w:tcBorders>
                    <w:tl2br w:val="nil"/>
                    <w:tr2bl w:val="nil"/>
                  </w:tcBorders>
                  <w:noWrap w:val="0"/>
                  <w:vAlign w:val="center"/>
                </w:tcPr>
                <w:p>
                  <w:pPr>
                    <w:pStyle w:val="137"/>
                    <w:keepNext w:val="0"/>
                    <w:keepLines w:val="0"/>
                    <w:pageBreakBefore w:val="0"/>
                    <w:kinsoku/>
                    <w:wordWrap/>
                    <w:overflowPunct/>
                    <w:topLinePunct w:val="0"/>
                    <w:autoSpaceDE/>
                    <w:autoSpaceDN/>
                    <w:bidi w:val="0"/>
                    <w:adjustRightInd/>
                    <w:snapToGrid/>
                    <w:spacing w:before="100" w:line="240" w:lineRule="auto"/>
                    <w:ind w:left="114" w:leftChars="0" w:right="98" w:rightChars="0" w:firstLine="3" w:firstLineChars="0"/>
                    <w:jc w:val="center"/>
                    <w:rPr>
                      <w:rFonts w:hint="eastAsia"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z w:val="21"/>
                      <w:szCs w:val="21"/>
                      <w:lang w:eastAsia="zh-CN"/>
                    </w:rPr>
                    <w:t>项目</w:t>
                  </w:r>
                  <w:r>
                    <w:rPr>
                      <w:rFonts w:hint="default" w:ascii="Times New Roman" w:hAnsi="Times New Roman" w:eastAsia="宋体" w:cs="Times New Roman"/>
                      <w:color w:val="auto"/>
                      <w:sz w:val="21"/>
                      <w:szCs w:val="21"/>
                      <w:lang w:val="en-US" w:eastAsia="zh-CN"/>
                    </w:rPr>
                    <w:t>涂胶废气经二级活性炭吸附装置处理后经15m高排气筒（DA001）排放</w:t>
                  </w:r>
                  <w:r>
                    <w:rPr>
                      <w:rFonts w:hint="default" w:ascii="Times New Roman" w:hAnsi="Times New Roman" w:eastAsia="宋体" w:cs="Times New Roman"/>
                      <w:color w:val="auto"/>
                      <w:sz w:val="21"/>
                      <w:szCs w:val="21"/>
                      <w:lang w:eastAsia="zh-CN"/>
                    </w:rPr>
                    <w:t>，最大可能降低了无组织排放</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val="en-US" w:eastAsia="zh-CN"/>
                    </w:rPr>
                    <w:t>活性炭吸附装置</w:t>
                  </w:r>
                  <w:r>
                    <w:rPr>
                      <w:rFonts w:hint="default" w:ascii="Times New Roman" w:hAnsi="Times New Roman" w:eastAsia="宋体" w:cs="Times New Roman"/>
                      <w:color w:val="auto"/>
                      <w:sz w:val="21"/>
                      <w:szCs w:val="21"/>
                    </w:rPr>
                    <w:t>不属于“低温等离子、光氧化、光催化、喷淋吸收”等单一治理工艺或者组合工艺，满足现行环保要求</w:t>
                  </w:r>
                  <w:r>
                    <w:rPr>
                      <w:rFonts w:hint="eastAsia" w:ascii="Times New Roman" w:hAnsi="Times New Roman" w:cs="Times New Roman"/>
                      <w:color w:val="auto"/>
                      <w:sz w:val="21"/>
                      <w:szCs w:val="21"/>
                      <w:lang w:eastAsia="zh-CN"/>
                    </w:rPr>
                    <w:t>。</w:t>
                  </w:r>
                </w:p>
              </w:tc>
              <w:tc>
                <w:tcPr>
                  <w:tcW w:w="4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78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周至县大气污染治理专项行动方案（2023-2027年）</w:t>
                  </w:r>
                  <w:r>
                    <w:rPr>
                      <w:rFonts w:hint="default" w:ascii="Times New Roman" w:hAnsi="Times New Roman" w:eastAsia="宋体" w:cs="Times New Roman"/>
                      <w:color w:val="auto"/>
                      <w:sz w:val="21"/>
                      <w:szCs w:val="21"/>
                      <w:lang w:eastAsia="zh-CN"/>
                    </w:rPr>
                    <w:t>》</w:t>
                  </w:r>
                </w:p>
              </w:tc>
              <w:tc>
                <w:tcPr>
                  <w:tcW w:w="206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强化源头管控。严格落实国家及省、市产业规划、产业政策、“三线一单”、规划环评等要求，深入开展我县区域空间生态环境评价工作，积极推行区域、规划环境影响评价，新改扩建化工、石化、建材、有色等项目的环境影响评价应满足区域、规划环评要求。</w:t>
                  </w:r>
                </w:p>
              </w:tc>
              <w:tc>
                <w:tcPr>
                  <w:tcW w:w="164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本项目满足国家及省、市产业规划、“三线一单”、规划环评等要求，且项目属于允许类项目，目前环境影响评价手续办理中。</w:t>
                  </w:r>
                </w:p>
              </w:tc>
              <w:tc>
                <w:tcPr>
                  <w:tcW w:w="49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符合</w:t>
                  </w:r>
                </w:p>
              </w:tc>
            </w:tr>
          </w:tbl>
          <w:p>
            <w:pPr>
              <w:pStyle w:val="68"/>
              <w:keepNext w:val="0"/>
              <w:keepLines w:val="0"/>
              <w:pageBreakBefore w:val="0"/>
              <w:widowControl w:val="0"/>
              <w:kinsoku/>
              <w:wordWrap/>
              <w:overflowPunct/>
              <w:topLinePunct w:val="0"/>
              <w:autoSpaceDE/>
              <w:autoSpaceDN/>
              <w:bidi w:val="0"/>
              <w:spacing w:line="360" w:lineRule="auto"/>
              <w:ind w:firstLineChars="200"/>
              <w:jc w:val="both"/>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、项目与“三线一单”符合性分析</w:t>
            </w:r>
          </w:p>
          <w:p>
            <w:pPr>
              <w:keepNext w:val="0"/>
              <w:keepLines w:val="0"/>
              <w:pageBreakBefore w:val="0"/>
              <w:widowControl/>
              <w:kinsoku/>
              <w:wordWrap/>
              <w:overflowPunct/>
              <w:topLinePunct w:val="0"/>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（1）本项目与陕西省“三线一单”符合性分析</w:t>
            </w:r>
          </w:p>
          <w:p>
            <w:pPr>
              <w:keepNext w:val="0"/>
              <w:keepLines w:val="0"/>
              <w:pageBreakBefore w:val="0"/>
              <w:widowControl/>
              <w:kinsoku/>
              <w:wordWrap/>
              <w:overflowPunct/>
              <w:topLinePunct w:val="0"/>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根据《陕西省人民政府关于加快实施“三线一单”生态环境分区管控的意见》（陕政发〔2020〕11号）及</w:t>
            </w:r>
            <w:r>
              <w:rPr>
                <w:rFonts w:hint="default" w:ascii="Times New Roman" w:hAnsi="Times New Roman" w:eastAsia="宋体" w:cs="Times New Roman"/>
                <w:color w:val="auto"/>
                <w:sz w:val="24"/>
                <w:szCs w:val="24"/>
                <w:lang w:val="en-US" w:eastAsia="zh-CN"/>
              </w:rPr>
              <w:t>西安市</w:t>
            </w:r>
            <w:r>
              <w:rPr>
                <w:rFonts w:hint="default" w:ascii="Times New Roman" w:hAnsi="Times New Roman" w:eastAsia="宋体" w:cs="Times New Roman"/>
                <w:color w:val="auto"/>
                <w:sz w:val="24"/>
                <w:szCs w:val="24"/>
                <w:lang w:eastAsia="zh-CN"/>
              </w:rPr>
              <w:t>人民政府</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关于印发“三线一单”生态环境分区管控方案的通知》</w:t>
            </w:r>
            <w:r>
              <w:rPr>
                <w:rFonts w:hint="default" w:ascii="Times New Roman" w:hAnsi="Times New Roman" w:eastAsia="宋体" w:cs="Times New Roman"/>
                <w:color w:val="auto"/>
                <w:sz w:val="24"/>
                <w:szCs w:val="24"/>
                <w:lang w:val="en-US" w:eastAsia="zh-CN"/>
              </w:rPr>
              <w:t>（市政发〔2021〕22号）</w:t>
            </w:r>
            <w:r>
              <w:rPr>
                <w:rFonts w:hint="default" w:ascii="Times New Roman" w:hAnsi="Times New Roman" w:eastAsia="宋体" w:cs="Times New Roman"/>
                <w:bCs/>
                <w:color w:val="auto"/>
                <w:sz w:val="24"/>
              </w:rPr>
              <w:t>要求，切实加强环境管理，落实“生态保护红线、环境质量底线、资源利用上线和环境准入负面清单”（简称“三线一单”）约束，建立项目环评审批与规划环评、现有项目环境管理、区域环境质量联动机制，以生态优先、分区管控、动态更新为原则，更好的发挥环评制度从源头防范环境污染和生态破坏的作用，加快推进改善环境质量。本项目与“三线一单”符合性分析见</w:t>
            </w:r>
            <w:r>
              <w:rPr>
                <w:rFonts w:hint="eastAsia" w:eastAsia="宋体" w:cs="Times New Roman"/>
                <w:bCs/>
                <w:color w:val="auto"/>
                <w:sz w:val="24"/>
                <w:lang w:val="en-US" w:eastAsia="zh-CN"/>
              </w:rPr>
              <w:t>下表</w:t>
            </w:r>
            <w:r>
              <w:rPr>
                <w:rFonts w:hint="default" w:ascii="Times New Roman" w:hAnsi="Times New Roman" w:eastAsia="宋体" w:cs="Times New Roman"/>
                <w:bCs/>
                <w:color w:val="auto"/>
                <w:sz w:val="24"/>
              </w:rPr>
              <w:t>。</w:t>
            </w:r>
          </w:p>
          <w:p>
            <w:pPr>
              <w:pStyle w:val="149"/>
              <w:keepNext w:val="0"/>
              <w:keepLines w:val="0"/>
              <w:pageBreakBefore w:val="0"/>
              <w:kinsoku/>
              <w:wordWrap/>
              <w:overflowPunct/>
              <w:topLinePunct w:val="0"/>
              <w:autoSpaceDE/>
              <w:autoSpaceDN/>
              <w:bidi w:val="0"/>
              <w:spacing w:before="0" w:beforeLines="0" w:line="360" w:lineRule="auto"/>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表1-</w:t>
            </w:r>
            <w:r>
              <w:rPr>
                <w:rFonts w:hint="eastAsia"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 xml:space="preserve">  “三线一单”符合性分析</w:t>
            </w:r>
          </w:p>
          <w:tbl>
            <w:tblPr>
              <w:tblStyle w:val="34"/>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74"/>
              <w:gridCol w:w="5292"/>
              <w:gridCol w:w="6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1"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“三线一单”</w:t>
                  </w:r>
                </w:p>
              </w:tc>
              <w:tc>
                <w:tcPr>
                  <w:tcW w:w="3744"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本项目情况</w:t>
                  </w:r>
                </w:p>
              </w:tc>
              <w:tc>
                <w:tcPr>
                  <w:tcW w:w="494"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1"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生态保护红线</w:t>
                  </w:r>
                </w:p>
              </w:tc>
              <w:tc>
                <w:tcPr>
                  <w:tcW w:w="3744" w:type="pct"/>
                  <w:tcBorders>
                    <w:tl2br w:val="nil"/>
                    <w:tr2bl w:val="nil"/>
                  </w:tcBorders>
                  <w:vAlign w:val="center"/>
                </w:tcPr>
                <w:p>
                  <w:pPr>
                    <w:keepNext w:val="0"/>
                    <w:keepLines w:val="0"/>
                    <w:pageBreakBefore w:val="0"/>
                    <w:widowControl w:val="0"/>
                    <w:tabs>
                      <w:tab w:val="left" w:pos="0"/>
                    </w:tabs>
                    <w:kinsoku/>
                    <w:wordWrap/>
                    <w:overflowPunct/>
                    <w:topLinePunct w:val="0"/>
                    <w:bidi w:val="0"/>
                    <w:adjustRightInd w:val="0"/>
                    <w:snapToGrid w:val="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w:t>
                  </w:r>
                  <w:r>
                    <w:rPr>
                      <w:rFonts w:hint="eastAsia" w:eastAsia="宋体" w:cs="Times New Roman"/>
                      <w:color w:val="auto"/>
                      <w:sz w:val="21"/>
                      <w:szCs w:val="21"/>
                      <w:lang w:eastAsia="zh-CN"/>
                    </w:rPr>
                    <w:t>西安市高新区集贤园科技大道8号</w:t>
                  </w:r>
                  <w:r>
                    <w:rPr>
                      <w:rFonts w:hint="default" w:ascii="Times New Roman" w:hAnsi="Times New Roman" w:eastAsia="宋体" w:cs="Times New Roman"/>
                      <w:color w:val="auto"/>
                      <w:sz w:val="21"/>
                      <w:szCs w:val="21"/>
                    </w:rPr>
                    <w:t>，不涉及自然保护区、不属于饮用水源保护区范围内，不涉及生态保护红线。</w:t>
                  </w:r>
                </w:p>
              </w:tc>
              <w:tc>
                <w:tcPr>
                  <w:tcW w:w="494" w:type="pct"/>
                  <w:tcBorders>
                    <w:tl2br w:val="nil"/>
                    <w:tr2bl w:val="nil"/>
                  </w:tcBorders>
                  <w:vAlign w:val="center"/>
                </w:tcPr>
                <w:p>
                  <w:pPr>
                    <w:keepNext w:val="0"/>
                    <w:keepLines w:val="0"/>
                    <w:pageBreakBefore w:val="0"/>
                    <w:widowControl w:val="0"/>
                    <w:tabs>
                      <w:tab w:val="left" w:pos="0"/>
                    </w:tabs>
                    <w:kinsoku/>
                    <w:wordWrap/>
                    <w:overflowPunct/>
                    <w:topLinePunct w:val="0"/>
                    <w:bidi w:val="0"/>
                    <w:adjustRightInd w:val="0"/>
                    <w:snapToGrid w:val="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1"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环境质量底线</w:t>
                  </w:r>
                </w:p>
              </w:tc>
              <w:tc>
                <w:tcPr>
                  <w:tcW w:w="3744"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本项目所采取污染防治措施合理可行，各污染物均达标排放，但对其影响程度很小，不触及环境质量底线</w:t>
                  </w:r>
                </w:p>
              </w:tc>
              <w:tc>
                <w:tcPr>
                  <w:tcW w:w="49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1"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资源利用上线</w:t>
                  </w:r>
                </w:p>
              </w:tc>
              <w:tc>
                <w:tcPr>
                  <w:tcW w:w="3744" w:type="pct"/>
                  <w:tcBorders>
                    <w:tl2br w:val="nil"/>
                    <w:tr2bl w:val="nil"/>
                  </w:tcBorders>
                  <w:vAlign w:val="center"/>
                </w:tcPr>
                <w:p>
                  <w:pPr>
                    <w:keepNext w:val="0"/>
                    <w:keepLines w:val="0"/>
                    <w:pageBreakBefore w:val="0"/>
                    <w:widowControl w:val="0"/>
                    <w:tabs>
                      <w:tab w:val="left" w:pos="0"/>
                    </w:tabs>
                    <w:kinsoku/>
                    <w:wordWrap/>
                    <w:overflowPunct/>
                    <w:topLinePunct w:val="0"/>
                    <w:bidi w:val="0"/>
                    <w:adjustRightInd w:val="0"/>
                    <w:snapToGrid w:val="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本项目主要利用电力和水资源，不属于高耗能、高排放的生产企业，不触及区域的资源利用上线。</w:t>
                  </w:r>
                </w:p>
              </w:tc>
              <w:tc>
                <w:tcPr>
                  <w:tcW w:w="494" w:type="pct"/>
                  <w:tcBorders>
                    <w:tl2br w:val="nil"/>
                    <w:tr2bl w:val="nil"/>
                  </w:tcBorders>
                  <w:vAlign w:val="center"/>
                </w:tcPr>
                <w:p>
                  <w:pPr>
                    <w:keepNext w:val="0"/>
                    <w:keepLines w:val="0"/>
                    <w:pageBreakBefore w:val="0"/>
                    <w:widowControl w:val="0"/>
                    <w:tabs>
                      <w:tab w:val="left" w:pos="0"/>
                    </w:tabs>
                    <w:kinsoku/>
                    <w:wordWrap/>
                    <w:overflowPunct/>
                    <w:topLinePunct w:val="0"/>
                    <w:bidi w:val="0"/>
                    <w:adjustRightInd w:val="0"/>
                    <w:snapToGrid w:val="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1"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环境准入负面清单</w:t>
                  </w:r>
                </w:p>
              </w:tc>
              <w:tc>
                <w:tcPr>
                  <w:tcW w:w="3744" w:type="pct"/>
                  <w:tcBorders>
                    <w:tl2br w:val="nil"/>
                    <w:tr2bl w:val="nil"/>
                  </w:tcBorders>
                  <w:vAlign w:val="center"/>
                </w:tcPr>
                <w:p>
                  <w:pPr>
                    <w:keepNext w:val="0"/>
                    <w:keepLines w:val="0"/>
                    <w:pageBreakBefore w:val="0"/>
                    <w:widowControl w:val="0"/>
                    <w:tabs>
                      <w:tab w:val="left" w:pos="0"/>
                    </w:tabs>
                    <w:kinsoku/>
                    <w:wordWrap/>
                    <w:overflowPunct/>
                    <w:topLinePunct w:val="0"/>
                    <w:bidi w:val="0"/>
                    <w:adjustRightInd w:val="0"/>
                    <w:snapToGrid w:val="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项目建设符合国家产业政策，布局选线、资源利用效率、资源配置等均不触及负面清单，且项目不在《陕西省国家重点生态功能区产业准入负面清单（试行）》范围内。</w:t>
                  </w:r>
                </w:p>
              </w:tc>
              <w:tc>
                <w:tcPr>
                  <w:tcW w:w="494" w:type="pct"/>
                  <w:tcBorders>
                    <w:tl2br w:val="nil"/>
                    <w:tr2bl w:val="nil"/>
                  </w:tcBorders>
                  <w:vAlign w:val="center"/>
                </w:tcPr>
                <w:p>
                  <w:pPr>
                    <w:keepNext w:val="0"/>
                    <w:keepLines w:val="0"/>
                    <w:pageBreakBefore w:val="0"/>
                    <w:widowControl w:val="0"/>
                    <w:tabs>
                      <w:tab w:val="left" w:pos="0"/>
                    </w:tabs>
                    <w:kinsoku/>
                    <w:wordWrap/>
                    <w:overflowPunct/>
                    <w:topLinePunct w:val="0"/>
                    <w:bidi w:val="0"/>
                    <w:adjustRightInd w:val="0"/>
                    <w:snapToGrid w:val="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根据陕西省生态环境厅办公室关于印发《陕西省“三线一单”生态环境分区管控应用技术指南：环境影响评价（试行）》（陕环办发</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2022〕76号）通知中环评文件规范化要求中的规定：环评文件涉及“三线一单”生态环境分区管控符合性分析采取“一图一表一说明”的表达方式，在对照分析结果右侧加列，并论证规划或建设项目的符合性。</w:t>
            </w:r>
          </w:p>
          <w:p>
            <w:pPr>
              <w:keepNext w:val="0"/>
              <w:keepLines w:val="0"/>
              <w:pageBreakBefore w:val="0"/>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表1-</w:t>
            </w:r>
            <w:r>
              <w:rPr>
                <w:rFonts w:hint="eastAsia"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rPr>
              <w:t xml:space="preserve"> 本项目与《陕西省“三线一单”生态环境分区管控应用技术指南：环境影响评价（试行）》通知符合性分析</w:t>
            </w:r>
          </w:p>
          <w:tbl>
            <w:tblPr>
              <w:tblStyle w:val="34"/>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54"/>
              <w:gridCol w:w="54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70" w:type="pct"/>
                  <w:tcBorders>
                    <w:tl2br w:val="nil"/>
                    <w:tr2bl w:val="nil"/>
                  </w:tcBorders>
                  <w:vAlign w:val="center"/>
                </w:tcPr>
                <w:p>
                  <w:pPr>
                    <w:keepNext w:val="0"/>
                    <w:keepLines w:val="0"/>
                    <w:pageBreakBefore w:val="0"/>
                    <w:widowControl w:val="0"/>
                    <w:tabs>
                      <w:tab w:val="left" w:pos="0"/>
                    </w:tabs>
                    <w:kinsoku/>
                    <w:wordWrap/>
                    <w:overflowPunct/>
                    <w:topLinePunct w:val="0"/>
                    <w:bidi w:val="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对照分析</w:t>
                  </w:r>
                </w:p>
              </w:tc>
              <w:tc>
                <w:tcPr>
                  <w:tcW w:w="3829" w:type="pct"/>
                  <w:tcBorders>
                    <w:tl2br w:val="nil"/>
                    <w:tr2bl w:val="nil"/>
                  </w:tcBorders>
                  <w:vAlign w:val="center"/>
                </w:tcPr>
                <w:p>
                  <w:pPr>
                    <w:keepNext w:val="0"/>
                    <w:keepLines w:val="0"/>
                    <w:pageBreakBefore w:val="0"/>
                    <w:widowControl w:val="0"/>
                    <w:tabs>
                      <w:tab w:val="left" w:pos="0"/>
                    </w:tabs>
                    <w:kinsoku/>
                    <w:wordWrap/>
                    <w:overflowPunct/>
                    <w:topLinePunct w:val="0"/>
                    <w:bidi w:val="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符合性分析内容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70" w:type="pct"/>
                  <w:tcBorders>
                    <w:tl2br w:val="nil"/>
                    <w:tr2bl w:val="nil"/>
                  </w:tcBorders>
                  <w:vAlign w:val="center"/>
                </w:tcPr>
                <w:p>
                  <w:pPr>
                    <w:keepNext w:val="0"/>
                    <w:keepLines w:val="0"/>
                    <w:pageBreakBefore w:val="0"/>
                    <w:widowControl w:val="0"/>
                    <w:kinsoku/>
                    <w:wordWrap/>
                    <w:overflowPunct/>
                    <w:topLinePunct w:val="0"/>
                    <w:bidi w:val="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各类生态环境敏感区对照分析</w:t>
                  </w:r>
                </w:p>
              </w:tc>
              <w:tc>
                <w:tcPr>
                  <w:tcW w:w="3829" w:type="pct"/>
                  <w:tcBorders>
                    <w:tl2br w:val="nil"/>
                    <w:tr2bl w:val="nil"/>
                  </w:tcBorders>
                  <w:vAlign w:val="center"/>
                </w:tcPr>
                <w:p>
                  <w:pPr>
                    <w:keepNext w:val="0"/>
                    <w:keepLines w:val="0"/>
                    <w:pageBreakBefore w:val="0"/>
                    <w:widowControl w:val="0"/>
                    <w:tabs>
                      <w:tab w:val="left" w:pos="0"/>
                    </w:tabs>
                    <w:kinsoku/>
                    <w:wordWrap/>
                    <w:overflowPunct/>
                    <w:topLinePunct w:val="0"/>
                    <w:bidi w:val="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w:t>
                  </w:r>
                  <w:r>
                    <w:rPr>
                      <w:rFonts w:hint="eastAsia" w:eastAsia="宋体" w:cs="Times New Roman"/>
                      <w:color w:val="auto"/>
                      <w:sz w:val="21"/>
                      <w:szCs w:val="21"/>
                      <w:lang w:eastAsia="zh-CN"/>
                    </w:rPr>
                    <w:t>西安市高新区集贤园科技大道8号</w:t>
                  </w:r>
                  <w:r>
                    <w:rPr>
                      <w:rFonts w:hint="default" w:ascii="Times New Roman" w:hAnsi="Times New Roman" w:eastAsia="宋体" w:cs="Times New Roman"/>
                      <w:color w:val="auto"/>
                      <w:sz w:val="21"/>
                      <w:szCs w:val="21"/>
                    </w:rPr>
                    <w:t>，不涉及生态保护红线。现有厂区周边无各类保护地、饮用水水源保护区等生态环境敏感区。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70" w:type="pct"/>
                  <w:tcBorders>
                    <w:tl2br w:val="nil"/>
                    <w:tr2bl w:val="nil"/>
                  </w:tcBorders>
                  <w:vAlign w:val="center"/>
                </w:tcPr>
                <w:p>
                  <w:pPr>
                    <w:keepNext w:val="0"/>
                    <w:keepLines w:val="0"/>
                    <w:pageBreakBefore w:val="0"/>
                    <w:widowControl w:val="0"/>
                    <w:kinsoku/>
                    <w:wordWrap/>
                    <w:overflowPunct/>
                    <w:topLinePunct w:val="0"/>
                    <w:bidi w:val="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环境管控单元对照分析</w:t>
                  </w:r>
                </w:p>
              </w:tc>
              <w:tc>
                <w:tcPr>
                  <w:tcW w:w="3829" w:type="pct"/>
                  <w:tcBorders>
                    <w:tl2br w:val="nil"/>
                    <w:tr2bl w:val="nil"/>
                  </w:tcBorders>
                  <w:vAlign w:val="center"/>
                </w:tcPr>
                <w:p>
                  <w:pPr>
                    <w:keepNext w:val="0"/>
                    <w:keepLines w:val="0"/>
                    <w:pageBreakBefore w:val="0"/>
                    <w:widowControl w:val="0"/>
                    <w:tabs>
                      <w:tab w:val="left" w:pos="0"/>
                    </w:tabs>
                    <w:kinsoku/>
                    <w:wordWrap/>
                    <w:overflowPunct/>
                    <w:topLinePunct w:val="0"/>
                    <w:bidi w:val="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w:t>
                  </w:r>
                  <w:r>
                    <w:rPr>
                      <w:rFonts w:hint="eastAsia" w:eastAsia="宋体" w:cs="Times New Roman"/>
                      <w:color w:val="auto"/>
                      <w:sz w:val="21"/>
                      <w:szCs w:val="21"/>
                      <w:lang w:eastAsia="zh-CN"/>
                    </w:rPr>
                    <w:t>西安市高新区集贤园科技大道8号</w:t>
                  </w:r>
                  <w:r>
                    <w:rPr>
                      <w:rFonts w:hint="default" w:ascii="Times New Roman" w:hAnsi="Times New Roman" w:eastAsia="宋体" w:cs="Times New Roman"/>
                      <w:color w:val="auto"/>
                      <w:sz w:val="21"/>
                      <w:szCs w:val="21"/>
                    </w:rPr>
                    <w:t>，对照</w:t>
                  </w:r>
                  <w:r>
                    <w:rPr>
                      <w:rFonts w:hint="eastAsia" w:eastAsia="宋体" w:cs="Times New Roman"/>
                      <w:color w:val="auto"/>
                      <w:sz w:val="21"/>
                      <w:szCs w:val="21"/>
                      <w:lang w:val="en-US" w:eastAsia="zh-CN"/>
                    </w:rPr>
                    <w:t>西安市</w:t>
                  </w:r>
                  <w:r>
                    <w:rPr>
                      <w:rFonts w:hint="default" w:ascii="Times New Roman" w:hAnsi="Times New Roman" w:eastAsia="宋体" w:cs="Times New Roman"/>
                      <w:color w:val="auto"/>
                      <w:sz w:val="21"/>
                      <w:szCs w:val="21"/>
                    </w:rPr>
                    <w:t>生态环境控单元图，项目地属于</w:t>
                  </w:r>
                  <w:r>
                    <w:rPr>
                      <w:rFonts w:hint="eastAsia" w:eastAsia="宋体" w:cs="Times New Roman"/>
                      <w:color w:val="auto"/>
                      <w:sz w:val="21"/>
                      <w:szCs w:val="21"/>
                      <w:lang w:val="en-US" w:eastAsia="zh-CN"/>
                    </w:rPr>
                    <w:t>重点</w:t>
                  </w:r>
                  <w:r>
                    <w:rPr>
                      <w:rFonts w:hint="default" w:ascii="Times New Roman" w:hAnsi="Times New Roman" w:eastAsia="宋体" w:cs="Times New Roman"/>
                      <w:color w:val="auto"/>
                      <w:sz w:val="21"/>
                      <w:szCs w:val="21"/>
                    </w:rPr>
                    <w:t>管控单元。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70" w:type="pct"/>
                  <w:tcBorders>
                    <w:tl2br w:val="nil"/>
                    <w:tr2bl w:val="nil"/>
                  </w:tcBorders>
                  <w:vAlign w:val="center"/>
                </w:tcPr>
                <w:p>
                  <w:pPr>
                    <w:keepNext w:val="0"/>
                    <w:keepLines w:val="0"/>
                    <w:pageBreakBefore w:val="0"/>
                    <w:widowControl w:val="0"/>
                    <w:kinsoku/>
                    <w:wordWrap/>
                    <w:overflowPunct/>
                    <w:topLinePunct w:val="0"/>
                    <w:bidi w:val="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未纳入环境管控单元的要素分区对照分析</w:t>
                  </w:r>
                </w:p>
              </w:tc>
              <w:tc>
                <w:tcPr>
                  <w:tcW w:w="3829" w:type="pct"/>
                  <w:tcBorders>
                    <w:tl2br w:val="nil"/>
                    <w:tr2bl w:val="nil"/>
                  </w:tcBorders>
                  <w:vAlign w:val="center"/>
                </w:tcPr>
                <w:p>
                  <w:pPr>
                    <w:keepNext w:val="0"/>
                    <w:keepLines w:val="0"/>
                    <w:pageBreakBefore w:val="0"/>
                    <w:widowControl w:val="0"/>
                    <w:tabs>
                      <w:tab w:val="left" w:pos="0"/>
                    </w:tabs>
                    <w:kinsoku/>
                    <w:wordWrap/>
                    <w:overflowPunct/>
                    <w:topLinePunct w:val="0"/>
                    <w:bidi w:val="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w:t>
                  </w:r>
                  <w:r>
                    <w:rPr>
                      <w:rFonts w:hint="eastAsia" w:eastAsia="宋体" w:cs="Times New Roman"/>
                      <w:color w:val="auto"/>
                      <w:sz w:val="21"/>
                      <w:szCs w:val="21"/>
                      <w:lang w:eastAsia="zh-CN"/>
                    </w:rPr>
                    <w:t>西安市高新区集贤园科技大道8号</w:t>
                  </w:r>
                  <w:r>
                    <w:rPr>
                      <w:rFonts w:hint="default" w:ascii="Times New Roman" w:hAnsi="Times New Roman" w:eastAsia="宋体" w:cs="Times New Roman"/>
                      <w:color w:val="auto"/>
                      <w:sz w:val="21"/>
                      <w:szCs w:val="21"/>
                    </w:rPr>
                    <w:t>，不涉及</w:t>
                  </w:r>
                  <w:r>
                    <w:rPr>
                      <w:rFonts w:hint="eastAsia" w:eastAsia="宋体" w:cs="Times New Roman"/>
                      <w:color w:val="auto"/>
                      <w:sz w:val="21"/>
                      <w:szCs w:val="21"/>
                      <w:lang w:eastAsia="zh-CN"/>
                    </w:rPr>
                    <w:t>西安市</w:t>
                  </w:r>
                  <w:r>
                    <w:rPr>
                      <w:rFonts w:hint="default" w:ascii="Times New Roman" w:hAnsi="Times New Roman" w:eastAsia="宋体" w:cs="Times New Roman"/>
                      <w:color w:val="auto"/>
                      <w:sz w:val="21"/>
                      <w:szCs w:val="21"/>
                    </w:rPr>
                    <w:t>土壤环境风险管控区、高污染燃料禁燃区、江河湖库岸线管控区等其他要素分区范围内。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70" w:type="pct"/>
                  <w:tcBorders>
                    <w:tl2br w:val="nil"/>
                    <w:tr2bl w:val="nil"/>
                  </w:tcBorders>
                  <w:vAlign w:val="center"/>
                </w:tcPr>
                <w:p>
                  <w:pPr>
                    <w:keepNext w:val="0"/>
                    <w:keepLines w:val="0"/>
                    <w:pageBreakBefore w:val="0"/>
                    <w:widowControl w:val="0"/>
                    <w:kinsoku/>
                    <w:wordWrap/>
                    <w:overflowPunct/>
                    <w:topLinePunct w:val="0"/>
                    <w:bidi w:val="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其他对照分析</w:t>
                  </w:r>
                </w:p>
              </w:tc>
              <w:tc>
                <w:tcPr>
                  <w:tcW w:w="3829" w:type="pct"/>
                  <w:tcBorders>
                    <w:tl2br w:val="nil"/>
                    <w:tr2bl w:val="nil"/>
                  </w:tcBorders>
                  <w:vAlign w:val="center"/>
                </w:tcPr>
                <w:p>
                  <w:pPr>
                    <w:keepNext w:val="0"/>
                    <w:keepLines w:val="0"/>
                    <w:pageBreakBefore w:val="0"/>
                    <w:widowControl w:val="0"/>
                    <w:tabs>
                      <w:tab w:val="left" w:pos="0"/>
                    </w:tabs>
                    <w:kinsoku/>
                    <w:wordWrap/>
                    <w:overflowPunct/>
                    <w:topLinePunct w:val="0"/>
                    <w:bidi w:val="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本项目为</w:t>
                  </w:r>
                  <w:r>
                    <w:rPr>
                      <w:rFonts w:hint="default" w:ascii="Times New Roman" w:hAnsi="Times New Roman" w:eastAsia="宋体" w:cs="Times New Roman"/>
                      <w:b w:val="0"/>
                      <w:bCs w:val="0"/>
                      <w:color w:val="auto"/>
                      <w:sz w:val="21"/>
                      <w:szCs w:val="21"/>
                      <w:lang w:val="en-US" w:eastAsia="zh-CN"/>
                    </w:rPr>
                    <w:t>特种玻璃制造</w:t>
                  </w:r>
                  <w:r>
                    <w:rPr>
                      <w:rFonts w:hint="default" w:ascii="Times New Roman" w:hAnsi="Times New Roman" w:eastAsia="宋体" w:cs="Times New Roman"/>
                      <w:color w:val="auto"/>
                      <w:sz w:val="21"/>
                      <w:szCs w:val="21"/>
                    </w:rPr>
                    <w:t>，不涉及矿产资源开发、线性工程等规划或建设项目，故无需开展其他对照分析。</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w:t>
            </w:r>
            <w:r>
              <w:rPr>
                <w:rFonts w:hint="default" w:ascii="Times New Roman" w:hAnsi="Times New Roman" w:eastAsia="宋体" w:cs="Times New Roman"/>
                <w:color w:val="auto"/>
                <w:sz w:val="24"/>
                <w:szCs w:val="24"/>
                <w:lang w:val="en-US" w:eastAsia="zh-CN"/>
              </w:rPr>
              <w:t>“一图”：指的是规划或建设项目与环境管控单元对照分析示意图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lang w:val="en-US" w:eastAsia="zh-CN"/>
              </w:rPr>
              <w:t>根据本项目与西安市生态环境管控单元分布示意图的对比结果（</w:t>
            </w:r>
            <w:r>
              <w:rPr>
                <w:rFonts w:hint="default" w:ascii="Times New Roman" w:hAnsi="Times New Roman" w:eastAsia="宋体" w:cs="Times New Roman"/>
                <w:color w:val="auto"/>
                <w:sz w:val="24"/>
                <w:szCs w:val="24"/>
              </w:rPr>
              <w:t>陕西省“三线一单”数据应用系统</w:t>
            </w:r>
            <w:r>
              <w:rPr>
                <w:rFonts w:hint="default" w:ascii="Times New Roman" w:hAnsi="Times New Roman" w:eastAsia="宋体" w:cs="Times New Roman"/>
                <w:color w:val="auto"/>
                <w:sz w:val="24"/>
                <w:szCs w:val="24"/>
                <w:lang w:val="en-US" w:eastAsia="zh-CN"/>
              </w:rPr>
              <w:t>），本项目位于西安市重点管控单元，不涉及优先保护单元；项目实施过程中应落实《西安市人民政府关于印发“三线一单”生态环境分区管控方案的通知》（市政发〔2021〕22号）重点管控单元的相关要求，项目与西安市生态环境管控单元比对示意图如下图所示。</w:t>
            </w:r>
          </w:p>
          <w:p>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drawing>
                <wp:inline distT="0" distB="0" distL="114300" distR="114300">
                  <wp:extent cx="4504690" cy="3648710"/>
                  <wp:effectExtent l="0" t="0" r="3810" b="8890"/>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8"/>
                          <a:stretch>
                            <a:fillRect/>
                          </a:stretch>
                        </pic:blipFill>
                        <pic:spPr>
                          <a:xfrm>
                            <a:off x="0" y="0"/>
                            <a:ext cx="4504690" cy="3648710"/>
                          </a:xfrm>
                          <a:prstGeom prst="rect">
                            <a:avLst/>
                          </a:prstGeom>
                          <a:noFill/>
                          <a:ln>
                            <a:noFill/>
                          </a:ln>
                        </pic:spPr>
                      </pic:pic>
                    </a:graphicData>
                  </a:graphic>
                </wp:inline>
              </w:drawing>
            </w:r>
          </w:p>
          <w:p>
            <w:pPr>
              <w:keepNext w:val="0"/>
              <w:keepLines w:val="0"/>
              <w:pageBreakBefore w:val="0"/>
              <w:kinsoku/>
              <w:wordWrap/>
              <w:overflowPunct/>
              <w:autoSpaceDE w:val="0"/>
              <w:autoSpaceDN w:val="0"/>
              <w:bidi w:val="0"/>
              <w:spacing w:line="360" w:lineRule="auto"/>
              <w:ind w:firstLine="0" w:firstLineChars="0"/>
              <w:jc w:val="center"/>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rPr>
              <w:t>图1-1    本项目空间冲突分析图</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1"/>
              </w:rPr>
              <w:t>②</w:t>
            </w:r>
            <w:r>
              <w:rPr>
                <w:rFonts w:hint="default" w:ascii="Times New Roman" w:hAnsi="Times New Roman" w:eastAsia="宋体" w:cs="Times New Roman"/>
                <w:color w:val="auto"/>
                <w:sz w:val="24"/>
                <w:lang w:val="en-US" w:eastAsia="zh-CN"/>
              </w:rPr>
              <w:t>“一表”：指的是项目或规划范围涉及的生态环境管控单元准入清单。</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本项目位于重点管控单元，项目与区域环境管控方案对比结果见</w:t>
            </w:r>
            <w:r>
              <w:rPr>
                <w:rFonts w:hint="eastAsia" w:ascii="Times New Roman" w:hAnsi="Times New Roman" w:eastAsia="宋体" w:cs="Times New Roman"/>
                <w:color w:val="auto"/>
                <w:sz w:val="24"/>
                <w:szCs w:val="24"/>
                <w:lang w:val="en-US" w:eastAsia="zh-CN"/>
              </w:rPr>
              <w:t>下</w:t>
            </w:r>
            <w:r>
              <w:rPr>
                <w:rFonts w:hint="default" w:ascii="Times New Roman" w:hAnsi="Times New Roman" w:eastAsia="宋体" w:cs="Times New Roman"/>
                <w:color w:val="auto"/>
                <w:sz w:val="24"/>
                <w:lang w:val="en-US" w:eastAsia="zh-CN"/>
              </w:rPr>
              <w:t>表。</w:t>
            </w:r>
          </w:p>
          <w:p>
            <w:pPr>
              <w:keepNext w:val="0"/>
              <w:keepLines w:val="0"/>
              <w:pageBreakBefore w:val="0"/>
              <w:kinsoku/>
              <w:wordWrap/>
              <w:overflowPunct/>
              <w:autoSpaceDE w:val="0"/>
              <w:autoSpaceDN w:val="0"/>
              <w:bidi w:val="0"/>
              <w:spacing w:line="360" w:lineRule="auto"/>
              <w:ind w:firstLine="0" w:firstLineChars="0"/>
              <w:jc w:val="center"/>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sz w:val="24"/>
                <w:szCs w:val="24"/>
                <w:highlight w:val="none"/>
              </w:rPr>
              <w:t>表1-</w:t>
            </w:r>
            <w:r>
              <w:rPr>
                <w:rFonts w:hint="eastAsia" w:cs="Times New Roman"/>
                <w:b/>
                <w:bCs w:val="0"/>
                <w:color w:val="auto"/>
                <w:sz w:val="24"/>
                <w:szCs w:val="24"/>
                <w:highlight w:val="none"/>
                <w:lang w:val="en-US" w:eastAsia="zh-CN"/>
              </w:rPr>
              <w:t>5</w:t>
            </w:r>
            <w:r>
              <w:rPr>
                <w:rFonts w:hint="default" w:ascii="Times New Roman" w:hAnsi="Times New Roman" w:eastAsia="宋体" w:cs="Times New Roman"/>
                <w:b/>
                <w:bCs w:val="0"/>
                <w:color w:val="auto"/>
                <w:sz w:val="24"/>
                <w:szCs w:val="24"/>
                <w:highlight w:val="none"/>
              </w:rPr>
              <w:t xml:space="preserve"> 项目与</w:t>
            </w:r>
            <w:r>
              <w:rPr>
                <w:rFonts w:hint="default" w:ascii="Times New Roman" w:hAnsi="Times New Roman" w:eastAsia="宋体" w:cs="Times New Roman"/>
                <w:b/>
                <w:bCs w:val="0"/>
                <w:color w:val="auto"/>
                <w:sz w:val="24"/>
                <w:szCs w:val="24"/>
                <w:highlight w:val="none"/>
                <w:lang w:val="en-US" w:eastAsia="zh-CN"/>
              </w:rPr>
              <w:t>区域环境管控</w:t>
            </w:r>
            <w:r>
              <w:rPr>
                <w:rFonts w:hint="default" w:ascii="Times New Roman" w:hAnsi="Times New Roman" w:eastAsia="宋体" w:cs="Times New Roman"/>
                <w:b/>
                <w:bCs w:val="0"/>
                <w:color w:val="auto"/>
                <w:sz w:val="24"/>
                <w:szCs w:val="24"/>
                <w:highlight w:val="none"/>
              </w:rPr>
              <w:t>符合性分析</w:t>
            </w:r>
          </w:p>
          <w:tbl>
            <w:tblPr>
              <w:tblStyle w:val="34"/>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92"/>
              <w:gridCol w:w="410"/>
              <w:gridCol w:w="386"/>
              <w:gridCol w:w="997"/>
              <w:gridCol w:w="2346"/>
              <w:gridCol w:w="2000"/>
              <w:gridCol w:w="63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0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29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区域名称</w:t>
                  </w:r>
                </w:p>
              </w:tc>
              <w:tc>
                <w:tcPr>
                  <w:tcW w:w="27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省份</w:t>
                  </w:r>
                </w:p>
              </w:tc>
              <w:tc>
                <w:tcPr>
                  <w:tcW w:w="7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管控类别</w:t>
                  </w:r>
                </w:p>
              </w:tc>
              <w:tc>
                <w:tcPr>
                  <w:tcW w:w="166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管控要求</w:t>
                  </w:r>
                </w:p>
              </w:tc>
              <w:tc>
                <w:tcPr>
                  <w:tcW w:w="141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本项目情况</w:t>
                  </w:r>
                </w:p>
              </w:tc>
              <w:tc>
                <w:tcPr>
                  <w:tcW w:w="44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0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w:t>
                  </w:r>
                </w:p>
              </w:tc>
              <w:tc>
                <w:tcPr>
                  <w:tcW w:w="290"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省域</w:t>
                  </w:r>
                </w:p>
              </w:tc>
              <w:tc>
                <w:tcPr>
                  <w:tcW w:w="273"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陕西省</w:t>
                  </w:r>
                </w:p>
              </w:tc>
              <w:tc>
                <w:tcPr>
                  <w:tcW w:w="7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空间约束</w:t>
                  </w:r>
                </w:p>
              </w:tc>
              <w:tc>
                <w:tcPr>
                  <w:tcW w:w="16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2执行《市场准入负面清单（2022年版）》《产业结构调整指导目录（2019年本）》及《国家发展改革委关于修改&lt;产业结构调整指导目录（2019年本）&gt;的决定》。</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4严把“两高”项目环境准入关。坚决遏制高耗能、高排放项目盲目发展。</w:t>
                  </w:r>
                </w:p>
              </w:tc>
              <w:tc>
                <w:tcPr>
                  <w:tcW w:w="141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本项目行业类别为</w:t>
                  </w:r>
                  <w:r>
                    <w:rPr>
                      <w:rFonts w:hint="default" w:ascii="Times New Roman" w:hAnsi="Times New Roman" w:eastAsia="宋体" w:cs="Times New Roman"/>
                      <w:b w:val="0"/>
                      <w:bCs w:val="0"/>
                      <w:color w:val="auto"/>
                      <w:sz w:val="21"/>
                      <w:szCs w:val="21"/>
                      <w:lang w:val="en-US" w:eastAsia="zh-CN"/>
                    </w:rPr>
                    <w:t>特种玻璃制造</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不属于《市场准入负面清单》（20</w:t>
                  </w:r>
                  <w:r>
                    <w:rPr>
                      <w:rFonts w:hint="default" w:ascii="Times New Roman" w:hAnsi="Times New Roman" w:eastAsia="宋体" w:cs="Times New Roman"/>
                      <w:bCs/>
                      <w:color w:val="auto"/>
                      <w:sz w:val="21"/>
                      <w:szCs w:val="21"/>
                      <w:lang w:val="en-US" w:eastAsia="zh-CN"/>
                    </w:rPr>
                    <w:t>22</w:t>
                  </w:r>
                  <w:r>
                    <w:rPr>
                      <w:rFonts w:hint="default" w:ascii="Times New Roman" w:hAnsi="Times New Roman" w:eastAsia="宋体" w:cs="Times New Roman"/>
                      <w:bCs/>
                      <w:color w:val="auto"/>
                      <w:sz w:val="21"/>
                      <w:szCs w:val="21"/>
                    </w:rPr>
                    <w:t>年版）</w:t>
                  </w:r>
                  <w:r>
                    <w:rPr>
                      <w:rFonts w:hint="default" w:ascii="Times New Roman" w:hAnsi="Times New Roman" w:eastAsia="宋体" w:cs="Times New Roman"/>
                      <w:color w:val="auto"/>
                      <w:sz w:val="21"/>
                      <w:szCs w:val="21"/>
                    </w:rPr>
                    <w:t>及《产业结构调整指导目录》</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2024年本</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中禁止建设类及限制建设类项目。</w:t>
                  </w:r>
                </w:p>
              </w:tc>
              <w:tc>
                <w:tcPr>
                  <w:tcW w:w="44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0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p>
              </w:tc>
              <w:tc>
                <w:tcPr>
                  <w:tcW w:w="29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p>
              </w:tc>
              <w:tc>
                <w:tcPr>
                  <w:tcW w:w="27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p>
              </w:tc>
              <w:tc>
                <w:tcPr>
                  <w:tcW w:w="7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环境风险管控</w:t>
                  </w:r>
                </w:p>
              </w:tc>
              <w:tc>
                <w:tcPr>
                  <w:tcW w:w="16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lang w:val="en-US" w:eastAsia="zh-CN" w:bidi="ar"/>
                    </w:rPr>
                    <w:t>2将环境风险纳入常态化管理，推进危险废物、重金属及尾矿环境、核与辐射等重点领域环境风险防控，加强新污染物治理，健全环境应急体系，推动环境风险防控由应急管理向全过程管理转变，提升生态环境安全保障水平。</w:t>
                  </w:r>
                </w:p>
              </w:tc>
              <w:tc>
                <w:tcPr>
                  <w:tcW w:w="141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本</w:t>
                  </w:r>
                  <w:r>
                    <w:rPr>
                      <w:rFonts w:hint="default" w:ascii="Times New Roman" w:hAnsi="Times New Roman" w:eastAsia="宋体" w:cs="Times New Roman"/>
                      <w:bCs/>
                      <w:color w:val="auto"/>
                      <w:sz w:val="21"/>
                      <w:szCs w:val="21"/>
                      <w:lang w:val="en-US" w:eastAsia="zh-CN"/>
                    </w:rPr>
                    <w:t>环评严格要求企业将</w:t>
                  </w:r>
                  <w:r>
                    <w:rPr>
                      <w:rFonts w:hint="default" w:ascii="Times New Roman" w:hAnsi="Times New Roman" w:eastAsia="宋体" w:cs="Times New Roman"/>
                      <w:color w:val="auto"/>
                      <w:kern w:val="0"/>
                      <w:sz w:val="21"/>
                      <w:szCs w:val="21"/>
                      <w:lang w:val="en-US" w:eastAsia="zh-CN" w:bidi="ar"/>
                    </w:rPr>
                    <w:t>环境风险纳入常态化管理，推进危险废物等重点领域环境风险防控，加强新污染物治理，健全环境应急体系，推动环境风险防控由应急管理向全过程管理转变，提升生态环境安全保障水平。</w:t>
                  </w:r>
                </w:p>
              </w:tc>
              <w:tc>
                <w:tcPr>
                  <w:tcW w:w="44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0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p>
              </w:tc>
              <w:tc>
                <w:tcPr>
                  <w:tcW w:w="29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p>
              </w:tc>
              <w:tc>
                <w:tcPr>
                  <w:tcW w:w="27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p>
              </w:tc>
              <w:tc>
                <w:tcPr>
                  <w:tcW w:w="7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资源开发效率要求</w:t>
                  </w:r>
                </w:p>
              </w:tc>
              <w:tc>
                <w:tcPr>
                  <w:tcW w:w="16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lang w:val="en-US" w:eastAsia="zh-CN" w:bidi="ar"/>
                    </w:rPr>
                    <w:t>8加快固废综合利用和技术创新，推动冶炼废渣、脱硫石膏、结晶杂盐、金属镁渣、电石渣、气化渣、尾矿等大宗业固废的高水平利用。</w:t>
                  </w:r>
                </w:p>
              </w:tc>
              <w:tc>
                <w:tcPr>
                  <w:tcW w:w="141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本项目</w:t>
                  </w:r>
                  <w:r>
                    <w:rPr>
                      <w:rFonts w:hint="default" w:ascii="Times New Roman" w:hAnsi="Times New Roman" w:eastAsia="宋体" w:cs="Times New Roman"/>
                      <w:bCs/>
                      <w:color w:val="auto"/>
                      <w:sz w:val="21"/>
                      <w:szCs w:val="21"/>
                      <w:lang w:val="en-US" w:eastAsia="zh-CN"/>
                    </w:rPr>
                    <w:t>生活垃圾分类收集后暂存垃圾桶由环卫部门统一清运处置；废油脂专用桶收集后交有资质单位处置；废包装材料、沉淀池沉渣、废胶桶（不含胶）依托高科建材一般固废暂存区暂存，定期外售；废滤料、废RO膜由厂家回收；危险废物依托高科建材危废贮存库分区暂存，定期交由有资质单位处置。提高了</w:t>
                  </w:r>
                  <w:r>
                    <w:rPr>
                      <w:rFonts w:hint="default" w:ascii="Times New Roman" w:hAnsi="Times New Roman" w:eastAsia="宋体" w:cs="Times New Roman"/>
                      <w:color w:val="auto"/>
                      <w:kern w:val="0"/>
                      <w:sz w:val="21"/>
                      <w:szCs w:val="21"/>
                      <w:lang w:val="en-US" w:eastAsia="zh-CN" w:bidi="ar"/>
                    </w:rPr>
                    <w:t>固废综合利用</w:t>
                  </w:r>
                </w:p>
              </w:tc>
              <w:tc>
                <w:tcPr>
                  <w:tcW w:w="44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0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w:t>
                  </w:r>
                </w:p>
              </w:tc>
              <w:tc>
                <w:tcPr>
                  <w:tcW w:w="290"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关中</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地区</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p>
              </w:tc>
              <w:tc>
                <w:tcPr>
                  <w:tcW w:w="273"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陕西省</w:t>
                  </w:r>
                </w:p>
              </w:tc>
              <w:tc>
                <w:tcPr>
                  <w:tcW w:w="7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空间布局约束</w:t>
                  </w:r>
                </w:p>
              </w:tc>
              <w:tc>
                <w:tcPr>
                  <w:tcW w:w="16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2关中地区严格控制新建、扩建化学制浆造纸、化工、印染、果汁和淀粉加工等高耗水、高污染项目。</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6调整产业结构，继续淘汰严重污染水体的落后产能，推动沿黄一定范围内高耗水、高污染企业迁入合规园区，严禁在黄河干流及主要支流临岸一定范围内新建“两高一资”项目及相关产业园区。</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lang w:val="en-US" w:eastAsia="zh-CN" w:bidi="ar"/>
                    </w:rPr>
                    <w:t>7严控新增高污染、高耗能、高排放、高耗水企业，严格执行钢铁、水泥、平板玻璃、电解铝等行业产能置换政策，严格磷铵、黄磷、电石等行业新增产能。</w:t>
                  </w:r>
                </w:p>
              </w:tc>
              <w:tc>
                <w:tcPr>
                  <w:tcW w:w="141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本项目行业类别为</w:t>
                  </w:r>
                  <w:r>
                    <w:rPr>
                      <w:rFonts w:hint="default" w:ascii="Times New Roman" w:hAnsi="Times New Roman" w:eastAsia="宋体" w:cs="Times New Roman"/>
                      <w:b w:val="0"/>
                      <w:bCs w:val="0"/>
                      <w:color w:val="auto"/>
                      <w:sz w:val="21"/>
                      <w:szCs w:val="21"/>
                      <w:lang w:val="en-US" w:eastAsia="zh-CN"/>
                    </w:rPr>
                    <w:t>特种玻璃制造</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不属于</w:t>
                  </w:r>
                  <w:r>
                    <w:rPr>
                      <w:rFonts w:hint="default" w:ascii="Times New Roman" w:hAnsi="Times New Roman" w:eastAsia="宋体" w:cs="Times New Roman"/>
                      <w:color w:val="auto"/>
                      <w:kern w:val="0"/>
                      <w:sz w:val="21"/>
                      <w:szCs w:val="21"/>
                      <w:lang w:val="en-US" w:eastAsia="zh-CN" w:bidi="ar"/>
                    </w:rPr>
                    <w:t>高污染、高耗能、高排放、高耗水企业</w:t>
                  </w:r>
                </w:p>
              </w:tc>
              <w:tc>
                <w:tcPr>
                  <w:tcW w:w="44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0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p>
              </w:tc>
              <w:tc>
                <w:tcPr>
                  <w:tcW w:w="29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p>
              </w:tc>
              <w:tc>
                <w:tcPr>
                  <w:tcW w:w="27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p>
              </w:tc>
              <w:tc>
                <w:tcPr>
                  <w:tcW w:w="7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污染物排放管控</w:t>
                  </w:r>
                </w:p>
              </w:tc>
              <w:tc>
                <w:tcPr>
                  <w:tcW w:w="16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lang w:val="en-US" w:eastAsia="zh-CN" w:bidi="ar"/>
                    </w:rPr>
                    <w:t>3关中地区市辖区及开发区范围内新、改、扩建涉气重点行业企业应达到环保绩效A级、绩效引领性水平，西安市、</w:t>
                  </w:r>
                  <w:r>
                    <w:rPr>
                      <w:rFonts w:hint="eastAsia" w:cs="Times New Roman"/>
                      <w:color w:val="auto"/>
                      <w:kern w:val="0"/>
                      <w:sz w:val="21"/>
                      <w:szCs w:val="21"/>
                      <w:lang w:val="en-US" w:eastAsia="zh-CN" w:bidi="ar"/>
                    </w:rPr>
                    <w:t>西安市</w:t>
                  </w:r>
                  <w:r>
                    <w:rPr>
                      <w:rFonts w:hint="default" w:ascii="Times New Roman" w:hAnsi="Times New Roman" w:eastAsia="宋体" w:cs="Times New Roman"/>
                      <w:color w:val="auto"/>
                      <w:kern w:val="0"/>
                      <w:sz w:val="21"/>
                      <w:szCs w:val="21"/>
                      <w:lang w:val="en-US" w:eastAsia="zh-CN" w:bidi="ar"/>
                    </w:rPr>
                    <w:t>、渭南市的其他区域应达到环保绩效B级以上水平。</w:t>
                  </w:r>
                </w:p>
              </w:tc>
              <w:tc>
                <w:tcPr>
                  <w:tcW w:w="141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pacing w:val="-5"/>
                      <w:sz w:val="21"/>
                      <w:szCs w:val="21"/>
                    </w:rPr>
                    <w:t>根据《生态环境部办公厅关于印发&lt;重污染天</w:t>
                  </w:r>
                  <w:r>
                    <w:rPr>
                      <w:rFonts w:hint="default" w:ascii="Times New Roman" w:hAnsi="Times New Roman" w:eastAsia="宋体" w:cs="Times New Roman"/>
                      <w:color w:val="auto"/>
                      <w:spacing w:val="-1"/>
                      <w:sz w:val="21"/>
                      <w:szCs w:val="21"/>
                    </w:rPr>
                    <w:t>气重点行业应急减排措施制定技术指</w:t>
                  </w:r>
                  <w:r>
                    <w:rPr>
                      <w:rFonts w:hint="default" w:ascii="Times New Roman" w:hAnsi="Times New Roman" w:eastAsia="宋体" w:cs="Times New Roman"/>
                      <w:color w:val="auto"/>
                      <w:sz w:val="21"/>
                      <w:szCs w:val="21"/>
                    </w:rPr>
                    <w:t>南（2020年修订版）&gt;的</w:t>
                  </w:r>
                  <w:r>
                    <w:rPr>
                      <w:rFonts w:hint="default" w:ascii="Times New Roman" w:hAnsi="Times New Roman" w:eastAsia="宋体" w:cs="Times New Roman"/>
                      <w:color w:val="auto"/>
                      <w:spacing w:val="-4"/>
                      <w:sz w:val="21"/>
                      <w:szCs w:val="21"/>
                    </w:rPr>
                    <w:t>函》（环办大气函</w:t>
                  </w:r>
                  <w:r>
                    <w:rPr>
                      <w:rFonts w:hint="default" w:ascii="Times New Roman" w:hAnsi="Times New Roman" w:eastAsia="宋体" w:cs="Times New Roman"/>
                      <w:color w:val="auto"/>
                      <w:spacing w:val="-2"/>
                      <w:sz w:val="21"/>
                      <w:szCs w:val="21"/>
                    </w:rPr>
                    <w:t>〔2020〕340号）、《陕西省生态环境厅关</w:t>
                  </w:r>
                  <w:r>
                    <w:rPr>
                      <w:rFonts w:hint="default" w:ascii="Times New Roman" w:hAnsi="Times New Roman" w:eastAsia="宋体" w:cs="Times New Roman"/>
                      <w:color w:val="auto"/>
                      <w:spacing w:val="-1"/>
                      <w:sz w:val="21"/>
                      <w:szCs w:val="21"/>
                    </w:rPr>
                    <w:t>于实施重污染天气重点行业绩效分级的通</w:t>
                  </w:r>
                  <w:r>
                    <w:rPr>
                      <w:rFonts w:hint="default" w:ascii="Times New Roman" w:hAnsi="Times New Roman" w:eastAsia="宋体" w:cs="Times New Roman"/>
                      <w:color w:val="auto"/>
                      <w:spacing w:val="-6"/>
                      <w:sz w:val="21"/>
                      <w:szCs w:val="21"/>
                    </w:rPr>
                    <w:t>告》，本项目不属于需要开展绩效分级的行</w:t>
                  </w:r>
                  <w:r>
                    <w:rPr>
                      <w:rFonts w:hint="default" w:ascii="Times New Roman" w:hAnsi="Times New Roman" w:eastAsia="宋体" w:cs="Times New Roman"/>
                      <w:color w:val="auto"/>
                      <w:spacing w:val="-10"/>
                      <w:sz w:val="21"/>
                      <w:szCs w:val="21"/>
                    </w:rPr>
                    <w:t>业。</w:t>
                  </w:r>
                </w:p>
              </w:tc>
              <w:tc>
                <w:tcPr>
                  <w:tcW w:w="44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0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3</w:t>
                  </w:r>
                </w:p>
              </w:tc>
              <w:tc>
                <w:tcPr>
                  <w:tcW w:w="290"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西安</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市</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p>
              </w:tc>
              <w:tc>
                <w:tcPr>
                  <w:tcW w:w="273"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陕西省</w:t>
                  </w:r>
                </w:p>
              </w:tc>
              <w:tc>
                <w:tcPr>
                  <w:tcW w:w="7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空间布局约束</w:t>
                  </w:r>
                </w:p>
              </w:tc>
              <w:tc>
                <w:tcPr>
                  <w:tcW w:w="16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3.严把“两高”项目环境准入关。坚决遏制高耗能、高排放项目盲目发展。严格控制新建、扩建化学制浆造纸、化工、印染、果汁和淀粉加工等高耗水、高污染项目。推动燃煤热电企业关停。实施高排放企业关停或退城搬迁。依法依规淘汰落后产能。</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lang w:val="en-US" w:eastAsia="zh-CN" w:bidi="ar"/>
                    </w:rPr>
                    <w:t>4.严禁新增钢铁、焦化、水泥熟料、平板玻璃、电解铝、氧化铝、煤化工产能，严控新增炼油产能。</w:t>
                  </w:r>
                </w:p>
              </w:tc>
              <w:tc>
                <w:tcPr>
                  <w:tcW w:w="141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本项目行业类别为</w:t>
                  </w:r>
                  <w:r>
                    <w:rPr>
                      <w:rFonts w:hint="default" w:ascii="Times New Roman" w:hAnsi="Times New Roman" w:eastAsia="宋体" w:cs="Times New Roman"/>
                      <w:b w:val="0"/>
                      <w:bCs w:val="0"/>
                      <w:color w:val="auto"/>
                      <w:sz w:val="21"/>
                      <w:szCs w:val="21"/>
                      <w:lang w:val="en-US" w:eastAsia="zh-CN"/>
                    </w:rPr>
                    <w:t>特种玻璃制造</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不属于</w:t>
                  </w:r>
                  <w:r>
                    <w:rPr>
                      <w:rFonts w:hint="default" w:ascii="Times New Roman" w:hAnsi="Times New Roman" w:eastAsia="宋体" w:cs="Times New Roman"/>
                      <w:color w:val="auto"/>
                      <w:kern w:val="0"/>
                      <w:sz w:val="21"/>
                      <w:szCs w:val="21"/>
                      <w:lang w:val="en-US" w:eastAsia="zh-CN" w:bidi="ar"/>
                    </w:rPr>
                    <w:t>高污染、高耗能、高排放、高耗水企业</w:t>
                  </w:r>
                </w:p>
              </w:tc>
              <w:tc>
                <w:tcPr>
                  <w:tcW w:w="44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0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p>
              </w:tc>
              <w:tc>
                <w:tcPr>
                  <w:tcW w:w="29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p>
              </w:tc>
              <w:tc>
                <w:tcPr>
                  <w:tcW w:w="27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p>
              </w:tc>
              <w:tc>
                <w:tcPr>
                  <w:tcW w:w="7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污染物排放管控</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2.各区、开发区范围内新改扩建涉气重点行业企业应达到环保绩效A级、绩效引领性水平，周至县、蓝田县应达到环保绩效B级及以上水平。2027年底前完成绕城高速内（不含开发区和县域工业集中区）达不到能效标杆和环保绩效A级（含绩效引领）企业退城搬迁。</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lang w:val="en-US" w:eastAsia="zh-CN" w:bidi="ar"/>
                    </w:rPr>
                    <w:t>9.强化涉活性炭VOCs处理工艺治理。强化挥发性有机物无组织排放整治，确保达到相关标准要求。新建项目不再采用单一低温等离子、光氧化、光催化等治理技术，非水溶性VOCs废气不再采用单一喷淋吸收方式处理。</w:t>
                  </w:r>
                </w:p>
              </w:tc>
              <w:tc>
                <w:tcPr>
                  <w:tcW w:w="141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pacing w:val="-5"/>
                      <w:sz w:val="21"/>
                      <w:szCs w:val="21"/>
                    </w:rPr>
                    <w:t>根据《生态环境部办公厅关于印发&lt;重污染天</w:t>
                  </w:r>
                  <w:r>
                    <w:rPr>
                      <w:rFonts w:hint="default" w:ascii="Times New Roman" w:hAnsi="Times New Roman" w:eastAsia="宋体" w:cs="Times New Roman"/>
                      <w:color w:val="auto"/>
                      <w:spacing w:val="-1"/>
                      <w:sz w:val="21"/>
                      <w:szCs w:val="21"/>
                    </w:rPr>
                    <w:t>气重点行业应急减排措施制定技术指</w:t>
                  </w:r>
                  <w:r>
                    <w:rPr>
                      <w:rFonts w:hint="default" w:ascii="Times New Roman" w:hAnsi="Times New Roman" w:eastAsia="宋体" w:cs="Times New Roman"/>
                      <w:color w:val="auto"/>
                      <w:sz w:val="21"/>
                      <w:szCs w:val="21"/>
                    </w:rPr>
                    <w:t>南（2020年修订版）&gt;的</w:t>
                  </w:r>
                  <w:r>
                    <w:rPr>
                      <w:rFonts w:hint="default" w:ascii="Times New Roman" w:hAnsi="Times New Roman" w:eastAsia="宋体" w:cs="Times New Roman"/>
                      <w:color w:val="auto"/>
                      <w:spacing w:val="-4"/>
                      <w:sz w:val="21"/>
                      <w:szCs w:val="21"/>
                    </w:rPr>
                    <w:t>函》（环办大气函</w:t>
                  </w:r>
                  <w:r>
                    <w:rPr>
                      <w:rFonts w:hint="default" w:ascii="Times New Roman" w:hAnsi="Times New Roman" w:eastAsia="宋体" w:cs="Times New Roman"/>
                      <w:color w:val="auto"/>
                      <w:spacing w:val="-2"/>
                      <w:sz w:val="21"/>
                      <w:szCs w:val="21"/>
                    </w:rPr>
                    <w:t>〔2020〕340号）、《陕西省生态环境厅关</w:t>
                  </w:r>
                  <w:r>
                    <w:rPr>
                      <w:rFonts w:hint="default" w:ascii="Times New Roman" w:hAnsi="Times New Roman" w:eastAsia="宋体" w:cs="Times New Roman"/>
                      <w:color w:val="auto"/>
                      <w:spacing w:val="-1"/>
                      <w:sz w:val="21"/>
                      <w:szCs w:val="21"/>
                    </w:rPr>
                    <w:t>于实施重污染天气重点行业绩效分级的通</w:t>
                  </w:r>
                  <w:r>
                    <w:rPr>
                      <w:rFonts w:hint="default" w:ascii="Times New Roman" w:hAnsi="Times New Roman" w:eastAsia="宋体" w:cs="Times New Roman"/>
                      <w:color w:val="auto"/>
                      <w:spacing w:val="-6"/>
                      <w:sz w:val="21"/>
                      <w:szCs w:val="21"/>
                    </w:rPr>
                    <w:t>告》，本项目不属于需要开展绩效分级的行</w:t>
                  </w:r>
                  <w:r>
                    <w:rPr>
                      <w:rFonts w:hint="default" w:ascii="Times New Roman" w:hAnsi="Times New Roman" w:eastAsia="宋体" w:cs="Times New Roman"/>
                      <w:color w:val="auto"/>
                      <w:spacing w:val="-10"/>
                      <w:sz w:val="21"/>
                      <w:szCs w:val="21"/>
                    </w:rPr>
                    <w:t>业。</w:t>
                  </w:r>
                  <w:r>
                    <w:rPr>
                      <w:rFonts w:hint="default" w:ascii="Times New Roman" w:hAnsi="Times New Roman" w:eastAsia="宋体" w:cs="Times New Roman"/>
                      <w:color w:val="auto"/>
                      <w:spacing w:val="-10"/>
                      <w:sz w:val="21"/>
                      <w:szCs w:val="21"/>
                      <w:lang w:val="en-US" w:eastAsia="zh-CN"/>
                    </w:rPr>
                    <w:t>项目</w:t>
                  </w:r>
                  <w:r>
                    <w:rPr>
                      <w:rFonts w:hint="default" w:ascii="Times New Roman" w:hAnsi="Times New Roman" w:eastAsia="宋体" w:cs="Times New Roman"/>
                      <w:color w:val="auto"/>
                      <w:sz w:val="21"/>
                      <w:szCs w:val="21"/>
                      <w:highlight w:val="none"/>
                      <w:lang w:val="en-US" w:eastAsia="zh-CN"/>
                    </w:rPr>
                    <w:t>涂胶废气经二级活性炭吸附装置处理后经15m高排气筒（DA001）排放；未</w:t>
                  </w:r>
                  <w:r>
                    <w:rPr>
                      <w:rFonts w:hint="default" w:ascii="Times New Roman" w:hAnsi="Times New Roman" w:eastAsia="宋体" w:cs="Times New Roman"/>
                      <w:color w:val="auto"/>
                      <w:kern w:val="0"/>
                      <w:sz w:val="21"/>
                      <w:szCs w:val="21"/>
                      <w:lang w:val="en-US" w:eastAsia="zh-CN" w:bidi="ar"/>
                    </w:rPr>
                    <w:t>采用单一低温等离子、光氧化、光催化等治理技术。</w:t>
                  </w:r>
                </w:p>
              </w:tc>
              <w:tc>
                <w:tcPr>
                  <w:tcW w:w="44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w:t>
                  </w:r>
                </w:p>
              </w:tc>
            </w:tr>
          </w:tbl>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表1-</w:t>
            </w:r>
            <w:r>
              <w:rPr>
                <w:rFonts w:hint="eastAsia"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lang w:val="en-US" w:eastAsia="zh-CN"/>
              </w:rPr>
              <w:t xml:space="preserve">  本项目与环境管控单元管控要求符合性分析</w:t>
            </w:r>
          </w:p>
          <w:tbl>
            <w:tblPr>
              <w:tblStyle w:val="34"/>
              <w:tblW w:w="712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39"/>
              <w:gridCol w:w="544"/>
              <w:gridCol w:w="407"/>
              <w:gridCol w:w="699"/>
              <w:gridCol w:w="450"/>
              <w:gridCol w:w="357"/>
              <w:gridCol w:w="2077"/>
              <w:gridCol w:w="1373"/>
              <w:gridCol w:w="439"/>
              <w:gridCol w:w="33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0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38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市（区）</w:t>
                  </w:r>
                </w:p>
              </w:tc>
              <w:tc>
                <w:tcPr>
                  <w:tcW w:w="28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区县</w:t>
                  </w:r>
                </w:p>
              </w:tc>
              <w:tc>
                <w:tcPr>
                  <w:tcW w:w="49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环境管控单元名称</w:t>
                  </w:r>
                </w:p>
              </w:tc>
              <w:tc>
                <w:tcPr>
                  <w:tcW w:w="3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单元要素属性</w:t>
                  </w:r>
                </w:p>
              </w:tc>
              <w:tc>
                <w:tcPr>
                  <w:tcW w:w="1708"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before="0" w:after="0" w:line="240" w:lineRule="auto"/>
                    <w:ind w:left="0" w:firstLine="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管控要求</w:t>
                  </w:r>
                </w:p>
              </w:tc>
              <w:tc>
                <w:tcPr>
                  <w:tcW w:w="96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建设项目符合性的分析</w:t>
                  </w:r>
                </w:p>
              </w:tc>
              <w:tc>
                <w:tcPr>
                  <w:tcW w:w="30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面积/m</w:t>
                  </w:r>
                  <w:r>
                    <w:rPr>
                      <w:rFonts w:hint="default" w:ascii="Times New Roman" w:hAnsi="Times New Roman" w:eastAsia="宋体" w:cs="Times New Roman"/>
                      <w:b/>
                      <w:bCs/>
                      <w:color w:val="auto"/>
                      <w:sz w:val="21"/>
                      <w:szCs w:val="21"/>
                      <w:highlight w:val="none"/>
                      <w:vertAlign w:val="superscript"/>
                      <w:lang w:val="en-US" w:eastAsia="zh-CN"/>
                    </w:rPr>
                    <w:t>2</w:t>
                  </w:r>
                </w:p>
              </w:tc>
              <w:tc>
                <w:tcPr>
                  <w:tcW w:w="23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rPr>
                    <w:t>是否符合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08"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1</w:t>
                  </w:r>
                </w:p>
              </w:tc>
              <w:tc>
                <w:tcPr>
                  <w:tcW w:w="381"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西安市</w:t>
                  </w:r>
                </w:p>
              </w:tc>
              <w:tc>
                <w:tcPr>
                  <w:tcW w:w="28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周至县</w:t>
                  </w:r>
                </w:p>
              </w:tc>
              <w:tc>
                <w:tcPr>
                  <w:tcW w:w="490"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周至县集贤产业园区</w:t>
                  </w:r>
                </w:p>
              </w:tc>
              <w:tc>
                <w:tcPr>
                  <w:tcW w:w="31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大气环境布局敏感重点管控区</w:t>
                  </w:r>
                </w:p>
              </w:tc>
              <w:tc>
                <w:tcPr>
                  <w:tcW w:w="25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空间布局约束</w:t>
                  </w:r>
                </w:p>
              </w:tc>
              <w:tc>
                <w:tcPr>
                  <w:tcW w:w="1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大气环境高排放重点管控区：1.调整结构强化领域绿色低碳发展。2.严禁新增钢铁、焦化、水泥熟料、平板玻璃、电解铝、氧化铝、煤化工产能，严控新增炼油产能。周至县集贤产业园区1.禁止不符合规划产业结</w:t>
                  </w:r>
                </w:p>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lang w:val="en-US" w:eastAsia="zh-CN" w:bidi="ar"/>
                    </w:rPr>
                    <w:t>构和国家产业政策的企业入园。2.执行西安市生态环境要素分区总体准入清单中“5.2大气环境高排放重点管控区”准入要求。</w:t>
                  </w:r>
                </w:p>
              </w:tc>
              <w:tc>
                <w:tcPr>
                  <w:tcW w:w="96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本项目为</w:t>
                  </w:r>
                  <w:r>
                    <w:rPr>
                      <w:rFonts w:hint="default" w:ascii="Times New Roman" w:hAnsi="Times New Roman" w:eastAsia="宋体" w:cs="Times New Roman"/>
                      <w:b w:val="0"/>
                      <w:bCs w:val="0"/>
                      <w:color w:val="auto"/>
                      <w:sz w:val="21"/>
                      <w:szCs w:val="21"/>
                      <w:lang w:val="en-US" w:eastAsia="zh-CN"/>
                    </w:rPr>
                    <w:t>特种玻璃制造</w:t>
                  </w:r>
                  <w:r>
                    <w:rPr>
                      <w:rFonts w:hint="default" w:ascii="Times New Roman" w:hAnsi="Times New Roman" w:eastAsia="宋体" w:cs="Times New Roman"/>
                      <w:bCs/>
                      <w:color w:val="auto"/>
                      <w:sz w:val="21"/>
                      <w:szCs w:val="21"/>
                      <w:highlight w:val="none"/>
                      <w:lang w:val="en-US" w:eastAsia="zh-CN"/>
                    </w:rPr>
                    <w:t>，不属于禁止类项目，且</w:t>
                  </w:r>
                  <w:r>
                    <w:rPr>
                      <w:rFonts w:hint="default" w:ascii="Times New Roman" w:hAnsi="Times New Roman" w:eastAsia="宋体" w:cs="Times New Roman"/>
                      <w:color w:val="auto"/>
                      <w:kern w:val="0"/>
                      <w:sz w:val="21"/>
                      <w:szCs w:val="21"/>
                      <w:lang w:val="en-US" w:eastAsia="zh-CN" w:bidi="ar"/>
                    </w:rPr>
                    <w:t>符合企业入园规划产业结构和国家产业政策。满足西安市生态环境要素分区总体准入清单“5.2大气环境高排放重点管控区”准入要求。</w:t>
                  </w:r>
                </w:p>
              </w:tc>
              <w:tc>
                <w:tcPr>
                  <w:tcW w:w="308"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bidi="ar"/>
                    </w:rPr>
                    <w:t>6000</w:t>
                  </w:r>
                </w:p>
              </w:tc>
              <w:tc>
                <w:tcPr>
                  <w:tcW w:w="23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0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color w:val="auto"/>
                      <w:sz w:val="21"/>
                      <w:szCs w:val="21"/>
                      <w:highlight w:val="none"/>
                    </w:rPr>
                  </w:pPr>
                </w:p>
              </w:tc>
              <w:tc>
                <w:tcPr>
                  <w:tcW w:w="38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color w:val="auto"/>
                      <w:sz w:val="21"/>
                      <w:szCs w:val="21"/>
                      <w:highlight w:val="none"/>
                    </w:rPr>
                  </w:pPr>
                </w:p>
              </w:tc>
              <w:tc>
                <w:tcPr>
                  <w:tcW w:w="28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color w:val="auto"/>
                      <w:sz w:val="21"/>
                      <w:szCs w:val="21"/>
                      <w:highlight w:val="none"/>
                    </w:rPr>
                  </w:pPr>
                </w:p>
              </w:tc>
              <w:tc>
                <w:tcPr>
                  <w:tcW w:w="49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color w:val="auto"/>
                      <w:sz w:val="21"/>
                      <w:szCs w:val="21"/>
                      <w:highlight w:val="none"/>
                    </w:rPr>
                  </w:pPr>
                </w:p>
              </w:tc>
              <w:tc>
                <w:tcPr>
                  <w:tcW w:w="31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color w:val="auto"/>
                      <w:sz w:val="21"/>
                      <w:szCs w:val="21"/>
                      <w:highlight w:val="none"/>
                    </w:rPr>
                  </w:pPr>
                </w:p>
              </w:tc>
              <w:tc>
                <w:tcPr>
                  <w:tcW w:w="25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污染物排放管控</w:t>
                  </w:r>
                </w:p>
              </w:tc>
              <w:tc>
                <w:tcPr>
                  <w:tcW w:w="1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lang w:val="en-US" w:eastAsia="zh-CN" w:bidi="ar"/>
                    </w:rPr>
                    <w:t>大气环境高排放重点管控区：2.在工业园区、企业集群推广建设涉挥发性有机物“绿岛”项目。在工业涂装和包装印刷等行业全面推进源头替代，严格落实国家和地方产品挥发性有机物含量限值质量标准。水环境农业污染重点管控区：周至县集贤产业园区1.执行西安市生态环境要素分区总体准入清单中“5.2大气环境高排放重点管控区”准入要求。2.执行西安市生态环境要素分区总体准入清单中“5.5水环境农业污染重点管控区”准入要求。</w:t>
                  </w:r>
                </w:p>
              </w:tc>
              <w:tc>
                <w:tcPr>
                  <w:tcW w:w="96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lang w:val="en-US" w:eastAsia="zh-CN"/>
                    </w:rPr>
                    <w:t>涂胶废气经二级活性炭吸附装置处理后经15m高排气筒（DA001）排放。</w:t>
                  </w:r>
                  <w:r>
                    <w:rPr>
                      <w:rFonts w:hint="default" w:ascii="Times New Roman" w:hAnsi="Times New Roman" w:eastAsia="宋体" w:cs="Times New Roman"/>
                      <w:color w:val="auto"/>
                      <w:sz w:val="21"/>
                      <w:szCs w:val="21"/>
                    </w:rPr>
                    <w:t>项目</w:t>
                  </w:r>
                  <w:r>
                    <w:rPr>
                      <w:rFonts w:hint="default" w:ascii="Times New Roman" w:hAnsi="Times New Roman" w:eastAsia="宋体" w:cs="Times New Roman"/>
                      <w:color w:val="auto"/>
                      <w:sz w:val="21"/>
                      <w:szCs w:val="21"/>
                      <w:lang w:val="en-US" w:eastAsia="zh-CN"/>
                    </w:rPr>
                    <w:t>位于西安市高新区集贤园科技大道8号，</w:t>
                  </w:r>
                  <w:r>
                    <w:rPr>
                      <w:rFonts w:hint="default" w:ascii="Times New Roman" w:hAnsi="Times New Roman" w:eastAsia="宋体" w:cs="Times New Roman"/>
                      <w:color w:val="auto"/>
                      <w:kern w:val="0"/>
                      <w:sz w:val="21"/>
                      <w:szCs w:val="21"/>
                      <w:lang w:val="en-US" w:eastAsia="zh-CN" w:bidi="ar"/>
                    </w:rPr>
                    <w:t>满足西安市生态环境要素分区总体准入清单中“5.2大气环境高排放重点管控区”准入要求。满足西安市生态环境要素分区总体准入清单中“5.5水环境农业污染重点管控区”准入要求。</w:t>
                  </w:r>
                </w:p>
              </w:tc>
              <w:tc>
                <w:tcPr>
                  <w:tcW w:w="30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color w:val="auto"/>
                      <w:sz w:val="21"/>
                      <w:szCs w:val="21"/>
                      <w:highlight w:val="none"/>
                    </w:rPr>
                  </w:pPr>
                </w:p>
              </w:tc>
              <w:tc>
                <w:tcPr>
                  <w:tcW w:w="23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0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color w:val="auto"/>
                      <w:sz w:val="21"/>
                      <w:szCs w:val="21"/>
                      <w:highlight w:val="none"/>
                    </w:rPr>
                  </w:pPr>
                </w:p>
              </w:tc>
              <w:tc>
                <w:tcPr>
                  <w:tcW w:w="38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color w:val="auto"/>
                      <w:sz w:val="21"/>
                      <w:szCs w:val="21"/>
                      <w:highlight w:val="none"/>
                    </w:rPr>
                  </w:pPr>
                </w:p>
              </w:tc>
              <w:tc>
                <w:tcPr>
                  <w:tcW w:w="28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color w:val="auto"/>
                      <w:sz w:val="21"/>
                      <w:szCs w:val="21"/>
                      <w:highlight w:val="none"/>
                    </w:rPr>
                  </w:pPr>
                </w:p>
              </w:tc>
              <w:tc>
                <w:tcPr>
                  <w:tcW w:w="49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color w:val="auto"/>
                      <w:sz w:val="21"/>
                      <w:szCs w:val="21"/>
                      <w:highlight w:val="none"/>
                    </w:rPr>
                  </w:pPr>
                </w:p>
              </w:tc>
              <w:tc>
                <w:tcPr>
                  <w:tcW w:w="31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color w:val="auto"/>
                      <w:sz w:val="21"/>
                      <w:szCs w:val="21"/>
                      <w:highlight w:val="none"/>
                    </w:rPr>
                  </w:pPr>
                </w:p>
              </w:tc>
              <w:tc>
                <w:tcPr>
                  <w:tcW w:w="2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资源</w:t>
                  </w:r>
                </w:p>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开发</w:t>
                  </w:r>
                </w:p>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效率</w:t>
                  </w:r>
                </w:p>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kern w:val="0"/>
                      <w:sz w:val="21"/>
                      <w:szCs w:val="21"/>
                      <w:lang w:val="en-US" w:eastAsia="zh-CN" w:bidi="ar"/>
                    </w:rPr>
                    <w:t>要求</w:t>
                  </w:r>
                </w:p>
              </w:tc>
              <w:tc>
                <w:tcPr>
                  <w:tcW w:w="1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土地资源重点管控区：2.严格用地准入管理。严格执行自然资源开发利用限制和禁止目录、建设用地定额标准和市场准入负面清单。</w:t>
                  </w:r>
                </w:p>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周至县集贤产业园区1.执行西安市生态环境要素分区总体准入清单中“5.9生态用水补给区管控分区”准入要求。2.执行西安市生态环境要素分区总体准入清单中“5.12土地资源重点管控区”准入要求。</w:t>
                  </w:r>
                </w:p>
              </w:tc>
              <w:tc>
                <w:tcPr>
                  <w:tcW w:w="96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rPr>
                    <w:t>项目</w:t>
                  </w:r>
                  <w:r>
                    <w:rPr>
                      <w:rFonts w:hint="default" w:ascii="Times New Roman" w:hAnsi="Times New Roman" w:eastAsia="宋体" w:cs="Times New Roman"/>
                      <w:color w:val="auto"/>
                      <w:sz w:val="21"/>
                      <w:szCs w:val="21"/>
                      <w:lang w:val="en-US" w:eastAsia="zh-CN"/>
                    </w:rPr>
                    <w:t>位于西安市高新区集贤园科技大道8号，</w:t>
                  </w:r>
                  <w:r>
                    <w:rPr>
                      <w:rFonts w:hint="default" w:ascii="Times New Roman" w:hAnsi="Times New Roman" w:eastAsia="宋体" w:cs="Times New Roman"/>
                      <w:color w:val="auto"/>
                      <w:kern w:val="0"/>
                      <w:sz w:val="21"/>
                      <w:szCs w:val="21"/>
                      <w:lang w:val="en-US" w:eastAsia="zh-CN" w:bidi="ar"/>
                    </w:rPr>
                    <w:t>满足西安市生态环境要素分区总体准入清单中“5.9生态用水补给区管控分区”准入要求。满足西安市生态环境要素分区总体准入清单中“5.12土地资源重点管控区”准入要求。</w:t>
                  </w:r>
                </w:p>
              </w:tc>
              <w:tc>
                <w:tcPr>
                  <w:tcW w:w="30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color w:val="auto"/>
                      <w:sz w:val="21"/>
                      <w:szCs w:val="21"/>
                      <w:highlight w:val="none"/>
                    </w:rPr>
                  </w:pPr>
                </w:p>
              </w:tc>
              <w:tc>
                <w:tcPr>
                  <w:tcW w:w="23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rPr>
                    <w:t>符合</w:t>
                  </w:r>
                </w:p>
              </w:tc>
            </w:tr>
          </w:tbl>
          <w:p>
            <w:pPr>
              <w:keepNext w:val="0"/>
              <w:keepLines w:val="0"/>
              <w:pageBreakBefore w:val="0"/>
              <w:widowControl w:val="0"/>
              <w:kinsoku/>
              <w:wordWrap/>
              <w:overflowPunct/>
              <w:topLinePunct w:val="0"/>
              <w:autoSpaceDE/>
              <w:autoSpaceDN/>
              <w:bidi w:val="0"/>
              <w:adjustRightInd w:val="0"/>
              <w:snapToGrid w:val="0"/>
              <w:spacing w:before="120" w:beforeLines="50" w:line="360" w:lineRule="auto"/>
              <w:ind w:firstLine="480" w:firstLineChars="200"/>
              <w:jc w:val="both"/>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szCs w:val="21"/>
              </w:rPr>
              <w:t>③</w:t>
            </w:r>
            <w:r>
              <w:rPr>
                <w:rFonts w:hint="default" w:ascii="Times New Roman" w:hAnsi="Times New Roman" w:eastAsia="宋体" w:cs="Times New Roman"/>
                <w:color w:val="auto"/>
                <w:kern w:val="0"/>
                <w:sz w:val="24"/>
                <w:lang w:val="en-US" w:eastAsia="zh-CN"/>
              </w:rPr>
              <w:t>“一说明”：指的是依据“一图”和“一表”结果，论证规划或建设项目符合性的说明。</w:t>
            </w:r>
          </w:p>
          <w:tbl>
            <w:tblPr>
              <w:tblStyle w:val="35"/>
              <w:tblW w:w="720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400"/>
              <w:gridCol w:w="2400"/>
              <w:gridCol w:w="240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4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b/>
                      <w:bCs/>
                      <w:color w:val="auto"/>
                      <w:kern w:val="0"/>
                      <w:sz w:val="21"/>
                      <w:szCs w:val="21"/>
                      <w:lang w:val="en-US" w:eastAsia="zh-CN" w:bidi="ar"/>
                    </w:rPr>
                    <w:t>对照分析</w:t>
                  </w:r>
                </w:p>
              </w:tc>
              <w:tc>
                <w:tcPr>
                  <w:tcW w:w="24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b/>
                      <w:bCs/>
                      <w:color w:val="auto"/>
                      <w:kern w:val="0"/>
                      <w:sz w:val="21"/>
                      <w:szCs w:val="21"/>
                      <w:lang w:val="en-US" w:eastAsia="zh-CN" w:bidi="ar"/>
                    </w:rPr>
                    <w:t>本项目情况</w:t>
                  </w:r>
                </w:p>
              </w:tc>
              <w:tc>
                <w:tcPr>
                  <w:tcW w:w="24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b/>
                      <w:bCs/>
                      <w:color w:val="auto"/>
                      <w:kern w:val="0"/>
                      <w:sz w:val="21"/>
                      <w:szCs w:val="21"/>
                      <w:lang w:val="en-US" w:eastAsia="zh-CN" w:bidi="ar"/>
                    </w:rPr>
                    <w:t>符合性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4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各类生态环境敏感区对照分析</w:t>
                  </w:r>
                </w:p>
              </w:tc>
              <w:tc>
                <w:tcPr>
                  <w:tcW w:w="24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根据“一图”可知，本项目不涉及生态环境敏感区。</w:t>
                  </w:r>
                </w:p>
              </w:tc>
              <w:tc>
                <w:tcPr>
                  <w:tcW w:w="24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不涉及生态环境敏感区。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4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环境管控单元对照分析</w:t>
                  </w:r>
                </w:p>
              </w:tc>
              <w:tc>
                <w:tcPr>
                  <w:tcW w:w="24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根据“一图”可知，本项目位于重点管控单元，根据“一表”可知本项目满足重点管控单元管控要求。</w:t>
                  </w:r>
                </w:p>
              </w:tc>
              <w:tc>
                <w:tcPr>
                  <w:tcW w:w="24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本项目位于重点管控单元， 满足重点管控单元管控要求。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4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未纳入环境管控单元的要素分区对照分析</w:t>
                  </w:r>
                </w:p>
              </w:tc>
              <w:tc>
                <w:tcPr>
                  <w:tcW w:w="24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不涉及</w:t>
                  </w:r>
                </w:p>
              </w:tc>
              <w:tc>
                <w:tcPr>
                  <w:tcW w:w="24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无其他限制要求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4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其他对照分析</w:t>
                  </w:r>
                </w:p>
              </w:tc>
              <w:tc>
                <w:tcPr>
                  <w:tcW w:w="24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不涉及</w:t>
                  </w:r>
                </w:p>
              </w:tc>
              <w:tc>
                <w:tcPr>
                  <w:tcW w:w="24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无其他限制要求</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根据上述分区管控准入清单符合性分析表及</w:t>
            </w:r>
            <w:r>
              <w:rPr>
                <w:rFonts w:hint="default" w:ascii="Times New Roman" w:hAnsi="Times New Roman" w:eastAsia="宋体" w:cs="Times New Roman"/>
                <w:color w:val="auto"/>
                <w:sz w:val="24"/>
                <w:szCs w:val="24"/>
                <w:lang w:val="en-US" w:eastAsia="zh-CN"/>
              </w:rPr>
              <w:t>西安市</w:t>
            </w:r>
            <w:r>
              <w:rPr>
                <w:rFonts w:hint="default" w:ascii="Times New Roman" w:hAnsi="Times New Roman" w:eastAsia="宋体" w:cs="Times New Roman"/>
                <w:color w:val="auto"/>
                <w:sz w:val="24"/>
                <w:szCs w:val="24"/>
              </w:rPr>
              <w:t>“三线一单”生态环境分区管控单元示意图。</w:t>
            </w:r>
            <w:r>
              <w:rPr>
                <w:rFonts w:hint="default" w:ascii="Times New Roman" w:hAnsi="Times New Roman" w:eastAsia="宋体" w:cs="Times New Roman"/>
                <w:color w:val="auto"/>
                <w:sz w:val="24"/>
                <w:szCs w:val="24"/>
                <w:lang w:val="en-US" w:eastAsia="zh-CN"/>
              </w:rPr>
              <w:t>本项目位于</w:t>
            </w:r>
            <w:r>
              <w:rPr>
                <w:rFonts w:hint="default" w:ascii="Times New Roman" w:hAnsi="Times New Roman" w:eastAsia="宋体" w:cs="Times New Roman"/>
                <w:color w:val="auto"/>
                <w:sz w:val="24"/>
                <w:szCs w:val="24"/>
              </w:rPr>
              <w:t>重点管控单元，满足重点管控单元管控要求</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不涉及生态环境敏感区</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且</w:t>
            </w:r>
            <w:r>
              <w:rPr>
                <w:rFonts w:hint="default" w:ascii="Times New Roman" w:hAnsi="Times New Roman" w:eastAsia="宋体" w:cs="Times New Roman"/>
                <w:color w:val="auto"/>
                <w:sz w:val="24"/>
                <w:szCs w:val="24"/>
              </w:rPr>
              <w:t>项目污染物排放量较小，针对产生的污染物企业均采取了相应的污染防治措施，可以有效降低项目生产过程中的污染物排放量，进而降低其对周围环境质量的影响，评价要求企业具备完善的环境风险防范机制、完善的风险防范措施及相应的物资配备，可有效防控环境风险。因此，项目符合</w:t>
            </w:r>
            <w:r>
              <w:rPr>
                <w:rFonts w:hint="default" w:ascii="Times New Roman" w:hAnsi="Times New Roman" w:eastAsia="宋体" w:cs="Times New Roman"/>
                <w:color w:val="auto"/>
                <w:sz w:val="24"/>
                <w:szCs w:val="24"/>
                <w:lang w:val="en-US" w:eastAsia="zh-CN"/>
              </w:rPr>
              <w:t>西安市</w:t>
            </w:r>
            <w:r>
              <w:rPr>
                <w:rFonts w:hint="default" w:ascii="Times New Roman" w:hAnsi="Times New Roman" w:eastAsia="宋体" w:cs="Times New Roman"/>
                <w:color w:val="auto"/>
                <w:sz w:val="24"/>
                <w:szCs w:val="24"/>
                <w:lang w:eastAsia="zh-CN"/>
              </w:rPr>
              <w:t>人民政府关于印发“三线一单”生态环境分区管控方案的通知》</w:t>
            </w:r>
            <w:r>
              <w:rPr>
                <w:rFonts w:hint="default" w:ascii="Times New Roman" w:hAnsi="Times New Roman" w:eastAsia="宋体" w:cs="Times New Roman"/>
                <w:color w:val="auto"/>
                <w:sz w:val="24"/>
                <w:szCs w:val="24"/>
                <w:lang w:val="en-US" w:eastAsia="zh-CN"/>
              </w:rPr>
              <w:t>（市政发〔2021〕22号）</w:t>
            </w:r>
            <w:r>
              <w:rPr>
                <w:rFonts w:hint="default" w:ascii="Times New Roman" w:hAnsi="Times New Roman" w:eastAsia="宋体" w:cs="Times New Roman"/>
                <w:color w:val="auto"/>
                <w:sz w:val="24"/>
                <w:szCs w:val="24"/>
              </w:rPr>
              <w:t>相关要求。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综上，本项目的建设符合陕西省及</w:t>
            </w:r>
            <w:r>
              <w:rPr>
                <w:rFonts w:hint="default" w:ascii="Times New Roman" w:hAnsi="Times New Roman" w:eastAsia="宋体" w:cs="Times New Roman"/>
                <w:color w:val="auto"/>
                <w:sz w:val="24"/>
                <w:szCs w:val="24"/>
                <w:lang w:val="en-US" w:eastAsia="zh-CN"/>
              </w:rPr>
              <w:t>西安市</w:t>
            </w:r>
            <w:r>
              <w:rPr>
                <w:rFonts w:hint="default" w:ascii="Times New Roman" w:hAnsi="Times New Roman" w:eastAsia="宋体" w:cs="Times New Roman"/>
                <w:color w:val="auto"/>
                <w:sz w:val="24"/>
                <w:szCs w:val="24"/>
              </w:rPr>
              <w:t>“三线一单”相关要求。</w:t>
            </w:r>
          </w:p>
          <w:p>
            <w:pPr>
              <w:pStyle w:val="68"/>
              <w:keepNext w:val="0"/>
              <w:keepLines w:val="0"/>
              <w:pageBreakBefore w:val="0"/>
              <w:widowControl w:val="0"/>
              <w:kinsoku/>
              <w:wordWrap/>
              <w:overflowPunct/>
              <w:topLinePunct w:val="0"/>
              <w:autoSpaceDE/>
              <w:autoSpaceDN/>
              <w:bidi w:val="0"/>
              <w:adjustRightInd/>
              <w:snapToGrid/>
              <w:spacing w:before="157" w:beforeLines="50"/>
              <w:ind w:firstLineChars="200"/>
              <w:jc w:val="both"/>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rPr>
              <w:t>、选址合理性分析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highlight w:val="green"/>
                <w:lang w:val="en-US" w:eastAsia="zh-CN"/>
              </w:rPr>
            </w:pP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rPr>
              <w:t>位于</w:t>
            </w:r>
            <w:r>
              <w:rPr>
                <w:rFonts w:hint="default" w:ascii="Times New Roman" w:hAnsi="Times New Roman" w:eastAsia="宋体" w:cs="Times New Roman"/>
                <w:color w:val="auto"/>
                <w:sz w:val="24"/>
                <w:szCs w:val="24"/>
                <w:lang w:val="en-US" w:eastAsia="zh-CN"/>
              </w:rPr>
              <w:t>西安市高新区集贤园科技大道8号</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在</w:t>
            </w:r>
            <w:r>
              <w:rPr>
                <w:rFonts w:hint="default" w:ascii="Times New Roman" w:hAnsi="Times New Roman" w:eastAsia="宋体" w:cs="Times New Roman"/>
                <w:color w:val="auto"/>
                <w:sz w:val="24"/>
                <w:lang w:eastAsia="zh-CN"/>
              </w:rPr>
              <w:t>高科建材（西安）新材料科技有限公司</w:t>
            </w:r>
            <w:r>
              <w:rPr>
                <w:rFonts w:hint="default" w:ascii="Times New Roman" w:hAnsi="Times New Roman" w:eastAsia="宋体" w:cs="Times New Roman"/>
                <w:color w:val="auto"/>
                <w:sz w:val="24"/>
                <w:lang w:val="en-US" w:eastAsia="zh-CN"/>
              </w:rPr>
              <w:t>原有厂房内建设</w:t>
            </w:r>
            <w:r>
              <w:rPr>
                <w:rFonts w:hint="default" w:ascii="Times New Roman" w:hAnsi="Times New Roman" w:eastAsia="宋体" w:cs="Times New Roman"/>
                <w:color w:val="auto"/>
                <w:sz w:val="24"/>
                <w:highlight w:val="none"/>
                <w:lang w:val="en-US" w:eastAsia="zh-CN"/>
              </w:rPr>
              <w:t>，总建筑面积6000m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szCs w:val="24"/>
                <w:highlight w:val="none"/>
                <w:lang w:val="en-US" w:eastAsia="zh-CN"/>
              </w:rPr>
              <w:t>不新增占地</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highlight w:val="none"/>
              </w:rPr>
              <w:t>符合园区发展规划及产业布局</w:t>
            </w:r>
            <w:r>
              <w:rPr>
                <w:rFonts w:hint="default" w:ascii="Times New Roman" w:hAnsi="Times New Roman" w:eastAsia="宋体" w:cs="Times New Roman"/>
                <w:color w:val="auto"/>
                <w:sz w:val="24"/>
                <w:highlight w:val="none"/>
                <w:lang w:eastAsia="zh-CN"/>
              </w:rPr>
              <w:t>。</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val="en-US" w:eastAsia="zh-CN"/>
              </w:rPr>
              <w:t>位于西安市高新区集贤园科技大道8号，</w:t>
            </w:r>
            <w:r>
              <w:rPr>
                <w:rFonts w:hint="default" w:ascii="Times New Roman" w:hAnsi="Times New Roman" w:eastAsia="宋体" w:cs="Times New Roman"/>
                <w:color w:val="auto"/>
                <w:sz w:val="24"/>
                <w:szCs w:val="24"/>
              </w:rPr>
              <w:t>根据西安市秦岭生态环境保护规划分区图，详见附图</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，不在秦岭生态环境保护范围内。</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w:t>
            </w:r>
            <w:r>
              <w:rPr>
                <w:rFonts w:hint="eastAsia" w:cs="Times New Roman"/>
                <w:color w:val="auto"/>
                <w:sz w:val="24"/>
                <w:szCs w:val="24"/>
                <w:lang w:val="en-US" w:eastAsia="zh-CN"/>
              </w:rPr>
              <w:t>厂</w:t>
            </w:r>
            <w:r>
              <w:rPr>
                <w:rFonts w:hint="default" w:ascii="Times New Roman" w:hAnsi="Times New Roman" w:eastAsia="宋体" w:cs="Times New Roman"/>
                <w:color w:val="auto"/>
                <w:sz w:val="24"/>
                <w:szCs w:val="24"/>
              </w:rPr>
              <w:t>址不在自然保护区，风景名胜区、水源地保护区等需要特殊保护地区范围内，项目</w:t>
            </w:r>
            <w:r>
              <w:rPr>
                <w:rFonts w:hint="default" w:ascii="Times New Roman" w:hAnsi="Times New Roman" w:eastAsia="宋体" w:cs="Times New Roman"/>
                <w:color w:val="auto"/>
                <w:sz w:val="24"/>
                <w:szCs w:val="24"/>
                <w:lang w:val="en-US" w:eastAsia="zh-CN"/>
              </w:rPr>
              <w:t>周围200m无敏感点</w:t>
            </w:r>
            <w:r>
              <w:rPr>
                <w:rFonts w:hint="default" w:ascii="Times New Roman" w:hAnsi="Times New Roman" w:eastAsia="宋体" w:cs="Times New Roman"/>
                <w:color w:val="auto"/>
                <w:sz w:val="24"/>
                <w:szCs w:val="24"/>
              </w:rPr>
              <w:t>，周边环境对项目的建设及运行制约因素较少。</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项目所在地</w:t>
            </w:r>
            <w:r>
              <w:rPr>
                <w:rFonts w:hint="default" w:ascii="Times New Roman" w:hAnsi="Times New Roman" w:eastAsia="宋体" w:cs="Times New Roman"/>
                <w:color w:val="auto"/>
                <w:sz w:val="24"/>
                <w:szCs w:val="24"/>
              </w:rPr>
              <w:t>供水、排水（雨水、污水）、供电、供暖、道路、</w:t>
            </w:r>
            <w:r>
              <w:rPr>
                <w:rFonts w:hint="default" w:ascii="Times New Roman" w:hAnsi="Times New Roman" w:eastAsia="宋体" w:cs="Times New Roman"/>
                <w:color w:val="auto"/>
                <w:sz w:val="24"/>
                <w:szCs w:val="24"/>
                <w:lang w:eastAsia="zh-CN"/>
              </w:rPr>
              <w:t>通信等</w:t>
            </w:r>
            <w:r>
              <w:rPr>
                <w:rFonts w:hint="default" w:ascii="Times New Roman" w:hAnsi="Times New Roman" w:eastAsia="宋体" w:cs="Times New Roman"/>
                <w:color w:val="auto"/>
                <w:sz w:val="24"/>
                <w:szCs w:val="24"/>
              </w:rPr>
              <w:t>配套基础设施均已建设到位，能够满足本项目运行要求。本项目运行期间各类污染物均能达标排放，对环境的影响可以接受。</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rPr>
              <w:t>在严格落实本报告提出的环保措施后，项目的建设和运行对外环境影响</w:t>
            </w:r>
            <w:r>
              <w:rPr>
                <w:rFonts w:hint="eastAsia" w:cs="Times New Roman"/>
                <w:color w:val="auto"/>
                <w:sz w:val="24"/>
                <w:szCs w:val="24"/>
                <w:lang w:val="en-US" w:eastAsia="zh-CN"/>
              </w:rPr>
              <w:t>较小</w:t>
            </w:r>
            <w:r>
              <w:rPr>
                <w:rFonts w:hint="default" w:ascii="Times New Roman" w:hAnsi="Times New Roman" w:eastAsia="宋体" w:cs="Times New Roman"/>
                <w:color w:val="auto"/>
                <w:sz w:val="24"/>
                <w:szCs w:val="24"/>
              </w:rPr>
              <w:t>，从环保角度分析，</w:t>
            </w:r>
            <w:r>
              <w:rPr>
                <w:rFonts w:hint="eastAsia" w:cs="Times New Roman"/>
                <w:color w:val="auto"/>
                <w:sz w:val="24"/>
                <w:szCs w:val="24"/>
                <w:lang w:val="en-US" w:eastAsia="zh-CN"/>
              </w:rPr>
              <w:t>项目建设</w:t>
            </w:r>
            <w:r>
              <w:rPr>
                <w:rFonts w:hint="default" w:ascii="Times New Roman" w:hAnsi="Times New Roman" w:eastAsia="宋体" w:cs="Times New Roman"/>
                <w:color w:val="auto"/>
                <w:sz w:val="24"/>
                <w:szCs w:val="24"/>
              </w:rPr>
              <w:t>选址可行。</w:t>
            </w:r>
          </w:p>
        </w:tc>
      </w:tr>
    </w:tbl>
    <w:p>
      <w:pPr>
        <w:pStyle w:val="30"/>
        <w:jc w:val="center"/>
        <w:outlineLvl w:val="0"/>
        <w:rPr>
          <w:rFonts w:hint="default" w:ascii="Times New Roman" w:hAnsi="Times New Roman" w:eastAsia="宋体" w:cs="Times New Roman"/>
          <w:snapToGrid w:val="0"/>
          <w:color w:val="auto"/>
          <w:sz w:val="30"/>
          <w:szCs w:val="30"/>
        </w:rPr>
        <w:sectPr>
          <w:footerReference r:id="rId5" w:type="default"/>
          <w:pgSz w:w="11907" w:h="16840"/>
          <w:pgMar w:top="1701" w:right="1531" w:bottom="2127" w:left="1531" w:header="851" w:footer="851" w:gutter="0"/>
          <w:pgBorders>
            <w:top w:val="none" w:sz="0" w:space="0"/>
            <w:left w:val="none" w:sz="0" w:space="0"/>
            <w:bottom w:val="none" w:sz="0" w:space="0"/>
            <w:right w:val="none" w:sz="0" w:space="0"/>
          </w:pgBorders>
          <w:pgNumType w:start="1"/>
          <w:cols w:space="720" w:num="1"/>
          <w:docGrid w:linePitch="312" w:charSpace="0"/>
        </w:sectPr>
      </w:pPr>
    </w:p>
    <w:p>
      <w:pPr>
        <w:pStyle w:val="30"/>
        <w:keepNext w:val="0"/>
        <w:keepLines w:val="0"/>
        <w:pageBreakBefore w:val="0"/>
        <w:widowControl/>
        <w:kinsoku/>
        <w:wordWrap/>
        <w:overflowPunct/>
        <w:topLinePunct w:val="0"/>
        <w:autoSpaceDE/>
        <w:autoSpaceDN/>
        <w:bidi w:val="0"/>
        <w:spacing w:before="0" w:beforeAutospacing="0" w:after="0" w:afterAutospacing="0" w:line="360" w:lineRule="auto"/>
        <w:jc w:val="center"/>
        <w:textAlignment w:val="auto"/>
        <w:outlineLvl w:val="0"/>
        <w:rPr>
          <w:rFonts w:hint="default" w:ascii="Times New Roman" w:hAnsi="Times New Roman" w:eastAsia="宋体" w:cs="Times New Roman"/>
          <w:b/>
          <w:bCs/>
          <w:snapToGrid w:val="0"/>
          <w:color w:val="auto"/>
          <w:sz w:val="30"/>
          <w:szCs w:val="30"/>
          <w:vertAlign w:val="baseline"/>
        </w:rPr>
      </w:pPr>
      <w:r>
        <w:rPr>
          <w:rFonts w:hint="default" w:ascii="Times New Roman" w:hAnsi="Times New Roman" w:eastAsia="宋体" w:cs="Times New Roman"/>
          <w:b/>
          <w:bCs/>
          <w:snapToGrid w:val="0"/>
          <w:color w:val="auto"/>
          <w:sz w:val="30"/>
          <w:szCs w:val="30"/>
        </w:rPr>
        <w:t>二、建设项目工程分析</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8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681" w:type="dxa"/>
            <w:noWrap w:val="0"/>
            <w:vAlign w:val="center"/>
          </w:tcPr>
          <w:p>
            <w:pPr>
              <w:pStyle w:val="30"/>
              <w:adjustRightInd w:val="0"/>
              <w:snapToGrid w:val="0"/>
              <w:spacing w:before="0" w:beforeAutospacing="0" w:after="0" w:afterAutospacing="0"/>
              <w:jc w:val="center"/>
              <w:rPr>
                <w:rFonts w:hint="default" w:ascii="Times New Roman" w:hAnsi="Times New Roman" w:eastAsia="宋体" w:cs="Times New Roman"/>
                <w:color w:val="auto"/>
                <w:kern w:val="0"/>
                <w:sz w:val="24"/>
                <w:szCs w:val="21"/>
                <w:lang w:val="en-US" w:eastAsia="zh-CN" w:bidi="ar-SA"/>
              </w:rPr>
            </w:pPr>
            <w:r>
              <w:rPr>
                <w:rFonts w:hint="default" w:ascii="Times New Roman" w:hAnsi="Times New Roman" w:eastAsia="宋体" w:cs="Times New Roman"/>
                <w:color w:val="auto"/>
                <w:szCs w:val="24"/>
              </w:rPr>
              <w:t>建设内容</w:t>
            </w:r>
          </w:p>
        </w:tc>
        <w:tc>
          <w:tcPr>
            <w:tcW w:w="8248" w:type="dxa"/>
            <w:noWrap w:val="0"/>
            <w:vAlign w:val="top"/>
          </w:tcPr>
          <w:p>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项目背景</w:t>
            </w:r>
          </w:p>
          <w:p>
            <w:pPr>
              <w:keepNext w:val="0"/>
              <w:keepLines w:val="0"/>
              <w:pageBreakBefore w:val="0"/>
              <w:kinsoku/>
              <w:wordWrap/>
              <w:overflowPunct/>
              <w:topLinePunct w:val="0"/>
              <w:autoSpaceDE/>
              <w:autoSpaceDN/>
              <w:bidi w:val="0"/>
              <w:adjustRightInd w:val="0"/>
              <w:spacing w:line="360" w:lineRule="auto"/>
              <w:ind w:firstLine="480" w:firstLineChars="200"/>
              <w:rPr>
                <w:rFonts w:hint="default" w:ascii="Times New Roman" w:hAnsi="Times New Roman" w:eastAsia="宋体" w:cs="Times New Roman"/>
                <w:color w:val="auto"/>
                <w:sz w:val="24"/>
                <w:szCs w:val="24"/>
                <w:highlight w:val="green"/>
              </w:rPr>
            </w:pPr>
            <w:r>
              <w:rPr>
                <w:rFonts w:hint="default" w:ascii="Times New Roman" w:hAnsi="Times New Roman" w:eastAsia="宋体" w:cs="Times New Roman"/>
                <w:color w:val="auto"/>
                <w:sz w:val="24"/>
                <w:szCs w:val="24"/>
              </w:rPr>
              <w:t>项目名称：</w:t>
            </w:r>
            <w:r>
              <w:rPr>
                <w:rFonts w:hint="default" w:ascii="Times New Roman" w:hAnsi="Times New Roman" w:eastAsia="宋体" w:cs="Times New Roman"/>
                <w:color w:val="auto"/>
                <w:sz w:val="24"/>
                <w:szCs w:val="24"/>
                <w:lang w:val="en-US" w:eastAsia="zh-CN"/>
              </w:rPr>
              <w:t>高科建材玻璃深加工建设项目</w:t>
            </w:r>
          </w:p>
          <w:p>
            <w:pPr>
              <w:keepNext w:val="0"/>
              <w:keepLines w:val="0"/>
              <w:pageBreakBefore w:val="0"/>
              <w:kinsoku/>
              <w:wordWrap/>
              <w:overflowPunct/>
              <w:topLinePunct w:val="0"/>
              <w:autoSpaceDE/>
              <w:autoSpaceDN/>
              <w:bidi w:val="0"/>
              <w:adjustRightIn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建设规模：</w:t>
            </w:r>
            <w:r>
              <w:rPr>
                <w:rFonts w:hint="default" w:ascii="Times New Roman" w:hAnsi="Times New Roman" w:eastAsia="宋体" w:cs="Times New Roman"/>
                <w:color w:val="auto"/>
                <w:sz w:val="24"/>
                <w:szCs w:val="24"/>
                <w:highlight w:val="none"/>
                <w:lang w:val="en-US" w:eastAsia="zh-CN"/>
              </w:rPr>
              <w:t>项目位于高科建材（西安）新材料科技有限公司已建成厂房内，不新增用地，</w:t>
            </w:r>
            <w:r>
              <w:rPr>
                <w:rFonts w:hint="eastAsia" w:cs="Times New Roman"/>
                <w:color w:val="auto"/>
                <w:sz w:val="24"/>
                <w:szCs w:val="24"/>
                <w:highlight w:val="none"/>
                <w:lang w:val="en-US" w:eastAsia="zh-CN"/>
              </w:rPr>
              <w:t>厂房</w:t>
            </w:r>
            <w:r>
              <w:rPr>
                <w:rFonts w:hint="default" w:ascii="Times New Roman" w:hAnsi="Times New Roman" w:eastAsia="宋体" w:cs="Times New Roman"/>
                <w:color w:val="auto"/>
                <w:sz w:val="24"/>
                <w:szCs w:val="24"/>
                <w:highlight w:val="none"/>
                <w:lang w:val="en-US" w:eastAsia="zh-CN"/>
              </w:rPr>
              <w:t>面积约为6000平方米，以下简称“高科建材”，拟购置生产设备7台（套），包含自动切磨生产线2台、自动穿梭仓1套、钢化生产线1条、中空合片机3台等设备，用于玻璃深加工项目建设，项目建成后年产中空门窗玻璃50万平方米。</w:t>
            </w:r>
          </w:p>
          <w:p>
            <w:pPr>
              <w:keepNext w:val="0"/>
              <w:keepLines w:val="0"/>
              <w:pageBreakBefore w:val="0"/>
              <w:kinsoku/>
              <w:wordWrap/>
              <w:overflowPunct/>
              <w:topLinePunct w:val="0"/>
              <w:autoSpaceDE/>
              <w:autoSpaceDN/>
              <w:bidi w:val="0"/>
              <w:adjustRightIn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建设</w:t>
            </w:r>
            <w:r>
              <w:rPr>
                <w:rFonts w:hint="default" w:ascii="Times New Roman" w:hAnsi="Times New Roman" w:eastAsia="宋体" w:cs="Times New Roman"/>
                <w:color w:val="auto"/>
                <w:sz w:val="24"/>
                <w:szCs w:val="24"/>
                <w:highlight w:val="none"/>
                <w:lang w:val="en-US" w:eastAsia="zh-CN"/>
              </w:rPr>
              <w:t>性质：新建</w:t>
            </w:r>
          </w:p>
          <w:p>
            <w:pPr>
              <w:keepNext w:val="0"/>
              <w:keepLines w:val="0"/>
              <w:pageBreakBefore w:val="0"/>
              <w:kinsoku/>
              <w:wordWrap/>
              <w:overflowPunct/>
              <w:topLinePunct w:val="0"/>
              <w:autoSpaceDE/>
              <w:autoSpaceDN/>
              <w:bidi w:val="0"/>
              <w:adjustRightIn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建设单位：</w:t>
            </w:r>
            <w:r>
              <w:rPr>
                <w:rFonts w:hint="default" w:ascii="Times New Roman" w:hAnsi="Times New Roman" w:eastAsia="宋体" w:cs="Times New Roman"/>
                <w:color w:val="auto"/>
                <w:sz w:val="24"/>
                <w:szCs w:val="24"/>
                <w:highlight w:val="none"/>
                <w:lang w:eastAsia="zh-CN"/>
              </w:rPr>
              <w:t>高科建材（西安）新材料科技有限公司</w:t>
            </w:r>
          </w:p>
          <w:p>
            <w:pPr>
              <w:pStyle w:val="74"/>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lang w:val="en-US" w:eastAsia="zh-CN"/>
              </w:rPr>
              <w:t>地理位置：</w:t>
            </w:r>
            <w:r>
              <w:rPr>
                <w:rFonts w:hint="default" w:ascii="Times New Roman" w:hAnsi="Times New Roman" w:eastAsia="宋体" w:cs="Times New Roman"/>
                <w:color w:val="auto"/>
                <w:sz w:val="24"/>
                <w:szCs w:val="24"/>
                <w:highlight w:val="none"/>
                <w:lang w:eastAsia="zh-CN"/>
              </w:rPr>
              <w:t>本项目</w:t>
            </w:r>
            <w:r>
              <w:rPr>
                <w:rFonts w:hint="default" w:ascii="Times New Roman" w:hAnsi="Times New Roman" w:eastAsia="宋体" w:cs="Times New Roman"/>
                <w:color w:val="auto"/>
                <w:sz w:val="24"/>
                <w:szCs w:val="24"/>
                <w:highlight w:val="none"/>
              </w:rPr>
              <w:t>位</w:t>
            </w:r>
            <w:r>
              <w:rPr>
                <w:rFonts w:hint="default" w:ascii="Times New Roman" w:hAnsi="Times New Roman" w:eastAsia="宋体" w:cs="Times New Roman"/>
                <w:color w:val="auto"/>
                <w:sz w:val="24"/>
                <w:szCs w:val="24"/>
              </w:rPr>
              <w:t>于</w:t>
            </w:r>
            <w:r>
              <w:rPr>
                <w:rFonts w:hint="default" w:ascii="Times New Roman" w:hAnsi="Times New Roman" w:eastAsia="宋体" w:cs="Times New Roman"/>
                <w:color w:val="auto"/>
                <w:sz w:val="24"/>
                <w:szCs w:val="24"/>
                <w:lang w:val="en-US" w:eastAsia="zh-CN"/>
              </w:rPr>
              <w:t>西安市高新区集贤园科技大道8号</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交通便利，项目中心</w:t>
            </w:r>
            <w:r>
              <w:rPr>
                <w:rFonts w:hint="default" w:ascii="Times New Roman" w:hAnsi="Times New Roman" w:eastAsia="宋体" w:cs="Times New Roman"/>
                <w:color w:val="auto"/>
                <w:sz w:val="24"/>
                <w:szCs w:val="24"/>
              </w:rPr>
              <w:t>地理坐标</w:t>
            </w:r>
            <w:r>
              <w:rPr>
                <w:rFonts w:hint="default" w:ascii="Times New Roman" w:hAnsi="Times New Roman" w:eastAsia="宋体" w:cs="Times New Roman"/>
                <w:color w:val="auto"/>
                <w:sz w:val="24"/>
                <w:szCs w:val="24"/>
                <w:lang w:val="en-US" w:eastAsia="zh-CN"/>
              </w:rPr>
              <w:t>为：经度：108°23′6.974″，纬度：34°4′38.366″，</w:t>
            </w:r>
            <w:r>
              <w:rPr>
                <w:rFonts w:hint="default" w:ascii="Times New Roman" w:hAnsi="Times New Roman" w:eastAsia="宋体" w:cs="Times New Roman"/>
                <w:color w:val="auto"/>
                <w:sz w:val="24"/>
                <w:szCs w:val="24"/>
              </w:rPr>
              <w:t>项目地理位置</w:t>
            </w:r>
            <w:r>
              <w:rPr>
                <w:rFonts w:hint="default" w:ascii="Times New Roman" w:hAnsi="Times New Roman" w:eastAsia="宋体" w:cs="Times New Roman"/>
                <w:color w:val="auto"/>
                <w:sz w:val="24"/>
                <w:szCs w:val="24"/>
                <w:highlight w:val="none"/>
              </w:rPr>
              <w:t>图见附图1</w:t>
            </w:r>
            <w:r>
              <w:rPr>
                <w:rFonts w:hint="default" w:ascii="Times New Roman" w:hAnsi="Times New Roman" w:eastAsia="宋体" w:cs="Times New Roman"/>
                <w:color w:val="auto"/>
                <w:kern w:val="0"/>
                <w:sz w:val="24"/>
                <w:szCs w:val="24"/>
                <w:highlight w:val="none"/>
              </w:rPr>
              <w:t>。</w:t>
            </w:r>
          </w:p>
          <w:p>
            <w:pPr>
              <w:pStyle w:val="74"/>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green"/>
                <w:lang w:val="en-US" w:eastAsia="zh-CN"/>
              </w:rPr>
            </w:pPr>
            <w:r>
              <w:rPr>
                <w:rFonts w:hint="default" w:ascii="Times New Roman" w:hAnsi="Times New Roman" w:eastAsia="宋体" w:cs="Times New Roman"/>
                <w:color w:val="auto"/>
                <w:kern w:val="0"/>
                <w:sz w:val="24"/>
                <w:szCs w:val="24"/>
                <w:highlight w:val="none"/>
                <w:lang w:val="en-US" w:eastAsia="zh-CN"/>
              </w:rPr>
              <w:t>四邻关系：项目</w:t>
            </w:r>
            <w:r>
              <w:rPr>
                <w:rFonts w:hint="default" w:ascii="Times New Roman" w:hAnsi="Times New Roman" w:eastAsia="宋体" w:cs="Times New Roman"/>
                <w:color w:val="auto"/>
                <w:sz w:val="24"/>
                <w:szCs w:val="24"/>
                <w:highlight w:val="none"/>
                <w:lang w:val="en-US" w:eastAsia="zh-CN"/>
              </w:rPr>
              <w:t>东侧为宁波一彬电子科技股份有限公司西安分公司生产基地，</w:t>
            </w:r>
            <w:r>
              <w:rPr>
                <w:rFonts w:hint="default" w:ascii="Times New Roman" w:hAnsi="Times New Roman" w:eastAsia="宋体" w:cs="Times New Roman"/>
                <w:color w:val="auto"/>
                <w:kern w:val="0"/>
                <w:sz w:val="24"/>
                <w:szCs w:val="24"/>
                <w:highlight w:val="none"/>
                <w:lang w:val="en-US" w:eastAsia="zh-CN"/>
              </w:rPr>
              <w:t>南侧、西侧为高科建材生产线，北侧临振兴北路，具体四邻关系见附图3。</w:t>
            </w:r>
          </w:p>
          <w:p>
            <w:pPr>
              <w:keepNext w:val="0"/>
              <w:keepLines w:val="0"/>
              <w:pageBreakBefore w:val="0"/>
              <w:kinsoku/>
              <w:wordWrap/>
              <w:overflowPunct/>
              <w:topLinePunct w:val="0"/>
              <w:autoSpaceDE/>
              <w:autoSpaceDN/>
              <w:bidi w:val="0"/>
              <w:adjustRightInd w:val="0"/>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2、项目建设内容</w:t>
            </w:r>
          </w:p>
          <w:p>
            <w:pPr>
              <w:keepNext w:val="0"/>
              <w:keepLines w:val="0"/>
              <w:pageBreakBefore w:val="0"/>
              <w:kinsoku/>
              <w:wordWrap/>
              <w:overflowPunct/>
              <w:topLinePunct w:val="0"/>
              <w:autoSpaceDE/>
              <w:autoSpaceDN/>
              <w:bidi w:val="0"/>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lang w:eastAsia="zh-CN"/>
              </w:rPr>
              <w:t>本</w:t>
            </w: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szCs w:val="24"/>
                <w:lang w:val="en-US" w:eastAsia="zh-CN"/>
              </w:rPr>
              <w:t>建设内容有主体工程、辅助工程、储运工程</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公用工程及环保工程，</w:t>
            </w:r>
            <w:r>
              <w:rPr>
                <w:rFonts w:hint="default" w:ascii="Times New Roman" w:hAnsi="Times New Roman" w:eastAsia="宋体" w:cs="Times New Roman"/>
                <w:color w:val="auto"/>
                <w:sz w:val="24"/>
                <w:szCs w:val="24"/>
                <w:highlight w:val="none"/>
                <w:lang w:val="en-US" w:eastAsia="zh-CN"/>
              </w:rPr>
              <w:t>本项目组成</w:t>
            </w:r>
            <w:r>
              <w:rPr>
                <w:rFonts w:hint="default" w:ascii="Times New Roman" w:hAnsi="Times New Roman" w:eastAsia="宋体" w:cs="Times New Roman"/>
                <w:color w:val="auto"/>
                <w:sz w:val="24"/>
                <w:szCs w:val="24"/>
                <w:highlight w:val="none"/>
              </w:rPr>
              <w:t>见</w:t>
            </w:r>
            <w:r>
              <w:rPr>
                <w:rFonts w:hint="eastAsia" w:ascii="Times New Roman" w:hAnsi="Times New Roman" w:eastAsia="宋体" w:cs="Times New Roman"/>
                <w:color w:val="auto"/>
                <w:sz w:val="24"/>
                <w:szCs w:val="24"/>
                <w:lang w:val="en-US" w:eastAsia="zh-CN"/>
              </w:rPr>
              <w:t>下</w:t>
            </w:r>
            <w:r>
              <w:rPr>
                <w:rFonts w:hint="default" w:ascii="Times New Roman" w:hAnsi="Times New Roman" w:eastAsia="宋体" w:cs="Times New Roman"/>
                <w:color w:val="auto"/>
                <w:sz w:val="24"/>
                <w:szCs w:val="24"/>
                <w:highlight w:val="none"/>
              </w:rPr>
              <w:t>表。</w:t>
            </w:r>
          </w:p>
          <w:p>
            <w:pPr>
              <w:pStyle w:val="68"/>
              <w:keepNext w:val="0"/>
              <w:keepLines w:val="0"/>
              <w:pageBreakBefore w:val="0"/>
              <w:widowControl/>
              <w:kinsoku/>
              <w:wordWrap/>
              <w:overflowPunct/>
              <w:autoSpaceDE w:val="0"/>
              <w:autoSpaceDN w:val="0"/>
              <w:bidi w:val="0"/>
              <w:adjustRightInd w:val="0"/>
              <w:snapToGrid w:val="0"/>
              <w:spacing w:line="360" w:lineRule="auto"/>
              <w:ind w:firstLine="0" w:firstLineChars="0"/>
              <w:jc w:val="center"/>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rPr>
              <w:t>表2-</w:t>
            </w:r>
            <w:r>
              <w:rPr>
                <w:rFonts w:hint="default" w:ascii="Times New Roman" w:hAnsi="Times New Roman" w:eastAsia="宋体" w:cs="Times New Roman"/>
                <w:b/>
                <w:bCs w:val="0"/>
                <w:color w:val="auto"/>
                <w:sz w:val="24"/>
                <w:szCs w:val="24"/>
                <w:lang w:val="en-US" w:eastAsia="zh-CN"/>
              </w:rPr>
              <w:t>1</w:t>
            </w:r>
            <w:r>
              <w:rPr>
                <w:rFonts w:hint="default" w:ascii="Times New Roman" w:hAnsi="Times New Roman" w:eastAsia="宋体" w:cs="Times New Roman"/>
                <w:b/>
                <w:bCs w:val="0"/>
                <w:color w:val="auto"/>
                <w:sz w:val="24"/>
                <w:szCs w:val="24"/>
              </w:rPr>
              <w:t xml:space="preserve">  </w:t>
            </w:r>
            <w:r>
              <w:rPr>
                <w:rFonts w:hint="default" w:ascii="Times New Roman" w:hAnsi="Times New Roman" w:eastAsia="宋体" w:cs="Times New Roman"/>
                <w:b/>
                <w:bCs w:val="0"/>
                <w:color w:val="auto"/>
                <w:sz w:val="24"/>
                <w:szCs w:val="24"/>
                <w:lang w:val="en-US" w:eastAsia="zh-CN"/>
              </w:rPr>
              <w:t>项目</w:t>
            </w:r>
            <w:r>
              <w:rPr>
                <w:rFonts w:hint="default" w:ascii="Times New Roman" w:hAnsi="Times New Roman" w:eastAsia="宋体" w:cs="Times New Roman"/>
                <w:b/>
                <w:bCs w:val="0"/>
                <w:color w:val="auto"/>
                <w:sz w:val="24"/>
                <w:szCs w:val="24"/>
              </w:rPr>
              <w:t>组成一览表</w:t>
            </w:r>
          </w:p>
          <w:tbl>
            <w:tblPr>
              <w:tblStyle w:val="34"/>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77"/>
              <w:gridCol w:w="1230"/>
              <w:gridCol w:w="5109"/>
              <w:gridCol w:w="98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42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项目组成</w:t>
                  </w:r>
                </w:p>
              </w:tc>
              <w:tc>
                <w:tcPr>
                  <w:tcW w:w="76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建设名称</w:t>
                  </w:r>
                </w:p>
              </w:tc>
              <w:tc>
                <w:tcPr>
                  <w:tcW w:w="319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本项目</w:t>
                  </w:r>
                  <w:r>
                    <w:rPr>
                      <w:rFonts w:hint="default" w:ascii="Times New Roman" w:hAnsi="Times New Roman" w:eastAsia="宋体" w:cs="Times New Roman"/>
                      <w:b/>
                      <w:bCs/>
                      <w:color w:val="auto"/>
                      <w:sz w:val="21"/>
                      <w:szCs w:val="21"/>
                    </w:rPr>
                    <w:t>建设内容</w:t>
                  </w:r>
                </w:p>
              </w:tc>
              <w:tc>
                <w:tcPr>
                  <w:tcW w:w="61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42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主体工程</w:t>
                  </w:r>
                </w:p>
              </w:tc>
              <w:tc>
                <w:tcPr>
                  <w:tcW w:w="768" w:type="pct"/>
                  <w:tcBorders>
                    <w:tl2br w:val="nil"/>
                    <w:tr2bl w:val="nil"/>
                  </w:tcBorders>
                  <w:noWrap w:val="0"/>
                  <w:vAlign w:val="center"/>
                </w:tcPr>
                <w:p>
                  <w:pPr>
                    <w:pStyle w:val="137"/>
                    <w:keepNext w:val="0"/>
                    <w:keepLines w:val="0"/>
                    <w:pageBreakBefore w:val="0"/>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2"/>
                      <w:sz w:val="21"/>
                      <w:szCs w:val="21"/>
                      <w:lang w:val="en-US" w:eastAsia="zh-CN"/>
                    </w:rPr>
                    <w:t>生产</w:t>
                  </w:r>
                  <w:r>
                    <w:rPr>
                      <w:rFonts w:hint="default" w:ascii="Times New Roman" w:hAnsi="Times New Roman" w:eastAsia="宋体" w:cs="Times New Roman"/>
                      <w:color w:val="auto"/>
                      <w:spacing w:val="-2"/>
                      <w:sz w:val="21"/>
                      <w:szCs w:val="21"/>
                    </w:rPr>
                    <w:t>车间</w:t>
                  </w:r>
                </w:p>
              </w:tc>
              <w:tc>
                <w:tcPr>
                  <w:tcW w:w="3191" w:type="pct"/>
                  <w:tcBorders>
                    <w:tl2br w:val="nil"/>
                    <w:tr2bl w:val="nil"/>
                  </w:tcBorders>
                  <w:noWrap w:val="0"/>
                  <w:vAlign w:val="center"/>
                </w:tcPr>
                <w:p>
                  <w:pPr>
                    <w:pStyle w:val="137"/>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color w:val="auto"/>
                      <w:spacing w:val="-4"/>
                      <w:sz w:val="21"/>
                      <w:szCs w:val="21"/>
                    </w:rPr>
                    <w:t>建筑面积约</w:t>
                  </w:r>
                  <w:r>
                    <w:rPr>
                      <w:rFonts w:hint="eastAsia" w:ascii="Times New Roman" w:hAnsi="Times New Roman" w:cs="Times New Roman"/>
                      <w:color w:val="auto"/>
                      <w:spacing w:val="-4"/>
                      <w:sz w:val="21"/>
                      <w:szCs w:val="21"/>
                      <w:lang w:val="en-US" w:eastAsia="zh-CN"/>
                    </w:rPr>
                    <w:t>6</w:t>
                  </w:r>
                  <w:r>
                    <w:rPr>
                      <w:rFonts w:hint="default" w:ascii="Times New Roman" w:hAnsi="Times New Roman" w:eastAsia="宋体" w:cs="Times New Roman"/>
                      <w:color w:val="auto"/>
                      <w:spacing w:val="-4"/>
                      <w:sz w:val="21"/>
                      <w:szCs w:val="21"/>
                    </w:rPr>
                    <w:t>000m</w:t>
                  </w:r>
                  <w:r>
                    <w:rPr>
                      <w:rFonts w:hint="default" w:ascii="Times New Roman" w:hAnsi="Times New Roman" w:eastAsia="宋体" w:cs="Times New Roman"/>
                      <w:color w:val="auto"/>
                      <w:spacing w:val="-4"/>
                      <w:sz w:val="21"/>
                      <w:szCs w:val="21"/>
                      <w:vertAlign w:val="superscript"/>
                      <w:lang w:val="en-US" w:eastAsia="zh-CN"/>
                    </w:rPr>
                    <w:t>2</w:t>
                  </w:r>
                  <w:r>
                    <w:rPr>
                      <w:rFonts w:hint="default" w:ascii="Times New Roman" w:hAnsi="Times New Roman" w:eastAsia="宋体" w:cs="Times New Roman"/>
                      <w:color w:val="auto"/>
                      <w:spacing w:val="-4"/>
                      <w:sz w:val="21"/>
                      <w:szCs w:val="21"/>
                    </w:rPr>
                    <w:t>，</w:t>
                  </w:r>
                  <w:r>
                    <w:rPr>
                      <w:rFonts w:hint="default" w:ascii="Times New Roman" w:hAnsi="Times New Roman" w:eastAsia="宋体" w:cs="Times New Roman"/>
                      <w:color w:val="auto"/>
                      <w:spacing w:val="-5"/>
                      <w:sz w:val="21"/>
                      <w:szCs w:val="21"/>
                    </w:rPr>
                    <w:t>钢结构，主要</w:t>
                  </w:r>
                  <w:r>
                    <w:rPr>
                      <w:rFonts w:hint="default" w:ascii="Times New Roman" w:hAnsi="Times New Roman" w:eastAsia="宋体" w:cs="Times New Roman"/>
                      <w:color w:val="auto"/>
                      <w:spacing w:val="-5"/>
                      <w:sz w:val="21"/>
                      <w:szCs w:val="21"/>
                      <w:lang w:val="en-US" w:eastAsia="zh-CN"/>
                    </w:rPr>
                    <w:t>设置</w:t>
                  </w:r>
                  <w:r>
                    <w:rPr>
                      <w:rFonts w:hint="default" w:ascii="Times New Roman" w:hAnsi="Times New Roman" w:eastAsia="宋体" w:cs="Times New Roman"/>
                      <w:color w:val="auto"/>
                      <w:spacing w:val="-1"/>
                      <w:sz w:val="21"/>
                      <w:szCs w:val="21"/>
                      <w:lang w:val="en-US" w:eastAsia="zh-CN"/>
                    </w:rPr>
                    <w:t>自动切磨生产线、自动穿梭仓、钢化生产线、中空合片机生产线等</w:t>
                  </w:r>
                </w:p>
              </w:tc>
              <w:tc>
                <w:tcPr>
                  <w:tcW w:w="61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b/>
                      <w:bCs/>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highlight w:val="none"/>
                      <w:lang w:val="en-US" w:eastAsia="zh-CN" w:bidi="ar-SA"/>
                    </w:rPr>
                    <w:t>依托现有厂房，新增设备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423" w:type="pct"/>
                  <w:vMerge w:val="restart"/>
                  <w:tcBorders>
                    <w:tl2br w:val="nil"/>
                    <w:tr2bl w:val="nil"/>
                  </w:tcBorders>
                  <w:noWrap w:val="0"/>
                  <w:vAlign w:val="center"/>
                </w:tcPr>
                <w:p>
                  <w:pPr>
                    <w:pStyle w:val="137"/>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3"/>
                      <w:sz w:val="21"/>
                      <w:szCs w:val="21"/>
                    </w:rPr>
                    <w:t>储运</w:t>
                  </w:r>
                  <w:r>
                    <w:rPr>
                      <w:rFonts w:hint="default" w:ascii="Times New Roman" w:hAnsi="Times New Roman" w:eastAsia="宋体" w:cs="Times New Roman"/>
                      <w:color w:val="auto"/>
                      <w:spacing w:val="-5"/>
                      <w:sz w:val="21"/>
                      <w:szCs w:val="21"/>
                    </w:rPr>
                    <w:t>工程</w:t>
                  </w:r>
                </w:p>
              </w:tc>
              <w:tc>
                <w:tcPr>
                  <w:tcW w:w="768" w:type="pct"/>
                  <w:tcBorders>
                    <w:tl2br w:val="nil"/>
                    <w:tr2bl w:val="nil"/>
                  </w:tcBorders>
                  <w:noWrap w:val="0"/>
                  <w:vAlign w:val="center"/>
                </w:tcPr>
                <w:p>
                  <w:pPr>
                    <w:pStyle w:val="137"/>
                    <w:keepNext w:val="0"/>
                    <w:keepLines w:val="0"/>
                    <w:pageBreakBefore w:val="0"/>
                    <w:kinsoku/>
                    <w:wordWrap/>
                    <w:overflowPunct/>
                    <w:topLinePunct w:val="0"/>
                    <w:autoSpaceDE/>
                    <w:autoSpaceDN/>
                    <w:bidi w:val="0"/>
                    <w:adjustRightInd/>
                    <w:snapToGrid/>
                    <w:spacing w:line="240" w:lineRule="auto"/>
                    <w:ind w:left="0" w:leftChars="0" w:right="0" w:firstLine="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3"/>
                      <w:sz w:val="21"/>
                      <w:szCs w:val="21"/>
                      <w:highlight w:val="none"/>
                    </w:rPr>
                    <w:t>原料</w:t>
                  </w:r>
                  <w:r>
                    <w:rPr>
                      <w:rFonts w:hint="default" w:ascii="Times New Roman" w:hAnsi="Times New Roman" w:eastAsia="宋体" w:cs="Times New Roman"/>
                      <w:color w:val="auto"/>
                      <w:spacing w:val="-3"/>
                      <w:sz w:val="21"/>
                      <w:szCs w:val="21"/>
                      <w:highlight w:val="none"/>
                      <w:lang w:val="en-US" w:eastAsia="zh-CN"/>
                    </w:rPr>
                    <w:t>区</w:t>
                  </w:r>
                </w:p>
              </w:tc>
              <w:tc>
                <w:tcPr>
                  <w:tcW w:w="3191" w:type="pct"/>
                  <w:tcBorders>
                    <w:tl2br w:val="nil"/>
                    <w:tr2bl w:val="nil"/>
                  </w:tcBorders>
                  <w:noWrap w:val="0"/>
                  <w:vAlign w:val="center"/>
                </w:tcPr>
                <w:p>
                  <w:pPr>
                    <w:pStyle w:val="137"/>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位于</w:t>
                  </w:r>
                  <w:r>
                    <w:rPr>
                      <w:rFonts w:hint="default" w:ascii="Times New Roman" w:hAnsi="Times New Roman" w:eastAsia="宋体" w:cs="Times New Roman"/>
                      <w:color w:val="auto"/>
                      <w:spacing w:val="-5"/>
                      <w:sz w:val="21"/>
                      <w:szCs w:val="21"/>
                      <w:highlight w:val="none"/>
                      <w:lang w:val="en-US" w:eastAsia="zh-CN"/>
                    </w:rPr>
                    <w:t>生产车间</w:t>
                  </w:r>
                  <w:r>
                    <w:rPr>
                      <w:rFonts w:hint="eastAsia" w:ascii="Times New Roman" w:hAnsi="Times New Roman" w:cs="Times New Roman"/>
                      <w:color w:val="auto"/>
                      <w:spacing w:val="-5"/>
                      <w:sz w:val="21"/>
                      <w:szCs w:val="21"/>
                      <w:highlight w:val="none"/>
                      <w:lang w:val="en-US" w:eastAsia="zh-CN"/>
                    </w:rPr>
                    <w:t>内</w:t>
                  </w:r>
                  <w:r>
                    <w:rPr>
                      <w:rFonts w:hint="default" w:ascii="Times New Roman" w:hAnsi="Times New Roman" w:eastAsia="宋体" w:cs="Times New Roman"/>
                      <w:color w:val="auto"/>
                      <w:spacing w:val="-5"/>
                      <w:sz w:val="21"/>
                      <w:szCs w:val="21"/>
                      <w:highlight w:val="none"/>
                      <w:lang w:val="en-US" w:eastAsia="zh-CN"/>
                    </w:rPr>
                    <w:t>西北侧</w:t>
                  </w:r>
                  <w:r>
                    <w:rPr>
                      <w:rFonts w:hint="default" w:ascii="Times New Roman" w:hAnsi="Times New Roman" w:eastAsia="宋体" w:cs="Times New Roman"/>
                      <w:color w:val="auto"/>
                      <w:spacing w:val="-5"/>
                      <w:sz w:val="21"/>
                      <w:szCs w:val="21"/>
                      <w:highlight w:val="none"/>
                    </w:rPr>
                    <w:t>，主要用</w:t>
                  </w:r>
                  <w:r>
                    <w:rPr>
                      <w:rFonts w:hint="default" w:ascii="Times New Roman" w:hAnsi="Times New Roman" w:eastAsia="宋体" w:cs="Times New Roman"/>
                      <w:color w:val="auto"/>
                      <w:spacing w:val="-4"/>
                      <w:sz w:val="21"/>
                      <w:szCs w:val="21"/>
                      <w:highlight w:val="none"/>
                    </w:rPr>
                    <w:t>于原辅材料储存</w:t>
                  </w:r>
                </w:p>
              </w:tc>
              <w:tc>
                <w:tcPr>
                  <w:tcW w:w="616" w:type="pct"/>
                  <w:vMerge w:val="continue"/>
                  <w:tcBorders>
                    <w:tl2br w:val="nil"/>
                    <w:tr2bl w:val="nil"/>
                  </w:tcBorders>
                  <w:noWrap w:val="0"/>
                  <w:vAlign w:val="center"/>
                </w:tcPr>
                <w:p>
                  <w:pPr>
                    <w:pStyle w:val="137"/>
                    <w:keepNext w:val="0"/>
                    <w:keepLines w:val="0"/>
                    <w:pageBreakBefore w:val="0"/>
                    <w:kinsoku/>
                    <w:wordWrap/>
                    <w:overflowPunct/>
                    <w:topLinePunct w:val="0"/>
                    <w:autoSpaceDE/>
                    <w:autoSpaceDN/>
                    <w:bidi w:val="0"/>
                    <w:adjustRightInd/>
                    <w:snapToGrid/>
                    <w:spacing w:line="240" w:lineRule="auto"/>
                    <w:ind w:left="0" w:leftChars="0" w:right="0" w:firstLine="0"/>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423" w:type="pct"/>
                  <w:vMerge w:val="continue"/>
                  <w:tcBorders>
                    <w:tl2br w:val="nil"/>
                    <w:tr2bl w:val="nil"/>
                  </w:tcBorders>
                  <w:noWrap w:val="0"/>
                  <w:vAlign w:val="center"/>
                </w:tcPr>
                <w:p>
                  <w:pPr>
                    <w:pStyle w:val="137"/>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spacing w:val="-3"/>
                      <w:sz w:val="21"/>
                      <w:szCs w:val="21"/>
                    </w:rPr>
                  </w:pPr>
                </w:p>
              </w:tc>
              <w:tc>
                <w:tcPr>
                  <w:tcW w:w="768" w:type="pct"/>
                  <w:tcBorders>
                    <w:tl2br w:val="nil"/>
                    <w:tr2bl w:val="nil"/>
                  </w:tcBorders>
                  <w:noWrap w:val="0"/>
                  <w:vAlign w:val="center"/>
                </w:tcPr>
                <w:p>
                  <w:pPr>
                    <w:pStyle w:val="137"/>
                    <w:keepNext w:val="0"/>
                    <w:keepLines w:val="0"/>
                    <w:pageBreakBefore w:val="0"/>
                    <w:kinsoku/>
                    <w:wordWrap/>
                    <w:overflowPunct/>
                    <w:topLinePunct w:val="0"/>
                    <w:autoSpaceDE/>
                    <w:autoSpaceDN/>
                    <w:bidi w:val="0"/>
                    <w:adjustRightInd/>
                    <w:snapToGrid/>
                    <w:spacing w:line="240" w:lineRule="auto"/>
                    <w:ind w:left="0" w:leftChars="0" w:right="0" w:firstLine="0"/>
                    <w:jc w:val="center"/>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spacing w:val="-3"/>
                      <w:sz w:val="21"/>
                      <w:szCs w:val="21"/>
                      <w:highlight w:val="none"/>
                      <w:lang w:val="en-US" w:eastAsia="zh-CN"/>
                    </w:rPr>
                    <w:t>待中空区</w:t>
                  </w:r>
                </w:p>
              </w:tc>
              <w:tc>
                <w:tcPr>
                  <w:tcW w:w="3191" w:type="pct"/>
                  <w:tcBorders>
                    <w:tl2br w:val="nil"/>
                    <w:tr2bl w:val="nil"/>
                  </w:tcBorders>
                  <w:noWrap w:val="0"/>
                  <w:vAlign w:val="center"/>
                </w:tcPr>
                <w:p>
                  <w:pPr>
                    <w:pStyle w:val="137"/>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位于</w:t>
                  </w:r>
                  <w:r>
                    <w:rPr>
                      <w:rFonts w:hint="default" w:ascii="Times New Roman" w:hAnsi="Times New Roman" w:eastAsia="宋体" w:cs="Times New Roman"/>
                      <w:color w:val="auto"/>
                      <w:spacing w:val="-5"/>
                      <w:sz w:val="21"/>
                      <w:szCs w:val="21"/>
                      <w:highlight w:val="none"/>
                      <w:lang w:val="en-US" w:eastAsia="zh-CN"/>
                    </w:rPr>
                    <w:t>生产车间</w:t>
                  </w:r>
                  <w:r>
                    <w:rPr>
                      <w:rFonts w:hint="eastAsia" w:ascii="Times New Roman" w:hAnsi="Times New Roman" w:cs="Times New Roman"/>
                      <w:color w:val="auto"/>
                      <w:spacing w:val="-5"/>
                      <w:sz w:val="21"/>
                      <w:szCs w:val="21"/>
                      <w:highlight w:val="none"/>
                      <w:lang w:val="en-US" w:eastAsia="zh-CN"/>
                    </w:rPr>
                    <w:t>内</w:t>
                  </w:r>
                  <w:r>
                    <w:rPr>
                      <w:rFonts w:hint="default" w:ascii="Times New Roman" w:hAnsi="Times New Roman" w:eastAsia="宋体" w:cs="Times New Roman"/>
                      <w:color w:val="auto"/>
                      <w:spacing w:val="-5"/>
                      <w:sz w:val="21"/>
                      <w:szCs w:val="21"/>
                      <w:highlight w:val="none"/>
                      <w:lang w:val="en-US" w:eastAsia="zh-CN"/>
                    </w:rPr>
                    <w:t>西南侧</w:t>
                  </w:r>
                  <w:r>
                    <w:rPr>
                      <w:rFonts w:hint="default" w:ascii="Times New Roman" w:hAnsi="Times New Roman" w:eastAsia="宋体" w:cs="Times New Roman"/>
                      <w:color w:val="auto"/>
                      <w:spacing w:val="-5"/>
                      <w:sz w:val="21"/>
                      <w:szCs w:val="21"/>
                      <w:highlight w:val="none"/>
                    </w:rPr>
                    <w:t>，主要用</w:t>
                  </w:r>
                  <w:r>
                    <w:rPr>
                      <w:rFonts w:hint="default" w:ascii="Times New Roman" w:hAnsi="Times New Roman" w:eastAsia="宋体" w:cs="Times New Roman"/>
                      <w:color w:val="auto"/>
                      <w:spacing w:val="-4"/>
                      <w:sz w:val="21"/>
                      <w:szCs w:val="21"/>
                      <w:highlight w:val="none"/>
                    </w:rPr>
                    <w:t>于</w:t>
                  </w:r>
                  <w:r>
                    <w:rPr>
                      <w:rFonts w:hint="default" w:ascii="Times New Roman" w:hAnsi="Times New Roman" w:eastAsia="宋体" w:cs="Times New Roman"/>
                      <w:color w:val="auto"/>
                      <w:spacing w:val="-4"/>
                      <w:sz w:val="21"/>
                      <w:szCs w:val="21"/>
                      <w:highlight w:val="none"/>
                      <w:lang w:val="en-US" w:eastAsia="zh-CN"/>
                    </w:rPr>
                    <w:t>待中空材料的</w:t>
                  </w:r>
                  <w:r>
                    <w:rPr>
                      <w:rFonts w:hint="default" w:ascii="Times New Roman" w:hAnsi="Times New Roman" w:eastAsia="宋体" w:cs="Times New Roman"/>
                      <w:color w:val="auto"/>
                      <w:spacing w:val="-4"/>
                      <w:sz w:val="21"/>
                      <w:szCs w:val="21"/>
                      <w:highlight w:val="none"/>
                    </w:rPr>
                    <w:t>储存</w:t>
                  </w:r>
                </w:p>
              </w:tc>
              <w:tc>
                <w:tcPr>
                  <w:tcW w:w="616" w:type="pct"/>
                  <w:vMerge w:val="continue"/>
                  <w:tcBorders>
                    <w:tl2br w:val="nil"/>
                    <w:tr2bl w:val="nil"/>
                  </w:tcBorders>
                  <w:noWrap w:val="0"/>
                  <w:vAlign w:val="center"/>
                </w:tcPr>
                <w:p>
                  <w:pPr>
                    <w:pStyle w:val="137"/>
                    <w:keepNext w:val="0"/>
                    <w:keepLines w:val="0"/>
                    <w:pageBreakBefore w:val="0"/>
                    <w:kinsoku/>
                    <w:wordWrap/>
                    <w:overflowPunct/>
                    <w:topLinePunct w:val="0"/>
                    <w:autoSpaceDE/>
                    <w:autoSpaceDN/>
                    <w:bidi w:val="0"/>
                    <w:adjustRightInd/>
                    <w:snapToGrid/>
                    <w:spacing w:line="240" w:lineRule="auto"/>
                    <w:ind w:left="0" w:leftChars="0" w:right="0" w:firstLine="0"/>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42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color w:val="auto"/>
                      <w:sz w:val="21"/>
                      <w:szCs w:val="21"/>
                      <w:highlight w:val="green"/>
                    </w:rPr>
                  </w:pPr>
                </w:p>
              </w:tc>
              <w:tc>
                <w:tcPr>
                  <w:tcW w:w="768" w:type="pct"/>
                  <w:tcBorders>
                    <w:tl2br w:val="nil"/>
                    <w:tr2bl w:val="nil"/>
                  </w:tcBorders>
                  <w:noWrap w:val="0"/>
                  <w:vAlign w:val="center"/>
                </w:tcPr>
                <w:p>
                  <w:pPr>
                    <w:pStyle w:val="137"/>
                    <w:keepNext w:val="0"/>
                    <w:keepLines w:val="0"/>
                    <w:pageBreakBefore w:val="0"/>
                    <w:kinsoku/>
                    <w:wordWrap/>
                    <w:overflowPunct/>
                    <w:topLinePunct w:val="0"/>
                    <w:autoSpaceDE/>
                    <w:autoSpaceDN/>
                    <w:bidi w:val="0"/>
                    <w:adjustRightInd/>
                    <w:snapToGrid/>
                    <w:spacing w:line="240" w:lineRule="auto"/>
                    <w:ind w:left="0" w:leftChars="0" w:right="0" w:firstLine="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rPr>
                    <w:t>成品区</w:t>
                  </w:r>
                </w:p>
              </w:tc>
              <w:tc>
                <w:tcPr>
                  <w:tcW w:w="3191" w:type="pct"/>
                  <w:tcBorders>
                    <w:tl2br w:val="nil"/>
                    <w:tr2bl w:val="nil"/>
                  </w:tcBorders>
                  <w:noWrap w:val="0"/>
                  <w:vAlign w:val="center"/>
                </w:tcPr>
                <w:p>
                  <w:pPr>
                    <w:pStyle w:val="137"/>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1"/>
                      <w:sz w:val="21"/>
                      <w:szCs w:val="21"/>
                      <w:highlight w:val="none"/>
                    </w:rPr>
                    <w:t>位于</w:t>
                  </w:r>
                  <w:r>
                    <w:rPr>
                      <w:rFonts w:hint="default" w:ascii="Times New Roman" w:hAnsi="Times New Roman" w:eastAsia="宋体" w:cs="Times New Roman"/>
                      <w:color w:val="auto"/>
                      <w:spacing w:val="-1"/>
                      <w:sz w:val="21"/>
                      <w:szCs w:val="21"/>
                      <w:highlight w:val="none"/>
                      <w:lang w:val="en-US" w:eastAsia="zh-CN"/>
                    </w:rPr>
                    <w:t>生产车间</w:t>
                  </w:r>
                  <w:r>
                    <w:rPr>
                      <w:rFonts w:hint="eastAsia" w:ascii="Times New Roman" w:hAnsi="Times New Roman" w:cs="Times New Roman"/>
                      <w:color w:val="auto"/>
                      <w:spacing w:val="-5"/>
                      <w:sz w:val="21"/>
                      <w:szCs w:val="21"/>
                      <w:highlight w:val="none"/>
                      <w:lang w:val="en-US" w:eastAsia="zh-CN"/>
                    </w:rPr>
                    <w:t>内</w:t>
                  </w:r>
                  <w:r>
                    <w:rPr>
                      <w:rFonts w:hint="default" w:ascii="Times New Roman" w:hAnsi="Times New Roman" w:eastAsia="宋体" w:cs="Times New Roman"/>
                      <w:color w:val="auto"/>
                      <w:spacing w:val="-1"/>
                      <w:sz w:val="21"/>
                      <w:szCs w:val="21"/>
                      <w:highlight w:val="none"/>
                      <w:lang w:val="en-US" w:eastAsia="zh-CN"/>
                    </w:rPr>
                    <w:t>西侧</w:t>
                  </w:r>
                  <w:r>
                    <w:rPr>
                      <w:rFonts w:hint="default" w:ascii="Times New Roman" w:hAnsi="Times New Roman" w:eastAsia="宋体" w:cs="Times New Roman"/>
                      <w:color w:val="auto"/>
                      <w:spacing w:val="-1"/>
                      <w:sz w:val="21"/>
                      <w:szCs w:val="21"/>
                      <w:highlight w:val="none"/>
                    </w:rPr>
                    <w:t>，</w:t>
                  </w:r>
                  <w:r>
                    <w:rPr>
                      <w:rFonts w:hint="default" w:ascii="Times New Roman" w:hAnsi="Times New Roman" w:eastAsia="宋体" w:cs="Times New Roman"/>
                      <w:color w:val="auto"/>
                      <w:spacing w:val="-2"/>
                      <w:sz w:val="21"/>
                      <w:szCs w:val="21"/>
                      <w:highlight w:val="none"/>
                    </w:rPr>
                    <w:t>主要用于成品储存</w:t>
                  </w:r>
                </w:p>
              </w:tc>
              <w:tc>
                <w:tcPr>
                  <w:tcW w:w="616" w:type="pct"/>
                  <w:vMerge w:val="continue"/>
                  <w:tcBorders>
                    <w:tl2br w:val="nil"/>
                    <w:tr2bl w:val="nil"/>
                  </w:tcBorders>
                  <w:noWrap w:val="0"/>
                  <w:vAlign w:val="center"/>
                </w:tcPr>
                <w:p>
                  <w:pPr>
                    <w:pStyle w:val="137"/>
                    <w:keepNext w:val="0"/>
                    <w:keepLines w:val="0"/>
                    <w:pageBreakBefore w:val="0"/>
                    <w:kinsoku/>
                    <w:wordWrap/>
                    <w:overflowPunct/>
                    <w:topLinePunct w:val="0"/>
                    <w:autoSpaceDE/>
                    <w:autoSpaceDN/>
                    <w:bidi w:val="0"/>
                    <w:adjustRightInd/>
                    <w:snapToGrid/>
                    <w:spacing w:line="240" w:lineRule="auto"/>
                    <w:ind w:left="0" w:leftChars="0" w:right="0" w:firstLine="0"/>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423"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辅助工程</w:t>
                  </w:r>
                </w:p>
              </w:tc>
              <w:tc>
                <w:tcPr>
                  <w:tcW w:w="768" w:type="pct"/>
                  <w:tcBorders>
                    <w:tl2br w:val="nil"/>
                    <w:tr2bl w:val="nil"/>
                  </w:tcBorders>
                  <w:noWrap w:val="0"/>
                  <w:vAlign w:val="center"/>
                </w:tcPr>
                <w:p>
                  <w:pPr>
                    <w:pStyle w:val="12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宿舍</w:t>
                  </w:r>
                </w:p>
              </w:tc>
              <w:tc>
                <w:tcPr>
                  <w:tcW w:w="319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本项目员工住宿休息依托高科建材已有宿舍</w:t>
                  </w:r>
                </w:p>
              </w:tc>
              <w:tc>
                <w:tcPr>
                  <w:tcW w:w="61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contextualSpacing/>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依托高科建材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42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color w:val="auto"/>
                      <w:sz w:val="21"/>
                      <w:szCs w:val="21"/>
                      <w:highlight w:val="none"/>
                      <w:lang w:val="en-US" w:eastAsia="zh-CN"/>
                    </w:rPr>
                  </w:pPr>
                </w:p>
              </w:tc>
              <w:tc>
                <w:tcPr>
                  <w:tcW w:w="768" w:type="pct"/>
                  <w:tcBorders>
                    <w:tl2br w:val="nil"/>
                    <w:tr2bl w:val="nil"/>
                  </w:tcBorders>
                  <w:noWrap w:val="0"/>
                  <w:vAlign w:val="center"/>
                </w:tcPr>
                <w:p>
                  <w:pPr>
                    <w:pStyle w:val="12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餐厅</w:t>
                  </w:r>
                </w:p>
              </w:tc>
              <w:tc>
                <w:tcPr>
                  <w:tcW w:w="3191" w:type="pct"/>
                  <w:tcBorders>
                    <w:tl2br w:val="nil"/>
                    <w:tr2bl w:val="nil"/>
                  </w:tcBorders>
                  <w:noWrap w:val="0"/>
                  <w:vAlign w:val="center"/>
                </w:tcPr>
                <w:p>
                  <w:pPr>
                    <w:pStyle w:val="127"/>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center"/>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依托高科建材</w:t>
                  </w:r>
                  <w:r>
                    <w:rPr>
                      <w:rFonts w:hint="eastAsia" w:cs="Times New Roman"/>
                      <w:b w:val="0"/>
                      <w:color w:val="auto"/>
                      <w:kern w:val="2"/>
                      <w:sz w:val="21"/>
                      <w:szCs w:val="21"/>
                      <w:lang w:val="en-US" w:eastAsia="zh-CN" w:bidi="ar-SA"/>
                    </w:rPr>
                    <w:t>北区</w:t>
                  </w:r>
                  <w:r>
                    <w:rPr>
                      <w:rFonts w:hint="default" w:ascii="Times New Roman" w:hAnsi="Times New Roman" w:eastAsia="宋体" w:cs="Times New Roman"/>
                      <w:b w:val="0"/>
                      <w:color w:val="auto"/>
                      <w:kern w:val="2"/>
                      <w:sz w:val="21"/>
                      <w:szCs w:val="21"/>
                      <w:lang w:val="en-US" w:eastAsia="zh-CN" w:bidi="ar-SA"/>
                    </w:rPr>
                    <w:t>已有食堂</w:t>
                  </w:r>
                </w:p>
              </w:tc>
              <w:tc>
                <w:tcPr>
                  <w:tcW w:w="61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contextualSpacing/>
                    <w:jc w:val="center"/>
                    <w:rPr>
                      <w:rFonts w:hint="default" w:ascii="Times New Roman" w:hAnsi="Times New Roman" w:eastAsia="宋体" w:cs="Times New Roman"/>
                      <w:bCs/>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42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color w:val="auto"/>
                      <w:sz w:val="21"/>
                      <w:szCs w:val="21"/>
                      <w:highlight w:val="green"/>
                    </w:rPr>
                  </w:pPr>
                </w:p>
              </w:tc>
              <w:tc>
                <w:tcPr>
                  <w:tcW w:w="768" w:type="pct"/>
                  <w:tcBorders>
                    <w:tl2br w:val="nil"/>
                    <w:tr2bl w:val="nil"/>
                  </w:tcBorders>
                  <w:noWrap w:val="0"/>
                  <w:vAlign w:val="center"/>
                </w:tcPr>
                <w:p>
                  <w:pPr>
                    <w:pStyle w:val="12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办公区</w:t>
                  </w:r>
                </w:p>
              </w:tc>
              <w:tc>
                <w:tcPr>
                  <w:tcW w:w="3191" w:type="pct"/>
                  <w:tcBorders>
                    <w:tl2br w:val="nil"/>
                    <w:tr2bl w:val="nil"/>
                  </w:tcBorders>
                  <w:noWrap w:val="0"/>
                  <w:vAlign w:val="center"/>
                </w:tcPr>
                <w:p>
                  <w:pPr>
                    <w:pStyle w:val="127"/>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pacing w:val="-1"/>
                      <w:sz w:val="21"/>
                      <w:szCs w:val="21"/>
                      <w:highlight w:val="none"/>
                    </w:rPr>
                    <w:t>位于</w:t>
                  </w:r>
                  <w:r>
                    <w:rPr>
                      <w:rFonts w:hint="default" w:ascii="Times New Roman" w:hAnsi="Times New Roman" w:eastAsia="宋体" w:cs="Times New Roman"/>
                      <w:b w:val="0"/>
                      <w:bCs w:val="0"/>
                      <w:color w:val="auto"/>
                      <w:spacing w:val="-1"/>
                      <w:sz w:val="21"/>
                      <w:szCs w:val="21"/>
                      <w:highlight w:val="none"/>
                      <w:lang w:val="en-US" w:eastAsia="zh-CN"/>
                    </w:rPr>
                    <w:t>生产车间内西侧，主要用于办公</w:t>
                  </w:r>
                </w:p>
              </w:tc>
              <w:tc>
                <w:tcPr>
                  <w:tcW w:w="61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contextualSpacing/>
                    <w:jc w:val="center"/>
                    <w:rPr>
                      <w:rFonts w:hint="default" w:ascii="Times New Roman" w:hAnsi="Times New Roman" w:eastAsia="宋体" w:cs="Times New Roman"/>
                      <w:bCs/>
                      <w:color w:val="auto"/>
                      <w:kern w:val="2"/>
                      <w:sz w:val="21"/>
                      <w:szCs w:val="21"/>
                      <w:highlight w:val="no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423"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公用工程</w:t>
                  </w:r>
                </w:p>
              </w:tc>
              <w:tc>
                <w:tcPr>
                  <w:tcW w:w="76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供水</w:t>
                  </w:r>
                </w:p>
              </w:tc>
              <w:tc>
                <w:tcPr>
                  <w:tcW w:w="319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项目供水依托</w:t>
                  </w:r>
                  <w:r>
                    <w:rPr>
                      <w:rFonts w:hint="default" w:ascii="Times New Roman" w:hAnsi="Times New Roman" w:eastAsia="宋体" w:cs="Times New Roman"/>
                      <w:color w:val="auto"/>
                      <w:kern w:val="0"/>
                      <w:sz w:val="21"/>
                      <w:szCs w:val="21"/>
                      <w:lang w:val="en-US" w:eastAsia="zh-CN" w:bidi="ar"/>
                    </w:rPr>
                    <w:t>集贤园区市政给水管网供给。</w:t>
                  </w:r>
                </w:p>
              </w:tc>
              <w:tc>
                <w:tcPr>
                  <w:tcW w:w="61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kern w:val="2"/>
                      <w:sz w:val="21"/>
                      <w:szCs w:val="21"/>
                      <w:highlight w:val="none"/>
                      <w:lang w:val="en-US" w:eastAsia="zh-CN" w:bidi="ar-SA"/>
                    </w:rPr>
                    <w:t>依托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42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color w:val="auto"/>
                      <w:sz w:val="21"/>
                      <w:szCs w:val="21"/>
                    </w:rPr>
                  </w:pPr>
                </w:p>
              </w:tc>
              <w:tc>
                <w:tcPr>
                  <w:tcW w:w="76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排水</w:t>
                  </w:r>
                </w:p>
              </w:tc>
              <w:tc>
                <w:tcPr>
                  <w:tcW w:w="319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雨污分流制，雨水排入市政管网，</w:t>
                  </w:r>
                  <w:r>
                    <w:rPr>
                      <w:rFonts w:hint="default" w:ascii="Times New Roman" w:hAnsi="Times New Roman" w:eastAsia="宋体" w:cs="Times New Roman"/>
                      <w:color w:val="auto"/>
                      <w:kern w:val="2"/>
                      <w:sz w:val="21"/>
                      <w:szCs w:val="21"/>
                      <w:lang w:val="en-US" w:eastAsia="zh-CN" w:bidi="ar-SA"/>
                    </w:rPr>
                    <w:t>项目生产废水主要为玻璃清洗用水，循环使用不外排。项目食堂废水经油水分离器处理后与</w:t>
                  </w:r>
                  <w:r>
                    <w:rPr>
                      <w:rFonts w:hint="eastAsia" w:cs="Times New Roman"/>
                      <w:color w:val="auto"/>
                      <w:kern w:val="2"/>
                      <w:sz w:val="21"/>
                      <w:szCs w:val="21"/>
                      <w:lang w:val="en-US" w:eastAsia="zh-CN" w:bidi="ar-SA"/>
                    </w:rPr>
                    <w:t>办公</w:t>
                  </w:r>
                  <w:r>
                    <w:rPr>
                      <w:rFonts w:hint="default" w:ascii="Times New Roman" w:hAnsi="Times New Roman" w:eastAsia="宋体" w:cs="Times New Roman"/>
                      <w:color w:val="auto"/>
                      <w:kern w:val="2"/>
                      <w:sz w:val="21"/>
                      <w:szCs w:val="21"/>
                      <w:lang w:val="en-US" w:eastAsia="zh-CN" w:bidi="ar-SA"/>
                    </w:rPr>
                    <w:t>废水一同经化粪池处理后通过市政管网排至集贤产业园污水处理厂。</w:t>
                  </w:r>
                </w:p>
              </w:tc>
              <w:tc>
                <w:tcPr>
                  <w:tcW w:w="61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食堂、</w:t>
                  </w:r>
                  <w:r>
                    <w:rPr>
                      <w:rFonts w:hint="default" w:ascii="Times New Roman" w:hAnsi="Times New Roman" w:eastAsia="宋体" w:cs="Times New Roman"/>
                      <w:color w:val="auto"/>
                      <w:kern w:val="2"/>
                      <w:sz w:val="21"/>
                      <w:szCs w:val="21"/>
                      <w:lang w:val="en-US" w:eastAsia="zh-CN" w:bidi="ar-SA"/>
                    </w:rPr>
                    <w:t>化粪池</w:t>
                  </w:r>
                  <w:r>
                    <w:rPr>
                      <w:rFonts w:hint="default" w:ascii="Times New Roman" w:hAnsi="Times New Roman" w:eastAsia="宋体" w:cs="Times New Roman"/>
                      <w:bCs/>
                      <w:color w:val="auto"/>
                      <w:kern w:val="2"/>
                      <w:sz w:val="21"/>
                      <w:szCs w:val="21"/>
                      <w:highlight w:val="none"/>
                      <w:lang w:val="en-US" w:eastAsia="zh-CN" w:bidi="ar-SA"/>
                    </w:rPr>
                    <w:t>依托高科建材</w:t>
                  </w:r>
                  <w:r>
                    <w:rPr>
                      <w:rFonts w:hint="eastAsia" w:cs="Times New Roman"/>
                      <w:b w:val="0"/>
                      <w:color w:val="auto"/>
                      <w:kern w:val="2"/>
                      <w:sz w:val="21"/>
                      <w:szCs w:val="21"/>
                      <w:lang w:val="en-US" w:eastAsia="zh-CN" w:bidi="ar-SA"/>
                    </w:rPr>
                    <w:t>北区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42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color w:val="auto"/>
                      <w:sz w:val="21"/>
                      <w:szCs w:val="21"/>
                    </w:rPr>
                  </w:pPr>
                </w:p>
              </w:tc>
              <w:tc>
                <w:tcPr>
                  <w:tcW w:w="76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供电</w:t>
                  </w:r>
                </w:p>
              </w:tc>
              <w:tc>
                <w:tcPr>
                  <w:tcW w:w="319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由</w:t>
                  </w:r>
                  <w:r>
                    <w:rPr>
                      <w:rFonts w:hint="default" w:ascii="Times New Roman" w:hAnsi="Times New Roman" w:eastAsia="宋体" w:cs="Times New Roman"/>
                      <w:color w:val="auto"/>
                      <w:kern w:val="0"/>
                      <w:sz w:val="21"/>
                      <w:szCs w:val="21"/>
                      <w:lang w:val="en-US" w:eastAsia="zh-CN" w:bidi="ar"/>
                    </w:rPr>
                    <w:t>集贤园区市政</w:t>
                  </w:r>
                  <w:r>
                    <w:rPr>
                      <w:rFonts w:hint="default" w:ascii="Times New Roman" w:hAnsi="Times New Roman" w:eastAsia="宋体" w:cs="Times New Roman"/>
                      <w:color w:val="auto"/>
                      <w:sz w:val="21"/>
                      <w:szCs w:val="21"/>
                      <w:lang w:val="en-US" w:eastAsia="zh-CN"/>
                    </w:rPr>
                    <w:t>电网统一供给。</w:t>
                  </w:r>
                </w:p>
              </w:tc>
              <w:tc>
                <w:tcPr>
                  <w:tcW w:w="61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kern w:val="2"/>
                      <w:sz w:val="21"/>
                      <w:szCs w:val="21"/>
                      <w:highlight w:val="none"/>
                      <w:lang w:val="en-US" w:eastAsia="zh-CN" w:bidi="ar-SA"/>
                    </w:rPr>
                    <w:t>依托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42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color w:val="auto"/>
                      <w:sz w:val="21"/>
                      <w:szCs w:val="21"/>
                    </w:rPr>
                  </w:pPr>
                </w:p>
              </w:tc>
              <w:tc>
                <w:tcPr>
                  <w:tcW w:w="76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供暖</w:t>
                  </w:r>
                  <w:r>
                    <w:rPr>
                      <w:rFonts w:hint="default" w:ascii="Times New Roman" w:hAnsi="Times New Roman" w:eastAsia="宋体" w:cs="Times New Roman"/>
                      <w:color w:val="auto"/>
                      <w:sz w:val="21"/>
                      <w:szCs w:val="21"/>
                      <w:lang w:val="en-US" w:eastAsia="zh-CN"/>
                    </w:rPr>
                    <w:t>制冷</w:t>
                  </w:r>
                </w:p>
              </w:tc>
              <w:tc>
                <w:tcPr>
                  <w:tcW w:w="319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b w:val="0"/>
                      <w:bCs w:val="0"/>
                      <w:color w:val="auto"/>
                      <w:sz w:val="21"/>
                      <w:szCs w:val="21"/>
                      <w:lang w:val="en-US" w:eastAsia="zh-CN"/>
                    </w:rPr>
                    <w:t>办公生活区采用分体式空调制冷。</w:t>
                  </w:r>
                </w:p>
              </w:tc>
              <w:tc>
                <w:tcPr>
                  <w:tcW w:w="61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新建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423"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环保工程</w:t>
                  </w:r>
                </w:p>
              </w:tc>
              <w:tc>
                <w:tcPr>
                  <w:tcW w:w="76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319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项目生产废水主要为玻璃清洗用水，循环使用不外排。项目食堂废水经油水分离器处理后与</w:t>
                  </w:r>
                  <w:r>
                    <w:rPr>
                      <w:rFonts w:hint="eastAsia" w:cs="Times New Roman"/>
                      <w:color w:val="auto"/>
                      <w:kern w:val="2"/>
                      <w:sz w:val="21"/>
                      <w:szCs w:val="21"/>
                      <w:lang w:val="en-US" w:eastAsia="zh-CN" w:bidi="ar-SA"/>
                    </w:rPr>
                    <w:t>办公</w:t>
                  </w:r>
                  <w:r>
                    <w:rPr>
                      <w:rFonts w:hint="default" w:ascii="Times New Roman" w:hAnsi="Times New Roman" w:eastAsia="宋体" w:cs="Times New Roman"/>
                      <w:color w:val="auto"/>
                      <w:kern w:val="2"/>
                      <w:sz w:val="21"/>
                      <w:szCs w:val="21"/>
                      <w:lang w:val="en-US" w:eastAsia="zh-CN" w:bidi="ar-SA"/>
                    </w:rPr>
                    <w:t>废水一同经化粪池处理后通过市政管网排至集贤产业园污水处理厂。</w:t>
                  </w:r>
                </w:p>
              </w:tc>
              <w:tc>
                <w:tcPr>
                  <w:tcW w:w="61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食堂、</w:t>
                  </w:r>
                  <w:r>
                    <w:rPr>
                      <w:rFonts w:hint="default" w:ascii="Times New Roman" w:hAnsi="Times New Roman" w:eastAsia="宋体" w:cs="Times New Roman"/>
                      <w:color w:val="auto"/>
                      <w:kern w:val="2"/>
                      <w:sz w:val="21"/>
                      <w:szCs w:val="21"/>
                      <w:lang w:val="en-US" w:eastAsia="zh-CN" w:bidi="ar-SA"/>
                    </w:rPr>
                    <w:t>化粪池</w:t>
                  </w:r>
                  <w:r>
                    <w:rPr>
                      <w:rFonts w:hint="default" w:ascii="Times New Roman" w:hAnsi="Times New Roman" w:eastAsia="宋体" w:cs="Times New Roman"/>
                      <w:bCs/>
                      <w:color w:val="auto"/>
                      <w:kern w:val="2"/>
                      <w:sz w:val="21"/>
                      <w:szCs w:val="21"/>
                      <w:highlight w:val="none"/>
                      <w:lang w:val="en-US" w:eastAsia="zh-CN" w:bidi="ar-SA"/>
                    </w:rPr>
                    <w:t>依托高科建材</w:t>
                  </w:r>
                  <w:r>
                    <w:rPr>
                      <w:rFonts w:hint="eastAsia" w:cs="Times New Roman"/>
                      <w:b w:val="0"/>
                      <w:color w:val="auto"/>
                      <w:kern w:val="2"/>
                      <w:sz w:val="21"/>
                      <w:szCs w:val="21"/>
                      <w:lang w:val="en-US" w:eastAsia="zh-CN" w:bidi="ar-SA"/>
                    </w:rPr>
                    <w:t>北区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42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color w:val="auto"/>
                      <w:sz w:val="21"/>
                      <w:szCs w:val="21"/>
                    </w:rPr>
                  </w:pPr>
                </w:p>
              </w:tc>
              <w:tc>
                <w:tcPr>
                  <w:tcW w:w="768"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废气</w:t>
                  </w:r>
                </w:p>
              </w:tc>
              <w:tc>
                <w:tcPr>
                  <w:tcW w:w="319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涂胶废气经二级活性炭吸附装置处理后经15m高排气筒（DA001）排放。</w:t>
                  </w:r>
                </w:p>
              </w:tc>
              <w:tc>
                <w:tcPr>
                  <w:tcW w:w="61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42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color w:val="auto"/>
                      <w:sz w:val="21"/>
                      <w:szCs w:val="21"/>
                    </w:rPr>
                  </w:pPr>
                </w:p>
              </w:tc>
              <w:tc>
                <w:tcPr>
                  <w:tcW w:w="76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color w:val="auto"/>
                      <w:sz w:val="21"/>
                      <w:szCs w:val="21"/>
                    </w:rPr>
                  </w:pPr>
                </w:p>
              </w:tc>
              <w:tc>
                <w:tcPr>
                  <w:tcW w:w="319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食堂油烟经</w:t>
                  </w:r>
                  <w:r>
                    <w:rPr>
                      <w:rFonts w:hint="default" w:ascii="Times New Roman" w:hAnsi="Times New Roman" w:eastAsia="宋体" w:cs="Times New Roman"/>
                      <w:color w:val="auto"/>
                      <w:sz w:val="21"/>
                      <w:szCs w:val="21"/>
                      <w:lang w:val="en-US" w:eastAsia="zh-CN"/>
                    </w:rPr>
                    <w:t>油烟净化器+专用烟道排放。</w:t>
                  </w:r>
                </w:p>
              </w:tc>
              <w:tc>
                <w:tcPr>
                  <w:tcW w:w="61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SA"/>
                    </w:rPr>
                    <w:t>依托高科建材</w:t>
                  </w:r>
                  <w:r>
                    <w:rPr>
                      <w:rFonts w:hint="eastAsia" w:cs="Times New Roman"/>
                      <w:b w:val="0"/>
                      <w:color w:val="auto"/>
                      <w:kern w:val="2"/>
                      <w:sz w:val="21"/>
                      <w:szCs w:val="21"/>
                      <w:lang w:val="en-US" w:eastAsia="zh-CN" w:bidi="ar-SA"/>
                    </w:rPr>
                    <w:t>北区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42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color w:val="auto"/>
                      <w:sz w:val="21"/>
                      <w:szCs w:val="21"/>
                    </w:rPr>
                  </w:pPr>
                </w:p>
              </w:tc>
              <w:tc>
                <w:tcPr>
                  <w:tcW w:w="76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噪声治理</w:t>
                  </w:r>
                </w:p>
              </w:tc>
              <w:tc>
                <w:tcPr>
                  <w:tcW w:w="319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color w:val="auto"/>
                      <w:sz w:val="21"/>
                      <w:szCs w:val="21"/>
                    </w:rPr>
                    <w:t>合理布局</w:t>
                  </w:r>
                  <w:r>
                    <w:rPr>
                      <w:rFonts w:hint="default" w:ascii="Times New Roman" w:hAnsi="Times New Roman" w:eastAsia="宋体" w:cs="Times New Roman"/>
                      <w:color w:val="auto"/>
                      <w:kern w:val="0"/>
                      <w:sz w:val="21"/>
                      <w:szCs w:val="21"/>
                    </w:rPr>
                    <w:t>，低噪声设备、基础减振、厂房隔声等措施、加装隔声措施等。</w:t>
                  </w:r>
                </w:p>
              </w:tc>
              <w:tc>
                <w:tcPr>
                  <w:tcW w:w="61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kern w:val="2"/>
                      <w:sz w:val="21"/>
                      <w:szCs w:val="21"/>
                      <w:lang w:val="en-US" w:eastAsia="zh-CN" w:bidi="ar-SA"/>
                    </w:rPr>
                    <w:t>新建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42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color w:val="auto"/>
                      <w:sz w:val="21"/>
                      <w:szCs w:val="21"/>
                    </w:rPr>
                  </w:pPr>
                </w:p>
              </w:tc>
              <w:tc>
                <w:tcPr>
                  <w:tcW w:w="76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固体废物</w:t>
                  </w:r>
                </w:p>
              </w:tc>
              <w:tc>
                <w:tcPr>
                  <w:tcW w:w="319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生活垃圾分类收集后暂存垃圾桶由</w:t>
                  </w:r>
                  <w:r>
                    <w:rPr>
                      <w:rFonts w:hint="eastAsia" w:cs="Times New Roman"/>
                      <w:color w:val="auto"/>
                      <w:kern w:val="2"/>
                      <w:sz w:val="21"/>
                      <w:szCs w:val="21"/>
                      <w:highlight w:val="none"/>
                      <w:lang w:val="en-US" w:eastAsia="zh-CN" w:bidi="ar-SA"/>
                    </w:rPr>
                    <w:t>周至县</w:t>
                  </w:r>
                  <w:r>
                    <w:rPr>
                      <w:rFonts w:hint="default" w:ascii="Times New Roman" w:hAnsi="Times New Roman" w:eastAsia="宋体" w:cs="Times New Roman"/>
                      <w:color w:val="auto"/>
                      <w:kern w:val="2"/>
                      <w:sz w:val="21"/>
                      <w:szCs w:val="21"/>
                      <w:highlight w:val="none"/>
                      <w:lang w:val="en-US" w:eastAsia="zh-CN" w:bidi="ar-SA"/>
                    </w:rPr>
                    <w:t>环卫部门统一清运处置；废油脂专用桶收集后交有资质单位处置；废包装材料、沉淀池沉渣、废胶桶（不含胶）依托高科建材一般固废暂存区暂存，定期外售；废滤料、废RO膜由厂家回收；危险废物依托高科建材危废贮存库分区暂存，定期交由有资质单位处置。</w:t>
                  </w:r>
                </w:p>
              </w:tc>
              <w:tc>
                <w:tcPr>
                  <w:tcW w:w="61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危废贮存库依托高科建材</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3、本项目依托工程可行性如下：</w:t>
            </w:r>
          </w:p>
          <w:p>
            <w:pPr>
              <w:keepNext w:val="0"/>
              <w:keepLines w:val="0"/>
              <w:pageBreakBefore w:val="0"/>
              <w:kinsoku/>
              <w:wordWrap/>
              <w:overflowPunct/>
              <w:autoSpaceDE w:val="0"/>
              <w:autoSpaceDN w:val="0"/>
              <w:bidi w:val="0"/>
              <w:spacing w:line="360" w:lineRule="auto"/>
              <w:ind w:firstLine="0" w:firstLineChars="0"/>
              <w:jc w:val="center"/>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表2-2  本项目依托工程一览表</w:t>
            </w:r>
          </w:p>
          <w:tbl>
            <w:tblPr>
              <w:tblStyle w:val="35"/>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044"/>
              <w:gridCol w:w="578"/>
              <w:gridCol w:w="3612"/>
              <w:gridCol w:w="276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69" w:hRule="atLeast"/>
                <w:jc w:val="center"/>
              </w:trPr>
              <w:tc>
                <w:tcPr>
                  <w:tcW w:w="1014"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依托工程名称</w:t>
                  </w:r>
                </w:p>
              </w:tc>
              <w:tc>
                <w:tcPr>
                  <w:tcW w:w="225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依托情况</w:t>
                  </w:r>
                </w:p>
              </w:tc>
              <w:tc>
                <w:tcPr>
                  <w:tcW w:w="172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可依托性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014"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生产车间</w:t>
                  </w:r>
                </w:p>
              </w:tc>
              <w:tc>
                <w:tcPr>
                  <w:tcW w:w="225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高科建材已建5栋生产车间，本项目在南厂区2#车间内预留车间进行新增生产线，车间总建筑</w:t>
                  </w:r>
                  <w:r>
                    <w:rPr>
                      <w:rFonts w:hint="eastAsia" w:cs="Times New Roman"/>
                      <w:color w:val="auto"/>
                      <w:sz w:val="21"/>
                      <w:szCs w:val="21"/>
                      <w:lang w:val="en-US" w:eastAsia="zh-CN"/>
                    </w:rPr>
                    <w:t>33332.3</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，全封闭，机械换风。</w:t>
                  </w:r>
                </w:p>
              </w:tc>
              <w:tc>
                <w:tcPr>
                  <w:tcW w:w="172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目前车间内尚有空余，依托可行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014" w:type="pct"/>
                  <w:gridSpan w:val="2"/>
                  <w:tcBorders>
                    <w:tl2br w:val="nil"/>
                    <w:tr2bl w:val="nil"/>
                  </w:tcBorders>
                  <w:noWrap w:val="0"/>
                  <w:vAlign w:val="center"/>
                </w:tcPr>
                <w:p>
                  <w:pPr>
                    <w:pStyle w:val="12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倒班宿舍</w:t>
                  </w:r>
                </w:p>
              </w:tc>
              <w:tc>
                <w:tcPr>
                  <w:tcW w:w="225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高科建材宿舍</w:t>
                  </w:r>
                  <w:r>
                    <w:rPr>
                      <w:rFonts w:hint="default" w:ascii="Times New Roman" w:hAnsi="Times New Roman" w:eastAsia="宋体" w:cs="Times New Roman"/>
                      <w:color w:val="auto"/>
                      <w:kern w:val="0"/>
                      <w:sz w:val="21"/>
                      <w:szCs w:val="21"/>
                      <w:lang w:val="en-US" w:eastAsia="zh-CN" w:bidi="ar"/>
                    </w:rPr>
                    <w:t>共2栋，6F，位于北厂区西北部，建筑面积均为6075.74m</w:t>
                  </w:r>
                  <w:r>
                    <w:rPr>
                      <w:rFonts w:hint="default" w:ascii="Times New Roman" w:hAnsi="Times New Roman" w:eastAsia="宋体" w:cs="Times New Roman"/>
                      <w:color w:val="auto"/>
                      <w:kern w:val="0"/>
                      <w:sz w:val="21"/>
                      <w:szCs w:val="21"/>
                      <w:vertAlign w:val="superscript"/>
                      <w:lang w:val="en-US" w:eastAsia="zh-CN" w:bidi="ar"/>
                    </w:rPr>
                    <w:t>2</w:t>
                  </w:r>
                  <w:r>
                    <w:rPr>
                      <w:rFonts w:hint="default" w:ascii="Times New Roman" w:hAnsi="Times New Roman" w:eastAsia="宋体" w:cs="Times New Roman"/>
                      <w:color w:val="auto"/>
                      <w:kern w:val="0"/>
                      <w:sz w:val="21"/>
                      <w:szCs w:val="21"/>
                      <w:lang w:val="en-US" w:eastAsia="zh-CN" w:bidi="ar"/>
                    </w:rPr>
                    <w:t>，框架结构。</w:t>
                  </w:r>
                </w:p>
              </w:tc>
              <w:tc>
                <w:tcPr>
                  <w:tcW w:w="172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目前宿舍尚有空余，能够满足本项目新增50人的需求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014" w:type="pct"/>
                  <w:gridSpan w:val="2"/>
                  <w:tcBorders>
                    <w:tl2br w:val="nil"/>
                    <w:tr2bl w:val="nil"/>
                  </w:tcBorders>
                  <w:noWrap w:val="0"/>
                  <w:vAlign w:val="center"/>
                </w:tcPr>
                <w:p>
                  <w:pPr>
                    <w:pStyle w:val="12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餐厅</w:t>
                  </w:r>
                </w:p>
              </w:tc>
              <w:tc>
                <w:tcPr>
                  <w:tcW w:w="2257" w:type="pct"/>
                  <w:tcBorders>
                    <w:tl2br w:val="nil"/>
                    <w:tr2bl w:val="nil"/>
                  </w:tcBorders>
                  <w:noWrap w:val="0"/>
                  <w:vAlign w:val="center"/>
                </w:tcPr>
                <w:p>
                  <w:pPr>
                    <w:pStyle w:val="127"/>
                    <w:keepNext w:val="0"/>
                    <w:keepLines w:val="0"/>
                    <w:pageBreakBefore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sz w:val="21"/>
                      <w:szCs w:val="21"/>
                      <w:lang w:val="en-US" w:eastAsia="zh-CN"/>
                    </w:rPr>
                    <w:t>3F，位于北厂区西南部，建筑面积3090m</w:t>
                  </w:r>
                  <w:r>
                    <w:rPr>
                      <w:rFonts w:hint="default" w:ascii="Times New Roman" w:hAnsi="Times New Roman" w:eastAsia="宋体" w:cs="Times New Roman"/>
                      <w:b w:val="0"/>
                      <w:color w:val="auto"/>
                      <w:sz w:val="21"/>
                      <w:szCs w:val="21"/>
                      <w:vertAlign w:val="superscript"/>
                      <w:lang w:val="en-US" w:eastAsia="zh-CN"/>
                    </w:rPr>
                    <w:t>2</w:t>
                  </w:r>
                  <w:r>
                    <w:rPr>
                      <w:rFonts w:hint="default" w:ascii="Times New Roman" w:hAnsi="Times New Roman" w:eastAsia="宋体" w:cs="Times New Roman"/>
                      <w:b w:val="0"/>
                      <w:color w:val="auto"/>
                      <w:sz w:val="21"/>
                      <w:szCs w:val="21"/>
                      <w:lang w:val="en-US" w:eastAsia="zh-CN"/>
                    </w:rPr>
                    <w:t>，框架结构。共设4个灶头，规模属于中型饮食业单位，提供三餐，采用天然气为燃料。</w:t>
                  </w:r>
                </w:p>
              </w:tc>
              <w:tc>
                <w:tcPr>
                  <w:tcW w:w="172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color w:val="auto"/>
                      <w:sz w:val="21"/>
                      <w:szCs w:val="21"/>
                      <w:lang w:val="en-US" w:eastAsia="zh-CN"/>
                    </w:rPr>
                    <w:t>高科建材食堂共设4个灶头，规模属于中型饮食业单位，能够满足1200人使用，目前高科建材约1000人，本项目劳动定员50人，能够满足需求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53"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环保工程</w:t>
                  </w:r>
                </w:p>
              </w:tc>
              <w:tc>
                <w:tcPr>
                  <w:tcW w:w="36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化粪池</w:t>
                  </w:r>
                </w:p>
              </w:tc>
              <w:tc>
                <w:tcPr>
                  <w:tcW w:w="225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highlight w:val="none"/>
                    </w:rPr>
                    <w:t>化粪池位于</w:t>
                  </w:r>
                  <w:r>
                    <w:rPr>
                      <w:rFonts w:hint="default" w:ascii="Times New Roman" w:hAnsi="Times New Roman" w:eastAsia="宋体" w:cs="Times New Roman"/>
                      <w:b w:val="0"/>
                      <w:bCs w:val="0"/>
                      <w:color w:val="auto"/>
                      <w:sz w:val="21"/>
                      <w:szCs w:val="21"/>
                      <w:highlight w:val="none"/>
                      <w:lang w:val="en-US" w:eastAsia="zh-CN"/>
                    </w:rPr>
                    <w:t>高科建材</w:t>
                  </w:r>
                  <w:r>
                    <w:rPr>
                      <w:rFonts w:hint="eastAsia" w:cs="Times New Roman"/>
                      <w:b w:val="0"/>
                      <w:bCs w:val="0"/>
                      <w:color w:val="auto"/>
                      <w:sz w:val="21"/>
                      <w:szCs w:val="21"/>
                      <w:highlight w:val="none"/>
                      <w:lang w:val="en-US" w:eastAsia="zh-CN"/>
                    </w:rPr>
                    <w:t>北</w:t>
                  </w:r>
                  <w:r>
                    <w:rPr>
                      <w:rFonts w:hint="default" w:ascii="Times New Roman" w:hAnsi="Times New Roman" w:eastAsia="宋体" w:cs="Times New Roman"/>
                      <w:b w:val="0"/>
                      <w:bCs w:val="0"/>
                      <w:color w:val="auto"/>
                      <w:sz w:val="21"/>
                      <w:szCs w:val="21"/>
                      <w:highlight w:val="none"/>
                      <w:lang w:val="en-US" w:eastAsia="zh-CN"/>
                    </w:rPr>
                    <w:t>厂区</w:t>
                  </w:r>
                  <w:r>
                    <w:rPr>
                      <w:rFonts w:hint="default" w:ascii="Times New Roman" w:hAnsi="Times New Roman" w:eastAsia="宋体" w:cs="Times New Roman"/>
                      <w:b w:val="0"/>
                      <w:bCs w:val="0"/>
                      <w:color w:val="auto"/>
                      <w:sz w:val="21"/>
                      <w:szCs w:val="21"/>
                      <w:highlight w:val="none"/>
                    </w:rPr>
                    <w:t>，容积</w:t>
                  </w:r>
                  <w:r>
                    <w:rPr>
                      <w:rFonts w:hint="eastAsia" w:cs="Times New Roman"/>
                      <w:b w:val="0"/>
                      <w:bCs w:val="0"/>
                      <w:color w:val="auto"/>
                      <w:sz w:val="21"/>
                      <w:szCs w:val="21"/>
                      <w:highlight w:val="none"/>
                      <w:lang w:val="en-US" w:eastAsia="zh-CN"/>
                    </w:rPr>
                    <w:t>100</w:t>
                  </w:r>
                  <w:r>
                    <w:rPr>
                      <w:rFonts w:hint="default" w:ascii="Times New Roman" w:hAnsi="Times New Roman" w:eastAsia="宋体" w:cs="Times New Roman"/>
                      <w:b w:val="0"/>
                      <w:bCs w:val="0"/>
                      <w:color w:val="auto"/>
                      <w:sz w:val="21"/>
                      <w:szCs w:val="21"/>
                      <w:highlight w:val="none"/>
                    </w:rPr>
                    <w:t>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lang w:val="en-US" w:eastAsia="zh-CN"/>
                    </w:rPr>
                    <w:t>高科建材</w:t>
                  </w:r>
                  <w:r>
                    <w:rPr>
                      <w:rFonts w:hint="eastAsia" w:cs="Times New Roman"/>
                      <w:b w:val="0"/>
                      <w:bCs w:val="0"/>
                      <w:color w:val="auto"/>
                      <w:sz w:val="21"/>
                      <w:szCs w:val="21"/>
                      <w:highlight w:val="none"/>
                      <w:lang w:val="en-US" w:eastAsia="zh-CN"/>
                    </w:rPr>
                    <w:t>北</w:t>
                  </w:r>
                  <w:r>
                    <w:rPr>
                      <w:rFonts w:hint="default" w:ascii="Times New Roman" w:hAnsi="Times New Roman" w:eastAsia="宋体" w:cs="Times New Roman"/>
                      <w:b w:val="0"/>
                      <w:bCs w:val="0"/>
                      <w:color w:val="auto"/>
                      <w:sz w:val="21"/>
                      <w:szCs w:val="21"/>
                      <w:highlight w:val="none"/>
                      <w:lang w:val="en-US" w:eastAsia="zh-CN"/>
                    </w:rPr>
                    <w:t>区生活污水产量</w:t>
                  </w:r>
                  <w:r>
                    <w:rPr>
                      <w:rFonts w:hint="default" w:ascii="Times New Roman" w:hAnsi="Times New Roman" w:eastAsia="宋体" w:cs="Times New Roman"/>
                      <w:b w:val="0"/>
                      <w:bCs w:val="0"/>
                      <w:color w:val="auto"/>
                      <w:sz w:val="21"/>
                      <w:szCs w:val="21"/>
                      <w:lang w:val="en-US" w:eastAsia="zh-CN"/>
                    </w:rPr>
                    <w:t>约为</w:t>
                  </w:r>
                  <w:r>
                    <w:rPr>
                      <w:rFonts w:hint="default" w:ascii="Times New Roman" w:hAnsi="Times New Roman" w:eastAsia="宋体" w:cs="Times New Roman"/>
                      <w:color w:val="000000"/>
                      <w:kern w:val="0"/>
                      <w:sz w:val="21"/>
                      <w:szCs w:val="21"/>
                      <w:lang w:val="en-US" w:eastAsia="zh-CN" w:bidi="ar"/>
                    </w:rPr>
                    <w:t>49.508</w:t>
                  </w:r>
                  <w:r>
                    <w:rPr>
                      <w:rFonts w:hint="default" w:ascii="Times New Roman" w:hAnsi="Times New Roman" w:eastAsia="宋体" w:cs="Times New Roman"/>
                      <w:b w:val="0"/>
                      <w:bCs w:val="0"/>
                      <w:color w:val="auto"/>
                      <w:sz w:val="21"/>
                      <w:szCs w:val="21"/>
                      <w:lang w:val="en-US" w:eastAsia="zh-CN"/>
                    </w:rPr>
                    <w:t>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/d，化粪池留有余量</w:t>
                  </w:r>
                  <w:r>
                    <w:rPr>
                      <w:rFonts w:hint="eastAsia" w:cs="Times New Roman"/>
                      <w:b w:val="0"/>
                      <w:bCs w:val="0"/>
                      <w:color w:val="auto"/>
                      <w:sz w:val="21"/>
                      <w:szCs w:val="21"/>
                      <w:lang w:val="en-US" w:eastAsia="zh-CN"/>
                    </w:rPr>
                    <w:t>50.492</w:t>
                  </w:r>
                  <w:r>
                    <w:rPr>
                      <w:rFonts w:hint="default" w:ascii="Times New Roman" w:hAnsi="Times New Roman" w:eastAsia="宋体" w:cs="Times New Roman"/>
                      <w:b w:val="0"/>
                      <w:bCs w:val="0"/>
                      <w:color w:val="auto"/>
                      <w:sz w:val="21"/>
                      <w:szCs w:val="21"/>
                      <w:lang w:val="en-US" w:eastAsia="zh-CN"/>
                    </w:rPr>
                    <w:t>m</w:t>
                  </w:r>
                  <w:r>
                    <w:rPr>
                      <w:rFonts w:hint="default" w:ascii="Times New Roman" w:hAnsi="Times New Roman" w:eastAsia="宋体" w:cs="Times New Roman"/>
                      <w:b w:val="0"/>
                      <w:bCs w:val="0"/>
                      <w:color w:val="auto"/>
                      <w:sz w:val="21"/>
                      <w:szCs w:val="21"/>
                      <w:vertAlign w:val="superscript"/>
                      <w:lang w:val="en-US" w:eastAsia="zh-CN"/>
                    </w:rPr>
                    <w:t>3</w:t>
                  </w:r>
                </w:p>
              </w:tc>
              <w:tc>
                <w:tcPr>
                  <w:tcW w:w="172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本</w:t>
                  </w:r>
                  <w:r>
                    <w:rPr>
                      <w:rFonts w:hint="default" w:ascii="Times New Roman" w:hAnsi="Times New Roman" w:eastAsia="宋体" w:cs="Times New Roman"/>
                      <w:b w:val="0"/>
                      <w:bCs w:val="0"/>
                      <w:color w:val="auto"/>
                      <w:sz w:val="21"/>
                      <w:szCs w:val="21"/>
                    </w:rPr>
                    <w:t>项目劳动定员</w:t>
                  </w:r>
                  <w:r>
                    <w:rPr>
                      <w:rFonts w:hint="default" w:ascii="Times New Roman" w:hAnsi="Times New Roman" w:eastAsia="宋体" w:cs="Times New Roman"/>
                      <w:b w:val="0"/>
                      <w:bCs w:val="0"/>
                      <w:color w:val="auto"/>
                      <w:sz w:val="21"/>
                      <w:szCs w:val="21"/>
                      <w:lang w:val="en-US" w:eastAsia="zh-CN"/>
                    </w:rPr>
                    <w:t>5</w:t>
                  </w:r>
                  <w:r>
                    <w:rPr>
                      <w:rFonts w:hint="default" w:ascii="Times New Roman" w:hAnsi="Times New Roman" w:eastAsia="宋体" w:cs="Times New Roman"/>
                      <w:b w:val="0"/>
                      <w:bCs w:val="0"/>
                      <w:color w:val="auto"/>
                      <w:sz w:val="21"/>
                      <w:szCs w:val="21"/>
                    </w:rPr>
                    <w:t>0人，生活污水产生量约</w:t>
                  </w:r>
                  <w:r>
                    <w:rPr>
                      <w:rFonts w:hint="default" w:ascii="Times New Roman" w:hAnsi="Times New Roman" w:eastAsia="宋体" w:cs="Times New Roman"/>
                      <w:b w:val="0"/>
                      <w:bCs w:val="0"/>
                      <w:color w:val="auto"/>
                      <w:sz w:val="21"/>
                      <w:szCs w:val="21"/>
                      <w:lang w:val="en-US" w:eastAsia="zh-CN"/>
                    </w:rPr>
                    <w:t>4.80</w:t>
                  </w:r>
                  <w:r>
                    <w:rPr>
                      <w:rFonts w:hint="default" w:ascii="Times New Roman" w:hAnsi="Times New Roman" w:eastAsia="宋体" w:cs="Times New Roman"/>
                      <w:b w:val="0"/>
                      <w:bCs w:val="0"/>
                      <w:color w:val="auto"/>
                      <w:sz w:val="21"/>
                      <w:szCs w:val="21"/>
                    </w:rPr>
                    <w:t>m</w:t>
                  </w:r>
                  <w:r>
                    <w:rPr>
                      <w:rFonts w:hint="default" w:ascii="Times New Roman" w:hAnsi="Times New Roman" w:eastAsia="宋体" w:cs="Times New Roman"/>
                      <w:b w:val="0"/>
                      <w:bCs w:val="0"/>
                      <w:color w:val="auto"/>
                      <w:sz w:val="21"/>
                      <w:szCs w:val="21"/>
                      <w:vertAlign w:val="superscript"/>
                    </w:rPr>
                    <w:t>3</w:t>
                  </w:r>
                  <w:r>
                    <w:rPr>
                      <w:rFonts w:hint="default" w:ascii="Times New Roman" w:hAnsi="Times New Roman" w:eastAsia="宋体" w:cs="Times New Roman"/>
                      <w:b w:val="0"/>
                      <w:bCs w:val="0"/>
                      <w:color w:val="auto"/>
                      <w:sz w:val="21"/>
                      <w:szCs w:val="21"/>
                    </w:rPr>
                    <w:t>/d，</w:t>
                  </w:r>
                  <w:r>
                    <w:rPr>
                      <w:rFonts w:hint="default" w:ascii="Times New Roman" w:hAnsi="Times New Roman" w:eastAsia="宋体" w:cs="Times New Roman"/>
                      <w:b w:val="0"/>
                      <w:bCs w:val="0"/>
                      <w:color w:val="auto"/>
                      <w:sz w:val="21"/>
                      <w:szCs w:val="21"/>
                      <w:lang w:val="en-US" w:eastAsia="zh-CN"/>
                    </w:rPr>
                    <w:t>远小于化粪池留有余量，因此高科建材</w:t>
                  </w:r>
                  <w:r>
                    <w:rPr>
                      <w:rFonts w:hint="eastAsia" w:cs="Times New Roman"/>
                      <w:b w:val="0"/>
                      <w:bCs w:val="0"/>
                      <w:color w:val="auto"/>
                      <w:sz w:val="21"/>
                      <w:szCs w:val="21"/>
                      <w:lang w:val="en-US" w:eastAsia="zh-CN"/>
                    </w:rPr>
                    <w:t>北</w:t>
                  </w:r>
                  <w:r>
                    <w:rPr>
                      <w:rFonts w:hint="default" w:ascii="Times New Roman" w:hAnsi="Times New Roman" w:eastAsia="宋体" w:cs="Times New Roman"/>
                      <w:b w:val="0"/>
                      <w:bCs w:val="0"/>
                      <w:color w:val="auto"/>
                      <w:sz w:val="21"/>
                      <w:szCs w:val="21"/>
                      <w:lang w:val="en-US" w:eastAsia="zh-CN"/>
                    </w:rPr>
                    <w:t>厂区</w:t>
                  </w:r>
                  <w:r>
                    <w:rPr>
                      <w:rFonts w:hint="default" w:ascii="Times New Roman" w:hAnsi="Times New Roman" w:eastAsia="宋体" w:cs="Times New Roman"/>
                      <w:b w:val="0"/>
                      <w:bCs w:val="0"/>
                      <w:color w:val="auto"/>
                      <w:sz w:val="21"/>
                      <w:szCs w:val="21"/>
                    </w:rPr>
                    <w:t>化粪池容积可以满足项目劳动定员需求，</w:t>
                  </w:r>
                  <w:r>
                    <w:rPr>
                      <w:rFonts w:hint="default" w:ascii="Times New Roman" w:hAnsi="Times New Roman" w:eastAsia="宋体" w:cs="Times New Roman"/>
                      <w:b w:val="0"/>
                      <w:bCs w:val="0"/>
                      <w:color w:val="auto"/>
                      <w:sz w:val="21"/>
                      <w:szCs w:val="21"/>
                      <w:lang w:val="en-US" w:eastAsia="zh-CN"/>
                    </w:rPr>
                    <w:t>且</w:t>
                  </w:r>
                  <w:r>
                    <w:rPr>
                      <w:rFonts w:hint="default" w:ascii="Times New Roman" w:hAnsi="Times New Roman" w:eastAsia="宋体" w:cs="Times New Roman"/>
                      <w:b w:val="0"/>
                      <w:bCs w:val="0"/>
                      <w:color w:val="auto"/>
                      <w:sz w:val="21"/>
                      <w:szCs w:val="21"/>
                    </w:rPr>
                    <w:t>化粪池剩余处理余量充足，因此本项目废水依托现有化粪池可行。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5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361"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固废</w:t>
                  </w:r>
                </w:p>
              </w:tc>
              <w:tc>
                <w:tcPr>
                  <w:tcW w:w="225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napToGrid w:val="0"/>
                      <w:color w:val="auto"/>
                      <w:kern w:val="0"/>
                      <w:sz w:val="21"/>
                      <w:szCs w:val="21"/>
                      <w:highlight w:val="none"/>
                      <w:lang w:val="en-US" w:eastAsia="zh-CN"/>
                    </w:rPr>
                    <w:t>高科建材南厂区一般固废暂存区总建筑面积30m</w:t>
                  </w:r>
                  <w:r>
                    <w:rPr>
                      <w:rFonts w:hint="default" w:ascii="Times New Roman" w:hAnsi="Times New Roman" w:eastAsia="宋体" w:cs="Times New Roman"/>
                      <w:snapToGrid w:val="0"/>
                      <w:color w:val="auto"/>
                      <w:kern w:val="0"/>
                      <w:sz w:val="21"/>
                      <w:szCs w:val="21"/>
                      <w:highlight w:val="none"/>
                      <w:vertAlign w:val="superscript"/>
                      <w:lang w:val="en-US" w:eastAsia="zh-CN"/>
                    </w:rPr>
                    <w:t>2</w:t>
                  </w:r>
                  <w:r>
                    <w:rPr>
                      <w:rFonts w:hint="default" w:ascii="Times New Roman" w:hAnsi="Times New Roman" w:eastAsia="宋体" w:cs="Times New Roman"/>
                      <w:snapToGrid w:val="0"/>
                      <w:color w:val="auto"/>
                      <w:kern w:val="0"/>
                      <w:sz w:val="21"/>
                      <w:szCs w:val="21"/>
                      <w:highlight w:val="none"/>
                      <w:lang w:val="en-US" w:eastAsia="zh-CN"/>
                    </w:rPr>
                    <w:t>，目前已使用20m</w:t>
                  </w:r>
                  <w:r>
                    <w:rPr>
                      <w:rFonts w:hint="default" w:ascii="Times New Roman" w:hAnsi="Times New Roman" w:eastAsia="宋体" w:cs="Times New Roman"/>
                      <w:snapToGrid w:val="0"/>
                      <w:color w:val="auto"/>
                      <w:kern w:val="0"/>
                      <w:sz w:val="21"/>
                      <w:szCs w:val="21"/>
                      <w:highlight w:val="none"/>
                      <w:vertAlign w:val="superscript"/>
                      <w:lang w:val="en-US" w:eastAsia="zh-CN"/>
                    </w:rPr>
                    <w:t>2</w:t>
                  </w:r>
                  <w:r>
                    <w:rPr>
                      <w:rFonts w:hint="default" w:ascii="Times New Roman" w:hAnsi="Times New Roman" w:eastAsia="宋体" w:cs="Times New Roman"/>
                      <w:snapToGrid w:val="0"/>
                      <w:color w:val="auto"/>
                      <w:kern w:val="0"/>
                      <w:sz w:val="21"/>
                      <w:szCs w:val="21"/>
                      <w:highlight w:val="none"/>
                      <w:lang w:val="en-US" w:eastAsia="zh-CN"/>
                    </w:rPr>
                    <w:t>，剩余10m</w:t>
                  </w:r>
                  <w:r>
                    <w:rPr>
                      <w:rFonts w:hint="default" w:ascii="Times New Roman" w:hAnsi="Times New Roman" w:eastAsia="宋体" w:cs="Times New Roman"/>
                      <w:snapToGrid w:val="0"/>
                      <w:color w:val="auto"/>
                      <w:kern w:val="0"/>
                      <w:sz w:val="21"/>
                      <w:szCs w:val="21"/>
                      <w:highlight w:val="none"/>
                      <w:vertAlign w:val="superscript"/>
                      <w:lang w:val="en-US" w:eastAsia="zh-CN"/>
                    </w:rPr>
                    <w:t>2</w:t>
                  </w:r>
                </w:p>
              </w:tc>
              <w:tc>
                <w:tcPr>
                  <w:tcW w:w="172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color w:val="auto"/>
                      <w:sz w:val="21"/>
                      <w:szCs w:val="21"/>
                    </w:rPr>
                    <w:t>目前</w:t>
                  </w:r>
                  <w:r>
                    <w:rPr>
                      <w:rFonts w:hint="default" w:ascii="Times New Roman" w:hAnsi="Times New Roman" w:eastAsia="宋体" w:cs="Times New Roman"/>
                      <w:color w:val="auto"/>
                      <w:sz w:val="21"/>
                      <w:szCs w:val="21"/>
                      <w:lang w:val="en-US" w:eastAsia="zh-CN"/>
                    </w:rPr>
                    <w:t>一般固废暂存库</w:t>
                  </w:r>
                  <w:r>
                    <w:rPr>
                      <w:rFonts w:hint="default" w:ascii="Times New Roman" w:hAnsi="Times New Roman" w:eastAsia="宋体" w:cs="Times New Roman"/>
                      <w:color w:val="auto"/>
                      <w:sz w:val="21"/>
                      <w:szCs w:val="21"/>
                    </w:rPr>
                    <w:t>尚有空余</w:t>
                  </w:r>
                  <w:r>
                    <w:rPr>
                      <w:rFonts w:hint="default" w:ascii="Times New Roman" w:hAnsi="Times New Roman" w:eastAsia="宋体" w:cs="Times New Roman"/>
                      <w:snapToGrid w:val="0"/>
                      <w:color w:val="auto"/>
                      <w:kern w:val="0"/>
                      <w:sz w:val="21"/>
                      <w:szCs w:val="21"/>
                      <w:highlight w:val="none"/>
                      <w:lang w:val="en-US" w:eastAsia="zh-CN"/>
                    </w:rPr>
                    <w:t>本项目</w:t>
                  </w:r>
                  <w:r>
                    <w:rPr>
                      <w:rFonts w:hint="default" w:ascii="Times New Roman" w:hAnsi="Times New Roman" w:eastAsia="宋体" w:cs="Times New Roman"/>
                      <w:snapToGrid w:val="0"/>
                      <w:color w:val="auto"/>
                      <w:kern w:val="0"/>
                      <w:sz w:val="21"/>
                      <w:szCs w:val="21"/>
                      <w:highlight w:val="none"/>
                      <w:lang w:eastAsia="zh-CN"/>
                    </w:rPr>
                    <w:t>一般固废</w:t>
                  </w:r>
                  <w:r>
                    <w:rPr>
                      <w:rFonts w:hint="default" w:ascii="Times New Roman" w:hAnsi="Times New Roman" w:eastAsia="宋体" w:cs="Times New Roman"/>
                      <w:snapToGrid w:val="0"/>
                      <w:color w:val="auto"/>
                      <w:kern w:val="0"/>
                      <w:sz w:val="21"/>
                      <w:szCs w:val="21"/>
                      <w:highlight w:val="none"/>
                      <w:lang w:val="en-US" w:eastAsia="zh-CN"/>
                    </w:rPr>
                    <w:t>产生量7.5t/a，</w:t>
                  </w:r>
                  <w:r>
                    <w:rPr>
                      <w:rFonts w:hint="default" w:ascii="Times New Roman" w:hAnsi="Times New Roman" w:eastAsia="宋体" w:cs="Times New Roman"/>
                      <w:snapToGrid w:val="0"/>
                      <w:color w:val="auto"/>
                      <w:kern w:val="0"/>
                      <w:sz w:val="21"/>
                      <w:szCs w:val="21"/>
                      <w:highlight w:val="none"/>
                    </w:rPr>
                    <w:t>统一收集后</w:t>
                  </w:r>
                  <w:r>
                    <w:rPr>
                      <w:rFonts w:hint="default" w:ascii="Times New Roman" w:hAnsi="Times New Roman" w:eastAsia="宋体" w:cs="Times New Roman"/>
                      <w:snapToGrid w:val="0"/>
                      <w:color w:val="auto"/>
                      <w:kern w:val="0"/>
                      <w:sz w:val="21"/>
                      <w:szCs w:val="21"/>
                      <w:highlight w:val="none"/>
                      <w:lang w:val="en-US" w:eastAsia="zh-CN"/>
                    </w:rPr>
                    <w:t>依托高科建材</w:t>
                  </w:r>
                  <w:r>
                    <w:rPr>
                      <w:rFonts w:hint="default" w:ascii="Times New Roman" w:hAnsi="Times New Roman" w:eastAsia="宋体" w:cs="Times New Roman"/>
                      <w:snapToGrid w:val="0"/>
                      <w:color w:val="auto"/>
                      <w:kern w:val="0"/>
                      <w:sz w:val="21"/>
                      <w:szCs w:val="21"/>
                      <w:highlight w:val="none"/>
                      <w:lang w:eastAsia="zh-CN"/>
                    </w:rPr>
                    <w:t>一般固废暂存区</w:t>
                  </w:r>
                  <w:r>
                    <w:rPr>
                      <w:rFonts w:hint="default" w:ascii="Times New Roman" w:hAnsi="Times New Roman" w:eastAsia="宋体" w:cs="Times New Roman"/>
                      <w:snapToGrid w:val="0"/>
                      <w:color w:val="auto"/>
                      <w:kern w:val="0"/>
                      <w:sz w:val="21"/>
                      <w:szCs w:val="21"/>
                      <w:highlight w:val="none"/>
                    </w:rPr>
                    <w:t>定期外售</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可满足本项目产生一般固废的暂存要求</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依托可行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5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36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225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highlight w:val="none"/>
                      <w:lang w:eastAsia="zh-CN"/>
                    </w:rPr>
                  </w:pPr>
                  <w:r>
                    <w:rPr>
                      <w:rFonts w:hint="default" w:ascii="Times New Roman" w:hAnsi="Times New Roman" w:eastAsia="宋体" w:cs="Times New Roman"/>
                      <w:snapToGrid w:val="0"/>
                      <w:color w:val="auto"/>
                      <w:kern w:val="0"/>
                      <w:sz w:val="21"/>
                      <w:szCs w:val="21"/>
                      <w:highlight w:val="none"/>
                      <w:lang w:val="en-US" w:eastAsia="zh-CN"/>
                    </w:rPr>
                    <w:t>高科建材厂区危废贮存库位于南厂区东南角，总建筑面积18m</w:t>
                  </w:r>
                  <w:r>
                    <w:rPr>
                      <w:rFonts w:hint="default" w:ascii="Times New Roman" w:hAnsi="Times New Roman" w:eastAsia="宋体" w:cs="Times New Roman"/>
                      <w:snapToGrid w:val="0"/>
                      <w:color w:val="auto"/>
                      <w:kern w:val="0"/>
                      <w:sz w:val="21"/>
                      <w:szCs w:val="21"/>
                      <w:highlight w:val="none"/>
                      <w:vertAlign w:val="superscript"/>
                      <w:lang w:val="en-US" w:eastAsia="zh-CN"/>
                    </w:rPr>
                    <w:t>2</w:t>
                  </w:r>
                  <w:r>
                    <w:rPr>
                      <w:rFonts w:hint="default" w:ascii="Times New Roman" w:hAnsi="Times New Roman" w:eastAsia="宋体" w:cs="Times New Roman"/>
                      <w:snapToGrid w:val="0"/>
                      <w:color w:val="auto"/>
                      <w:kern w:val="0"/>
                      <w:sz w:val="21"/>
                      <w:szCs w:val="21"/>
                      <w:highlight w:val="none"/>
                      <w:lang w:val="en-US" w:eastAsia="zh-CN"/>
                    </w:rPr>
                    <w:t>，目前已使用12m</w:t>
                  </w:r>
                  <w:r>
                    <w:rPr>
                      <w:rFonts w:hint="default" w:ascii="Times New Roman" w:hAnsi="Times New Roman" w:eastAsia="宋体" w:cs="Times New Roman"/>
                      <w:snapToGrid w:val="0"/>
                      <w:color w:val="auto"/>
                      <w:kern w:val="0"/>
                      <w:sz w:val="21"/>
                      <w:szCs w:val="21"/>
                      <w:highlight w:val="none"/>
                      <w:vertAlign w:val="superscript"/>
                      <w:lang w:val="en-US" w:eastAsia="zh-CN"/>
                    </w:rPr>
                    <w:t>2</w:t>
                  </w:r>
                  <w:r>
                    <w:rPr>
                      <w:rFonts w:hint="default" w:ascii="Times New Roman" w:hAnsi="Times New Roman" w:eastAsia="宋体" w:cs="Times New Roman"/>
                      <w:snapToGrid w:val="0"/>
                      <w:color w:val="auto"/>
                      <w:kern w:val="0"/>
                      <w:sz w:val="21"/>
                      <w:szCs w:val="21"/>
                      <w:highlight w:val="none"/>
                      <w:lang w:val="en-US" w:eastAsia="zh-CN"/>
                    </w:rPr>
                    <w:t>，剩余6m</w:t>
                  </w:r>
                  <w:r>
                    <w:rPr>
                      <w:rFonts w:hint="default" w:ascii="Times New Roman" w:hAnsi="Times New Roman" w:eastAsia="宋体" w:cs="Times New Roman"/>
                      <w:snapToGrid w:val="0"/>
                      <w:color w:val="auto"/>
                      <w:kern w:val="0"/>
                      <w:sz w:val="21"/>
                      <w:szCs w:val="21"/>
                      <w:highlight w:val="none"/>
                      <w:vertAlign w:val="superscript"/>
                      <w:lang w:val="en-US" w:eastAsia="zh-CN"/>
                    </w:rPr>
                    <w:t>2</w:t>
                  </w:r>
                  <w:r>
                    <w:rPr>
                      <w:rFonts w:hint="default" w:ascii="Times New Roman" w:hAnsi="Times New Roman" w:eastAsia="宋体" w:cs="Times New Roman"/>
                      <w:snapToGrid w:val="0"/>
                      <w:color w:val="auto"/>
                      <w:kern w:val="0"/>
                      <w:sz w:val="21"/>
                      <w:szCs w:val="21"/>
                      <w:highlight w:val="none"/>
                      <w:lang w:val="en-US" w:eastAsia="zh-CN"/>
                    </w:rPr>
                    <w:t>，经实地勘察，高科建材现有危废贮存库落实了相应的环保要求，符合《</w:t>
                  </w:r>
                  <w:r>
                    <w:rPr>
                      <w:rFonts w:hint="default" w:ascii="Times New Roman" w:hAnsi="Times New Roman" w:eastAsia="宋体" w:cs="Times New Roman"/>
                      <w:snapToGrid w:val="0"/>
                      <w:color w:val="auto"/>
                      <w:kern w:val="0"/>
                      <w:sz w:val="21"/>
                      <w:szCs w:val="21"/>
                      <w:highlight w:val="none"/>
                      <w:lang w:val="en-US" w:eastAsia="zh-CN"/>
                    </w:rPr>
                    <w:fldChar w:fldCharType="begin"/>
                  </w:r>
                  <w:r>
                    <w:rPr>
                      <w:rFonts w:hint="default" w:ascii="Times New Roman" w:hAnsi="Times New Roman" w:eastAsia="宋体" w:cs="Times New Roman"/>
                      <w:snapToGrid w:val="0"/>
                      <w:color w:val="auto"/>
                      <w:kern w:val="0"/>
                      <w:sz w:val="21"/>
                      <w:szCs w:val="21"/>
                      <w:highlight w:val="none"/>
                      <w:lang w:val="en-US" w:eastAsia="zh-CN"/>
                    </w:rPr>
                    <w:instrText xml:space="preserve"> HYPERLINK "https://mp.weixin.qq.com/s?__biz=MzIzMjIxNTc5Nw==&amp;mid=2247699730&amp;idx=1&amp;sn=ab3670459d06f3a4a4d9f279d4fdd7fd&amp;chksm=e895c888dfe2419ed4cd636eb273640cd73fb0e3ea1ebe138cdc40d013387a3990c01dbc89f8&amp;mpshare=1&amp;scene=1&amp;srcid=02280HkcTjHco5e58mza155F&amp;sharer_sharetime=1677635754318&amp;sharer_shareid=5ff6699fb854ae8148f035267ad8969e&amp;key=059af8dc50e178fb42ffe6d4a0d0a4f479bbd06d14870cb5ecfc959d3f9aa267e446cb99b04a1e3617c28cf841092496d8ca5ad5ab4e0ccdd8ea9a10a1394f592da73000f2a5cee92f9a24de92d32d784b9cccc8b19a28dd4847a989b45604df2a930a9911390b3df3099f8110f67fb1aa6158a56de55135bd64b14fba060e2e&amp;ascene=1&amp;uin=OTM3NzcyNjY0&amp;devicetype=Windows+7+x64&amp;version=6309001c&amp;lang=zh_CN&amp;countrycode=CN&amp;exportkey=n_ChQIAhIQOFce+R2cCoMuUaUdEgUrCxLyAQIE97dBBAEAAAAAAFIGDTScXfEAAAAOpnltbLcz9gKNyK89dVj0XKB22r+aeQsru5WXnPMqLlE1u2d1lfOmh3mmwGSEupODdJkzKrwqMkHSkmupyWapnxBCBk+Kl1GW/R+gHosY7XlncvlBH9L+p+ohBbhEPysNyXgeCSPmbtOe1l7YXCHgNF00md10Eur0Jgt5DhVbv/Nas4mGGpHXGbLz6rTjouGpvyxvj9Fj+RxKNpOorIPL+ggK8GOEVZNxhduTkGByvDW1YChsT9LFX8BW+M73yja3aGOvW7eAjCnOLIQOZOJZ8A2YOneQH4XuWlvo&amp;acctmode=0&amp;pass_ticket=ugy26zj9F9Qp06ILMasZaLQx9MwbOnn/rAUn1lHdd6ycKUN0/m1DRr8aSdyX2HBAOS9rZAKvXWq0t0KqHBERWw==&amp;wx_header=1&amp;fontgear=2" </w:instrText>
                  </w:r>
                  <w:r>
                    <w:rPr>
                      <w:rFonts w:hint="default" w:ascii="Times New Roman" w:hAnsi="Times New Roman" w:eastAsia="宋体" w:cs="Times New Roman"/>
                      <w:snapToGrid w:val="0"/>
                      <w:color w:val="auto"/>
                      <w:kern w:val="0"/>
                      <w:sz w:val="21"/>
                      <w:szCs w:val="21"/>
                      <w:highlight w:val="none"/>
                      <w:lang w:val="en-US" w:eastAsia="zh-CN"/>
                    </w:rPr>
                    <w:fldChar w:fldCharType="separate"/>
                  </w:r>
                  <w:r>
                    <w:rPr>
                      <w:rFonts w:hint="default" w:ascii="Times New Roman" w:hAnsi="Times New Roman" w:eastAsia="宋体" w:cs="Times New Roman"/>
                      <w:snapToGrid w:val="0"/>
                      <w:color w:val="auto"/>
                      <w:kern w:val="0"/>
                      <w:sz w:val="21"/>
                      <w:szCs w:val="21"/>
                      <w:highlight w:val="none"/>
                      <w:lang w:val="en-US" w:eastAsia="zh-CN"/>
                    </w:rPr>
                    <w:t>危险废物贮存污染控制标准</w:t>
                  </w:r>
                  <w:r>
                    <w:rPr>
                      <w:rFonts w:hint="default" w:ascii="Times New Roman" w:hAnsi="Times New Roman" w:eastAsia="宋体" w:cs="Times New Roman"/>
                      <w:snapToGrid w:val="0"/>
                      <w:color w:val="auto"/>
                      <w:kern w:val="0"/>
                      <w:sz w:val="21"/>
                      <w:szCs w:val="21"/>
                      <w:highlight w:val="none"/>
                      <w:lang w:val="en-US" w:eastAsia="zh-CN"/>
                    </w:rPr>
                    <w:fldChar w:fldCharType="end"/>
                  </w:r>
                  <w:r>
                    <w:rPr>
                      <w:rFonts w:hint="default" w:ascii="Times New Roman" w:hAnsi="Times New Roman" w:eastAsia="宋体" w:cs="Times New Roman"/>
                      <w:snapToGrid w:val="0"/>
                      <w:color w:val="auto"/>
                      <w:kern w:val="0"/>
                      <w:sz w:val="21"/>
                      <w:szCs w:val="21"/>
                      <w:highlight w:val="none"/>
                      <w:lang w:val="en-US" w:eastAsia="zh-CN"/>
                    </w:rPr>
                    <w:t>》（GB 18597-2023）中的相关要求，危废贮存库设有明显的危废标签和危废种类标志，地面已进行重点防渗，贮存库内已做明确分区，</w:t>
                  </w:r>
                </w:p>
              </w:tc>
              <w:tc>
                <w:tcPr>
                  <w:tcW w:w="172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color w:val="auto"/>
                      <w:sz w:val="21"/>
                      <w:szCs w:val="21"/>
                    </w:rPr>
                    <w:t>目前</w:t>
                  </w:r>
                  <w:r>
                    <w:rPr>
                      <w:rFonts w:hint="default" w:ascii="Times New Roman" w:hAnsi="Times New Roman" w:eastAsia="宋体" w:cs="Times New Roman"/>
                      <w:color w:val="auto"/>
                      <w:kern w:val="0"/>
                      <w:sz w:val="21"/>
                      <w:szCs w:val="21"/>
                      <w:lang w:val="en-US" w:eastAsia="zh-CN" w:bidi="ar"/>
                    </w:rPr>
                    <w:t>危废贮存库</w:t>
                  </w:r>
                  <w:r>
                    <w:rPr>
                      <w:rFonts w:hint="default" w:ascii="Times New Roman" w:hAnsi="Times New Roman" w:eastAsia="宋体" w:cs="Times New Roman"/>
                      <w:color w:val="auto"/>
                      <w:sz w:val="21"/>
                      <w:szCs w:val="21"/>
                    </w:rPr>
                    <w:t>尚有空余</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snapToGrid w:val="0"/>
                      <w:color w:val="auto"/>
                      <w:kern w:val="0"/>
                      <w:sz w:val="21"/>
                      <w:szCs w:val="21"/>
                      <w:highlight w:val="none"/>
                      <w:lang w:val="en-US" w:eastAsia="zh-CN"/>
                    </w:rPr>
                    <w:t>本项目危险废物</w:t>
                  </w:r>
                  <w:r>
                    <w:rPr>
                      <w:rFonts w:hint="default" w:ascii="Times New Roman" w:hAnsi="Times New Roman" w:eastAsia="宋体" w:cs="Times New Roman"/>
                      <w:snapToGrid w:val="0"/>
                      <w:color w:val="auto"/>
                      <w:kern w:val="0"/>
                      <w:sz w:val="21"/>
                      <w:szCs w:val="21"/>
                      <w:highlight w:val="none"/>
                    </w:rPr>
                    <w:t>分类收集后</w:t>
                  </w:r>
                  <w:r>
                    <w:rPr>
                      <w:rFonts w:hint="default" w:ascii="Times New Roman" w:hAnsi="Times New Roman" w:eastAsia="宋体" w:cs="Times New Roman"/>
                      <w:snapToGrid w:val="0"/>
                      <w:color w:val="auto"/>
                      <w:kern w:val="0"/>
                      <w:sz w:val="21"/>
                      <w:szCs w:val="21"/>
                      <w:highlight w:val="none"/>
                      <w:lang w:val="en-US" w:eastAsia="zh-CN"/>
                    </w:rPr>
                    <w:t>依托高科建材厂内</w:t>
                  </w:r>
                  <w:r>
                    <w:rPr>
                      <w:rFonts w:hint="default" w:ascii="Times New Roman" w:hAnsi="Times New Roman" w:eastAsia="宋体" w:cs="Times New Roman"/>
                      <w:snapToGrid w:val="0"/>
                      <w:color w:val="auto"/>
                      <w:kern w:val="0"/>
                      <w:sz w:val="21"/>
                      <w:szCs w:val="21"/>
                      <w:highlight w:val="none"/>
                      <w:lang w:eastAsia="zh-CN"/>
                    </w:rPr>
                    <w:t>危废贮存库</w:t>
                  </w:r>
                  <w:r>
                    <w:rPr>
                      <w:rFonts w:hint="default" w:ascii="Times New Roman" w:hAnsi="Times New Roman" w:eastAsia="宋体" w:cs="Times New Roman"/>
                      <w:snapToGrid w:val="0"/>
                      <w:color w:val="auto"/>
                      <w:kern w:val="0"/>
                      <w:sz w:val="21"/>
                      <w:szCs w:val="21"/>
                      <w:highlight w:val="none"/>
                    </w:rPr>
                    <w:t>定期统一交由有资质单位处置</w:t>
                  </w:r>
                  <w:r>
                    <w:rPr>
                      <w:rFonts w:hint="default" w:ascii="Times New Roman" w:hAnsi="Times New Roman" w:eastAsia="宋体" w:cs="Times New Roman"/>
                      <w:snapToGrid w:val="0"/>
                      <w:color w:val="auto"/>
                      <w:kern w:val="0"/>
                      <w:sz w:val="21"/>
                      <w:szCs w:val="21"/>
                      <w:highlight w:val="none"/>
                      <w:lang w:eastAsia="zh-CN"/>
                    </w:rPr>
                    <w:t>。</w:t>
                  </w:r>
                  <w:r>
                    <w:rPr>
                      <w:rFonts w:hint="default" w:ascii="Times New Roman" w:hAnsi="Times New Roman" w:eastAsia="宋体" w:cs="Times New Roman"/>
                      <w:color w:val="auto"/>
                      <w:sz w:val="21"/>
                      <w:szCs w:val="21"/>
                      <w:lang w:val="en-US" w:eastAsia="zh-CN"/>
                    </w:rPr>
                    <w:t>本项目危险废物种类及产生量较小，且定期清运，因此依托高科建材现有危废贮存库可行</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lang w:val="en-US" w:eastAsia="zh-CN"/>
              </w:rPr>
              <w:t>4、</w:t>
            </w:r>
            <w:r>
              <w:rPr>
                <w:rFonts w:hint="default" w:ascii="Times New Roman" w:hAnsi="Times New Roman" w:eastAsia="宋体" w:cs="Times New Roman"/>
                <w:b/>
                <w:color w:val="auto"/>
                <w:sz w:val="24"/>
                <w:szCs w:val="24"/>
              </w:rPr>
              <w:t>主要产品</w:t>
            </w:r>
            <w:r>
              <w:rPr>
                <w:rFonts w:hint="default" w:ascii="Times New Roman" w:hAnsi="Times New Roman" w:eastAsia="宋体" w:cs="Times New Roman"/>
                <w:b/>
                <w:color w:val="auto"/>
                <w:sz w:val="24"/>
                <w:szCs w:val="24"/>
                <w:lang w:val="en-US" w:eastAsia="zh-CN"/>
              </w:rPr>
              <w:t>方案</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lang w:val="en-US" w:eastAsia="zh-CN"/>
              </w:rPr>
              <w:t>项目具体产品方案见</w:t>
            </w:r>
            <w:r>
              <w:rPr>
                <w:rFonts w:hint="eastAsia" w:ascii="Times New Roman" w:hAnsi="Times New Roman" w:eastAsia="宋体" w:cs="Times New Roman"/>
                <w:color w:val="auto"/>
                <w:sz w:val="24"/>
                <w:szCs w:val="24"/>
                <w:lang w:val="en-US" w:eastAsia="zh-CN"/>
              </w:rPr>
              <w:t>下</w:t>
            </w: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autoSpaceDE w:val="0"/>
              <w:autoSpaceDN w:val="0"/>
              <w:bidi w:val="0"/>
              <w:adjustRightInd w:val="0"/>
              <w:snapToGrid w:val="0"/>
              <w:spacing w:line="360" w:lineRule="auto"/>
              <w:ind w:right="0" w:firstLine="0" w:firstLineChars="0"/>
              <w:jc w:val="center"/>
              <w:rPr>
                <w:rFonts w:hint="default" w:ascii="Times New Roman" w:hAnsi="Times New Roman" w:eastAsia="宋体" w:cs="Times New Roman"/>
                <w:b/>
                <w:bCs w:val="0"/>
                <w:color w:val="auto"/>
                <w:kern w:val="0"/>
                <w:sz w:val="24"/>
                <w:szCs w:val="24"/>
                <w:lang w:val="en-US" w:eastAsia="zh-CN" w:bidi="ar-SA"/>
              </w:rPr>
            </w:pPr>
            <w:r>
              <w:rPr>
                <w:rFonts w:hint="default" w:ascii="Times New Roman" w:hAnsi="Times New Roman" w:eastAsia="宋体" w:cs="Times New Roman"/>
                <w:b/>
                <w:bCs w:val="0"/>
                <w:color w:val="auto"/>
                <w:kern w:val="0"/>
                <w:sz w:val="24"/>
                <w:szCs w:val="24"/>
                <w:lang w:val="en-US" w:eastAsia="zh-CN" w:bidi="ar-SA"/>
              </w:rPr>
              <w:t>表2-3  项目主要产品及产能一览表</w:t>
            </w:r>
          </w:p>
          <w:tbl>
            <w:tblPr>
              <w:tblStyle w:val="34"/>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354"/>
              <w:gridCol w:w="2573"/>
              <w:gridCol w:w="2263"/>
              <w:gridCol w:w="180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46" w:type="pct"/>
                  <w:tcBorders>
                    <w:tl2br w:val="nil"/>
                    <w:tr2bl w:val="nil"/>
                  </w:tcBorders>
                  <w:noWrap w:val="0"/>
                  <w:vAlign w:val="center"/>
                </w:tcPr>
                <w:p>
                  <w:pPr>
                    <w:keepNext w:val="0"/>
                    <w:keepLines w:val="0"/>
                    <w:pageBreakBefore w:val="0"/>
                    <w:widowControl w:val="0"/>
                    <w:numPr>
                      <w:ilvl w:val="1"/>
                      <w:numId w:val="0"/>
                    </w:numPr>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outlineLvl w:val="1"/>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序号</w:t>
                  </w:r>
                </w:p>
              </w:tc>
              <w:tc>
                <w:tcPr>
                  <w:tcW w:w="1608" w:type="pct"/>
                  <w:tcBorders>
                    <w:tl2br w:val="nil"/>
                    <w:tr2bl w:val="nil"/>
                  </w:tcBorders>
                  <w:noWrap w:val="0"/>
                  <w:vAlign w:val="center"/>
                </w:tcPr>
                <w:p>
                  <w:pPr>
                    <w:keepNext w:val="0"/>
                    <w:keepLines w:val="0"/>
                    <w:pageBreakBefore w:val="0"/>
                    <w:widowControl w:val="0"/>
                    <w:numPr>
                      <w:ilvl w:val="1"/>
                      <w:numId w:val="0"/>
                    </w:numPr>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outlineLvl w:val="1"/>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产品</w:t>
                  </w:r>
                </w:p>
              </w:tc>
              <w:tc>
                <w:tcPr>
                  <w:tcW w:w="1414" w:type="pct"/>
                  <w:tcBorders>
                    <w:tl2br w:val="nil"/>
                    <w:tr2bl w:val="nil"/>
                  </w:tcBorders>
                  <w:noWrap w:val="0"/>
                  <w:vAlign w:val="center"/>
                </w:tcPr>
                <w:p>
                  <w:pPr>
                    <w:keepNext w:val="0"/>
                    <w:keepLines w:val="0"/>
                    <w:pageBreakBefore w:val="0"/>
                    <w:widowControl w:val="0"/>
                    <w:numPr>
                      <w:ilvl w:val="1"/>
                      <w:numId w:val="0"/>
                    </w:numPr>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outlineLvl w:val="1"/>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年产量</w:t>
                  </w:r>
                </w:p>
              </w:tc>
              <w:tc>
                <w:tcPr>
                  <w:tcW w:w="1130" w:type="pct"/>
                  <w:tcBorders>
                    <w:tl2br w:val="nil"/>
                    <w:tr2bl w:val="nil"/>
                  </w:tcBorders>
                  <w:noWrap w:val="0"/>
                  <w:vAlign w:val="center"/>
                </w:tcPr>
                <w:p>
                  <w:pPr>
                    <w:keepNext w:val="0"/>
                    <w:keepLines w:val="0"/>
                    <w:pageBreakBefore w:val="0"/>
                    <w:widowControl w:val="0"/>
                    <w:numPr>
                      <w:ilvl w:val="1"/>
                      <w:numId w:val="0"/>
                    </w:numPr>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outlineLvl w:val="1"/>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单位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46" w:type="pct"/>
                  <w:tcBorders>
                    <w:tl2br w:val="nil"/>
                    <w:tr2bl w:val="nil"/>
                  </w:tcBorders>
                  <w:noWrap w:val="0"/>
                  <w:vAlign w:val="center"/>
                </w:tcPr>
                <w:p>
                  <w:pPr>
                    <w:keepNext w:val="0"/>
                    <w:keepLines w:val="0"/>
                    <w:pageBreakBefore w:val="0"/>
                    <w:widowControl w:val="0"/>
                    <w:numPr>
                      <w:ilvl w:val="1"/>
                      <w:numId w:val="0"/>
                    </w:numPr>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outlineLvl w:val="1"/>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1</w:t>
                  </w:r>
                </w:p>
              </w:tc>
              <w:tc>
                <w:tcPr>
                  <w:tcW w:w="160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中空玻璃</w:t>
                  </w:r>
                </w:p>
              </w:tc>
              <w:tc>
                <w:tcPr>
                  <w:tcW w:w="141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50</w:t>
                  </w:r>
                </w:p>
              </w:tc>
              <w:tc>
                <w:tcPr>
                  <w:tcW w:w="113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万</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rPr>
                    <w:t>/a</w:t>
                  </w:r>
                </w:p>
              </w:tc>
            </w:tr>
          </w:tbl>
          <w:p>
            <w:pPr>
              <w:pStyle w:val="68"/>
              <w:keepNext w:val="0"/>
              <w:keepLines w:val="0"/>
              <w:pageBreakBefore w:val="0"/>
              <w:widowControl/>
              <w:numPr>
                <w:ilvl w:val="0"/>
                <w:numId w:val="3"/>
              </w:numPr>
              <w:kinsoku/>
              <w:wordWrap/>
              <w:overflowPunct/>
              <w:topLinePunct w:val="0"/>
              <w:autoSpaceDE/>
              <w:autoSpaceDN/>
              <w:bidi w:val="0"/>
              <w:adjustRightInd w:val="0"/>
              <w:snapToGrid w:val="0"/>
              <w:ind w:firstLine="482" w:firstLineChars="200"/>
              <w:textAlignment w:val="baseline"/>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原辅材料</w:t>
            </w:r>
            <w:r>
              <w:rPr>
                <w:rFonts w:hint="default" w:ascii="Times New Roman" w:hAnsi="Times New Roman" w:eastAsia="宋体" w:cs="Times New Roman"/>
                <w:b/>
                <w:bCs/>
                <w:color w:val="auto"/>
                <w:sz w:val="24"/>
                <w:szCs w:val="24"/>
                <w:lang w:val="en-US" w:eastAsia="zh-CN"/>
              </w:rPr>
              <w:t>及能源</w:t>
            </w:r>
            <w:r>
              <w:rPr>
                <w:rFonts w:hint="default" w:ascii="Times New Roman" w:hAnsi="Times New Roman" w:eastAsia="宋体" w:cs="Times New Roman"/>
                <w:b/>
                <w:bCs/>
                <w:color w:val="auto"/>
                <w:sz w:val="24"/>
                <w:szCs w:val="24"/>
              </w:rPr>
              <w:t>消耗</w:t>
            </w:r>
          </w:p>
          <w:p>
            <w:pPr>
              <w:keepNext w:val="0"/>
              <w:keepLines w:val="0"/>
              <w:pageBreakBefore w:val="0"/>
              <w:kinsoku/>
              <w:wordWrap/>
              <w:overflowPunct/>
              <w:topLinePunct w:val="0"/>
              <w:autoSpaceDE/>
              <w:autoSpaceDN/>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rPr>
              <w:t>使用的原辅材料</w:t>
            </w:r>
            <w:r>
              <w:rPr>
                <w:rFonts w:hint="default" w:ascii="Times New Roman" w:hAnsi="Times New Roman" w:eastAsia="宋体" w:cs="Times New Roman"/>
                <w:color w:val="auto"/>
                <w:sz w:val="24"/>
                <w:szCs w:val="24"/>
                <w:lang w:val="en-US" w:eastAsia="zh-CN"/>
              </w:rPr>
              <w:t>及能源消耗</w:t>
            </w:r>
            <w:r>
              <w:rPr>
                <w:rFonts w:hint="default" w:ascii="Times New Roman" w:hAnsi="Times New Roman" w:eastAsia="宋体" w:cs="Times New Roman"/>
                <w:color w:val="auto"/>
                <w:sz w:val="24"/>
                <w:szCs w:val="24"/>
              </w:rPr>
              <w:t>见</w:t>
            </w:r>
            <w:r>
              <w:rPr>
                <w:rFonts w:hint="eastAsia" w:ascii="Times New Roman" w:hAnsi="Times New Roman" w:eastAsia="宋体" w:cs="Times New Roman"/>
                <w:color w:val="auto"/>
                <w:sz w:val="24"/>
                <w:szCs w:val="24"/>
                <w:lang w:val="en-US" w:eastAsia="zh-CN"/>
              </w:rPr>
              <w:t>下</w:t>
            </w: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rPr>
              <w:t>表2-</w:t>
            </w:r>
            <w:r>
              <w:rPr>
                <w:rFonts w:hint="default" w:ascii="Times New Roman" w:hAnsi="Times New Roman" w:eastAsia="宋体" w:cs="Times New Roman"/>
                <w:b/>
                <w:bCs w:val="0"/>
                <w:color w:val="auto"/>
                <w:sz w:val="24"/>
                <w:szCs w:val="24"/>
                <w:lang w:val="en-US" w:eastAsia="zh-CN"/>
              </w:rPr>
              <w:t>4</w:t>
            </w:r>
            <w:r>
              <w:rPr>
                <w:rFonts w:hint="default" w:ascii="Times New Roman" w:hAnsi="Times New Roman" w:eastAsia="宋体" w:cs="Times New Roman"/>
                <w:b/>
                <w:bCs w:val="0"/>
                <w:color w:val="auto"/>
                <w:sz w:val="24"/>
                <w:szCs w:val="24"/>
              </w:rPr>
              <w:t xml:space="preserve">  项目原辅材料消耗一览表</w:t>
            </w:r>
          </w:p>
          <w:tbl>
            <w:tblPr>
              <w:tblStyle w:val="34"/>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42"/>
              <w:gridCol w:w="1137"/>
              <w:gridCol w:w="1183"/>
              <w:gridCol w:w="937"/>
              <w:gridCol w:w="969"/>
              <w:gridCol w:w="1776"/>
              <w:gridCol w:w="135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40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序号</w:t>
                  </w:r>
                </w:p>
              </w:tc>
              <w:tc>
                <w:tcPr>
                  <w:tcW w:w="71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名称</w:t>
                  </w:r>
                </w:p>
              </w:tc>
              <w:tc>
                <w:tcPr>
                  <w:tcW w:w="73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en-US" w:eastAsia="zh-CN"/>
                    </w:rPr>
                    <w:t>年消耗</w:t>
                  </w:r>
                  <w:r>
                    <w:rPr>
                      <w:rFonts w:hint="default" w:ascii="Times New Roman" w:hAnsi="Times New Roman" w:eastAsia="宋体" w:cs="Times New Roman"/>
                      <w:b/>
                      <w:bCs/>
                      <w:color w:val="auto"/>
                      <w:kern w:val="0"/>
                      <w:sz w:val="21"/>
                      <w:szCs w:val="21"/>
                    </w:rPr>
                    <w:t>量</w:t>
                  </w:r>
                </w:p>
              </w:tc>
              <w:tc>
                <w:tcPr>
                  <w:tcW w:w="58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单位</w:t>
                  </w:r>
                </w:p>
              </w:tc>
              <w:tc>
                <w:tcPr>
                  <w:tcW w:w="6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形状</w:t>
                  </w:r>
                </w:p>
              </w:tc>
              <w:tc>
                <w:tcPr>
                  <w:tcW w:w="110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来源及规格</w:t>
                  </w:r>
                </w:p>
              </w:tc>
              <w:tc>
                <w:tcPr>
                  <w:tcW w:w="84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最大存储量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40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p>
              </w:tc>
              <w:tc>
                <w:tcPr>
                  <w:tcW w:w="7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玻璃原片</w:t>
                  </w:r>
                </w:p>
              </w:tc>
              <w:tc>
                <w:tcPr>
                  <w:tcW w:w="73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75万</w:t>
                  </w:r>
                </w:p>
              </w:tc>
              <w:tc>
                <w:tcPr>
                  <w:tcW w:w="58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rPr>
                    <w:t>/a</w:t>
                  </w:r>
                </w:p>
              </w:tc>
              <w:tc>
                <w:tcPr>
                  <w:tcW w:w="6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片状</w:t>
                  </w:r>
                </w:p>
              </w:tc>
              <w:tc>
                <w:tcPr>
                  <w:tcW w:w="110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外购，240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rPr>
                    <w:t>/包</w:t>
                  </w:r>
                </w:p>
              </w:tc>
              <w:tc>
                <w:tcPr>
                  <w:tcW w:w="84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3万</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40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w:t>
                  </w:r>
                </w:p>
              </w:tc>
              <w:tc>
                <w:tcPr>
                  <w:tcW w:w="7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铝条</w:t>
                  </w:r>
                </w:p>
              </w:tc>
              <w:tc>
                <w:tcPr>
                  <w:tcW w:w="73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4.5</w:t>
                  </w:r>
                </w:p>
              </w:tc>
              <w:tc>
                <w:tcPr>
                  <w:tcW w:w="58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rPr>
                    <w:t>/a</w:t>
                  </w:r>
                </w:p>
              </w:tc>
              <w:tc>
                <w:tcPr>
                  <w:tcW w:w="6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条状</w:t>
                  </w:r>
                </w:p>
              </w:tc>
              <w:tc>
                <w:tcPr>
                  <w:tcW w:w="110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 xml:space="preserve">外购  </w:t>
                  </w:r>
                </w:p>
              </w:tc>
              <w:tc>
                <w:tcPr>
                  <w:tcW w:w="84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0.3t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40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w:t>
                  </w:r>
                </w:p>
              </w:tc>
              <w:tc>
                <w:tcPr>
                  <w:tcW w:w="7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丁基胶</w:t>
                  </w:r>
                </w:p>
              </w:tc>
              <w:tc>
                <w:tcPr>
                  <w:tcW w:w="73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1.2</w:t>
                  </w:r>
                </w:p>
              </w:tc>
              <w:tc>
                <w:tcPr>
                  <w:tcW w:w="58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rPr>
                    <w:t>/a</w:t>
                  </w:r>
                </w:p>
              </w:tc>
              <w:tc>
                <w:tcPr>
                  <w:tcW w:w="6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液</w:t>
                  </w:r>
                  <w:r>
                    <w:rPr>
                      <w:rFonts w:hint="default" w:ascii="Times New Roman" w:hAnsi="Times New Roman" w:eastAsia="宋体" w:cs="Times New Roman"/>
                      <w:color w:val="auto"/>
                      <w:sz w:val="21"/>
                      <w:szCs w:val="21"/>
                      <w:lang w:val="en-US" w:eastAsia="zh-CN"/>
                    </w:rPr>
                    <w:t>态</w:t>
                  </w:r>
                </w:p>
              </w:tc>
              <w:tc>
                <w:tcPr>
                  <w:tcW w:w="110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外购，  7kg/桶</w:t>
                  </w:r>
                </w:p>
              </w:tc>
              <w:tc>
                <w:tcPr>
                  <w:tcW w:w="84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0.12t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40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4</w:t>
                  </w:r>
                </w:p>
              </w:tc>
              <w:tc>
                <w:tcPr>
                  <w:tcW w:w="7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硅酮胶</w:t>
                  </w:r>
                </w:p>
              </w:tc>
              <w:tc>
                <w:tcPr>
                  <w:tcW w:w="73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21.6</w:t>
                  </w:r>
                </w:p>
              </w:tc>
              <w:tc>
                <w:tcPr>
                  <w:tcW w:w="58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rPr>
                    <w:t>/a</w:t>
                  </w:r>
                </w:p>
              </w:tc>
              <w:tc>
                <w:tcPr>
                  <w:tcW w:w="6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液</w:t>
                  </w:r>
                  <w:r>
                    <w:rPr>
                      <w:rFonts w:hint="default" w:ascii="Times New Roman" w:hAnsi="Times New Roman" w:eastAsia="宋体" w:cs="Times New Roman"/>
                      <w:color w:val="auto"/>
                      <w:sz w:val="21"/>
                      <w:szCs w:val="21"/>
                      <w:lang w:val="en-US" w:eastAsia="zh-CN"/>
                    </w:rPr>
                    <w:t>态</w:t>
                  </w:r>
                </w:p>
              </w:tc>
              <w:tc>
                <w:tcPr>
                  <w:tcW w:w="110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外购，120 kg/桶</w:t>
                  </w:r>
                </w:p>
              </w:tc>
              <w:tc>
                <w:tcPr>
                  <w:tcW w:w="84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2.16t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40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w:t>
                  </w:r>
                </w:p>
              </w:tc>
              <w:tc>
                <w:tcPr>
                  <w:tcW w:w="7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分子筛</w:t>
                  </w:r>
                </w:p>
              </w:tc>
              <w:tc>
                <w:tcPr>
                  <w:tcW w:w="73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5.6</w:t>
                  </w:r>
                </w:p>
              </w:tc>
              <w:tc>
                <w:tcPr>
                  <w:tcW w:w="58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rPr>
                    <w:t>/a</w:t>
                  </w:r>
                </w:p>
              </w:tc>
              <w:tc>
                <w:tcPr>
                  <w:tcW w:w="6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颗粒状</w:t>
                  </w:r>
                </w:p>
              </w:tc>
              <w:tc>
                <w:tcPr>
                  <w:tcW w:w="110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外购，  25kg/桶</w:t>
                  </w:r>
                </w:p>
              </w:tc>
              <w:tc>
                <w:tcPr>
                  <w:tcW w:w="84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0.56t</w:t>
                  </w:r>
                </w:p>
              </w:tc>
            </w:tr>
          </w:tbl>
          <w:p>
            <w:pPr>
              <w:pStyle w:val="133"/>
              <w:keepNext w:val="0"/>
              <w:keepLines w:val="0"/>
              <w:pageBreakBefore w:val="0"/>
              <w:kinsoku/>
              <w:wordWrap/>
              <w:overflowPunct/>
              <w:autoSpaceDE w:val="0"/>
              <w:autoSpaceDN w:val="0"/>
              <w:bidi w:val="0"/>
              <w:spacing w:before="0" w:beforeLines="0" w:after="0" w:afterLines="0" w:line="360" w:lineRule="auto"/>
              <w:ind w:firstLine="0" w:firstLineChars="0"/>
              <w:rPr>
                <w:rFonts w:hint="default" w:ascii="Times New Roman" w:hAnsi="Times New Roman" w:eastAsia="宋体" w:cs="Times New Roman"/>
                <w:b/>
                <w:bCs w:val="0"/>
                <w:color w:val="auto"/>
                <w:sz w:val="24"/>
                <w:szCs w:val="24"/>
                <w:highlight w:val="none"/>
                <w:lang w:eastAsia="zh-CN"/>
              </w:rPr>
            </w:pPr>
            <w:r>
              <w:rPr>
                <w:rFonts w:hint="default" w:ascii="Times New Roman" w:hAnsi="Times New Roman" w:eastAsia="宋体" w:cs="Times New Roman"/>
                <w:b/>
                <w:bCs w:val="0"/>
                <w:color w:val="auto"/>
                <w:sz w:val="24"/>
                <w:szCs w:val="24"/>
                <w:highlight w:val="none"/>
              </w:rPr>
              <w:t>表2-</w:t>
            </w:r>
            <w:r>
              <w:rPr>
                <w:rFonts w:hint="default" w:ascii="Times New Roman" w:hAnsi="Times New Roman" w:eastAsia="宋体" w:cs="Times New Roman"/>
                <w:b/>
                <w:bCs w:val="0"/>
                <w:color w:val="auto"/>
                <w:sz w:val="24"/>
                <w:szCs w:val="24"/>
                <w:highlight w:val="none"/>
                <w:lang w:val="en-US" w:eastAsia="zh-CN"/>
              </w:rPr>
              <w:t xml:space="preserve">5  </w:t>
            </w:r>
            <w:r>
              <w:rPr>
                <w:rFonts w:hint="default" w:ascii="Times New Roman" w:hAnsi="Times New Roman" w:eastAsia="宋体" w:cs="Times New Roman"/>
                <w:b/>
                <w:bCs w:val="0"/>
                <w:color w:val="auto"/>
                <w:sz w:val="24"/>
                <w:szCs w:val="24"/>
                <w:highlight w:val="none"/>
              </w:rPr>
              <w:t>原辅材料理化性质</w:t>
            </w:r>
          </w:p>
          <w:tbl>
            <w:tblPr>
              <w:tblStyle w:val="34"/>
              <w:tblW w:w="4995"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25"/>
              <w:gridCol w:w="908"/>
              <w:gridCol w:w="636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453" w:type="pct"/>
                  <w:tcBorders>
                    <w:tl2br w:val="nil"/>
                    <w:tr2bl w:val="nil"/>
                  </w:tcBorders>
                  <w:noWrap w:val="0"/>
                  <w:vAlign w:val="center"/>
                </w:tcPr>
                <w:p>
                  <w:pPr>
                    <w:pStyle w:val="128"/>
                    <w:keepNext w:val="0"/>
                    <w:keepLines w:val="0"/>
                    <w:pageBreakBefore w:val="0"/>
                    <w:widowControl w:val="0"/>
                    <w:kinsoku/>
                    <w:wordWrap/>
                    <w:overflowPunct/>
                    <w:topLinePunct w:val="0"/>
                    <w:autoSpaceDE/>
                    <w:autoSpaceDN/>
                    <w:bidi w:val="0"/>
                    <w:adjustRightInd/>
                    <w:snapToGrid/>
                    <w:spacing w:before="48" w:after="48"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568" w:type="pct"/>
                  <w:tcBorders>
                    <w:tl2br w:val="nil"/>
                    <w:tr2bl w:val="nil"/>
                  </w:tcBorders>
                  <w:noWrap w:val="0"/>
                  <w:vAlign w:val="center"/>
                </w:tcPr>
                <w:p>
                  <w:pPr>
                    <w:pStyle w:val="128"/>
                    <w:keepNext w:val="0"/>
                    <w:keepLines w:val="0"/>
                    <w:pageBreakBefore w:val="0"/>
                    <w:widowControl w:val="0"/>
                    <w:kinsoku/>
                    <w:wordWrap/>
                    <w:overflowPunct/>
                    <w:topLinePunct w:val="0"/>
                    <w:autoSpaceDE/>
                    <w:autoSpaceDN/>
                    <w:bidi w:val="0"/>
                    <w:adjustRightInd/>
                    <w:snapToGrid/>
                    <w:spacing w:before="48" w:after="48"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物质名称</w:t>
                  </w:r>
                </w:p>
              </w:tc>
              <w:tc>
                <w:tcPr>
                  <w:tcW w:w="3977" w:type="pct"/>
                  <w:tcBorders>
                    <w:tl2br w:val="nil"/>
                    <w:tr2bl w:val="nil"/>
                  </w:tcBorders>
                  <w:noWrap w:val="0"/>
                  <w:vAlign w:val="center"/>
                </w:tcPr>
                <w:p>
                  <w:pPr>
                    <w:pStyle w:val="128"/>
                    <w:keepNext w:val="0"/>
                    <w:keepLines w:val="0"/>
                    <w:pageBreakBefore w:val="0"/>
                    <w:widowControl w:val="0"/>
                    <w:kinsoku/>
                    <w:wordWrap/>
                    <w:overflowPunct/>
                    <w:topLinePunct w:val="0"/>
                    <w:autoSpaceDE/>
                    <w:autoSpaceDN/>
                    <w:bidi w:val="0"/>
                    <w:adjustRightInd/>
                    <w:snapToGrid/>
                    <w:spacing w:before="48" w:after="48"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理化性质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453" w:type="pct"/>
                  <w:tcBorders>
                    <w:tl2br w:val="nil"/>
                    <w:tr2bl w:val="nil"/>
                  </w:tcBorders>
                  <w:noWrap w:val="0"/>
                  <w:vAlign w:val="center"/>
                </w:tcPr>
                <w:p>
                  <w:pPr>
                    <w:pStyle w:val="128"/>
                    <w:keepNext w:val="0"/>
                    <w:keepLines w:val="0"/>
                    <w:pageBreakBefore w:val="0"/>
                    <w:widowControl w:val="0"/>
                    <w:kinsoku/>
                    <w:wordWrap/>
                    <w:overflowPunct/>
                    <w:topLinePunct w:val="0"/>
                    <w:autoSpaceDE/>
                    <w:autoSpaceDN/>
                    <w:bidi w:val="0"/>
                    <w:adjustRightInd/>
                    <w:snapToGrid/>
                    <w:spacing w:before="48" w:after="48"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568" w:type="pct"/>
                  <w:tcBorders>
                    <w:tl2br w:val="nil"/>
                    <w:tr2bl w:val="nil"/>
                  </w:tcBorders>
                  <w:noWrap w:val="0"/>
                  <w:vAlign w:val="center"/>
                </w:tcPr>
                <w:p>
                  <w:pPr>
                    <w:pStyle w:val="128"/>
                    <w:keepNext w:val="0"/>
                    <w:keepLines w:val="0"/>
                    <w:pageBreakBefore w:val="0"/>
                    <w:widowControl w:val="0"/>
                    <w:kinsoku/>
                    <w:wordWrap/>
                    <w:overflowPunct/>
                    <w:topLinePunct w:val="0"/>
                    <w:autoSpaceDE/>
                    <w:autoSpaceDN/>
                    <w:bidi w:val="0"/>
                    <w:adjustRightInd/>
                    <w:snapToGrid/>
                    <w:spacing w:before="48" w:after="48"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丁基胶</w:t>
                  </w:r>
                </w:p>
              </w:tc>
              <w:tc>
                <w:tcPr>
                  <w:tcW w:w="39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lang w:val="en-US" w:eastAsia="zh-CN" w:bidi="ar"/>
                    </w:rPr>
                    <w:t xml:space="preserve">主要成分为聚异丁烯和丁基橡胶。聚异丁烯热稳定性好，可在 140-200℃下加工，分子量基本不变。丁基橡胶外观为白色或淡黄色晶体，无臭无味。具有优良的气密性和良好的耐热、耐老化、耐酸碱、耐臭氧、耐溶剂、电绝缘、减震及低吸水等性能。项目所用丁基胶为热熔型胶粘剂。颜色为黑色，比重约为 1.139g/cm3。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453" w:type="pct"/>
                  <w:tcBorders>
                    <w:tl2br w:val="nil"/>
                    <w:tr2bl w:val="nil"/>
                  </w:tcBorders>
                  <w:noWrap w:val="0"/>
                  <w:vAlign w:val="center"/>
                </w:tcPr>
                <w:p>
                  <w:pPr>
                    <w:pStyle w:val="128"/>
                    <w:keepNext w:val="0"/>
                    <w:keepLines w:val="0"/>
                    <w:pageBreakBefore w:val="0"/>
                    <w:widowControl w:val="0"/>
                    <w:kinsoku/>
                    <w:wordWrap/>
                    <w:overflowPunct/>
                    <w:topLinePunct w:val="0"/>
                    <w:autoSpaceDE/>
                    <w:autoSpaceDN/>
                    <w:bidi w:val="0"/>
                    <w:adjustRightInd/>
                    <w:snapToGrid/>
                    <w:spacing w:before="48" w:after="48"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56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硅酮胶</w:t>
                  </w:r>
                </w:p>
              </w:tc>
              <w:tc>
                <w:tcPr>
                  <w:tcW w:w="39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highlight w:val="green"/>
                    </w:rPr>
                  </w:pPr>
                  <w:r>
                    <w:rPr>
                      <w:rFonts w:hint="default" w:ascii="Times New Roman" w:hAnsi="Times New Roman" w:eastAsia="宋体" w:cs="Times New Roman"/>
                      <w:color w:val="auto"/>
                      <w:kern w:val="0"/>
                      <w:sz w:val="21"/>
                      <w:szCs w:val="21"/>
                      <w:lang w:val="en-US" w:eastAsia="zh-CN" w:bidi="ar"/>
                    </w:rPr>
                    <w:t>硅酮胶主要是以室温硫化硅橡胶107和甲基硅油201材料为主剂，以金属氧化物为硫化剂的室温硫化的双组份密封胶。双组份则是指硅酮胶分成 A、B两组，任何一组单独存在都不能形成固化，但两组胶浆一旦混合就产生固化，A组为硅酮胶（白色），B组为固化剂（黑色），A、B组份按体积比12:1混合使用，混合后为黑色，A 组份主要成分为聚硅烷、硅油、纳米碳酸钙，B 组份为炭黑、交联剂、防水剂、催化剂等。硅酮胶因为常被用于玻璃方面的粘接和密封，所以俗称玻璃胶。硅酮玻璃胶的粘接力强，拉伸强度大，同时又具有耐候性、抗振性，和防潮、抗臭气和适应冷热变化大的特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453" w:type="pct"/>
                  <w:tcBorders>
                    <w:tl2br w:val="nil"/>
                    <w:tr2bl w:val="nil"/>
                  </w:tcBorders>
                  <w:noWrap w:val="0"/>
                  <w:vAlign w:val="center"/>
                </w:tcPr>
                <w:p>
                  <w:pPr>
                    <w:pStyle w:val="128"/>
                    <w:keepNext w:val="0"/>
                    <w:keepLines w:val="0"/>
                    <w:pageBreakBefore w:val="0"/>
                    <w:widowControl w:val="0"/>
                    <w:kinsoku/>
                    <w:wordWrap/>
                    <w:overflowPunct/>
                    <w:topLinePunct w:val="0"/>
                    <w:autoSpaceDE/>
                    <w:autoSpaceDN/>
                    <w:bidi w:val="0"/>
                    <w:adjustRightInd/>
                    <w:snapToGrid/>
                    <w:spacing w:before="48" w:after="48"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56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分子筛干燥剂</w:t>
                  </w:r>
                </w:p>
              </w:tc>
              <w:tc>
                <w:tcPr>
                  <w:tcW w:w="39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化学式：2/3K</w:t>
                  </w:r>
                  <w:r>
                    <w:rPr>
                      <w:rFonts w:hint="default" w:ascii="Times New Roman" w:hAnsi="Times New Roman" w:eastAsia="宋体" w:cs="Times New Roman"/>
                      <w:color w:val="auto"/>
                      <w:kern w:val="0"/>
                      <w:sz w:val="21"/>
                      <w:szCs w:val="21"/>
                      <w:vertAlign w:val="subscript"/>
                      <w:lang w:val="en-US" w:eastAsia="zh-CN" w:bidi="ar"/>
                    </w:rPr>
                    <w:t>2</w:t>
                  </w:r>
                  <w:r>
                    <w:rPr>
                      <w:rFonts w:hint="default" w:ascii="Times New Roman" w:hAnsi="Times New Roman" w:eastAsia="宋体" w:cs="Times New Roman"/>
                      <w:color w:val="auto"/>
                      <w:kern w:val="0"/>
                      <w:sz w:val="21"/>
                      <w:szCs w:val="21"/>
                      <w:lang w:val="en-US" w:eastAsia="zh-CN" w:bidi="ar"/>
                    </w:rPr>
                    <w:t>O-1/3Na</w:t>
                  </w:r>
                  <w:r>
                    <w:rPr>
                      <w:rFonts w:hint="default" w:ascii="Times New Roman" w:hAnsi="Times New Roman" w:eastAsia="宋体" w:cs="Times New Roman"/>
                      <w:color w:val="auto"/>
                      <w:kern w:val="0"/>
                      <w:sz w:val="21"/>
                      <w:szCs w:val="21"/>
                      <w:vertAlign w:val="subscript"/>
                      <w:lang w:val="en-US" w:eastAsia="zh-CN" w:bidi="ar"/>
                    </w:rPr>
                    <w:t>2</w:t>
                  </w:r>
                  <w:r>
                    <w:rPr>
                      <w:rFonts w:hint="default" w:ascii="Times New Roman" w:hAnsi="Times New Roman" w:eastAsia="宋体" w:cs="Times New Roman"/>
                      <w:color w:val="auto"/>
                      <w:kern w:val="0"/>
                      <w:sz w:val="21"/>
                      <w:szCs w:val="21"/>
                      <w:lang w:val="en-US" w:eastAsia="zh-CN" w:bidi="ar"/>
                    </w:rPr>
                    <w:t>O</w:t>
                  </w:r>
                  <w:r>
                    <w:rPr>
                      <w:rFonts w:hint="default" w:ascii="Times New Roman" w:hAnsi="Times New Roman" w:eastAsia="宋体" w:cs="Times New Roman"/>
                      <w:color w:val="auto"/>
                      <w:kern w:val="0"/>
                      <w:sz w:val="21"/>
                      <w:szCs w:val="21"/>
                      <w:vertAlign w:val="subscript"/>
                      <w:lang w:val="en-US" w:eastAsia="zh-CN" w:bidi="ar"/>
                    </w:rPr>
                    <w:t>2</w:t>
                  </w:r>
                  <w:r>
                    <w:rPr>
                      <w:rFonts w:hint="default" w:ascii="Times New Roman" w:hAnsi="Times New Roman" w:eastAsia="宋体" w:cs="Times New Roman"/>
                      <w:color w:val="auto"/>
                      <w:kern w:val="0"/>
                      <w:sz w:val="21"/>
                      <w:szCs w:val="21"/>
                      <w:lang w:val="en-US" w:eastAsia="zh-CN" w:bidi="ar"/>
                    </w:rPr>
                    <w:t>-AI</w:t>
                  </w:r>
                  <w:r>
                    <w:rPr>
                      <w:rFonts w:hint="default" w:ascii="Times New Roman" w:hAnsi="Times New Roman" w:eastAsia="宋体" w:cs="Times New Roman"/>
                      <w:color w:val="auto"/>
                      <w:kern w:val="0"/>
                      <w:sz w:val="21"/>
                      <w:szCs w:val="21"/>
                      <w:vertAlign w:val="subscript"/>
                      <w:lang w:val="en-US" w:eastAsia="zh-CN" w:bidi="ar"/>
                    </w:rPr>
                    <w:t>2</w:t>
                  </w:r>
                  <w:r>
                    <w:rPr>
                      <w:rFonts w:hint="default" w:ascii="Times New Roman" w:hAnsi="Times New Roman" w:eastAsia="宋体" w:cs="Times New Roman"/>
                      <w:color w:val="auto"/>
                      <w:kern w:val="0"/>
                      <w:sz w:val="21"/>
                      <w:szCs w:val="21"/>
                      <w:lang w:val="en-US" w:eastAsia="zh-CN" w:bidi="ar"/>
                    </w:rPr>
                    <w:t>O</w:t>
                  </w:r>
                  <w:r>
                    <w:rPr>
                      <w:rFonts w:hint="default" w:ascii="Times New Roman" w:hAnsi="Times New Roman" w:eastAsia="宋体" w:cs="Times New Roman"/>
                      <w:color w:val="auto"/>
                      <w:kern w:val="0"/>
                      <w:sz w:val="21"/>
                      <w:szCs w:val="21"/>
                      <w:vertAlign w:val="subscript"/>
                      <w:lang w:val="en-US" w:eastAsia="zh-CN" w:bidi="ar"/>
                    </w:rPr>
                    <w:t>2</w:t>
                  </w:r>
                  <w:r>
                    <w:rPr>
                      <w:rFonts w:hint="default" w:ascii="Times New Roman" w:hAnsi="Times New Roman" w:eastAsia="宋体" w:cs="Times New Roman"/>
                      <w:color w:val="auto"/>
                      <w:kern w:val="0"/>
                      <w:sz w:val="21"/>
                      <w:szCs w:val="21"/>
                      <w:lang w:val="en-US" w:eastAsia="zh-CN" w:bidi="ar"/>
                    </w:rPr>
                    <w:t>.-2SiO</w:t>
                  </w:r>
                  <w:r>
                    <w:rPr>
                      <w:rFonts w:hint="default" w:ascii="Times New Roman" w:hAnsi="Times New Roman" w:eastAsia="宋体" w:cs="Times New Roman"/>
                      <w:color w:val="auto"/>
                      <w:kern w:val="0"/>
                      <w:sz w:val="21"/>
                      <w:szCs w:val="21"/>
                      <w:vertAlign w:val="subscript"/>
                      <w:lang w:val="en-US" w:eastAsia="zh-CN" w:bidi="ar"/>
                    </w:rPr>
                    <w:t>2</w:t>
                  </w:r>
                  <w:r>
                    <w:rPr>
                      <w:rFonts w:hint="default" w:ascii="Times New Roman" w:hAnsi="Times New Roman" w:eastAsia="宋体" w:cs="Times New Roman"/>
                      <w:color w:val="auto"/>
                      <w:kern w:val="0"/>
                      <w:sz w:val="21"/>
                      <w:szCs w:val="21"/>
                      <w:lang w:val="en-US" w:eastAsia="zh-CN" w:bidi="ar"/>
                    </w:rPr>
                    <w:t>-9/2H</w:t>
                  </w:r>
                  <w:r>
                    <w:rPr>
                      <w:rFonts w:hint="default" w:ascii="Times New Roman" w:hAnsi="Times New Roman" w:eastAsia="宋体" w:cs="Times New Roman"/>
                      <w:color w:val="auto"/>
                      <w:kern w:val="0"/>
                      <w:sz w:val="21"/>
                      <w:szCs w:val="21"/>
                      <w:vertAlign w:val="subscript"/>
                      <w:lang w:val="en-US" w:eastAsia="zh-CN" w:bidi="ar"/>
                    </w:rPr>
                    <w:t>2</w:t>
                  </w:r>
                  <w:r>
                    <w:rPr>
                      <w:rFonts w:hint="default" w:ascii="Times New Roman" w:hAnsi="Times New Roman" w:eastAsia="宋体" w:cs="Times New Roman"/>
                      <w:color w:val="auto"/>
                      <w:kern w:val="0"/>
                      <w:sz w:val="21"/>
                      <w:szCs w:val="21"/>
                      <w:lang w:val="en-US" w:eastAsia="zh-CN" w:bidi="ar"/>
                    </w:rPr>
                    <w:t xml:space="preserve">O。无毒，不挥发。本项目使用3A和13X型的混合分子筛干燥剂，主要作用是：一是吸附包括中空玻璃合片时密封在空气层内的湿气以及在中空玻璃整个寿命期内进入空气层的湿气；二是由于13X型分子筛干燥剂比表面大，可以通过物理吸附吸附密封在中空玻璃内的有机溶剂，这些有机溶剂是生产中空玻璃时由密封胶、油漆或机械油所带来的。 </w:t>
                  </w:r>
                </w:p>
              </w:tc>
            </w:tr>
          </w:tbl>
          <w:p>
            <w:pPr>
              <w:pStyle w:val="68"/>
              <w:keepNext w:val="0"/>
              <w:keepLines w:val="0"/>
              <w:pageBreakBefore w:val="0"/>
              <w:widowControl/>
              <w:kinsoku/>
              <w:wordWrap/>
              <w:overflowPunct/>
              <w:topLinePunct w:val="0"/>
              <w:autoSpaceDE/>
              <w:autoSpaceDN/>
              <w:bidi w:val="0"/>
              <w:adjustRightInd w:val="0"/>
              <w:snapToGrid w:val="0"/>
              <w:ind w:firstLine="482" w:firstLineChars="200"/>
              <w:textAlignment w:val="baseline"/>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6</w:t>
            </w:r>
            <w:r>
              <w:rPr>
                <w:rFonts w:hint="default" w:ascii="Times New Roman" w:hAnsi="Times New Roman" w:eastAsia="宋体" w:cs="Times New Roman"/>
                <w:b/>
                <w:bCs/>
                <w:color w:val="auto"/>
                <w:sz w:val="24"/>
                <w:szCs w:val="24"/>
              </w:rPr>
              <w:t>、主要设备</w:t>
            </w:r>
          </w:p>
          <w:p>
            <w:pPr>
              <w:keepNext w:val="0"/>
              <w:keepLines w:val="0"/>
              <w:pageBreakBefore w:val="0"/>
              <w:kinsoku/>
              <w:wordWrap/>
              <w:overflowPunct/>
              <w:topLinePunct w:val="0"/>
              <w:autoSpaceDE/>
              <w:autoSpaceDN/>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根据建设单位提供资料，</w:t>
            </w:r>
            <w:r>
              <w:rPr>
                <w:rFonts w:hint="default" w:ascii="Times New Roman" w:hAnsi="Times New Roman" w:eastAsia="宋体" w:cs="Times New Roman"/>
                <w:color w:val="auto"/>
                <w:sz w:val="24"/>
                <w:szCs w:val="24"/>
                <w:lang w:val="en-US" w:eastAsia="zh-CN"/>
              </w:rPr>
              <w:t>本项目</w:t>
            </w:r>
            <w:r>
              <w:rPr>
                <w:rFonts w:hint="default" w:ascii="Times New Roman" w:hAnsi="Times New Roman" w:eastAsia="宋体" w:cs="Times New Roman"/>
                <w:color w:val="auto"/>
                <w:sz w:val="24"/>
                <w:szCs w:val="24"/>
              </w:rPr>
              <w:t>主要设备见</w:t>
            </w:r>
            <w:r>
              <w:rPr>
                <w:rFonts w:hint="eastAsia" w:ascii="Times New Roman" w:hAnsi="Times New Roman" w:eastAsia="宋体" w:cs="Times New Roman"/>
                <w:color w:val="auto"/>
                <w:sz w:val="24"/>
                <w:szCs w:val="24"/>
                <w:lang w:val="en-US" w:eastAsia="zh-CN"/>
              </w:rPr>
              <w:t>下</w:t>
            </w: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rPr>
              <w:t>。</w:t>
            </w:r>
          </w:p>
          <w:p>
            <w:pPr>
              <w:pStyle w:val="53"/>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auto"/>
                <w:sz w:val="24"/>
                <w:szCs w:val="24"/>
                <w:lang w:bidi="ar"/>
              </w:rPr>
            </w:pPr>
            <w:r>
              <w:rPr>
                <w:rFonts w:hint="default" w:ascii="Times New Roman" w:hAnsi="Times New Roman" w:eastAsia="宋体" w:cs="Times New Roman"/>
                <w:b/>
                <w:bCs w:val="0"/>
                <w:color w:val="auto"/>
                <w:sz w:val="24"/>
                <w:szCs w:val="24"/>
                <w:lang w:bidi="ar"/>
              </w:rPr>
              <w:t>表</w:t>
            </w:r>
            <w:r>
              <w:rPr>
                <w:rFonts w:hint="default" w:ascii="Times New Roman" w:hAnsi="Times New Roman" w:eastAsia="宋体" w:cs="Times New Roman"/>
                <w:b/>
                <w:bCs w:val="0"/>
                <w:color w:val="auto"/>
                <w:sz w:val="24"/>
                <w:szCs w:val="24"/>
                <w:lang w:val="en-US" w:eastAsia="zh-CN" w:bidi="ar"/>
              </w:rPr>
              <w:t xml:space="preserve">2-6  </w:t>
            </w:r>
            <w:r>
              <w:rPr>
                <w:rFonts w:hint="default" w:ascii="Times New Roman" w:hAnsi="Times New Roman" w:eastAsia="宋体" w:cs="Times New Roman"/>
                <w:b/>
                <w:bCs w:val="0"/>
                <w:color w:val="auto"/>
                <w:sz w:val="24"/>
                <w:szCs w:val="24"/>
                <w:lang w:bidi="ar"/>
              </w:rPr>
              <w:t>项目主要设备一览表</w:t>
            </w:r>
          </w:p>
          <w:tbl>
            <w:tblPr>
              <w:tblStyle w:val="34"/>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15" w:type="dxa"/>
                <w:left w:w="15" w:type="dxa"/>
                <w:bottom w:w="15" w:type="dxa"/>
                <w:right w:w="15" w:type="dxa"/>
              </w:tblCellMar>
            </w:tblPr>
            <w:tblGrid>
              <w:gridCol w:w="1346"/>
              <w:gridCol w:w="2467"/>
              <w:gridCol w:w="1487"/>
              <w:gridCol w:w="1053"/>
              <w:gridCol w:w="164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841" w:type="pct"/>
                  <w:tcBorders>
                    <w:tl2br w:val="nil"/>
                    <w:tr2bl w:val="nil"/>
                  </w:tcBorders>
                  <w:vAlign w:val="center"/>
                </w:tcPr>
                <w:p>
                  <w:pPr>
                    <w:pStyle w:val="145"/>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541" w:type="pct"/>
                  <w:tcBorders>
                    <w:tl2br w:val="nil"/>
                    <w:tr2bl w:val="nil"/>
                  </w:tcBorders>
                  <w:vAlign w:val="center"/>
                </w:tcPr>
                <w:p>
                  <w:pPr>
                    <w:pStyle w:val="145"/>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929" w:type="pct"/>
                  <w:tcBorders>
                    <w:tl2br w:val="nil"/>
                    <w:tr2bl w:val="nil"/>
                  </w:tcBorders>
                  <w:vAlign w:val="center"/>
                </w:tcPr>
                <w:p>
                  <w:pPr>
                    <w:pStyle w:val="145"/>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规格型号</w:t>
                  </w:r>
                </w:p>
              </w:tc>
              <w:tc>
                <w:tcPr>
                  <w:tcW w:w="658" w:type="pct"/>
                  <w:tcBorders>
                    <w:tl2br w:val="nil"/>
                    <w:tr2bl w:val="nil"/>
                  </w:tcBorders>
                  <w:vAlign w:val="center"/>
                </w:tcPr>
                <w:p>
                  <w:pPr>
                    <w:pStyle w:val="145"/>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数量</w:t>
                  </w:r>
                </w:p>
              </w:tc>
              <w:tc>
                <w:tcPr>
                  <w:tcW w:w="1028" w:type="pct"/>
                  <w:tcBorders>
                    <w:tl2br w:val="nil"/>
                    <w:tr2bl w:val="nil"/>
                  </w:tcBorders>
                  <w:vAlign w:val="center"/>
                </w:tcPr>
                <w:p>
                  <w:pPr>
                    <w:pStyle w:val="145"/>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生产工序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841" w:type="pct"/>
                  <w:tcBorders>
                    <w:tl2br w:val="nil"/>
                    <w:tr2bl w:val="nil"/>
                  </w:tcBorders>
                  <w:vAlign w:val="center"/>
                </w:tcPr>
                <w:p>
                  <w:pPr>
                    <w:pStyle w:val="145"/>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5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自动穿梭仓</w:t>
                  </w:r>
                </w:p>
              </w:tc>
              <w:tc>
                <w:tcPr>
                  <w:tcW w:w="92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4228</w:t>
                  </w:r>
                </w:p>
              </w:tc>
              <w:tc>
                <w:tcPr>
                  <w:tcW w:w="65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1套</w:t>
                  </w:r>
                </w:p>
              </w:tc>
              <w:tc>
                <w:tcPr>
                  <w:tcW w:w="102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原片仓储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841" w:type="pct"/>
                  <w:tcBorders>
                    <w:tl2br w:val="nil"/>
                    <w:tr2bl w:val="nil"/>
                  </w:tcBorders>
                  <w:vAlign w:val="center"/>
                </w:tcPr>
                <w:p>
                  <w:pPr>
                    <w:pStyle w:val="145"/>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5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玻璃自动切磨生产线</w:t>
                  </w:r>
                </w:p>
              </w:tc>
              <w:tc>
                <w:tcPr>
                  <w:tcW w:w="92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6135</w:t>
                  </w:r>
                </w:p>
              </w:tc>
              <w:tc>
                <w:tcPr>
                  <w:tcW w:w="65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2条</w:t>
                  </w:r>
                </w:p>
              </w:tc>
              <w:tc>
                <w:tcPr>
                  <w:tcW w:w="102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切磨工序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841" w:type="pct"/>
                  <w:tcBorders>
                    <w:tl2br w:val="nil"/>
                    <w:tr2bl w:val="nil"/>
                  </w:tcBorders>
                  <w:vAlign w:val="center"/>
                </w:tcPr>
                <w:p>
                  <w:pPr>
                    <w:pStyle w:val="145"/>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5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钢化生产线</w:t>
                  </w:r>
                </w:p>
              </w:tc>
              <w:tc>
                <w:tcPr>
                  <w:tcW w:w="92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7026</w:t>
                  </w:r>
                </w:p>
              </w:tc>
              <w:tc>
                <w:tcPr>
                  <w:tcW w:w="65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1条</w:t>
                  </w:r>
                </w:p>
              </w:tc>
              <w:tc>
                <w:tcPr>
                  <w:tcW w:w="102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钢化工序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841" w:type="pct"/>
                  <w:tcBorders>
                    <w:tl2br w:val="nil"/>
                    <w:tr2bl w:val="nil"/>
                  </w:tcBorders>
                  <w:vAlign w:val="center"/>
                </w:tcPr>
                <w:p>
                  <w:pPr>
                    <w:pStyle w:val="145"/>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5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玻璃中空生产线</w:t>
                  </w:r>
                </w:p>
              </w:tc>
              <w:tc>
                <w:tcPr>
                  <w:tcW w:w="92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5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3条</w:t>
                  </w:r>
                </w:p>
              </w:tc>
              <w:tc>
                <w:tcPr>
                  <w:tcW w:w="102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合片工序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841" w:type="pct"/>
                  <w:tcBorders>
                    <w:tl2br w:val="nil"/>
                    <w:tr2bl w:val="nil"/>
                  </w:tcBorders>
                  <w:vAlign w:val="center"/>
                </w:tcPr>
                <w:p>
                  <w:pPr>
                    <w:pStyle w:val="145"/>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5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水系统</w:t>
                  </w:r>
                </w:p>
              </w:tc>
              <w:tc>
                <w:tcPr>
                  <w:tcW w:w="92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5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1套</w:t>
                  </w:r>
                </w:p>
              </w:tc>
              <w:tc>
                <w:tcPr>
                  <w:tcW w:w="102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磨片清洗</w:t>
                  </w:r>
                </w:p>
              </w:tc>
            </w:tr>
          </w:tbl>
          <w:p>
            <w:pPr>
              <w:pStyle w:val="68"/>
              <w:keepNext w:val="0"/>
              <w:keepLines w:val="0"/>
              <w:pageBreakBefore w:val="0"/>
              <w:widowControl/>
              <w:kinsoku/>
              <w:wordWrap/>
              <w:overflowPunct/>
              <w:topLinePunct w:val="0"/>
              <w:autoSpaceDE/>
              <w:autoSpaceDN/>
              <w:bidi w:val="0"/>
              <w:adjustRightInd w:val="0"/>
              <w:snapToGrid/>
              <w:spacing w:before="157" w:beforeLines="50"/>
              <w:ind w:firstLine="482" w:firstLineChars="200"/>
              <w:jc w:val="both"/>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rPr>
              <w:t>、给排水</w:t>
            </w:r>
          </w:p>
          <w:p>
            <w:pPr>
              <w:keepNext w:val="0"/>
              <w:keepLines w:val="0"/>
              <w:pageBreakBefore w:val="0"/>
              <w:kinsoku/>
              <w:wordWrap/>
              <w:overflowPunct/>
              <w:topLinePunct w:val="0"/>
              <w:autoSpaceDE/>
              <w:autoSpaceDN/>
              <w:bidi w:val="0"/>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（1）给水</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本项目供水由集贤园区市政给水管网供给。本项目供水由园区供给，水质和水量均能满足项目用水要求。本项目用水主要为生产用水和生活用水。</w:t>
            </w:r>
          </w:p>
          <w:p>
            <w:pPr>
              <w:keepNext w:val="0"/>
              <w:keepLines w:val="0"/>
              <w:pageBreakBefore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rPr>
              <w:t>①</w:t>
            </w:r>
            <w:r>
              <w:rPr>
                <w:rFonts w:hint="default" w:ascii="Times New Roman" w:hAnsi="Times New Roman" w:eastAsia="宋体" w:cs="Times New Roman"/>
                <w:color w:val="auto"/>
                <w:sz w:val="24"/>
                <w:szCs w:val="24"/>
                <w:highlight w:val="none"/>
                <w:lang w:val="en-US" w:eastAsia="zh-CN"/>
              </w:rPr>
              <w:t>生活用水</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eastAsia="zh-CN"/>
              </w:rPr>
              <w:t>劳动定员50人，提供食宿</w:t>
            </w:r>
            <w:r>
              <w:rPr>
                <w:rFonts w:hint="default" w:ascii="Times New Roman" w:hAnsi="Times New Roman" w:eastAsia="宋体" w:cs="Times New Roman"/>
                <w:color w:val="auto"/>
                <w:sz w:val="24"/>
                <w:szCs w:val="24"/>
                <w:highlight w:val="none"/>
              </w:rPr>
              <w:t>。根据陕西省《行业用水定额》（DB61/T943-20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）并结合本项目的实际情况，用水量按每人</w:t>
            </w:r>
            <w:r>
              <w:rPr>
                <w:rFonts w:hint="default" w:ascii="Times New Roman" w:hAnsi="Times New Roman" w:eastAsia="宋体" w:cs="Times New Roman"/>
                <w:color w:val="auto"/>
                <w:sz w:val="24"/>
                <w:szCs w:val="24"/>
                <w:highlight w:val="none"/>
                <w:lang w:val="en-US" w:eastAsia="zh-CN"/>
              </w:rPr>
              <w:t>120</w:t>
            </w:r>
            <w:r>
              <w:rPr>
                <w:rFonts w:hint="default" w:ascii="Times New Roman" w:hAnsi="Times New Roman" w:eastAsia="宋体" w:cs="Times New Roman"/>
                <w:color w:val="auto"/>
                <w:sz w:val="24"/>
                <w:szCs w:val="24"/>
                <w:highlight w:val="none"/>
              </w:rPr>
              <w:t>L/d计</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年工作300天，则员工</w:t>
            </w:r>
            <w:r>
              <w:rPr>
                <w:rFonts w:hint="default" w:ascii="Times New Roman" w:hAnsi="Times New Roman" w:eastAsia="宋体" w:cs="Times New Roman"/>
                <w:color w:val="auto"/>
                <w:sz w:val="24"/>
                <w:szCs w:val="24"/>
                <w:highlight w:val="none"/>
                <w:lang w:val="en-US" w:eastAsia="zh-CN"/>
              </w:rPr>
              <w:t>生活</w:t>
            </w:r>
            <w:r>
              <w:rPr>
                <w:rFonts w:hint="default" w:ascii="Times New Roman" w:hAnsi="Times New Roman" w:eastAsia="宋体" w:cs="Times New Roman"/>
                <w:color w:val="auto"/>
                <w:sz w:val="24"/>
                <w:szCs w:val="24"/>
                <w:highlight w:val="none"/>
              </w:rPr>
              <w:t>用水量为</w:t>
            </w:r>
            <w:r>
              <w:rPr>
                <w:rFonts w:hint="default" w:ascii="Times New Roman" w:hAnsi="Times New Roman" w:eastAsia="宋体" w:cs="Times New Roman"/>
                <w:color w:val="auto"/>
                <w:sz w:val="24"/>
                <w:szCs w:val="24"/>
                <w:highlight w:val="none"/>
                <w:lang w:val="en-US" w:eastAsia="zh-CN"/>
              </w:rPr>
              <w:t>6.00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val="en-US" w:eastAsia="zh-CN"/>
              </w:rPr>
              <w:t>1800.0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②生产用水</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本项目玻璃制作过程中玻璃磨边、清洗需要用水，主要去除玻璃表面灰尘，不添加任何清洗剂。根据《排放源统计调查产排污核算方法和系数手册（公告 2021 年第24 号）》中 3042“特种玻璃制造行业系数表”，中空玻璃废水量为 0.0114t/m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-产品。中空玻璃产品为50万m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 xml:space="preserve"> /a。则生产废水总量为5700m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 xml:space="preserve"> /a（19m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/d）。根据建设单位提供资料，其中清洗用水占30%，则清洗用水为1710m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 xml:space="preserve"> /a（5.70m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 xml:space="preserve"> /d）；清洗水需使用纯水，纯水制备工艺为多介质过滤+RO反渗透，为一体机设备</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纯水制备率为80%，则新鲜水用量为2137.5m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 xml:space="preserve"> /a（7.125m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 xml:space="preserve"> /d）。项目玻璃清洗水使用纯水，清洗废水及纯水制备浓水回用于磨边用水，磨边废水部分损耗，部分随渣带走，不外排。玻璃清洗用水采用纯水进行清洗，纯水制备工艺为多介质过滤+RO反渗透，为一体机设备。</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（2）排水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雨污分流制。</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生活污水主要包括职工</w:t>
            </w:r>
            <w:r>
              <w:rPr>
                <w:rFonts w:hint="eastAsia" w:cs="Times New Roman"/>
                <w:color w:val="auto"/>
                <w:sz w:val="24"/>
                <w:szCs w:val="24"/>
                <w:lang w:val="en-US" w:eastAsia="zh-CN"/>
              </w:rPr>
              <w:t>办公</w:t>
            </w:r>
            <w:r>
              <w:rPr>
                <w:rFonts w:hint="default" w:ascii="Times New Roman" w:hAnsi="Times New Roman" w:eastAsia="宋体" w:cs="Times New Roman"/>
                <w:color w:val="auto"/>
                <w:sz w:val="24"/>
                <w:szCs w:val="24"/>
                <w:lang w:val="en-US" w:eastAsia="zh-CN"/>
              </w:rPr>
              <w:t>废水及食堂废水，污水量按用水量80%计，则生活污水产生量为4.80m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/d（1440m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w:t>
            </w:r>
            <w:r>
              <w:rPr>
                <w:rFonts w:hint="eastAsia" w:cs="Times New Roman"/>
                <w:color w:val="auto"/>
                <w:sz w:val="24"/>
                <w:szCs w:val="24"/>
                <w:lang w:val="en-US" w:eastAsia="zh-CN"/>
              </w:rPr>
              <w:t>食堂废水经油水分离器处理后与其他办公废水一同经化粪池处理后通过市政管网排至集贤产业园污水处理厂处理</w:t>
            </w:r>
            <w:r>
              <w:rPr>
                <w:rFonts w:hint="default" w:ascii="Times New Roman" w:hAnsi="Times New Roman" w:eastAsia="宋体" w:cs="Times New Roman"/>
                <w:color w:val="auto"/>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本项目玻璃清洗水使用纯水，清洗废水及纯水制备浓水回用于磨边用水， 磨边废水部分损耗，部分随渣带走，不外排。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根据上述分析可知，清洗水的新鲜水用量为7.125m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/d，纯水制备率为80%，清洗用水为5.70m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/d，则纯水制备浓水排水为1.425m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w:t>
            </w:r>
            <w:r>
              <w:rPr>
                <w:rFonts w:hint="default" w:ascii="Times New Roman" w:hAnsi="Times New Roman" w:eastAsia="宋体" w:cs="Times New Roman"/>
                <w:color w:val="auto"/>
                <w:sz w:val="24"/>
                <w:szCs w:val="24"/>
                <w:lang w:val="en-US" w:eastAsia="zh-CN"/>
              </w:rPr>
              <w:t>（427.50m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w:t>
            </w:r>
            <w:r>
              <w:rPr>
                <w:rFonts w:hint="default" w:ascii="Times New Roman" w:hAnsi="Times New Roman" w:eastAsia="宋体" w:cs="Times New Roman"/>
                <w:color w:val="auto"/>
                <w:kern w:val="0"/>
                <w:sz w:val="24"/>
                <w:szCs w:val="24"/>
                <w:lang w:val="en-US" w:eastAsia="zh-CN" w:bidi="ar"/>
              </w:rPr>
              <w:t>；清洗废水产生量按新鲜水的80%计，清洗废水产生量为4.56m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w:t>
            </w:r>
            <w:r>
              <w:rPr>
                <w:rFonts w:hint="default" w:ascii="Times New Roman" w:hAnsi="Times New Roman" w:eastAsia="宋体" w:cs="Times New Roman"/>
                <w:color w:val="auto"/>
                <w:sz w:val="24"/>
                <w:szCs w:val="24"/>
                <w:lang w:val="en-US" w:eastAsia="zh-CN"/>
              </w:rPr>
              <w:t>（1368m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w:t>
            </w:r>
            <w:r>
              <w:rPr>
                <w:rFonts w:hint="default" w:ascii="Times New Roman" w:hAnsi="Times New Roman" w:eastAsia="宋体" w:cs="Times New Roman"/>
                <w:color w:val="auto"/>
                <w:kern w:val="0"/>
                <w:sz w:val="24"/>
                <w:szCs w:val="24"/>
                <w:lang w:val="en-US" w:eastAsia="zh-CN" w:bidi="ar"/>
              </w:rPr>
              <w:t>；则排入三级沉淀池用于磨边的总水量为5.985m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w:t>
            </w:r>
            <w:r>
              <w:rPr>
                <w:rFonts w:hint="default" w:ascii="Times New Roman" w:hAnsi="Times New Roman" w:eastAsia="宋体" w:cs="Times New Roman"/>
                <w:color w:val="auto"/>
                <w:sz w:val="24"/>
                <w:szCs w:val="24"/>
                <w:lang w:val="en-US" w:eastAsia="zh-CN"/>
              </w:rPr>
              <w:t>（1795.5m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w:t>
            </w:r>
            <w:r>
              <w:rPr>
                <w:rFonts w:hint="default" w:ascii="Times New Roman" w:hAnsi="Times New Roman" w:eastAsia="宋体" w:cs="Times New Roman"/>
                <w:color w:val="auto"/>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（3）水平衡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具体用水及排水情况见下表、下图。</w:t>
            </w:r>
          </w:p>
          <w:p>
            <w:pPr>
              <w:pStyle w:val="9"/>
              <w:keepNext w:val="0"/>
              <w:keepLines w:val="0"/>
              <w:pageBreakBefore w:val="0"/>
              <w:wordWrap/>
              <w:overflowPunct/>
              <w:topLinePunct w:val="0"/>
              <w:autoSpaceDE w:val="0"/>
              <w:autoSpaceDN w:val="0"/>
              <w:bidi w:val="0"/>
              <w:spacing w:line="360" w:lineRule="auto"/>
              <w:ind w:firstLine="0" w:firstLineChars="0"/>
              <w:jc w:val="center"/>
              <w:rPr>
                <w:rFonts w:hint="default" w:ascii="Times New Roman" w:hAnsi="Times New Roman" w:eastAsia="宋体" w:cs="Times New Roman"/>
                <w:b/>
                <w:bCs/>
                <w:color w:val="auto"/>
                <w:sz w:val="24"/>
                <w:szCs w:val="24"/>
                <w:lang w:bidi="ar"/>
              </w:rPr>
            </w:pPr>
            <w:r>
              <w:rPr>
                <w:rFonts w:hint="default" w:ascii="Times New Roman" w:hAnsi="Times New Roman" w:eastAsia="宋体" w:cs="Times New Roman"/>
                <w:b/>
                <w:bCs/>
                <w:color w:val="auto"/>
                <w:sz w:val="24"/>
                <w:szCs w:val="24"/>
                <w:lang w:bidi="ar"/>
              </w:rPr>
              <w:t>表</w:t>
            </w:r>
            <w:r>
              <w:rPr>
                <w:rFonts w:hint="default" w:ascii="Times New Roman" w:hAnsi="Times New Roman" w:eastAsia="宋体" w:cs="Times New Roman"/>
                <w:b/>
                <w:bCs/>
                <w:color w:val="auto"/>
                <w:sz w:val="24"/>
                <w:szCs w:val="24"/>
                <w:lang w:val="en-US" w:eastAsia="zh-CN" w:bidi="ar"/>
              </w:rPr>
              <w:t xml:space="preserve">2-7  </w:t>
            </w:r>
            <w:r>
              <w:rPr>
                <w:rFonts w:hint="default" w:ascii="Times New Roman" w:hAnsi="Times New Roman" w:eastAsia="宋体" w:cs="Times New Roman"/>
                <w:b/>
                <w:bCs/>
                <w:color w:val="auto"/>
                <w:sz w:val="24"/>
                <w:szCs w:val="24"/>
                <w:lang w:bidi="ar"/>
              </w:rPr>
              <w:t>项目</w:t>
            </w:r>
            <w:r>
              <w:rPr>
                <w:rFonts w:hint="default" w:ascii="Times New Roman" w:hAnsi="Times New Roman" w:eastAsia="宋体" w:cs="Times New Roman"/>
                <w:b/>
                <w:bCs/>
                <w:color w:val="auto"/>
                <w:sz w:val="24"/>
                <w:szCs w:val="24"/>
                <w:lang w:val="en-US" w:eastAsia="zh-CN" w:bidi="ar"/>
              </w:rPr>
              <w:t>给排水量</w:t>
            </w:r>
            <w:r>
              <w:rPr>
                <w:rFonts w:hint="default" w:ascii="Times New Roman" w:hAnsi="Times New Roman" w:eastAsia="宋体" w:cs="Times New Roman"/>
                <w:b/>
                <w:bCs/>
                <w:color w:val="auto"/>
                <w:sz w:val="24"/>
                <w:szCs w:val="24"/>
                <w:lang w:bidi="ar"/>
              </w:rPr>
              <w:t>一览表</w:t>
            </w:r>
          </w:p>
          <w:tbl>
            <w:tblPr>
              <w:tblStyle w:val="35"/>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82"/>
              <w:gridCol w:w="818"/>
              <w:gridCol w:w="835"/>
              <w:gridCol w:w="1253"/>
              <w:gridCol w:w="774"/>
              <w:gridCol w:w="1461"/>
              <w:gridCol w:w="19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5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kern w:val="0"/>
                      <w:sz w:val="21"/>
                      <w:szCs w:val="21"/>
                      <w:lang w:val="en-US" w:eastAsia="zh-CN" w:bidi="ar"/>
                    </w:rPr>
                    <w:t>用水项目</w:t>
                  </w:r>
                </w:p>
              </w:tc>
              <w:tc>
                <w:tcPr>
                  <w:tcW w:w="511" w:type="pct"/>
                  <w:tcBorders>
                    <w:tl2br w:val="nil"/>
                    <w:tr2bl w:val="nil"/>
                  </w:tcBorders>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核算天数d</w:t>
                  </w:r>
                </w:p>
              </w:tc>
              <w:tc>
                <w:tcPr>
                  <w:tcW w:w="522" w:type="pct"/>
                  <w:tcBorders>
                    <w:tl2br w:val="nil"/>
                    <w:tr2bl w:val="nil"/>
                  </w:tcBorders>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日用水量</w:t>
                  </w:r>
                  <w:r>
                    <w:rPr>
                      <w:rFonts w:hint="default" w:ascii="Times New Roman" w:hAnsi="Times New Roman" w:eastAsia="宋体" w:cs="Times New Roman"/>
                      <w:b/>
                      <w:bCs/>
                      <w:color w:val="auto"/>
                      <w:sz w:val="21"/>
                      <w:szCs w:val="21"/>
                      <w:lang w:val="en-US" w:eastAsia="zh-CN"/>
                    </w:rPr>
                    <w:t>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lang w:val="en-US" w:eastAsia="zh-CN"/>
                    </w:rPr>
                    <w:t>/d</w:t>
                  </w:r>
                </w:p>
              </w:tc>
              <w:tc>
                <w:tcPr>
                  <w:tcW w:w="783" w:type="pct"/>
                  <w:tcBorders>
                    <w:tl2br w:val="nil"/>
                    <w:tr2bl w:val="nil"/>
                  </w:tcBorders>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循环量</w:t>
                  </w:r>
                  <w:r>
                    <w:rPr>
                      <w:rFonts w:hint="default" w:ascii="Times New Roman" w:hAnsi="Times New Roman" w:eastAsia="宋体" w:cs="Times New Roman"/>
                      <w:b/>
                      <w:bCs/>
                      <w:color w:val="auto"/>
                      <w:sz w:val="21"/>
                      <w:szCs w:val="21"/>
                      <w:lang w:val="en-US" w:eastAsia="zh-CN"/>
                    </w:rPr>
                    <w:t>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lang w:val="en-US" w:eastAsia="zh-CN"/>
                    </w:rPr>
                    <w:t>/d</w:t>
                  </w:r>
                </w:p>
              </w:tc>
              <w:tc>
                <w:tcPr>
                  <w:tcW w:w="484" w:type="pct"/>
                  <w:tcBorders>
                    <w:tl2br w:val="nil"/>
                    <w:tr2bl w:val="nil"/>
                  </w:tcBorders>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日损耗量</w:t>
                  </w:r>
                  <w:r>
                    <w:rPr>
                      <w:rFonts w:hint="default" w:ascii="Times New Roman" w:hAnsi="Times New Roman" w:eastAsia="宋体" w:cs="Times New Roman"/>
                      <w:b/>
                      <w:bCs/>
                      <w:color w:val="auto"/>
                      <w:sz w:val="21"/>
                      <w:szCs w:val="21"/>
                      <w:lang w:val="en-US" w:eastAsia="zh-CN"/>
                    </w:rPr>
                    <w:t>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lang w:val="en-US" w:eastAsia="zh-CN"/>
                    </w:rPr>
                    <w:t>/d</w:t>
                  </w:r>
                </w:p>
              </w:tc>
              <w:tc>
                <w:tcPr>
                  <w:tcW w:w="91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日</w:t>
                  </w:r>
                  <w:r>
                    <w:rPr>
                      <w:rFonts w:hint="default" w:ascii="Times New Roman" w:hAnsi="Times New Roman" w:eastAsia="宋体" w:cs="Times New Roman"/>
                      <w:b/>
                      <w:bCs/>
                      <w:color w:val="auto"/>
                      <w:kern w:val="0"/>
                      <w:sz w:val="21"/>
                      <w:szCs w:val="21"/>
                      <w:lang w:val="en-US" w:eastAsia="zh-CN" w:bidi="ar"/>
                    </w:rPr>
                    <w:t>排放量</w:t>
                  </w:r>
                  <w:r>
                    <w:rPr>
                      <w:rFonts w:hint="default" w:ascii="Times New Roman" w:hAnsi="Times New Roman" w:eastAsia="宋体" w:cs="Times New Roman"/>
                      <w:b/>
                      <w:bCs/>
                      <w:color w:val="auto"/>
                      <w:sz w:val="21"/>
                      <w:szCs w:val="21"/>
                      <w:lang w:val="en-US" w:eastAsia="zh-CN"/>
                    </w:rPr>
                    <w:t>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lang w:val="en-US" w:eastAsia="zh-CN"/>
                    </w:rPr>
                    <w:t>/d</w:t>
                  </w:r>
                </w:p>
              </w:tc>
              <w:tc>
                <w:tcPr>
                  <w:tcW w:w="1232" w:type="pct"/>
                  <w:tcBorders>
                    <w:tl2br w:val="nil"/>
                    <w:tr2bl w:val="nil"/>
                  </w:tcBorders>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5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生活用水</w:t>
                  </w:r>
                </w:p>
              </w:tc>
              <w:tc>
                <w:tcPr>
                  <w:tcW w:w="51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52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6</w:t>
                  </w:r>
                </w:p>
              </w:tc>
              <w:tc>
                <w:tcPr>
                  <w:tcW w:w="78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4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1.2</w:t>
                  </w:r>
                </w:p>
              </w:tc>
              <w:tc>
                <w:tcPr>
                  <w:tcW w:w="91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4.80</w:t>
                  </w:r>
                </w:p>
              </w:tc>
              <w:tc>
                <w:tcPr>
                  <w:tcW w:w="1232" w:type="pct"/>
                  <w:tcBorders>
                    <w:tl2br w:val="nil"/>
                    <w:tr2bl w:val="nil"/>
                  </w:tcBorders>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食堂废水经油水分离器处理后与其他办公废水一同经化粪池处理后通过市政管网排至集贤产业园污水处理厂深度处理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5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清洗用水</w:t>
                  </w:r>
                </w:p>
              </w:tc>
              <w:tc>
                <w:tcPr>
                  <w:tcW w:w="51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52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7.125</w:t>
                  </w:r>
                </w:p>
              </w:tc>
              <w:tc>
                <w:tcPr>
                  <w:tcW w:w="78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4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1.14</w:t>
                  </w:r>
                </w:p>
              </w:tc>
              <w:tc>
                <w:tcPr>
                  <w:tcW w:w="91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5.985（全部用于磨边用水）</w:t>
                  </w:r>
                </w:p>
              </w:tc>
              <w:tc>
                <w:tcPr>
                  <w:tcW w:w="1232"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循环使用，不外排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5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磨边用水</w:t>
                  </w:r>
                </w:p>
              </w:tc>
              <w:tc>
                <w:tcPr>
                  <w:tcW w:w="51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52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c>
                <w:tcPr>
                  <w:tcW w:w="78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5.985（全部来源于清洗工序）</w:t>
                  </w:r>
                </w:p>
              </w:tc>
              <w:tc>
                <w:tcPr>
                  <w:tcW w:w="4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5.985</w:t>
                  </w:r>
                </w:p>
              </w:tc>
              <w:tc>
                <w:tcPr>
                  <w:tcW w:w="91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1232"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5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总计</w:t>
                  </w:r>
                </w:p>
              </w:tc>
              <w:tc>
                <w:tcPr>
                  <w:tcW w:w="51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52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13.125</w:t>
                  </w:r>
                </w:p>
              </w:tc>
              <w:tc>
                <w:tcPr>
                  <w:tcW w:w="78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4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8.325</w:t>
                  </w:r>
                </w:p>
              </w:tc>
              <w:tc>
                <w:tcPr>
                  <w:tcW w:w="91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4.800</w:t>
                  </w:r>
                </w:p>
              </w:tc>
              <w:tc>
                <w:tcPr>
                  <w:tcW w:w="1232" w:type="pct"/>
                  <w:tcBorders>
                    <w:tl2br w:val="nil"/>
                    <w:tr2bl w:val="nil"/>
                  </w:tcBorders>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bl>
          <w:p>
            <w:pPr>
              <w:rPr>
                <w:rFonts w:hint="default" w:ascii="Times New Roman" w:hAnsi="Times New Roman" w:eastAsia="宋体" w:cs="Times New Roman"/>
                <w:color w:val="auto"/>
                <w:lang w:val="en-US" w:eastAsia="zh-CN"/>
              </w:rPr>
            </w:pPr>
          </w:p>
          <w:p>
            <w:pPr>
              <w:pStyle w:val="123"/>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Cs w:val="24"/>
              </w:rPr>
              <w:drawing>
                <wp:inline distT="0" distB="0" distL="114300" distR="114300">
                  <wp:extent cx="4368165" cy="2338705"/>
                  <wp:effectExtent l="0" t="0" r="0" b="0"/>
                  <wp:docPr id="20" name="ECB019B1-382A-4266-B25C-5B523AA43C14-1" descr="C:/Users/nothing/AppData/Local/Temp/wps.xiUkPG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CB019B1-382A-4266-B25C-5B523AA43C14-1" descr="C:/Users/nothing/AppData/Local/Temp/wps.xiUkPGwps"/>
                          <pic:cNvPicPr>
                            <a:picLocks noChangeAspect="1"/>
                          </pic:cNvPicPr>
                        </pic:nvPicPr>
                        <pic:blipFill>
                          <a:blip r:embed="rId9"/>
                          <a:srcRect l="3409" t="6620" r="1871" b="5986"/>
                          <a:stretch>
                            <a:fillRect/>
                          </a:stretch>
                        </pic:blipFill>
                        <pic:spPr>
                          <a:xfrm>
                            <a:off x="0" y="0"/>
                            <a:ext cx="4368165" cy="2338705"/>
                          </a:xfrm>
                          <a:prstGeom prst="rect">
                            <a:avLst/>
                          </a:prstGeom>
                          <a:noFill/>
                          <a:ln>
                            <a:noFill/>
                          </a:ln>
                        </pic:spPr>
                      </pic:pic>
                    </a:graphicData>
                  </a:graphic>
                </wp:inline>
              </w:drawing>
            </w:r>
          </w:p>
          <w:p>
            <w:pPr>
              <w:keepNext w:val="0"/>
              <w:keepLines w:val="0"/>
              <w:pageBreakBefore w:val="0"/>
              <w:wordWrap/>
              <w:overflowPunct/>
              <w:topLinePunct w:val="0"/>
              <w:autoSpaceDE w:val="0"/>
              <w:autoSpaceDN w:val="0"/>
              <w:bidi w:val="0"/>
              <w:snapToGrid w:val="0"/>
              <w:spacing w:line="360" w:lineRule="auto"/>
              <w:ind w:firstLine="0" w:firstLineChars="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图</w:t>
            </w: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 xml:space="preserve">1  </w:t>
            </w:r>
            <w:r>
              <w:rPr>
                <w:rFonts w:hint="default" w:ascii="Times New Roman" w:hAnsi="Times New Roman" w:eastAsia="宋体" w:cs="Times New Roman"/>
                <w:b/>
                <w:bCs/>
                <w:color w:val="auto"/>
                <w:sz w:val="24"/>
                <w:szCs w:val="24"/>
                <w:lang w:val="en-US" w:eastAsia="zh-CN"/>
              </w:rPr>
              <w:t xml:space="preserve"> 本项目</w:t>
            </w:r>
            <w:r>
              <w:rPr>
                <w:rFonts w:hint="default" w:ascii="Times New Roman" w:hAnsi="Times New Roman" w:eastAsia="宋体" w:cs="Times New Roman"/>
                <w:b/>
                <w:bCs/>
                <w:color w:val="auto"/>
                <w:sz w:val="24"/>
                <w:szCs w:val="24"/>
              </w:rPr>
              <w:t>水平衡图    单位：m</w:t>
            </w:r>
            <w:r>
              <w:rPr>
                <w:rFonts w:hint="default" w:ascii="Times New Roman" w:hAnsi="Times New Roman" w:eastAsia="宋体" w:cs="Times New Roman"/>
                <w:b/>
                <w:bCs/>
                <w:color w:val="auto"/>
                <w:sz w:val="24"/>
                <w:szCs w:val="24"/>
                <w:vertAlign w:val="superscript"/>
              </w:rPr>
              <w:t>3</w:t>
            </w:r>
            <w:r>
              <w:rPr>
                <w:rFonts w:hint="default" w:ascii="Times New Roman" w:hAnsi="Times New Roman" w:eastAsia="宋体" w:cs="Times New Roman"/>
                <w:b/>
                <w:bCs/>
                <w:color w:val="auto"/>
                <w:sz w:val="24"/>
                <w:szCs w:val="24"/>
              </w:rPr>
              <w:t>/d</w:t>
            </w:r>
          </w:p>
          <w:p>
            <w:pPr>
              <w:pStyle w:val="68"/>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8</w:t>
            </w:r>
            <w:r>
              <w:rPr>
                <w:rFonts w:hint="default" w:ascii="Times New Roman" w:hAnsi="Times New Roman" w:eastAsia="宋体" w:cs="Times New Roman"/>
                <w:b/>
                <w:bCs/>
                <w:color w:val="auto"/>
              </w:rPr>
              <w:t>、工作制度与劳动定员</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4"/>
                <w:highlight w:val="none"/>
                <w:lang w:val="en-US" w:eastAsia="zh-CN"/>
              </w:rPr>
              <w:t>项目劳动定员50人</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两班倒，</w:t>
            </w:r>
            <w:r>
              <w:rPr>
                <w:rFonts w:hint="default" w:ascii="Times New Roman" w:hAnsi="Times New Roman" w:eastAsia="宋体" w:cs="Times New Roman"/>
                <w:color w:val="auto"/>
                <w:sz w:val="24"/>
                <w:highlight w:val="none"/>
                <w:lang w:eastAsia="zh-CN"/>
              </w:rPr>
              <w:t>每班</w:t>
            </w:r>
            <w:r>
              <w:rPr>
                <w:rFonts w:hint="default"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lang w:eastAsia="zh-CN"/>
              </w:rPr>
              <w:t>小时，全年工作300天，</w:t>
            </w:r>
            <w:r>
              <w:rPr>
                <w:rFonts w:hint="default" w:ascii="Times New Roman" w:hAnsi="Times New Roman" w:eastAsia="宋体" w:cs="Times New Roman"/>
                <w:color w:val="auto"/>
                <w:sz w:val="24"/>
                <w:highlight w:val="none"/>
                <w:lang w:val="en-US" w:eastAsia="zh-CN"/>
              </w:rPr>
              <w:t>提供食宿。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noWrap w:val="0"/>
            <w:vAlign w:val="center"/>
          </w:tcPr>
          <w:p>
            <w:pPr>
              <w:pStyle w:val="30"/>
              <w:adjustRightInd w:val="0"/>
              <w:snapToGrid w:val="0"/>
              <w:spacing w:before="0" w:beforeAutospacing="0" w:after="0" w:afterAutospacing="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szCs w:val="24"/>
              </w:rPr>
              <w:t>工艺流程和产排污环节</w:t>
            </w:r>
          </w:p>
        </w:tc>
        <w:tc>
          <w:tcPr>
            <w:tcW w:w="8248" w:type="dxa"/>
            <w:noWrap w:val="0"/>
            <w:vAlign w:val="top"/>
          </w:tcPr>
          <w:p>
            <w:pPr>
              <w:pStyle w:val="66"/>
              <w:keepNext w:val="0"/>
              <w:keepLines w:val="0"/>
              <w:pageBreakBefore w:val="0"/>
              <w:widowControl w:val="0"/>
              <w:kinsoku/>
              <w:wordWrap/>
              <w:overflowPunct/>
              <w:topLinePunct w:val="0"/>
              <w:autoSpaceDE/>
              <w:autoSpaceDN/>
              <w:bidi w:val="0"/>
              <w:adjustRightInd w:val="0"/>
              <w:snapToGrid w:val="0"/>
              <w:spacing w:before="157" w:beforeLines="50"/>
              <w:ind w:firstLine="0" w:firstLineChars="0"/>
              <w:textAlignment w:val="auto"/>
              <w:rPr>
                <w:rFonts w:hint="default" w:ascii="Times New Roman" w:hAnsi="Times New Roman" w:eastAsia="宋体" w:cs="Times New Roman"/>
                <w:b/>
                <w:bCs w:val="0"/>
                <w:color w:val="auto"/>
                <w:sz w:val="28"/>
                <w:szCs w:val="28"/>
              </w:rPr>
            </w:pPr>
            <w:r>
              <w:rPr>
                <w:rFonts w:hint="default" w:ascii="Times New Roman" w:hAnsi="Times New Roman" w:eastAsia="宋体" w:cs="Times New Roman"/>
                <w:b/>
                <w:bCs w:val="0"/>
                <w:color w:val="auto"/>
                <w:sz w:val="28"/>
                <w:szCs w:val="28"/>
              </w:rPr>
              <w:t>一、施工期工艺流程</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4"/>
                <w:highlight w:val="none"/>
                <w:lang w:eastAsia="zh-CN"/>
              </w:rPr>
            </w:pPr>
            <w:r>
              <w:rPr>
                <w:rFonts w:hint="default" w:ascii="Times New Roman" w:hAnsi="Times New Roman" w:eastAsia="宋体" w:cs="Times New Roman"/>
                <w:color w:val="auto"/>
                <w:kern w:val="2"/>
                <w:sz w:val="24"/>
                <w:szCs w:val="24"/>
                <w:highlight w:val="none"/>
                <w:lang w:eastAsia="zh-CN"/>
              </w:rPr>
              <w:t>本项目</w:t>
            </w:r>
            <w:r>
              <w:rPr>
                <w:rFonts w:hint="default" w:ascii="Times New Roman" w:hAnsi="Times New Roman" w:eastAsia="宋体" w:cs="Times New Roman"/>
                <w:color w:val="auto"/>
                <w:kern w:val="2"/>
                <w:sz w:val="24"/>
                <w:szCs w:val="24"/>
                <w:highlight w:val="none"/>
                <w:lang w:val="en-US" w:eastAsia="zh-CN"/>
              </w:rPr>
              <w:t>位于</w:t>
            </w:r>
            <w:r>
              <w:rPr>
                <w:rFonts w:hint="default" w:ascii="Times New Roman" w:hAnsi="Times New Roman" w:eastAsia="宋体" w:cs="Times New Roman"/>
                <w:color w:val="auto"/>
                <w:sz w:val="24"/>
                <w:szCs w:val="24"/>
                <w:highlight w:val="none"/>
                <w:lang w:val="en-US" w:eastAsia="zh-CN"/>
              </w:rPr>
              <w:t>高科建材（西安）新材料科技有限公司</w:t>
            </w:r>
            <w:r>
              <w:rPr>
                <w:rFonts w:hint="default" w:ascii="Times New Roman" w:hAnsi="Times New Roman" w:eastAsia="宋体" w:cs="Times New Roman"/>
                <w:color w:val="auto"/>
                <w:kern w:val="2"/>
                <w:sz w:val="24"/>
                <w:szCs w:val="24"/>
                <w:highlight w:val="none"/>
                <w:lang w:val="en-US" w:eastAsia="zh-CN"/>
              </w:rPr>
              <w:t>南区</w:t>
            </w:r>
            <w:r>
              <w:rPr>
                <w:rFonts w:hint="default" w:ascii="Times New Roman" w:hAnsi="Times New Roman" w:eastAsia="宋体" w:cs="Times New Roman"/>
                <w:color w:val="auto"/>
                <w:kern w:val="2"/>
                <w:sz w:val="24"/>
                <w:szCs w:val="24"/>
                <w:highlight w:val="none"/>
                <w:lang w:eastAsia="zh-CN"/>
              </w:rPr>
              <w:t>已建空置厂房及辅助生产设施，只需进行设备安装和简单装修，不涉及土建工程。本项目施工期主要环境影响为厂房内部装修、设备安装过程中产生的少量粉尘、设备噪声以及少量建筑垃圾等。</w:t>
            </w:r>
          </w:p>
          <w:p>
            <w:pPr>
              <w:pStyle w:val="66"/>
              <w:adjustRightInd w:val="0"/>
              <w:snapToGrid w:val="0"/>
              <w:spacing w:beforeLines="0"/>
              <w:ind w:firstLine="0" w:firstLineChars="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二、运营期工艺流程</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1、运营期</w:t>
            </w:r>
            <w:r>
              <w:rPr>
                <w:rFonts w:hint="default" w:ascii="Times New Roman" w:hAnsi="Times New Roman" w:eastAsia="宋体" w:cs="Times New Roman"/>
                <w:b/>
                <w:bCs/>
                <w:color w:val="auto"/>
                <w:sz w:val="24"/>
                <w:szCs w:val="24"/>
                <w:lang w:val="en-US" w:eastAsia="zh-CN"/>
              </w:rPr>
              <w:t>生产</w:t>
            </w:r>
            <w:r>
              <w:rPr>
                <w:rFonts w:hint="default" w:ascii="Times New Roman" w:hAnsi="Times New Roman" w:eastAsia="宋体" w:cs="Times New Roman"/>
                <w:b/>
                <w:bCs/>
                <w:color w:val="auto"/>
                <w:sz w:val="24"/>
                <w:szCs w:val="24"/>
              </w:rPr>
              <w:t>工艺流程</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本项目运营期工艺流程及产污环节如下：</w:t>
            </w:r>
          </w:p>
          <w:p>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工艺流程简述：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切割：将外购玻璃原片根据客户需求采用玻璃切割机切割成所需要的尺寸，玻璃切割是利用切割器制造划痕，造成应力集中，然后裂片。该工序产生污染物主要为设备噪声和废边角料。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磨边钻孔：将切割好的玻璃利用玻璃磨边机进行湿式磨边，不产生粉尘。 对有要求的已切割玻璃利用玻璃打孔机进行湿式开孔。湿法作业过程中产生的废水均使用循环水，该工序无粉尘产生，产生污染物主要为噪声和沉淀池废渣。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清洗：打磨好边的玻璃半成品利用玻璃清洗机进行自动清洗和干燥，清洗后经自然风干。清洗过程不添加洗涤剂，清洗水经沉淀后，循环使用，不外排。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钢化：利用玻璃钢化机内，采用电加热，将玻璃加热至700℃左右保持5min，然后再把玻璃迅速送入冷却装置，用多头喷嘴将高压冷空气往玻璃两头吹，让它迅速均匀冷却，这样玻璃就形成永久应力，强度提高到普通玻璃的数倍以上。该工序产生污染物主要为设备噪声和不合格品。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填充、折弯：外购规定尺寸的中空铝隔条采用自动分子筛灌装机对中空隔条填充分子筛干燥剂，再利用铝条折弯机将铝隔条折弯成框，手工将两端插头连接，该工序产生污染物主要为设备噪声。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合片、压片：将固态丁基胶加入到丁基胶涂布机胶缸中，设定温度至120℃(电加热），丁基胶呈熔融态，再将熔融态丁基胶从胶嘴挤出涂抹在铝条四周，两块玻璃同时粘贴在铝条上，涂胶后的玻璃通过自动立式中空玻璃生产线上的合片段、扳压段对玻璃进行合片压片。丁基胶在加热时异丁烯聚合物中裹挟的少量小分子异丁烯挥发出来。因此，本项目加热、涂胶过程会有少量有机废气（以非甲烷总经计）产生，该过程产生的污染物主要是涂胶废气、废胶桶。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密封：将合片好的中空玻璃利用玻璃自动封胶线将胶盒里的 A、B 双组份硅酮胶在玻璃外围均匀打胶密封，密封后的中空玻璃在常温下进行固化。双组份硅酮胶常温下，可在较短时间即可固化。该过程产生的污染物主要是有机废气、废胶桶。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入库：对密封好的中空玻璃进行外观检查之后，即可入成品库待售。 </w:t>
            </w:r>
          </w:p>
          <w:p>
            <w:pPr>
              <w:spacing w:line="360" w:lineRule="auto"/>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drawing>
                <wp:inline distT="0" distB="0" distL="114300" distR="114300">
                  <wp:extent cx="3279140" cy="4097655"/>
                  <wp:effectExtent l="0" t="0" r="0" b="17145"/>
                  <wp:docPr id="23" name="ECB019B1-382A-4266-B25C-5B523AA43C14-2" descr="C:/Users/nothing/AppData/Local/Temp/wps.RMSWgV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CB019B1-382A-4266-B25C-5B523AA43C14-2" descr="C:/Users/nothing/AppData/Local/Temp/wps.RMSWgVwps"/>
                          <pic:cNvPicPr>
                            <a:picLocks noChangeAspect="1"/>
                          </pic:cNvPicPr>
                        </pic:nvPicPr>
                        <pic:blipFill>
                          <a:blip r:embed="rId10"/>
                          <a:srcRect t="4404" b="2709"/>
                          <a:stretch>
                            <a:fillRect/>
                          </a:stretch>
                        </pic:blipFill>
                        <pic:spPr>
                          <a:xfrm>
                            <a:off x="0" y="0"/>
                            <a:ext cx="3279140" cy="4097655"/>
                          </a:xfrm>
                          <a:prstGeom prst="rect">
                            <a:avLst/>
                          </a:prstGeom>
                        </pic:spPr>
                      </pic:pic>
                    </a:graphicData>
                  </a:graphic>
                </wp:inline>
              </w:drawing>
            </w:r>
          </w:p>
          <w:p>
            <w:pPr>
              <w:keepNext w:val="0"/>
              <w:keepLines w:val="0"/>
              <w:pageBreakBefore w:val="0"/>
              <w:wordWrap/>
              <w:overflowPunct/>
              <w:topLinePunct w:val="0"/>
              <w:autoSpaceDE w:val="0"/>
              <w:autoSpaceDN w:val="0"/>
              <w:bidi w:val="0"/>
              <w:spacing w:line="36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图2-</w:t>
            </w: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 xml:space="preserve">    工艺流程及产污环节图</w:t>
            </w:r>
          </w:p>
          <w:p>
            <w:pPr>
              <w:keepNext w:val="0"/>
              <w:keepLines w:val="0"/>
              <w:pageBreakBefore w:val="0"/>
              <w:kinsoku/>
              <w:wordWrap/>
              <w:overflowPunct/>
              <w:topLinePunct w:val="0"/>
              <w:autoSpaceDE/>
              <w:autoSpaceDN/>
              <w:bidi w:val="0"/>
              <w:spacing w:line="360" w:lineRule="auto"/>
              <w:ind w:firstLine="482" w:firstLineChars="200"/>
              <w:jc w:val="both"/>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、项目主要产污环节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根据生产工艺流程，</w:t>
            </w: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rPr>
              <w:t>生产过程中主要的产污环节见</w:t>
            </w:r>
            <w:r>
              <w:rPr>
                <w:rFonts w:hint="eastAsia" w:ascii="Times New Roman" w:hAnsi="Times New Roman" w:eastAsia="宋体" w:cs="Times New Roman"/>
                <w:color w:val="auto"/>
                <w:sz w:val="24"/>
                <w:szCs w:val="24"/>
                <w:lang w:val="en-US" w:eastAsia="zh-CN"/>
              </w:rPr>
              <w:t>下</w:t>
            </w: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rPr>
              <w:t>。</w:t>
            </w:r>
          </w:p>
          <w:p>
            <w:pPr>
              <w:keepNext w:val="0"/>
              <w:keepLines w:val="0"/>
              <w:pageBreakBefore w:val="0"/>
              <w:wordWrap/>
              <w:overflowPunct/>
              <w:topLinePunct w:val="0"/>
              <w:autoSpaceDE w:val="0"/>
              <w:autoSpaceDN w:val="0"/>
              <w:bidi w:val="0"/>
              <w:adjustRightInd w:val="0"/>
              <w:snapToGrid w:val="0"/>
              <w:spacing w:line="360" w:lineRule="auto"/>
              <w:ind w:firstLine="0" w:firstLineChars="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表2-</w:t>
            </w:r>
            <w:r>
              <w:rPr>
                <w:rFonts w:hint="eastAsia" w:ascii="Times New Roman" w:hAnsi="Times New Roman" w:eastAsia="宋体" w:cs="Times New Roman"/>
                <w:b/>
                <w:bCs/>
                <w:color w:val="auto"/>
                <w:sz w:val="24"/>
                <w:szCs w:val="24"/>
                <w:lang w:val="en-US" w:eastAsia="zh-CN"/>
              </w:rPr>
              <w:t>8</w:t>
            </w:r>
            <w:r>
              <w:rPr>
                <w:rFonts w:hint="default" w:ascii="Times New Roman" w:hAnsi="Times New Roman" w:eastAsia="宋体" w:cs="Times New Roman"/>
                <w:b/>
                <w:bCs/>
                <w:color w:val="auto"/>
                <w:sz w:val="24"/>
                <w:szCs w:val="24"/>
              </w:rPr>
              <w:t xml:space="preserve">  运营期产污环节一览表</w:t>
            </w:r>
          </w:p>
          <w:tbl>
            <w:tblPr>
              <w:tblStyle w:val="3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788"/>
              <w:gridCol w:w="38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48"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类别</w:t>
                  </w:r>
                </w:p>
              </w:tc>
              <w:tc>
                <w:tcPr>
                  <w:tcW w:w="1742"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产污工序</w:t>
                  </w:r>
                </w:p>
              </w:tc>
              <w:tc>
                <w:tcPr>
                  <w:tcW w:w="2409"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污染物名称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48"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废气</w:t>
                  </w:r>
                </w:p>
              </w:tc>
              <w:tc>
                <w:tcPr>
                  <w:tcW w:w="1742" w:type="pct"/>
                  <w:tcBorders>
                    <w:tl2br w:val="nil"/>
                    <w:tr2bl w:val="nil"/>
                  </w:tcBorders>
                  <w:noWrap w:val="0"/>
                  <w:vAlign w:val="top"/>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合片压片</w:t>
                  </w:r>
                </w:p>
              </w:tc>
              <w:tc>
                <w:tcPr>
                  <w:tcW w:w="2409" w:type="pct"/>
                  <w:tcBorders>
                    <w:tl2br w:val="nil"/>
                    <w:tr2bl w:val="nil"/>
                  </w:tcBorders>
                  <w:noWrap w:val="0"/>
                  <w:vAlign w:val="top"/>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非甲烷总烃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4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val="0"/>
                      <w:bCs/>
                      <w:color w:val="auto"/>
                      <w:sz w:val="21"/>
                      <w:szCs w:val="21"/>
                    </w:rPr>
                  </w:pPr>
                </w:p>
              </w:tc>
              <w:tc>
                <w:tcPr>
                  <w:tcW w:w="1742" w:type="pct"/>
                  <w:tcBorders>
                    <w:tl2br w:val="nil"/>
                    <w:tr2bl w:val="nil"/>
                  </w:tcBorders>
                  <w:noWrap w:val="0"/>
                  <w:vAlign w:val="top"/>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密封</w:t>
                  </w:r>
                </w:p>
              </w:tc>
              <w:tc>
                <w:tcPr>
                  <w:tcW w:w="2409" w:type="pct"/>
                  <w:tcBorders>
                    <w:tl2br w:val="nil"/>
                    <w:tr2bl w:val="nil"/>
                  </w:tcBorders>
                  <w:noWrap w:val="0"/>
                  <w:vAlign w:val="top"/>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4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val="0"/>
                      <w:bCs/>
                      <w:color w:val="auto"/>
                      <w:sz w:val="21"/>
                      <w:szCs w:val="21"/>
                    </w:rPr>
                  </w:pPr>
                </w:p>
              </w:tc>
              <w:tc>
                <w:tcPr>
                  <w:tcW w:w="1742"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员工生活</w:t>
                  </w:r>
                </w:p>
              </w:tc>
              <w:tc>
                <w:tcPr>
                  <w:tcW w:w="2409" w:type="pct"/>
                  <w:tcBorders>
                    <w:tl2br w:val="nil"/>
                    <w:tr2bl w:val="nil"/>
                  </w:tcBorders>
                  <w:noWrap w:val="0"/>
                  <w:vAlign w:val="center"/>
                </w:tcPr>
                <w:p>
                  <w:pPr>
                    <w:keepNext w:val="0"/>
                    <w:keepLines w:val="0"/>
                    <w:pageBreakBefore w:val="0"/>
                    <w:kinsoku/>
                    <w:wordWrap/>
                    <w:overflowPunct/>
                    <w:topLinePunct w:val="0"/>
                    <w:autoSpaceDE/>
                    <w:autoSpaceDN/>
                    <w:bidi w:val="0"/>
                    <w:contextualSpacing/>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食堂油烟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48"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废水</w:t>
                  </w:r>
                </w:p>
              </w:tc>
              <w:tc>
                <w:tcPr>
                  <w:tcW w:w="1742"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员工生活</w:t>
                  </w:r>
                </w:p>
              </w:tc>
              <w:tc>
                <w:tcPr>
                  <w:tcW w:w="2409"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生活污水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4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val="0"/>
                      <w:bCs/>
                      <w:color w:val="auto"/>
                      <w:sz w:val="21"/>
                      <w:szCs w:val="21"/>
                    </w:rPr>
                  </w:pPr>
                </w:p>
              </w:tc>
              <w:tc>
                <w:tcPr>
                  <w:tcW w:w="1742"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lang w:val="en-US" w:eastAsia="zh-CN"/>
                    </w:rPr>
                    <w:t>磨边钻孔</w:t>
                  </w:r>
                </w:p>
              </w:tc>
              <w:tc>
                <w:tcPr>
                  <w:tcW w:w="2409"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循环废水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4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val="0"/>
                      <w:bCs/>
                      <w:color w:val="auto"/>
                      <w:sz w:val="21"/>
                      <w:szCs w:val="21"/>
                    </w:rPr>
                  </w:pPr>
                </w:p>
              </w:tc>
              <w:tc>
                <w:tcPr>
                  <w:tcW w:w="1742"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清洗</w:t>
                  </w:r>
                </w:p>
              </w:tc>
              <w:tc>
                <w:tcPr>
                  <w:tcW w:w="2409"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清洗废水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48"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噪声</w:t>
                  </w:r>
                </w:p>
              </w:tc>
              <w:tc>
                <w:tcPr>
                  <w:tcW w:w="1742"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设备运行</w:t>
                  </w:r>
                </w:p>
              </w:tc>
              <w:tc>
                <w:tcPr>
                  <w:tcW w:w="2409"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设备噪声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48"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固废</w:t>
                  </w:r>
                </w:p>
              </w:tc>
              <w:tc>
                <w:tcPr>
                  <w:tcW w:w="174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kern w:val="2"/>
                      <w:sz w:val="21"/>
                      <w:szCs w:val="21"/>
                      <w:lang w:val="en-US" w:eastAsia="zh-CN"/>
                    </w:rPr>
                    <w:t>生产过程</w:t>
                  </w:r>
                </w:p>
              </w:tc>
              <w:tc>
                <w:tcPr>
                  <w:tcW w:w="2409" w:type="pct"/>
                  <w:tcBorders>
                    <w:tl2br w:val="nil"/>
                    <w:tr2bl w:val="nil"/>
                  </w:tcBorders>
                  <w:noWrap w:val="0"/>
                  <w:vAlign w:val="center"/>
                </w:tcPr>
                <w:p>
                  <w:pPr>
                    <w:pStyle w:val="97"/>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不合格品、</w:t>
                  </w:r>
                  <w:r>
                    <w:rPr>
                      <w:rFonts w:hint="default" w:ascii="Times New Roman" w:hAnsi="Times New Roman" w:eastAsia="宋体" w:cs="Times New Roman"/>
                      <w:color w:val="auto"/>
                      <w:kern w:val="0"/>
                      <w:sz w:val="21"/>
                      <w:szCs w:val="21"/>
                      <w:lang w:val="en-US" w:eastAsia="zh-CN" w:bidi="ar"/>
                    </w:rPr>
                    <w:t>废边角料、废胶桶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4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val="0"/>
                      <w:bCs/>
                      <w:color w:val="auto"/>
                      <w:sz w:val="21"/>
                      <w:szCs w:val="21"/>
                    </w:rPr>
                  </w:pPr>
                </w:p>
              </w:tc>
              <w:tc>
                <w:tcPr>
                  <w:tcW w:w="174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rPr>
                      <w:rFonts w:hint="default" w:ascii="Times New Roman" w:hAnsi="Times New Roman" w:eastAsia="宋体" w:cs="Times New Roman"/>
                      <w:b w:val="0"/>
                      <w:bCs/>
                      <w:color w:val="auto"/>
                      <w:kern w:val="2"/>
                      <w:sz w:val="21"/>
                      <w:szCs w:val="21"/>
                      <w:lang w:val="en-US" w:eastAsia="zh-CN"/>
                    </w:rPr>
                  </w:pPr>
                  <w:r>
                    <w:rPr>
                      <w:rFonts w:hint="default" w:ascii="Times New Roman" w:hAnsi="Times New Roman" w:eastAsia="宋体" w:cs="Times New Roman"/>
                      <w:b w:val="0"/>
                      <w:bCs/>
                      <w:color w:val="auto"/>
                      <w:kern w:val="2"/>
                      <w:sz w:val="21"/>
                      <w:szCs w:val="21"/>
                      <w:lang w:val="en-US" w:eastAsia="zh-CN"/>
                    </w:rPr>
                    <w:t>清洗过程</w:t>
                  </w:r>
                </w:p>
              </w:tc>
              <w:tc>
                <w:tcPr>
                  <w:tcW w:w="2409" w:type="pct"/>
                  <w:tcBorders>
                    <w:tl2br w:val="nil"/>
                    <w:tr2bl w:val="nil"/>
                  </w:tcBorders>
                  <w:noWrap w:val="0"/>
                  <w:vAlign w:val="center"/>
                </w:tcPr>
                <w:p>
                  <w:pPr>
                    <w:pStyle w:val="97"/>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沉淀池废渣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4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val="0"/>
                      <w:bCs/>
                      <w:color w:val="auto"/>
                      <w:sz w:val="21"/>
                      <w:szCs w:val="21"/>
                    </w:rPr>
                  </w:pPr>
                </w:p>
              </w:tc>
              <w:tc>
                <w:tcPr>
                  <w:tcW w:w="1742"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有机废气净化</w:t>
                  </w:r>
                </w:p>
              </w:tc>
              <w:tc>
                <w:tcPr>
                  <w:tcW w:w="240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废活性炭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4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val="0"/>
                      <w:bCs/>
                      <w:color w:val="auto"/>
                      <w:sz w:val="21"/>
                      <w:szCs w:val="21"/>
                    </w:rPr>
                  </w:pPr>
                </w:p>
              </w:tc>
              <w:tc>
                <w:tcPr>
                  <w:tcW w:w="1742"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设备维护</w:t>
                  </w:r>
                </w:p>
              </w:tc>
              <w:tc>
                <w:tcPr>
                  <w:tcW w:w="240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废机油</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废含油手套、抹布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4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val="0"/>
                      <w:bCs/>
                      <w:color w:val="auto"/>
                      <w:sz w:val="21"/>
                      <w:szCs w:val="21"/>
                    </w:rPr>
                  </w:pPr>
                </w:p>
              </w:tc>
              <w:tc>
                <w:tcPr>
                  <w:tcW w:w="1742"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员工生活</w:t>
                  </w:r>
                </w:p>
              </w:tc>
              <w:tc>
                <w:tcPr>
                  <w:tcW w:w="2409"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生活垃圾</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b w:val="0"/>
                      <w:bCs/>
                      <w:color w:val="auto"/>
                      <w:kern w:val="2"/>
                      <w:sz w:val="21"/>
                      <w:szCs w:val="21"/>
                      <w:lang w:val="en-US" w:eastAsia="zh-CN" w:bidi="ar-SA"/>
                    </w:rPr>
                    <w:t>餐厨垃圾及废油脂</w:t>
                  </w:r>
                </w:p>
              </w:tc>
            </w:tr>
          </w:tbl>
          <w:p>
            <w:pPr>
              <w:spacing w:line="360" w:lineRule="auto"/>
              <w:jc w:val="left"/>
              <w:rPr>
                <w:rFonts w:hint="default" w:ascii="Times New Roman" w:hAnsi="Times New Roman" w:eastAsia="宋体" w:cs="Times New Roman"/>
                <w:bCs/>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noWrap w:val="0"/>
            <w:vAlign w:val="center"/>
          </w:tcPr>
          <w:p>
            <w:pPr>
              <w:pStyle w:val="30"/>
              <w:adjustRightInd w:val="0"/>
              <w:snapToGrid w:val="0"/>
              <w:spacing w:before="0" w:beforeAutospacing="0" w:after="0" w:afterAutospacing="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bCs/>
                <w:color w:val="auto"/>
                <w:kern w:val="2"/>
                <w:sz w:val="24"/>
                <w:szCs w:val="24"/>
              </w:rPr>
              <w:t>与项目有关的原有环境污染问题</w:t>
            </w:r>
          </w:p>
        </w:tc>
        <w:tc>
          <w:tcPr>
            <w:tcW w:w="8248" w:type="dxa"/>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项目为新建项目，</w:t>
            </w:r>
            <w:r>
              <w:rPr>
                <w:rFonts w:hint="default" w:ascii="Times New Roman" w:hAnsi="Times New Roman" w:eastAsia="宋体" w:cs="Times New Roman"/>
                <w:color w:val="auto"/>
                <w:kern w:val="2"/>
                <w:sz w:val="24"/>
                <w:szCs w:val="24"/>
                <w:highlight w:val="none"/>
                <w:lang w:eastAsia="zh-CN"/>
              </w:rPr>
              <w:t>本项目</w:t>
            </w:r>
            <w:r>
              <w:rPr>
                <w:rFonts w:hint="default" w:ascii="Times New Roman" w:hAnsi="Times New Roman" w:eastAsia="宋体" w:cs="Times New Roman"/>
                <w:color w:val="auto"/>
                <w:kern w:val="2"/>
                <w:sz w:val="24"/>
                <w:szCs w:val="24"/>
                <w:highlight w:val="none"/>
                <w:lang w:val="en-US" w:eastAsia="zh-CN"/>
              </w:rPr>
              <w:t>位于</w:t>
            </w:r>
            <w:r>
              <w:rPr>
                <w:rFonts w:hint="default" w:ascii="Times New Roman" w:hAnsi="Times New Roman" w:eastAsia="宋体" w:cs="Times New Roman"/>
                <w:color w:val="auto"/>
                <w:sz w:val="24"/>
                <w:szCs w:val="24"/>
                <w:highlight w:val="none"/>
                <w:lang w:val="en-US" w:eastAsia="zh-CN"/>
              </w:rPr>
              <w:t>高科建材（西安）新材料科技有限公司</w:t>
            </w:r>
            <w:r>
              <w:rPr>
                <w:rFonts w:hint="default" w:ascii="Times New Roman" w:hAnsi="Times New Roman" w:eastAsia="宋体" w:cs="Times New Roman"/>
                <w:color w:val="auto"/>
                <w:kern w:val="2"/>
                <w:sz w:val="24"/>
                <w:szCs w:val="24"/>
                <w:highlight w:val="none"/>
                <w:lang w:val="en-US" w:eastAsia="zh-CN"/>
              </w:rPr>
              <w:t>南区</w:t>
            </w:r>
            <w:r>
              <w:rPr>
                <w:rFonts w:hint="default" w:ascii="Times New Roman" w:hAnsi="Times New Roman" w:eastAsia="宋体" w:cs="Times New Roman"/>
                <w:color w:val="auto"/>
                <w:kern w:val="2"/>
                <w:sz w:val="24"/>
                <w:szCs w:val="24"/>
                <w:highlight w:val="none"/>
                <w:lang w:eastAsia="zh-CN"/>
              </w:rPr>
              <w:t>已建空置厂房</w:t>
            </w:r>
            <w:r>
              <w:rPr>
                <w:rFonts w:hint="default" w:ascii="Times New Roman" w:hAnsi="Times New Roman" w:eastAsia="宋体" w:cs="Times New Roman"/>
                <w:color w:val="auto"/>
                <w:sz w:val="24"/>
                <w:szCs w:val="24"/>
                <w:lang w:val="en-US" w:eastAsia="zh-CN"/>
              </w:rPr>
              <w:t>，根据现场踏勘，项目不存在原有污染问题。</w:t>
            </w:r>
          </w:p>
          <w:p>
            <w:pPr>
              <w:pStyle w:val="14"/>
              <w:rPr>
                <w:rFonts w:hint="default" w:ascii="Times New Roman" w:hAnsi="Times New Roman" w:eastAsia="宋体" w:cs="Times New Roman"/>
                <w:color w:val="auto"/>
                <w:kern w:val="0"/>
                <w:sz w:val="24"/>
                <w:szCs w:val="20"/>
                <w:highlight w:val="none"/>
                <w:lang w:val="en-US" w:eastAsia="zh-CN" w:bidi="ar-SA"/>
              </w:rPr>
            </w:pPr>
          </w:p>
          <w:p>
            <w:pPr>
              <w:rPr>
                <w:rFonts w:hint="default" w:ascii="Times New Roman" w:hAnsi="Times New Roman" w:eastAsia="宋体" w:cs="Times New Roman"/>
                <w:color w:val="auto"/>
                <w:kern w:val="0"/>
                <w:sz w:val="24"/>
                <w:szCs w:val="20"/>
                <w:highlight w:val="none"/>
                <w:lang w:val="en-US" w:eastAsia="zh-CN" w:bidi="ar-SA"/>
              </w:rPr>
            </w:pPr>
          </w:p>
          <w:p>
            <w:pPr>
              <w:pStyle w:val="14"/>
              <w:rPr>
                <w:rFonts w:hint="default" w:ascii="Times New Roman" w:hAnsi="Times New Roman" w:eastAsia="宋体" w:cs="Times New Roman"/>
                <w:color w:val="auto"/>
                <w:kern w:val="0"/>
                <w:sz w:val="24"/>
                <w:szCs w:val="20"/>
                <w:highlight w:val="none"/>
                <w:lang w:val="en-US" w:eastAsia="zh-CN" w:bidi="ar-SA"/>
              </w:rPr>
            </w:pPr>
          </w:p>
          <w:p>
            <w:pPr>
              <w:rPr>
                <w:rFonts w:hint="default" w:ascii="Times New Roman" w:hAnsi="Times New Roman" w:eastAsia="宋体" w:cs="Times New Roman"/>
                <w:color w:val="auto"/>
                <w:kern w:val="0"/>
                <w:sz w:val="24"/>
                <w:szCs w:val="20"/>
                <w:highlight w:val="none"/>
                <w:lang w:val="en-US" w:eastAsia="zh-CN" w:bidi="ar-SA"/>
              </w:rPr>
            </w:pPr>
          </w:p>
          <w:p>
            <w:pPr>
              <w:pStyle w:val="14"/>
              <w:rPr>
                <w:rFonts w:hint="default" w:ascii="Times New Roman" w:hAnsi="Times New Roman" w:eastAsia="宋体" w:cs="Times New Roman"/>
                <w:color w:val="auto"/>
                <w:kern w:val="0"/>
                <w:sz w:val="24"/>
                <w:szCs w:val="20"/>
                <w:highlight w:val="none"/>
                <w:lang w:val="en-US" w:eastAsia="zh-CN" w:bidi="ar-SA"/>
              </w:rPr>
            </w:pPr>
          </w:p>
          <w:p>
            <w:pPr>
              <w:rPr>
                <w:rFonts w:hint="default" w:ascii="Times New Roman" w:hAnsi="Times New Roman" w:eastAsia="宋体" w:cs="Times New Roman"/>
                <w:color w:val="auto"/>
                <w:lang w:val="en-US" w:eastAsia="zh-CN"/>
              </w:rPr>
            </w:pPr>
          </w:p>
          <w:p>
            <w:pPr>
              <w:rPr>
                <w:rFonts w:hint="default" w:ascii="Times New Roman" w:hAnsi="Times New Roman" w:eastAsia="宋体" w:cs="Times New Roman"/>
                <w:color w:val="auto"/>
                <w:lang w:val="en-US" w:eastAsia="zh-CN"/>
              </w:rPr>
            </w:pPr>
          </w:p>
        </w:tc>
      </w:tr>
    </w:tbl>
    <w:p>
      <w:pPr>
        <w:pStyle w:val="30"/>
        <w:jc w:val="center"/>
        <w:outlineLvl w:val="0"/>
        <w:rPr>
          <w:rFonts w:hint="default" w:ascii="Times New Roman" w:hAnsi="Times New Roman" w:eastAsia="宋体" w:cs="Times New Roman"/>
          <w:snapToGrid w:val="0"/>
          <w:color w:val="auto"/>
          <w:sz w:val="30"/>
          <w:szCs w:val="30"/>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30"/>
        <w:keepNext w:val="0"/>
        <w:keepLines w:val="0"/>
        <w:pageBreakBefore w:val="0"/>
        <w:widowControl/>
        <w:kinsoku/>
        <w:wordWrap/>
        <w:overflowPunct/>
        <w:topLinePunct w:val="0"/>
        <w:autoSpaceDE/>
        <w:autoSpaceDN/>
        <w:bidi w:val="0"/>
        <w:spacing w:before="0" w:beforeAutospacing="0" w:after="0" w:afterAutospacing="0" w:line="360" w:lineRule="auto"/>
        <w:jc w:val="center"/>
        <w:textAlignment w:val="auto"/>
        <w:outlineLvl w:val="0"/>
        <w:rPr>
          <w:rFonts w:hint="default" w:ascii="Times New Roman" w:hAnsi="Times New Roman" w:eastAsia="宋体" w:cs="Times New Roman"/>
          <w:b/>
          <w:bCs/>
          <w:snapToGrid w:val="0"/>
          <w:color w:val="auto"/>
          <w:sz w:val="30"/>
          <w:szCs w:val="30"/>
        </w:rPr>
      </w:pPr>
      <w:r>
        <w:rPr>
          <w:rFonts w:hint="default" w:ascii="Times New Roman" w:hAnsi="Times New Roman" w:eastAsia="宋体" w:cs="Times New Roman"/>
          <w:b/>
          <w:bCs/>
          <w:snapToGrid w:val="0"/>
          <w:color w:val="auto"/>
          <w:sz w:val="30"/>
          <w:szCs w:val="30"/>
        </w:rPr>
        <w:t>三、区域环境质量现状、环境保护目标及评价标准</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
        <w:gridCol w:w="8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5" w:type="pct"/>
            <w:noWrap w:val="0"/>
            <w:vAlign w:val="center"/>
          </w:tcPr>
          <w:p>
            <w:pPr>
              <w:adjustRightInd w:val="0"/>
              <w:snapToGrid w:val="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sz w:val="24"/>
                <w:szCs w:val="24"/>
              </w:rPr>
              <w:t>区域环境质量现状</w:t>
            </w:r>
          </w:p>
        </w:tc>
        <w:tc>
          <w:tcPr>
            <w:tcW w:w="4484" w:type="pct"/>
            <w:noWrap w:val="0"/>
            <w:vAlign w:val="center"/>
          </w:tcPr>
          <w:p>
            <w:pPr>
              <w:pStyle w:val="66"/>
              <w:keepNext w:val="0"/>
              <w:keepLines w:val="0"/>
              <w:pageBreakBefore w:val="0"/>
              <w:kinsoku/>
              <w:wordWrap/>
              <w:overflowPunct/>
              <w:topLinePunct w:val="0"/>
              <w:autoSpaceDE/>
              <w:autoSpaceDN/>
              <w:bidi w:val="0"/>
              <w:spacing w:beforeLines="0"/>
              <w:ind w:firstLine="482"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1、大气环境质量现状</w:t>
            </w:r>
          </w:p>
          <w:p>
            <w:pPr>
              <w:keepNext w:val="0"/>
              <w:keepLines w:val="0"/>
              <w:pageBreakBefore w:val="0"/>
              <w:kinsoku/>
              <w:wordWrap/>
              <w:overflowPunct/>
              <w:topLinePunct w:val="0"/>
              <w:autoSpaceDE/>
              <w:autoSpaceDN/>
              <w:bidi w:val="0"/>
              <w:spacing w:line="360" w:lineRule="auto"/>
              <w:ind w:firstLine="480" w:firstLineChars="200"/>
              <w:jc w:val="both"/>
              <w:rPr>
                <w:rFonts w:hint="default" w:ascii="Times New Roman" w:hAnsi="Times New Roman" w:eastAsia="宋体" w:cs="Times New Roman"/>
                <w:color w:val="auto"/>
                <w:sz w:val="24"/>
                <w:szCs w:val="24"/>
              </w:rPr>
            </w:pPr>
            <w:bookmarkStart w:id="1" w:name="_Toc255802213"/>
            <w:bookmarkStart w:id="2" w:name="_Toc419232626"/>
            <w:r>
              <w:rPr>
                <w:rFonts w:hint="default" w:ascii="Times New Roman" w:hAnsi="Times New Roman" w:eastAsia="宋体" w:cs="Times New Roman"/>
                <w:color w:val="auto"/>
                <w:sz w:val="24"/>
                <w:szCs w:val="24"/>
              </w:rPr>
              <w:t>（1）常规污染物监测</w:t>
            </w:r>
          </w:p>
          <w:bookmarkEnd w:id="1"/>
          <w:p>
            <w:pPr>
              <w:keepNext w:val="0"/>
              <w:keepLines w:val="0"/>
              <w:pageBreakBefore w:val="0"/>
              <w:kinsoku/>
              <w:wordWrap/>
              <w:overflowPunct/>
              <w:topLinePunct w:val="0"/>
              <w:autoSpaceDE/>
              <w:autoSpaceDN/>
              <w:bidi w:val="0"/>
              <w:adjustRightInd w:val="0"/>
              <w:snapToGrid w:val="0"/>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建设项目环境影响报告表编制技术指南（污染影响类）（试行）》，常规污染物引用与建设项目距离近的有效数据，包括近3年的规划环境影响评价的监测数据，国家、地方环境空气质量监测网数据或生态环境主管部门公开发布的质量数据等。</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本次评价采用陕西省环境保护厅办公室202</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年1月</w:t>
            </w:r>
            <w:r>
              <w:rPr>
                <w:rFonts w:hint="default" w:ascii="Times New Roman" w:hAnsi="Times New Roman" w:eastAsia="宋体" w:cs="Times New Roman"/>
                <w:color w:val="auto"/>
                <w:sz w:val="24"/>
                <w:szCs w:val="24"/>
                <w:lang w:val="en-US" w:eastAsia="zh-CN"/>
              </w:rPr>
              <w:t>19</w:t>
            </w:r>
            <w:r>
              <w:rPr>
                <w:rFonts w:hint="default" w:ascii="Times New Roman" w:hAnsi="Times New Roman" w:eastAsia="宋体" w:cs="Times New Roman"/>
                <w:color w:val="auto"/>
                <w:sz w:val="24"/>
                <w:szCs w:val="24"/>
              </w:rPr>
              <w:t>日发布的《环保快报》中“附表</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202</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年1~12月</w:t>
            </w:r>
            <w:r>
              <w:rPr>
                <w:rFonts w:hint="default" w:ascii="Times New Roman" w:hAnsi="Times New Roman" w:eastAsia="宋体" w:cs="Times New Roman"/>
                <w:color w:val="auto"/>
                <w:sz w:val="24"/>
                <w:szCs w:val="24"/>
                <w:lang w:val="en-US" w:eastAsia="zh-CN"/>
              </w:rPr>
              <w:t>关中</w:t>
            </w:r>
            <w:r>
              <w:rPr>
                <w:rFonts w:hint="default" w:ascii="Times New Roman" w:hAnsi="Times New Roman" w:eastAsia="宋体" w:cs="Times New Roman"/>
                <w:color w:val="auto"/>
                <w:sz w:val="24"/>
                <w:szCs w:val="24"/>
              </w:rPr>
              <w:t>地区</w:t>
            </w:r>
            <w:r>
              <w:rPr>
                <w:rFonts w:hint="default" w:ascii="Times New Roman" w:hAnsi="Times New Roman" w:eastAsia="宋体" w:cs="Times New Roman"/>
                <w:color w:val="auto"/>
                <w:sz w:val="24"/>
                <w:szCs w:val="24"/>
                <w:lang w:val="en-US" w:eastAsia="zh-CN"/>
              </w:rPr>
              <w:t>64</w:t>
            </w:r>
            <w:r>
              <w:rPr>
                <w:rFonts w:hint="default" w:ascii="Times New Roman" w:hAnsi="Times New Roman" w:eastAsia="宋体" w:cs="Times New Roman"/>
                <w:color w:val="auto"/>
                <w:sz w:val="24"/>
                <w:szCs w:val="24"/>
              </w:rPr>
              <w:t>个县（区）空气质量状况统计表”中</w:t>
            </w:r>
            <w:r>
              <w:rPr>
                <w:rFonts w:hint="default" w:ascii="Times New Roman" w:hAnsi="Times New Roman" w:eastAsia="宋体" w:cs="Times New Roman"/>
                <w:color w:val="auto"/>
                <w:sz w:val="24"/>
                <w:szCs w:val="24"/>
                <w:lang w:val="en-US" w:eastAsia="zh-CN"/>
              </w:rPr>
              <w:t>周至县</w:t>
            </w:r>
            <w:r>
              <w:rPr>
                <w:rFonts w:hint="default" w:ascii="Times New Roman" w:hAnsi="Times New Roman" w:eastAsia="宋体" w:cs="Times New Roman"/>
                <w:color w:val="auto"/>
                <w:sz w:val="24"/>
                <w:szCs w:val="24"/>
              </w:rPr>
              <w:t>的数据，判定本项目区域环境空气质量达标情况，见</w:t>
            </w:r>
            <w:r>
              <w:rPr>
                <w:rFonts w:hint="eastAsia" w:ascii="Times New Roman" w:hAnsi="Times New Roman" w:eastAsia="宋体" w:cs="Times New Roman"/>
                <w:color w:val="auto"/>
                <w:sz w:val="24"/>
                <w:szCs w:val="24"/>
                <w:lang w:val="en-US" w:eastAsia="zh-CN"/>
              </w:rPr>
              <w:t>下</w:t>
            </w: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bCs/>
                <w:color w:val="auto"/>
                <w:sz w:val="24"/>
                <w:szCs w:val="24"/>
                <w:highlight w:val="none"/>
              </w:rPr>
              <w:t>表3-1</w:t>
            </w:r>
            <w:r>
              <w:rPr>
                <w:rFonts w:hint="default"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rPr>
              <w:t>环境空气质量状况统计表</w:t>
            </w:r>
          </w:p>
          <w:tbl>
            <w:tblPr>
              <w:tblStyle w:val="3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7"/>
              <w:gridCol w:w="2416"/>
              <w:gridCol w:w="1160"/>
              <w:gridCol w:w="1100"/>
              <w:gridCol w:w="1083"/>
              <w:gridCol w:w="11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1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污染物</w:t>
                  </w:r>
                </w:p>
              </w:tc>
              <w:tc>
                <w:tcPr>
                  <w:tcW w:w="153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年评价指标</w:t>
                  </w:r>
                </w:p>
              </w:tc>
              <w:tc>
                <w:tcPr>
                  <w:tcW w:w="73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现状浓度/（μg/m</w:t>
                  </w:r>
                  <w:r>
                    <w:rPr>
                      <w:rFonts w:hint="default" w:ascii="Times New Roman" w:hAnsi="Times New Roman" w:eastAsia="宋体" w:cs="Times New Roman"/>
                      <w:b/>
                      <w:bCs w:val="0"/>
                      <w:color w:val="auto"/>
                      <w:sz w:val="21"/>
                      <w:szCs w:val="21"/>
                      <w:highlight w:val="none"/>
                      <w:vertAlign w:val="superscript"/>
                    </w:rPr>
                    <w:t>3</w:t>
                  </w:r>
                  <w:r>
                    <w:rPr>
                      <w:rFonts w:hint="default" w:ascii="Times New Roman" w:hAnsi="Times New Roman" w:eastAsia="宋体" w:cs="Times New Roman"/>
                      <w:b/>
                      <w:bCs w:val="0"/>
                      <w:color w:val="auto"/>
                      <w:sz w:val="21"/>
                      <w:szCs w:val="21"/>
                      <w:highlight w:val="none"/>
                    </w:rPr>
                    <w:t>）</w:t>
                  </w:r>
                </w:p>
              </w:tc>
              <w:tc>
                <w:tcPr>
                  <w:tcW w:w="69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标准值/（μg/m</w:t>
                  </w:r>
                  <w:r>
                    <w:rPr>
                      <w:rFonts w:hint="default" w:ascii="Times New Roman" w:hAnsi="Times New Roman" w:eastAsia="宋体" w:cs="Times New Roman"/>
                      <w:b/>
                      <w:bCs w:val="0"/>
                      <w:color w:val="auto"/>
                      <w:sz w:val="21"/>
                      <w:szCs w:val="21"/>
                      <w:highlight w:val="none"/>
                      <w:vertAlign w:val="superscript"/>
                    </w:rPr>
                    <w:t>3</w:t>
                  </w:r>
                  <w:r>
                    <w:rPr>
                      <w:rFonts w:hint="default" w:ascii="Times New Roman" w:hAnsi="Times New Roman" w:eastAsia="宋体" w:cs="Times New Roman"/>
                      <w:b/>
                      <w:bCs w:val="0"/>
                      <w:color w:val="auto"/>
                      <w:sz w:val="21"/>
                      <w:szCs w:val="21"/>
                      <w:highlight w:val="none"/>
                    </w:rPr>
                    <w:t>）</w:t>
                  </w:r>
                </w:p>
              </w:tc>
              <w:tc>
                <w:tcPr>
                  <w:tcW w:w="68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占标率/%</w:t>
                  </w:r>
                </w:p>
              </w:tc>
              <w:tc>
                <w:tcPr>
                  <w:tcW w:w="72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1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SO</w:t>
                  </w:r>
                  <w:r>
                    <w:rPr>
                      <w:rFonts w:hint="default" w:ascii="Times New Roman" w:hAnsi="Times New Roman" w:eastAsia="宋体" w:cs="Times New Roman"/>
                      <w:b w:val="0"/>
                      <w:bCs/>
                      <w:color w:val="auto"/>
                      <w:sz w:val="21"/>
                      <w:szCs w:val="21"/>
                      <w:highlight w:val="none"/>
                      <w:vertAlign w:val="subscript"/>
                    </w:rPr>
                    <w:t>2</w:t>
                  </w:r>
                </w:p>
              </w:tc>
              <w:tc>
                <w:tcPr>
                  <w:tcW w:w="1533"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kern w:val="0"/>
                      <w:sz w:val="21"/>
                      <w:szCs w:val="21"/>
                      <w:highlight w:val="none"/>
                      <w:lang w:bidi="ar"/>
                    </w:rPr>
                  </w:pPr>
                  <w:r>
                    <w:rPr>
                      <w:rFonts w:hint="default" w:ascii="Times New Roman" w:hAnsi="Times New Roman" w:eastAsia="宋体" w:cs="Times New Roman"/>
                      <w:b w:val="0"/>
                      <w:bCs/>
                      <w:color w:val="auto"/>
                      <w:kern w:val="0"/>
                      <w:sz w:val="21"/>
                      <w:szCs w:val="21"/>
                      <w:highlight w:val="none"/>
                      <w:lang w:bidi="ar"/>
                    </w:rPr>
                    <w:t>年平均质量浓度</w:t>
                  </w:r>
                </w:p>
              </w:tc>
              <w:tc>
                <w:tcPr>
                  <w:tcW w:w="736"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kern w:val="0"/>
                      <w:sz w:val="21"/>
                      <w:szCs w:val="21"/>
                      <w:highlight w:val="none"/>
                      <w:lang w:eastAsia="zh-CN" w:bidi="ar"/>
                    </w:rPr>
                  </w:pPr>
                  <w:r>
                    <w:rPr>
                      <w:rFonts w:hint="default" w:ascii="Times New Roman" w:hAnsi="Times New Roman" w:eastAsia="宋体" w:cs="Times New Roman"/>
                      <w:b w:val="0"/>
                      <w:bCs/>
                      <w:color w:val="auto"/>
                      <w:kern w:val="0"/>
                      <w:sz w:val="21"/>
                      <w:szCs w:val="21"/>
                      <w:highlight w:val="none"/>
                      <w:lang w:val="en-US" w:eastAsia="zh-CN" w:bidi="ar"/>
                    </w:rPr>
                    <w:t>9</w:t>
                  </w:r>
                </w:p>
              </w:tc>
              <w:tc>
                <w:tcPr>
                  <w:tcW w:w="698"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kern w:val="0"/>
                      <w:sz w:val="21"/>
                      <w:szCs w:val="21"/>
                      <w:highlight w:val="none"/>
                    </w:rPr>
                    <w:t>60</w:t>
                  </w:r>
                </w:p>
              </w:tc>
              <w:tc>
                <w:tcPr>
                  <w:tcW w:w="687"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15.0</w:t>
                  </w:r>
                </w:p>
              </w:tc>
              <w:tc>
                <w:tcPr>
                  <w:tcW w:w="72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1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NO</w:t>
                  </w:r>
                  <w:r>
                    <w:rPr>
                      <w:rFonts w:hint="default" w:ascii="Times New Roman" w:hAnsi="Times New Roman" w:eastAsia="宋体" w:cs="Times New Roman"/>
                      <w:b w:val="0"/>
                      <w:bCs/>
                      <w:color w:val="auto"/>
                      <w:sz w:val="21"/>
                      <w:szCs w:val="21"/>
                      <w:highlight w:val="none"/>
                      <w:vertAlign w:val="subscript"/>
                    </w:rPr>
                    <w:t>2</w:t>
                  </w:r>
                </w:p>
              </w:tc>
              <w:tc>
                <w:tcPr>
                  <w:tcW w:w="1533"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kern w:val="0"/>
                      <w:sz w:val="21"/>
                      <w:szCs w:val="21"/>
                      <w:highlight w:val="none"/>
                      <w:lang w:bidi="ar"/>
                    </w:rPr>
                  </w:pPr>
                  <w:r>
                    <w:rPr>
                      <w:rFonts w:hint="default" w:ascii="Times New Roman" w:hAnsi="Times New Roman" w:eastAsia="宋体" w:cs="Times New Roman"/>
                      <w:b w:val="0"/>
                      <w:bCs/>
                      <w:color w:val="auto"/>
                      <w:kern w:val="0"/>
                      <w:sz w:val="21"/>
                      <w:szCs w:val="21"/>
                      <w:highlight w:val="none"/>
                      <w:lang w:bidi="ar"/>
                    </w:rPr>
                    <w:t>年平均质量浓度</w:t>
                  </w:r>
                </w:p>
              </w:tc>
              <w:tc>
                <w:tcPr>
                  <w:tcW w:w="736"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27</w:t>
                  </w:r>
                </w:p>
              </w:tc>
              <w:tc>
                <w:tcPr>
                  <w:tcW w:w="698"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kern w:val="0"/>
                      <w:sz w:val="21"/>
                      <w:szCs w:val="21"/>
                      <w:highlight w:val="none"/>
                    </w:rPr>
                    <w:t>40</w:t>
                  </w:r>
                </w:p>
              </w:tc>
              <w:tc>
                <w:tcPr>
                  <w:tcW w:w="687"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67.5</w:t>
                  </w:r>
                </w:p>
              </w:tc>
              <w:tc>
                <w:tcPr>
                  <w:tcW w:w="72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1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PM</w:t>
                  </w:r>
                  <w:r>
                    <w:rPr>
                      <w:rFonts w:hint="default" w:ascii="Times New Roman" w:hAnsi="Times New Roman" w:eastAsia="宋体" w:cs="Times New Roman"/>
                      <w:b w:val="0"/>
                      <w:bCs/>
                      <w:color w:val="auto"/>
                      <w:sz w:val="21"/>
                      <w:szCs w:val="21"/>
                      <w:highlight w:val="none"/>
                      <w:vertAlign w:val="subscript"/>
                    </w:rPr>
                    <w:t>10</w:t>
                  </w:r>
                </w:p>
              </w:tc>
              <w:tc>
                <w:tcPr>
                  <w:tcW w:w="1533"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bidi="ar"/>
                    </w:rPr>
                    <w:t>年平均质量浓度</w:t>
                  </w:r>
                </w:p>
              </w:tc>
              <w:tc>
                <w:tcPr>
                  <w:tcW w:w="736"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
                    </w:rPr>
                    <w:t>83</w:t>
                  </w:r>
                </w:p>
              </w:tc>
              <w:tc>
                <w:tcPr>
                  <w:tcW w:w="698"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rPr>
                    <w:t>70</w:t>
                  </w:r>
                </w:p>
              </w:tc>
              <w:tc>
                <w:tcPr>
                  <w:tcW w:w="687"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118.6</w:t>
                  </w:r>
                </w:p>
              </w:tc>
              <w:tc>
                <w:tcPr>
                  <w:tcW w:w="72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不</w:t>
                  </w:r>
                  <w:r>
                    <w:rPr>
                      <w:rFonts w:hint="default" w:ascii="Times New Roman" w:hAnsi="Times New Roman" w:eastAsia="宋体" w:cs="Times New Roman"/>
                      <w:b w:val="0"/>
                      <w:bCs/>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1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PM</w:t>
                  </w:r>
                  <w:r>
                    <w:rPr>
                      <w:rFonts w:hint="default" w:ascii="Times New Roman" w:hAnsi="Times New Roman" w:eastAsia="宋体" w:cs="Times New Roman"/>
                      <w:b w:val="0"/>
                      <w:bCs/>
                      <w:color w:val="auto"/>
                      <w:sz w:val="21"/>
                      <w:szCs w:val="21"/>
                      <w:highlight w:val="none"/>
                      <w:vertAlign w:val="subscript"/>
                    </w:rPr>
                    <w:t>2.5</w:t>
                  </w:r>
                </w:p>
              </w:tc>
              <w:tc>
                <w:tcPr>
                  <w:tcW w:w="1533"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kern w:val="0"/>
                      <w:sz w:val="21"/>
                      <w:szCs w:val="21"/>
                      <w:highlight w:val="none"/>
                      <w:lang w:bidi="ar"/>
                    </w:rPr>
                    <w:t>年平均质量浓度</w:t>
                  </w:r>
                </w:p>
              </w:tc>
              <w:tc>
                <w:tcPr>
                  <w:tcW w:w="736"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bidi="ar"/>
                    </w:rPr>
                    <w:t>42</w:t>
                  </w:r>
                </w:p>
              </w:tc>
              <w:tc>
                <w:tcPr>
                  <w:tcW w:w="698"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kern w:val="0"/>
                      <w:sz w:val="21"/>
                      <w:szCs w:val="21"/>
                      <w:highlight w:val="none"/>
                    </w:rPr>
                    <w:t>35</w:t>
                  </w:r>
                </w:p>
              </w:tc>
              <w:tc>
                <w:tcPr>
                  <w:tcW w:w="687"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120.0</w:t>
                  </w:r>
                </w:p>
              </w:tc>
              <w:tc>
                <w:tcPr>
                  <w:tcW w:w="72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不</w:t>
                  </w:r>
                  <w:r>
                    <w:rPr>
                      <w:rFonts w:hint="default" w:ascii="Times New Roman" w:hAnsi="Times New Roman" w:eastAsia="宋体" w:cs="Times New Roman"/>
                      <w:b w:val="0"/>
                      <w:bCs/>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1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CO</w:t>
                  </w:r>
                </w:p>
              </w:tc>
              <w:tc>
                <w:tcPr>
                  <w:tcW w:w="1533"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kern w:val="0"/>
                      <w:sz w:val="21"/>
                      <w:szCs w:val="21"/>
                      <w:highlight w:val="none"/>
                      <w:lang w:bidi="ar"/>
                    </w:rPr>
                    <w:t>24h</w:t>
                  </w:r>
                  <w:r>
                    <w:rPr>
                      <w:rStyle w:val="87"/>
                      <w:rFonts w:hint="default" w:ascii="Times New Roman" w:hAnsi="Times New Roman" w:eastAsia="宋体" w:cs="Times New Roman"/>
                      <w:b w:val="0"/>
                      <w:bCs/>
                      <w:color w:val="auto"/>
                      <w:sz w:val="21"/>
                      <w:szCs w:val="21"/>
                      <w:highlight w:val="none"/>
                      <w:lang w:bidi="ar"/>
                    </w:rPr>
                    <w:t>平均第</w:t>
                  </w:r>
                  <w:r>
                    <w:rPr>
                      <w:rStyle w:val="136"/>
                      <w:rFonts w:hint="default" w:ascii="Times New Roman" w:hAnsi="Times New Roman" w:eastAsia="宋体" w:cs="Times New Roman"/>
                      <w:b w:val="0"/>
                      <w:bCs/>
                      <w:color w:val="auto"/>
                      <w:sz w:val="21"/>
                      <w:szCs w:val="21"/>
                      <w:highlight w:val="none"/>
                      <w:lang w:bidi="ar"/>
                    </w:rPr>
                    <w:t>95</w:t>
                  </w:r>
                  <w:r>
                    <w:rPr>
                      <w:rStyle w:val="87"/>
                      <w:rFonts w:hint="default" w:ascii="Times New Roman" w:hAnsi="Times New Roman" w:eastAsia="宋体" w:cs="Times New Roman"/>
                      <w:b w:val="0"/>
                      <w:bCs/>
                      <w:color w:val="auto"/>
                      <w:sz w:val="21"/>
                      <w:szCs w:val="21"/>
                      <w:highlight w:val="none"/>
                      <w:lang w:bidi="ar"/>
                    </w:rPr>
                    <w:t>百分位数</w:t>
                  </w:r>
                </w:p>
              </w:tc>
              <w:tc>
                <w:tcPr>
                  <w:tcW w:w="736"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sz w:val="21"/>
                      <w:szCs w:val="21"/>
                      <w:highlight w:val="none"/>
                      <w:lang w:val="en-US"/>
                    </w:rPr>
                  </w:pPr>
                  <w:r>
                    <w:rPr>
                      <w:rFonts w:hint="default" w:ascii="Times New Roman" w:hAnsi="Times New Roman" w:eastAsia="宋体" w:cs="Times New Roman"/>
                      <w:b w:val="0"/>
                      <w:bCs/>
                      <w:color w:val="auto"/>
                      <w:kern w:val="0"/>
                      <w:sz w:val="21"/>
                      <w:szCs w:val="21"/>
                      <w:highlight w:val="none"/>
                      <w:lang w:val="en-US" w:eastAsia="zh-CN" w:bidi="ar"/>
                    </w:rPr>
                    <w:t>1600</w:t>
                  </w:r>
                </w:p>
              </w:tc>
              <w:tc>
                <w:tcPr>
                  <w:tcW w:w="698"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kern w:val="0"/>
                      <w:sz w:val="21"/>
                      <w:szCs w:val="21"/>
                      <w:highlight w:val="none"/>
                    </w:rPr>
                    <w:t>4000</w:t>
                  </w:r>
                </w:p>
              </w:tc>
              <w:tc>
                <w:tcPr>
                  <w:tcW w:w="687"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40</w:t>
                  </w:r>
                </w:p>
              </w:tc>
              <w:tc>
                <w:tcPr>
                  <w:tcW w:w="72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1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O</w:t>
                  </w:r>
                  <w:r>
                    <w:rPr>
                      <w:rFonts w:hint="default" w:ascii="Times New Roman" w:hAnsi="Times New Roman" w:eastAsia="宋体" w:cs="Times New Roman"/>
                      <w:b w:val="0"/>
                      <w:bCs/>
                      <w:color w:val="auto"/>
                      <w:sz w:val="21"/>
                      <w:szCs w:val="21"/>
                      <w:highlight w:val="none"/>
                      <w:vertAlign w:val="subscript"/>
                    </w:rPr>
                    <w:t>3</w:t>
                  </w:r>
                </w:p>
              </w:tc>
              <w:tc>
                <w:tcPr>
                  <w:tcW w:w="1533"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kern w:val="0"/>
                      <w:sz w:val="21"/>
                      <w:szCs w:val="21"/>
                      <w:highlight w:val="none"/>
                      <w:lang w:bidi="ar"/>
                    </w:rPr>
                    <w:t>日最大</w:t>
                  </w:r>
                  <w:r>
                    <w:rPr>
                      <w:rStyle w:val="136"/>
                      <w:rFonts w:hint="default" w:ascii="Times New Roman" w:hAnsi="Times New Roman" w:eastAsia="宋体" w:cs="Times New Roman"/>
                      <w:b w:val="0"/>
                      <w:bCs/>
                      <w:color w:val="auto"/>
                      <w:sz w:val="21"/>
                      <w:szCs w:val="21"/>
                      <w:highlight w:val="none"/>
                      <w:lang w:bidi="ar"/>
                    </w:rPr>
                    <w:t>8h</w:t>
                  </w:r>
                  <w:r>
                    <w:rPr>
                      <w:rStyle w:val="87"/>
                      <w:rFonts w:hint="default" w:ascii="Times New Roman" w:hAnsi="Times New Roman" w:eastAsia="宋体" w:cs="Times New Roman"/>
                      <w:b w:val="0"/>
                      <w:bCs/>
                      <w:color w:val="auto"/>
                      <w:sz w:val="21"/>
                      <w:szCs w:val="21"/>
                      <w:highlight w:val="none"/>
                      <w:lang w:bidi="ar"/>
                    </w:rPr>
                    <w:t>浓度平均值第</w:t>
                  </w:r>
                  <w:r>
                    <w:rPr>
                      <w:rStyle w:val="136"/>
                      <w:rFonts w:hint="default" w:ascii="Times New Roman" w:hAnsi="Times New Roman" w:eastAsia="宋体" w:cs="Times New Roman"/>
                      <w:b w:val="0"/>
                      <w:bCs/>
                      <w:color w:val="auto"/>
                      <w:sz w:val="21"/>
                      <w:szCs w:val="21"/>
                      <w:highlight w:val="none"/>
                      <w:lang w:bidi="ar"/>
                    </w:rPr>
                    <w:t>90</w:t>
                  </w:r>
                  <w:r>
                    <w:rPr>
                      <w:rStyle w:val="87"/>
                      <w:rFonts w:hint="default" w:ascii="Times New Roman" w:hAnsi="Times New Roman" w:eastAsia="宋体" w:cs="Times New Roman"/>
                      <w:b w:val="0"/>
                      <w:bCs/>
                      <w:color w:val="auto"/>
                      <w:sz w:val="21"/>
                      <w:szCs w:val="21"/>
                      <w:highlight w:val="none"/>
                      <w:lang w:bidi="ar"/>
                    </w:rPr>
                    <w:t>百分位数</w:t>
                  </w:r>
                </w:p>
              </w:tc>
              <w:tc>
                <w:tcPr>
                  <w:tcW w:w="736"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bidi="ar"/>
                    </w:rPr>
                    <w:t>170</w:t>
                  </w:r>
                </w:p>
              </w:tc>
              <w:tc>
                <w:tcPr>
                  <w:tcW w:w="698"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kern w:val="0"/>
                      <w:sz w:val="21"/>
                      <w:szCs w:val="21"/>
                      <w:highlight w:val="none"/>
                    </w:rPr>
                    <w:t>160</w:t>
                  </w:r>
                </w:p>
              </w:tc>
              <w:tc>
                <w:tcPr>
                  <w:tcW w:w="687"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106.3</w:t>
                  </w:r>
                </w:p>
              </w:tc>
              <w:tc>
                <w:tcPr>
                  <w:tcW w:w="72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不</w:t>
                  </w:r>
                  <w:r>
                    <w:rPr>
                      <w:rFonts w:hint="default" w:ascii="Times New Roman" w:hAnsi="Times New Roman" w:eastAsia="宋体" w:cs="Times New Roman"/>
                      <w:b w:val="0"/>
                      <w:bCs/>
                      <w:color w:val="auto"/>
                      <w:sz w:val="21"/>
                      <w:szCs w:val="21"/>
                      <w:highlight w:val="none"/>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由表3-1可知，项目所在区域</w:t>
            </w:r>
            <w:r>
              <w:rPr>
                <w:rFonts w:hint="default" w:ascii="Times New Roman" w:hAnsi="Times New Roman" w:eastAsia="宋体" w:cs="Times New Roman"/>
                <w:color w:val="auto"/>
                <w:sz w:val="24"/>
                <w:szCs w:val="24"/>
                <w:highlight w:val="none"/>
                <w:lang w:val="en-US" w:eastAsia="zh-CN"/>
              </w:rPr>
              <w:t>2023年环境空气中六项基本污染物中</w:t>
            </w:r>
            <w:r>
              <w:rPr>
                <w:rFonts w:hint="default" w:ascii="Times New Roman" w:hAnsi="Times New Roman" w:eastAsia="宋体" w:cs="Times New Roman"/>
                <w:color w:val="auto"/>
                <w:sz w:val="24"/>
                <w:szCs w:val="24"/>
                <w:highlight w:val="none"/>
              </w:rPr>
              <w:t>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年平均</w:t>
            </w:r>
            <w:r>
              <w:rPr>
                <w:rFonts w:hint="default" w:ascii="Times New Roman" w:hAnsi="Times New Roman" w:eastAsia="宋体" w:cs="Times New Roman"/>
                <w:color w:val="auto"/>
                <w:sz w:val="24"/>
                <w:szCs w:val="24"/>
                <w:highlight w:val="none"/>
                <w:lang w:val="en-US" w:eastAsia="zh-CN"/>
              </w:rPr>
              <w:t>浓度</w:t>
            </w:r>
            <w:r>
              <w:rPr>
                <w:rFonts w:hint="default" w:ascii="Times New Roman" w:hAnsi="Times New Roman" w:eastAsia="宋体" w:cs="Times New Roman"/>
                <w:color w:val="auto"/>
                <w:sz w:val="24"/>
                <w:szCs w:val="24"/>
                <w:highlight w:val="none"/>
              </w:rPr>
              <w:t>、CO</w:t>
            </w:r>
            <w:r>
              <w:rPr>
                <w:rFonts w:hint="default" w:ascii="Times New Roman" w:hAnsi="Times New Roman" w:eastAsia="宋体" w:cs="Times New Roman"/>
                <w:color w:val="auto"/>
                <w:sz w:val="24"/>
                <w:szCs w:val="24"/>
                <w:highlight w:val="none"/>
                <w:lang w:val="en-US" w:eastAsia="zh-CN"/>
              </w:rPr>
              <w:t>第95百分位24h平均浓度</w:t>
            </w:r>
            <w:r>
              <w:rPr>
                <w:rFonts w:hint="default" w:ascii="Times New Roman" w:hAnsi="Times New Roman" w:eastAsia="宋体" w:cs="Times New Roman"/>
                <w:color w:val="auto"/>
                <w:sz w:val="24"/>
                <w:szCs w:val="24"/>
                <w:highlight w:val="none"/>
              </w:rPr>
              <w:t>满足《环境空气质量标准》（GB3095-2012）</w:t>
            </w:r>
            <w:r>
              <w:rPr>
                <w:rFonts w:hint="default"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color w:val="auto"/>
                <w:sz w:val="24"/>
                <w:szCs w:val="24"/>
                <w:highlight w:val="none"/>
              </w:rPr>
              <w:t>二级标准</w:t>
            </w:r>
            <w:r>
              <w:rPr>
                <w:rFonts w:hint="default" w:ascii="Times New Roman" w:hAnsi="Times New Roman" w:eastAsia="宋体" w:cs="Times New Roman"/>
                <w:color w:val="auto"/>
                <w:sz w:val="24"/>
                <w:szCs w:val="24"/>
                <w:highlight w:val="none"/>
                <w:lang w:val="en-US" w:eastAsia="zh-CN"/>
              </w:rPr>
              <w:t>限值</w:t>
            </w:r>
            <w:r>
              <w:rPr>
                <w:rFonts w:hint="default" w:ascii="Times New Roman" w:hAnsi="Times New Roman" w:eastAsia="宋体" w:cs="Times New Roman"/>
                <w:color w:val="auto"/>
                <w:sz w:val="24"/>
                <w:szCs w:val="24"/>
                <w:highlight w:val="none"/>
              </w:rPr>
              <w:t>要求，</w:t>
            </w:r>
            <w:r>
              <w:rPr>
                <w:rFonts w:hint="default" w:ascii="Times New Roman" w:hAnsi="Times New Roman" w:eastAsia="宋体" w:cs="Times New Roman"/>
                <w:color w:val="auto"/>
                <w:sz w:val="24"/>
                <w:szCs w:val="24"/>
                <w:highlight w:val="none"/>
                <w:lang w:val="en-US" w:eastAsia="zh-CN"/>
              </w:rPr>
              <w:t>但</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lang w:val="en-US" w:eastAsia="zh-CN"/>
              </w:rPr>
              <w:t>10</w:t>
            </w:r>
            <w:r>
              <w:rPr>
                <w:rFonts w:hint="default" w:ascii="Times New Roman" w:hAnsi="Times New Roman" w:eastAsia="宋体" w:cs="Times New Roman"/>
                <w:color w:val="auto"/>
                <w:sz w:val="24"/>
                <w:szCs w:val="24"/>
                <w:highlight w:val="none"/>
              </w:rPr>
              <w:t>年平均质量浓度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2.5</w:t>
            </w:r>
            <w:r>
              <w:rPr>
                <w:rFonts w:hint="default" w:ascii="Times New Roman" w:hAnsi="Times New Roman" w:eastAsia="宋体" w:cs="Times New Roman"/>
                <w:color w:val="auto"/>
                <w:sz w:val="24"/>
                <w:szCs w:val="24"/>
                <w:highlight w:val="none"/>
              </w:rPr>
              <w:t>年平均质量浓度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O</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lang w:val="en-US" w:eastAsia="zh-CN"/>
              </w:rPr>
              <w:t>第90百分位8h平均</w:t>
            </w:r>
            <w:r>
              <w:rPr>
                <w:rFonts w:hint="default" w:ascii="Times New Roman" w:hAnsi="Times New Roman" w:eastAsia="宋体" w:cs="Times New Roman"/>
                <w:color w:val="auto"/>
                <w:sz w:val="24"/>
                <w:szCs w:val="24"/>
                <w:highlight w:val="none"/>
              </w:rPr>
              <w:t>浓度</w:t>
            </w:r>
            <w:r>
              <w:rPr>
                <w:rFonts w:hint="default" w:ascii="Times New Roman" w:hAnsi="Times New Roman" w:eastAsia="宋体" w:cs="Times New Roman"/>
                <w:color w:val="auto"/>
                <w:sz w:val="24"/>
                <w:szCs w:val="24"/>
                <w:highlight w:val="none"/>
                <w:lang w:val="en-US" w:eastAsia="zh-CN"/>
              </w:rPr>
              <w:t>超标。</w:t>
            </w:r>
            <w:r>
              <w:rPr>
                <w:rFonts w:hint="default" w:ascii="Times New Roman" w:hAnsi="Times New Roman" w:eastAsia="宋体" w:cs="Times New Roman"/>
                <w:color w:val="auto"/>
                <w:sz w:val="24"/>
                <w:szCs w:val="24"/>
                <w:highlight w:val="none"/>
              </w:rPr>
              <w:t>因此</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判断项目所在区域属不达标区</w:t>
            </w:r>
            <w:r>
              <w:rPr>
                <w:rFonts w:hint="default" w:ascii="Times New Roman" w:hAnsi="Times New Roman" w:eastAsia="宋体" w:cs="Times New Roman"/>
                <w:color w:val="auto"/>
                <w:sz w:val="24"/>
                <w:szCs w:val="24"/>
                <w:highlight w:val="none"/>
              </w:rPr>
              <w:t>。</w:t>
            </w:r>
          </w:p>
          <w:p>
            <w:pPr>
              <w:keepNext w:val="0"/>
              <w:keepLines w:val="0"/>
              <w:pageBreakBefore w:val="0"/>
              <w:kinsoku/>
              <w:wordWrap/>
              <w:overflowPunct/>
              <w:topLinePunct w:val="0"/>
              <w:autoSpaceDE/>
              <w:autoSpaceDN/>
              <w:bidi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rPr>
              <w:t>（2）特征</w:t>
            </w:r>
            <w:r>
              <w:rPr>
                <w:rFonts w:hint="default" w:ascii="Times New Roman" w:hAnsi="Times New Roman" w:eastAsia="宋体" w:cs="Times New Roman"/>
                <w:color w:val="auto"/>
                <w:sz w:val="24"/>
                <w:szCs w:val="24"/>
                <w:highlight w:val="none"/>
              </w:rPr>
              <w:t>污染物监测</w:t>
            </w:r>
          </w:p>
          <w:p>
            <w:pPr>
              <w:pStyle w:val="16"/>
              <w:keepNext w:val="0"/>
              <w:keepLines w:val="0"/>
              <w:pageBreakBefore w:val="0"/>
              <w:kinsoku/>
              <w:wordWrap/>
              <w:overflowPunct/>
              <w:topLinePunct w:val="0"/>
              <w:autoSpaceDE/>
              <w:autoSpaceDN/>
              <w:bidi w:val="0"/>
              <w:spacing w:line="360" w:lineRule="auto"/>
              <w:ind w:firstLine="480" w:firstLineChars="200"/>
              <w:jc w:val="both"/>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lang w:val="en-US" w:eastAsia="zh-CN"/>
              </w:rPr>
              <w:t>项目大气特征污染物为非甲烷总烃，本次环境空气质量引用</w:t>
            </w:r>
            <w:r>
              <w:rPr>
                <w:rFonts w:hint="default" w:ascii="Times New Roman" w:hAnsi="Times New Roman" w:eastAsia="宋体" w:cs="Times New Roman"/>
                <w:color w:val="auto"/>
                <w:sz w:val="24"/>
                <w:szCs w:val="24"/>
                <w:highlight w:val="none"/>
              </w:rPr>
              <w:t>陕西</w:t>
            </w:r>
            <w:r>
              <w:rPr>
                <w:rFonts w:hint="default" w:ascii="Times New Roman" w:hAnsi="Times New Roman" w:eastAsia="宋体" w:cs="Times New Roman"/>
                <w:color w:val="auto"/>
                <w:sz w:val="24"/>
                <w:szCs w:val="24"/>
                <w:highlight w:val="none"/>
                <w:lang w:val="en-US" w:eastAsia="zh-CN"/>
              </w:rPr>
              <w:t>博润</w:t>
            </w:r>
            <w:r>
              <w:rPr>
                <w:rFonts w:hint="default" w:ascii="Times New Roman" w:hAnsi="Times New Roman" w:eastAsia="宋体" w:cs="Times New Roman"/>
                <w:color w:val="auto"/>
                <w:sz w:val="24"/>
                <w:szCs w:val="24"/>
                <w:highlight w:val="none"/>
              </w:rPr>
              <w:t>检测</w:t>
            </w:r>
            <w:r>
              <w:rPr>
                <w:rFonts w:hint="default" w:ascii="Times New Roman" w:hAnsi="Times New Roman" w:eastAsia="宋体" w:cs="Times New Roman"/>
                <w:color w:val="auto"/>
                <w:sz w:val="24"/>
                <w:szCs w:val="24"/>
                <w:highlight w:val="none"/>
                <w:lang w:val="en-US" w:eastAsia="zh-CN"/>
              </w:rPr>
              <w:t>服务</w:t>
            </w:r>
            <w:r>
              <w:rPr>
                <w:rFonts w:hint="default" w:ascii="Times New Roman" w:hAnsi="Times New Roman" w:eastAsia="宋体" w:cs="Times New Roman"/>
                <w:color w:val="auto"/>
                <w:sz w:val="24"/>
                <w:szCs w:val="24"/>
                <w:highlight w:val="none"/>
              </w:rPr>
              <w:t>有限公司于</w:t>
            </w:r>
            <w:r>
              <w:rPr>
                <w:rFonts w:hint="default" w:ascii="Times New Roman" w:hAnsi="Times New Roman" w:eastAsia="宋体" w:cs="Times New Roman"/>
                <w:color w:val="auto"/>
                <w:kern w:val="0"/>
                <w:sz w:val="24"/>
                <w:szCs w:val="24"/>
                <w:highlight w:val="none"/>
                <w:lang w:eastAsia="zh-CN"/>
              </w:rPr>
              <w:t>202</w:t>
            </w:r>
            <w:r>
              <w:rPr>
                <w:rFonts w:hint="default" w:ascii="Times New Roman" w:hAnsi="Times New Roman" w:eastAsia="宋体" w:cs="Times New Roman"/>
                <w:color w:val="auto"/>
                <w:kern w:val="0"/>
                <w:sz w:val="24"/>
                <w:szCs w:val="24"/>
                <w:highlight w:val="none"/>
                <w:lang w:val="en-US" w:eastAsia="zh-CN"/>
              </w:rPr>
              <w:t>3</w:t>
            </w:r>
            <w:r>
              <w:rPr>
                <w:rFonts w:hint="default" w:ascii="Times New Roman" w:hAnsi="Times New Roman" w:eastAsia="宋体" w:cs="Times New Roman"/>
                <w:color w:val="auto"/>
                <w:kern w:val="0"/>
                <w:sz w:val="24"/>
                <w:szCs w:val="24"/>
                <w:highlight w:val="none"/>
                <w:lang w:eastAsia="zh-CN"/>
              </w:rPr>
              <w:t>年</w:t>
            </w:r>
            <w:r>
              <w:rPr>
                <w:rFonts w:hint="default" w:ascii="Times New Roman" w:hAnsi="Times New Roman" w:eastAsia="宋体" w:cs="Times New Roman"/>
                <w:color w:val="auto"/>
                <w:kern w:val="0"/>
                <w:sz w:val="24"/>
                <w:szCs w:val="24"/>
                <w:highlight w:val="none"/>
                <w:lang w:val="en-US" w:eastAsia="zh-CN"/>
              </w:rPr>
              <w:t>3</w:t>
            </w:r>
            <w:r>
              <w:rPr>
                <w:rFonts w:hint="default" w:ascii="Times New Roman" w:hAnsi="Times New Roman" w:eastAsia="宋体" w:cs="Times New Roman"/>
                <w:color w:val="auto"/>
                <w:kern w:val="0"/>
                <w:sz w:val="24"/>
                <w:szCs w:val="24"/>
                <w:highlight w:val="none"/>
                <w:lang w:eastAsia="zh-CN"/>
              </w:rPr>
              <w:t>月</w:t>
            </w:r>
            <w:r>
              <w:rPr>
                <w:rFonts w:hint="default" w:ascii="Times New Roman" w:hAnsi="Times New Roman" w:eastAsia="宋体" w:cs="Times New Roman"/>
                <w:color w:val="auto"/>
                <w:kern w:val="0"/>
                <w:sz w:val="24"/>
                <w:szCs w:val="24"/>
                <w:highlight w:val="none"/>
                <w:lang w:val="en-US" w:eastAsia="zh-CN"/>
              </w:rPr>
              <w:t>7</w:t>
            </w:r>
            <w:r>
              <w:rPr>
                <w:rFonts w:hint="default" w:ascii="Times New Roman" w:hAnsi="Times New Roman" w:eastAsia="宋体" w:cs="Times New Roman"/>
                <w:color w:val="auto"/>
                <w:kern w:val="0"/>
                <w:sz w:val="24"/>
                <w:szCs w:val="24"/>
                <w:highlight w:val="none"/>
                <w:lang w:eastAsia="zh-CN"/>
              </w:rPr>
              <w:t>日~202</w:t>
            </w:r>
            <w:r>
              <w:rPr>
                <w:rFonts w:hint="default" w:ascii="Times New Roman" w:hAnsi="Times New Roman" w:eastAsia="宋体" w:cs="Times New Roman"/>
                <w:color w:val="auto"/>
                <w:kern w:val="0"/>
                <w:sz w:val="24"/>
                <w:szCs w:val="24"/>
                <w:highlight w:val="none"/>
                <w:lang w:val="en-US" w:eastAsia="zh-CN"/>
              </w:rPr>
              <w:t>3</w:t>
            </w:r>
            <w:r>
              <w:rPr>
                <w:rFonts w:hint="default" w:ascii="Times New Roman" w:hAnsi="Times New Roman" w:eastAsia="宋体" w:cs="Times New Roman"/>
                <w:color w:val="auto"/>
                <w:kern w:val="0"/>
                <w:sz w:val="24"/>
                <w:szCs w:val="24"/>
                <w:highlight w:val="none"/>
                <w:lang w:eastAsia="zh-CN"/>
              </w:rPr>
              <w:t>年</w:t>
            </w:r>
            <w:r>
              <w:rPr>
                <w:rFonts w:hint="default" w:ascii="Times New Roman" w:hAnsi="Times New Roman" w:eastAsia="宋体" w:cs="Times New Roman"/>
                <w:color w:val="auto"/>
                <w:kern w:val="0"/>
                <w:sz w:val="24"/>
                <w:szCs w:val="24"/>
                <w:highlight w:val="none"/>
                <w:lang w:val="en-US" w:eastAsia="zh-CN"/>
              </w:rPr>
              <w:t>3</w:t>
            </w:r>
            <w:r>
              <w:rPr>
                <w:rFonts w:hint="default" w:ascii="Times New Roman" w:hAnsi="Times New Roman" w:eastAsia="宋体" w:cs="Times New Roman"/>
                <w:color w:val="auto"/>
                <w:kern w:val="0"/>
                <w:sz w:val="24"/>
                <w:szCs w:val="24"/>
                <w:highlight w:val="none"/>
                <w:lang w:eastAsia="zh-CN"/>
              </w:rPr>
              <w:t>月</w:t>
            </w:r>
            <w:r>
              <w:rPr>
                <w:rFonts w:hint="default" w:ascii="Times New Roman" w:hAnsi="Times New Roman" w:eastAsia="宋体" w:cs="Times New Roman"/>
                <w:color w:val="auto"/>
                <w:kern w:val="0"/>
                <w:sz w:val="24"/>
                <w:szCs w:val="24"/>
                <w:highlight w:val="none"/>
                <w:lang w:val="en-US" w:eastAsia="zh-CN"/>
              </w:rPr>
              <w:t>9</w:t>
            </w:r>
            <w:r>
              <w:rPr>
                <w:rFonts w:hint="default" w:ascii="Times New Roman" w:hAnsi="Times New Roman" w:eastAsia="宋体" w:cs="Times New Roman"/>
                <w:color w:val="auto"/>
                <w:kern w:val="0"/>
                <w:sz w:val="24"/>
                <w:szCs w:val="24"/>
                <w:highlight w:val="none"/>
                <w:lang w:eastAsia="zh-CN"/>
              </w:rPr>
              <w:t>日</w:t>
            </w:r>
            <w:r>
              <w:rPr>
                <w:rFonts w:hint="default" w:ascii="Times New Roman" w:hAnsi="Times New Roman" w:eastAsia="宋体" w:cs="Times New Roman"/>
                <w:color w:val="auto"/>
                <w:kern w:val="0"/>
                <w:sz w:val="24"/>
                <w:szCs w:val="24"/>
                <w:highlight w:val="none"/>
                <w:lang w:val="en-US" w:eastAsia="zh-CN"/>
              </w:rPr>
              <w:t>对</w:t>
            </w:r>
            <w:r>
              <w:rPr>
                <w:rFonts w:hint="default" w:ascii="Times New Roman" w:hAnsi="Times New Roman" w:eastAsia="宋体" w:cs="Times New Roman"/>
                <w:color w:val="auto"/>
                <w:sz w:val="24"/>
                <w:szCs w:val="24"/>
                <w:highlight w:val="none"/>
                <w:lang w:val="en-US" w:eastAsia="zh-CN"/>
              </w:rPr>
              <w:t>西安幸福未来天然健康产品生产基地项目环境质量现状监测的监测数据，</w:t>
            </w:r>
            <w:r>
              <w:rPr>
                <w:rFonts w:hint="default" w:ascii="Times New Roman" w:hAnsi="Times New Roman" w:eastAsia="宋体" w:cs="Times New Roman"/>
                <w:color w:val="auto"/>
                <w:sz w:val="24"/>
                <w:szCs w:val="24"/>
                <w:highlight w:val="none"/>
              </w:rPr>
              <w:t>监测文号</w:t>
            </w:r>
            <w:r>
              <w:rPr>
                <w:rFonts w:hint="default" w:ascii="Times New Roman" w:hAnsi="Times New Roman" w:eastAsia="宋体" w:cs="Times New Roman"/>
                <w:color w:val="auto"/>
                <w:sz w:val="24"/>
                <w:szCs w:val="24"/>
                <w:highlight w:val="none"/>
                <w:lang w:eastAsia="zh-CN"/>
              </w:rPr>
              <w:t>：BRX2303007（</w:t>
            </w:r>
            <w:r>
              <w:rPr>
                <w:rFonts w:hint="default" w:ascii="Times New Roman" w:hAnsi="Times New Roman" w:eastAsia="宋体" w:cs="Times New Roman"/>
                <w:color w:val="auto"/>
                <w:sz w:val="24"/>
                <w:szCs w:val="24"/>
                <w:highlight w:val="none"/>
                <w:lang w:val="en-US" w:eastAsia="zh-CN"/>
              </w:rPr>
              <w:t>引用监测报告见附件4</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，监测项目为非甲烷总烃，</w:t>
            </w:r>
            <w:r>
              <w:rPr>
                <w:rFonts w:hint="default" w:ascii="Times New Roman" w:hAnsi="Times New Roman" w:eastAsia="宋体" w:cs="Times New Roman"/>
                <w:color w:val="auto"/>
                <w:sz w:val="24"/>
                <w:szCs w:val="24"/>
                <w:highlight w:val="none"/>
                <w:lang w:val="en-US" w:eastAsia="zh-CN"/>
              </w:rPr>
              <w:t>监测点位于</w:t>
            </w:r>
            <w:r>
              <w:rPr>
                <w:rFonts w:hint="default" w:ascii="Times New Roman" w:hAnsi="Times New Roman" w:eastAsia="宋体" w:cs="Times New Roman"/>
                <w:color w:val="auto"/>
                <w:sz w:val="24"/>
                <w:szCs w:val="24"/>
                <w:lang w:val="en-US" w:eastAsia="zh-CN"/>
              </w:rPr>
              <w:t>项目地西南侧828m处的空地，位于本项目周边5千米范围内。符合《建设项目环境影响报告表编制技术指南（污染影响类）（试行）》中“周边5千米范围内近3年”的要求。监测点位图见</w:t>
            </w:r>
            <w:r>
              <w:rPr>
                <w:rFonts w:hint="default" w:ascii="Times New Roman" w:hAnsi="Times New Roman" w:eastAsia="宋体" w:cs="Times New Roman"/>
                <w:color w:val="auto"/>
                <w:sz w:val="24"/>
                <w:szCs w:val="24"/>
                <w:highlight w:val="none"/>
                <w:lang w:val="en-US" w:eastAsia="zh-CN"/>
              </w:rPr>
              <w:t>附图6。监测结果见</w:t>
            </w:r>
            <w:r>
              <w:rPr>
                <w:rFonts w:hint="eastAsia" w:ascii="Times New Roman" w:hAnsi="Times New Roman" w:eastAsia="宋体" w:cs="Times New Roman"/>
                <w:color w:val="auto"/>
                <w:sz w:val="24"/>
                <w:szCs w:val="24"/>
                <w:lang w:val="en-US" w:eastAsia="zh-CN"/>
              </w:rPr>
              <w:t>下</w:t>
            </w: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ordWrap/>
              <w:overflowPunct/>
              <w:topLinePunct w:val="0"/>
              <w:autoSpaceDE w:val="0"/>
              <w:autoSpaceDN w:val="0"/>
              <w:bidi w:val="0"/>
              <w:adjustRightInd w:val="0"/>
              <w:snapToGrid w:val="0"/>
              <w:spacing w:line="360" w:lineRule="auto"/>
              <w:ind w:firstLine="0" w:firstLineChars="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表3-2    环境空气质量监测值</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240"/>
              <w:gridCol w:w="906"/>
              <w:gridCol w:w="898"/>
              <w:gridCol w:w="898"/>
              <w:gridCol w:w="898"/>
              <w:gridCol w:w="702"/>
              <w:gridCol w:w="892"/>
              <w:gridCol w:w="6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9"/>
                  <w:tcBorders>
                    <w:tl2br w:val="nil"/>
                    <w:tr2bl w:val="nil"/>
                  </w:tcBorders>
                  <w:noWrap w:val="0"/>
                  <w:vAlign w:val="center"/>
                </w:tcPr>
                <w:p>
                  <w:pPr>
                    <w:keepNext w:val="0"/>
                    <w:keepLines w:val="0"/>
                    <w:pageBreakBefore w:val="0"/>
                    <w:widowControl/>
                    <w:kinsoku/>
                    <w:wordWrap/>
                    <w:overflowPunct/>
                    <w:topLinePunct w:val="0"/>
                    <w:autoSpaceDE/>
                    <w:autoSpaceDN/>
                    <w:bidi w:val="0"/>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highlight w:val="none"/>
                      <w:lang w:val="en-US" w:eastAsia="zh-CN"/>
                    </w:rPr>
                    <w:t>项目地下风向监测</w:t>
                  </w:r>
                  <w:r>
                    <w:rPr>
                      <w:rFonts w:hint="default" w:ascii="Times New Roman" w:hAnsi="Times New Roman" w:eastAsia="宋体" w:cs="Times New Roman"/>
                      <w:b/>
                      <w:bCs/>
                      <w:color w:val="auto"/>
                      <w:kern w:val="0"/>
                      <w:sz w:val="21"/>
                      <w:szCs w:val="21"/>
                      <w:highlight w:val="none"/>
                    </w:rPr>
                    <w:t>结</w:t>
                  </w:r>
                  <w:r>
                    <w:rPr>
                      <w:rFonts w:hint="default" w:ascii="Times New Roman" w:hAnsi="Times New Roman" w:eastAsia="宋体" w:cs="Times New Roman"/>
                      <w:b/>
                      <w:bCs/>
                      <w:color w:val="auto"/>
                      <w:kern w:val="0"/>
                      <w:sz w:val="21"/>
                      <w:szCs w:val="21"/>
                    </w:rPr>
                    <w:t>果（单位：</w:t>
                  </w:r>
                  <w:r>
                    <w:rPr>
                      <w:rFonts w:hint="default" w:ascii="Times New Roman" w:hAnsi="Times New Roman" w:eastAsia="宋体" w:cs="Times New Roman"/>
                      <w:b/>
                      <w:bCs/>
                      <w:color w:val="auto"/>
                      <w:kern w:val="0"/>
                      <w:sz w:val="21"/>
                      <w:szCs w:val="21"/>
                      <w:lang w:val="en-US" w:eastAsia="zh-CN"/>
                    </w:rPr>
                    <w:t>m</w:t>
                  </w:r>
                  <w:r>
                    <w:rPr>
                      <w:rFonts w:hint="default" w:ascii="Times New Roman" w:hAnsi="Times New Roman" w:eastAsia="宋体" w:cs="Times New Roman"/>
                      <w:b/>
                      <w:bCs/>
                      <w:color w:val="auto"/>
                      <w:sz w:val="21"/>
                      <w:szCs w:val="21"/>
                    </w:rPr>
                    <w:t>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5"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分析项目</w:t>
                  </w:r>
                </w:p>
              </w:tc>
              <w:tc>
                <w:tcPr>
                  <w:tcW w:w="786"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采样日期</w:t>
                  </w:r>
                </w:p>
              </w:tc>
              <w:tc>
                <w:tcPr>
                  <w:tcW w:w="574" w:type="pct"/>
                  <w:tcBorders>
                    <w:tl2br w:val="nil"/>
                    <w:tr2bl w:val="nil"/>
                  </w:tcBorders>
                  <w:noWrap w:val="0"/>
                  <w:vAlign w:val="center"/>
                </w:tcPr>
                <w:p>
                  <w:pPr>
                    <w:keepNext w:val="0"/>
                    <w:keepLines w:val="0"/>
                    <w:pageBreakBefore w:val="0"/>
                    <w:widowControl/>
                    <w:kinsoku/>
                    <w:wordWrap/>
                    <w:overflowPunct/>
                    <w:topLinePunct w:val="0"/>
                    <w:autoSpaceDE/>
                    <w:autoSpaceDN/>
                    <w:bidi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第一次</w:t>
                  </w:r>
                </w:p>
              </w:tc>
              <w:tc>
                <w:tcPr>
                  <w:tcW w:w="569" w:type="pct"/>
                  <w:tcBorders>
                    <w:tl2br w:val="nil"/>
                    <w:tr2bl w:val="nil"/>
                  </w:tcBorders>
                  <w:noWrap w:val="0"/>
                  <w:vAlign w:val="center"/>
                </w:tcPr>
                <w:p>
                  <w:pPr>
                    <w:keepNext w:val="0"/>
                    <w:keepLines w:val="0"/>
                    <w:pageBreakBefore w:val="0"/>
                    <w:widowControl/>
                    <w:kinsoku/>
                    <w:wordWrap/>
                    <w:overflowPunct/>
                    <w:topLinePunct w:val="0"/>
                    <w:autoSpaceDE/>
                    <w:autoSpaceDN/>
                    <w:bidi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第二次</w:t>
                  </w:r>
                </w:p>
              </w:tc>
              <w:tc>
                <w:tcPr>
                  <w:tcW w:w="569" w:type="pct"/>
                  <w:tcBorders>
                    <w:tl2br w:val="nil"/>
                    <w:tr2bl w:val="nil"/>
                  </w:tcBorders>
                  <w:noWrap w:val="0"/>
                  <w:vAlign w:val="center"/>
                </w:tcPr>
                <w:p>
                  <w:pPr>
                    <w:keepNext w:val="0"/>
                    <w:keepLines w:val="0"/>
                    <w:pageBreakBefore w:val="0"/>
                    <w:widowControl/>
                    <w:kinsoku/>
                    <w:wordWrap/>
                    <w:overflowPunct/>
                    <w:topLinePunct w:val="0"/>
                    <w:autoSpaceDE/>
                    <w:autoSpaceDN/>
                    <w:bidi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第三次</w:t>
                  </w:r>
                </w:p>
              </w:tc>
              <w:tc>
                <w:tcPr>
                  <w:tcW w:w="569" w:type="pct"/>
                  <w:tcBorders>
                    <w:tl2br w:val="nil"/>
                    <w:tr2bl w:val="nil"/>
                  </w:tcBorders>
                  <w:noWrap w:val="0"/>
                  <w:vAlign w:val="center"/>
                </w:tcPr>
                <w:p>
                  <w:pPr>
                    <w:keepNext w:val="0"/>
                    <w:keepLines w:val="0"/>
                    <w:pageBreakBefore w:val="0"/>
                    <w:widowControl/>
                    <w:kinsoku/>
                    <w:wordWrap/>
                    <w:overflowPunct/>
                    <w:topLinePunct w:val="0"/>
                    <w:autoSpaceDE/>
                    <w:autoSpaceDN/>
                    <w:bidi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第四次</w:t>
                  </w:r>
                </w:p>
              </w:tc>
              <w:tc>
                <w:tcPr>
                  <w:tcW w:w="445" w:type="pct"/>
                  <w:tcBorders>
                    <w:tl2br w:val="nil"/>
                    <w:tr2bl w:val="nil"/>
                  </w:tcBorders>
                  <w:noWrap w:val="0"/>
                  <w:vAlign w:val="center"/>
                </w:tcPr>
                <w:p>
                  <w:pPr>
                    <w:keepNext w:val="0"/>
                    <w:keepLines w:val="0"/>
                    <w:pageBreakBefore w:val="0"/>
                    <w:widowControl/>
                    <w:kinsoku/>
                    <w:wordWrap/>
                    <w:overflowPunct/>
                    <w:topLinePunct w:val="0"/>
                    <w:autoSpaceDE/>
                    <w:autoSpaceDN/>
                    <w:bidi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标准限值</w:t>
                  </w:r>
                </w:p>
              </w:tc>
              <w:tc>
                <w:tcPr>
                  <w:tcW w:w="565" w:type="pct"/>
                  <w:tcBorders>
                    <w:tl2br w:val="nil"/>
                    <w:tr2bl w:val="nil"/>
                  </w:tcBorders>
                  <w:noWrap w:val="0"/>
                  <w:vAlign w:val="center"/>
                </w:tcPr>
                <w:p>
                  <w:pPr>
                    <w:keepNext w:val="0"/>
                    <w:keepLines w:val="0"/>
                    <w:pageBreakBefore w:val="0"/>
                    <w:widowControl/>
                    <w:kinsoku/>
                    <w:wordWrap/>
                    <w:overflowPunct/>
                    <w:topLinePunct w:val="0"/>
                    <w:autoSpaceDE/>
                    <w:autoSpaceDN/>
                    <w:bidi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最大</w:t>
                  </w:r>
                  <w:r>
                    <w:rPr>
                      <w:rFonts w:hint="default" w:ascii="Times New Roman" w:hAnsi="Times New Roman" w:eastAsia="宋体" w:cs="Times New Roman"/>
                      <w:b/>
                      <w:bCs/>
                      <w:color w:val="auto"/>
                      <w:sz w:val="21"/>
                      <w:szCs w:val="21"/>
                    </w:rPr>
                    <w:t>占标率%</w:t>
                  </w:r>
                </w:p>
              </w:tc>
              <w:tc>
                <w:tcPr>
                  <w:tcW w:w="434" w:type="pct"/>
                  <w:tcBorders>
                    <w:tl2br w:val="nil"/>
                    <w:tr2bl w:val="nil"/>
                  </w:tcBorders>
                  <w:noWrap w:val="0"/>
                  <w:vAlign w:val="center"/>
                </w:tcPr>
                <w:p>
                  <w:pPr>
                    <w:keepNext w:val="0"/>
                    <w:keepLines w:val="0"/>
                    <w:pageBreakBefore w:val="0"/>
                    <w:widowControl/>
                    <w:kinsoku/>
                    <w:wordWrap/>
                    <w:overflowPunct/>
                    <w:topLinePunct w:val="0"/>
                    <w:autoSpaceDE/>
                    <w:autoSpaceDN/>
                    <w:bidi w:val="0"/>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5"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非甲烷总烃</w:t>
                  </w:r>
                </w:p>
              </w:tc>
              <w:tc>
                <w:tcPr>
                  <w:tcW w:w="786"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val="0"/>
                      <w:bCs w:val="0"/>
                      <w:color w:val="auto"/>
                      <w:kern w:val="0"/>
                      <w:sz w:val="21"/>
                      <w:szCs w:val="21"/>
                      <w:lang w:val="en-US" w:eastAsia="zh-CN"/>
                    </w:rPr>
                    <w:t>2023.3.7</w:t>
                  </w:r>
                </w:p>
              </w:tc>
              <w:tc>
                <w:tcPr>
                  <w:tcW w:w="574"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0.25</w:t>
                  </w:r>
                </w:p>
              </w:tc>
              <w:tc>
                <w:tcPr>
                  <w:tcW w:w="569"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0.27</w:t>
                  </w:r>
                </w:p>
              </w:tc>
              <w:tc>
                <w:tcPr>
                  <w:tcW w:w="569"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0.24</w:t>
                  </w:r>
                </w:p>
              </w:tc>
              <w:tc>
                <w:tcPr>
                  <w:tcW w:w="569"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0.29</w:t>
                  </w:r>
                </w:p>
              </w:tc>
              <w:tc>
                <w:tcPr>
                  <w:tcW w:w="445" w:type="pct"/>
                  <w:tcBorders>
                    <w:tl2br w:val="nil"/>
                    <w:tr2bl w:val="nil"/>
                  </w:tcBorders>
                  <w:noWrap w:val="0"/>
                  <w:vAlign w:val="center"/>
                </w:tcPr>
                <w:p>
                  <w:pPr>
                    <w:keepNext w:val="0"/>
                    <w:keepLines w:val="0"/>
                    <w:pageBreakBefore w:val="0"/>
                    <w:widowControl/>
                    <w:kinsoku/>
                    <w:wordWrap/>
                    <w:overflowPunct/>
                    <w:topLinePunct w:val="0"/>
                    <w:autoSpaceDE/>
                    <w:autoSpaceDN/>
                    <w:bidi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w:t>
                  </w:r>
                </w:p>
              </w:tc>
              <w:tc>
                <w:tcPr>
                  <w:tcW w:w="565" w:type="pct"/>
                  <w:tcBorders>
                    <w:tl2br w:val="nil"/>
                    <w:tr2bl w:val="nil"/>
                  </w:tcBorders>
                  <w:noWrap w:val="0"/>
                  <w:vAlign w:val="center"/>
                </w:tcPr>
                <w:p>
                  <w:pPr>
                    <w:keepNext w:val="0"/>
                    <w:keepLines w:val="0"/>
                    <w:pageBreakBefore w:val="0"/>
                    <w:widowControl/>
                    <w:kinsoku/>
                    <w:wordWrap/>
                    <w:overflowPunct/>
                    <w:topLinePunct w:val="0"/>
                    <w:autoSpaceDE/>
                    <w:autoSpaceDN/>
                    <w:bidi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14.5</w:t>
                  </w:r>
                </w:p>
              </w:tc>
              <w:tc>
                <w:tcPr>
                  <w:tcW w:w="434" w:type="pct"/>
                  <w:tcBorders>
                    <w:tl2br w:val="nil"/>
                    <w:tr2bl w:val="nil"/>
                  </w:tcBorders>
                  <w:noWrap w:val="0"/>
                  <w:vAlign w:val="center"/>
                </w:tcPr>
                <w:p>
                  <w:pPr>
                    <w:keepNext w:val="0"/>
                    <w:keepLines w:val="0"/>
                    <w:pageBreakBefore w:val="0"/>
                    <w:widowControl/>
                    <w:kinsoku/>
                    <w:wordWrap/>
                    <w:overflowPunct/>
                    <w:topLinePunct w:val="0"/>
                    <w:autoSpaceDE/>
                    <w:autoSpaceDN/>
                    <w:bidi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jc w:val="center"/>
                    <w:rPr>
                      <w:rFonts w:hint="default" w:ascii="Times New Roman" w:hAnsi="Times New Roman" w:eastAsia="宋体" w:cs="Times New Roman"/>
                      <w:color w:val="auto"/>
                      <w:kern w:val="0"/>
                      <w:sz w:val="21"/>
                      <w:szCs w:val="21"/>
                    </w:rPr>
                  </w:pPr>
                </w:p>
              </w:tc>
              <w:tc>
                <w:tcPr>
                  <w:tcW w:w="786"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kern w:val="0"/>
                      <w:sz w:val="21"/>
                      <w:szCs w:val="21"/>
                      <w:lang w:val="en-US"/>
                    </w:rPr>
                  </w:pPr>
                  <w:r>
                    <w:rPr>
                      <w:rFonts w:hint="default" w:ascii="Times New Roman" w:hAnsi="Times New Roman" w:eastAsia="宋体" w:cs="Times New Roman"/>
                      <w:b w:val="0"/>
                      <w:bCs w:val="0"/>
                      <w:color w:val="auto"/>
                      <w:kern w:val="0"/>
                      <w:sz w:val="21"/>
                      <w:szCs w:val="21"/>
                      <w:lang w:val="en-US" w:eastAsia="zh-CN"/>
                    </w:rPr>
                    <w:t>2023.3.8</w:t>
                  </w:r>
                </w:p>
              </w:tc>
              <w:tc>
                <w:tcPr>
                  <w:tcW w:w="574"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0.26</w:t>
                  </w:r>
                </w:p>
              </w:tc>
              <w:tc>
                <w:tcPr>
                  <w:tcW w:w="569"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0.27</w:t>
                  </w:r>
                </w:p>
              </w:tc>
              <w:tc>
                <w:tcPr>
                  <w:tcW w:w="569"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0.23</w:t>
                  </w:r>
                </w:p>
              </w:tc>
              <w:tc>
                <w:tcPr>
                  <w:tcW w:w="569"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0.28</w:t>
                  </w:r>
                </w:p>
              </w:tc>
              <w:tc>
                <w:tcPr>
                  <w:tcW w:w="445"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w:t>
                  </w:r>
                </w:p>
              </w:tc>
              <w:tc>
                <w:tcPr>
                  <w:tcW w:w="565" w:type="pct"/>
                  <w:tcBorders>
                    <w:tl2br w:val="nil"/>
                    <w:tr2bl w:val="nil"/>
                  </w:tcBorders>
                  <w:noWrap w:val="0"/>
                  <w:vAlign w:val="center"/>
                </w:tcPr>
                <w:p>
                  <w:pPr>
                    <w:keepNext w:val="0"/>
                    <w:keepLines w:val="0"/>
                    <w:pageBreakBefore w:val="0"/>
                    <w:widowControl/>
                    <w:kinsoku/>
                    <w:wordWrap/>
                    <w:overflowPunct/>
                    <w:topLinePunct w:val="0"/>
                    <w:autoSpaceDE/>
                    <w:autoSpaceDN/>
                    <w:bidi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14.0</w:t>
                  </w:r>
                </w:p>
              </w:tc>
              <w:tc>
                <w:tcPr>
                  <w:tcW w:w="434" w:type="pct"/>
                  <w:tcBorders>
                    <w:tl2br w:val="nil"/>
                    <w:tr2bl w:val="nil"/>
                  </w:tcBorders>
                  <w:noWrap w:val="0"/>
                  <w:vAlign w:val="center"/>
                </w:tcPr>
                <w:p>
                  <w:pPr>
                    <w:keepNext w:val="0"/>
                    <w:keepLines w:val="0"/>
                    <w:pageBreakBefore w:val="0"/>
                    <w:widowControl/>
                    <w:kinsoku/>
                    <w:wordWrap/>
                    <w:overflowPunct/>
                    <w:topLinePunct w:val="0"/>
                    <w:autoSpaceDE/>
                    <w:autoSpaceDN/>
                    <w:bidi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jc w:val="center"/>
                    <w:rPr>
                      <w:rFonts w:hint="default" w:ascii="Times New Roman" w:hAnsi="Times New Roman" w:eastAsia="宋体" w:cs="Times New Roman"/>
                      <w:color w:val="auto"/>
                      <w:kern w:val="0"/>
                      <w:sz w:val="21"/>
                      <w:szCs w:val="21"/>
                    </w:rPr>
                  </w:pPr>
                </w:p>
              </w:tc>
              <w:tc>
                <w:tcPr>
                  <w:tcW w:w="786"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kern w:val="0"/>
                      <w:sz w:val="21"/>
                      <w:szCs w:val="21"/>
                      <w:lang w:val="en-US"/>
                    </w:rPr>
                  </w:pPr>
                  <w:r>
                    <w:rPr>
                      <w:rFonts w:hint="default" w:ascii="Times New Roman" w:hAnsi="Times New Roman" w:eastAsia="宋体" w:cs="Times New Roman"/>
                      <w:b w:val="0"/>
                      <w:bCs w:val="0"/>
                      <w:color w:val="auto"/>
                      <w:kern w:val="0"/>
                      <w:sz w:val="21"/>
                      <w:szCs w:val="21"/>
                      <w:lang w:val="en-US" w:eastAsia="zh-CN"/>
                    </w:rPr>
                    <w:t>2023.3.9</w:t>
                  </w:r>
                </w:p>
              </w:tc>
              <w:tc>
                <w:tcPr>
                  <w:tcW w:w="574"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0.24</w:t>
                  </w:r>
                </w:p>
              </w:tc>
              <w:tc>
                <w:tcPr>
                  <w:tcW w:w="569"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0.29</w:t>
                  </w:r>
                </w:p>
              </w:tc>
              <w:tc>
                <w:tcPr>
                  <w:tcW w:w="569"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0.24</w:t>
                  </w:r>
                </w:p>
              </w:tc>
              <w:tc>
                <w:tcPr>
                  <w:tcW w:w="569"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0.26</w:t>
                  </w:r>
                </w:p>
              </w:tc>
              <w:tc>
                <w:tcPr>
                  <w:tcW w:w="445" w:type="pct"/>
                  <w:tcBorders>
                    <w:tl2br w:val="nil"/>
                    <w:tr2bl w:val="nil"/>
                  </w:tcBorders>
                  <w:noWrap w:val="0"/>
                  <w:vAlign w:val="center"/>
                </w:tcPr>
                <w:p>
                  <w:pPr>
                    <w:keepNext w:val="0"/>
                    <w:keepLines w:val="0"/>
                    <w:pageBreakBefore w:val="0"/>
                    <w:widowControl/>
                    <w:kinsoku/>
                    <w:wordWrap/>
                    <w:overflowPunct/>
                    <w:topLinePunct w:val="0"/>
                    <w:autoSpaceDE/>
                    <w:autoSpaceDN/>
                    <w:bidi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w:t>
                  </w:r>
                </w:p>
              </w:tc>
              <w:tc>
                <w:tcPr>
                  <w:tcW w:w="565" w:type="pct"/>
                  <w:tcBorders>
                    <w:tl2br w:val="nil"/>
                    <w:tr2bl w:val="nil"/>
                  </w:tcBorders>
                  <w:noWrap w:val="0"/>
                  <w:vAlign w:val="center"/>
                </w:tcPr>
                <w:p>
                  <w:pPr>
                    <w:keepNext w:val="0"/>
                    <w:keepLines w:val="0"/>
                    <w:pageBreakBefore w:val="0"/>
                    <w:widowControl/>
                    <w:kinsoku/>
                    <w:wordWrap/>
                    <w:overflowPunct/>
                    <w:topLinePunct w:val="0"/>
                    <w:autoSpaceDE/>
                    <w:autoSpaceDN/>
                    <w:bidi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14.5</w:t>
                  </w:r>
                </w:p>
              </w:tc>
              <w:tc>
                <w:tcPr>
                  <w:tcW w:w="434" w:type="pct"/>
                  <w:tcBorders>
                    <w:tl2br w:val="nil"/>
                    <w:tr2bl w:val="nil"/>
                  </w:tcBorders>
                  <w:noWrap w:val="0"/>
                  <w:vAlign w:val="center"/>
                </w:tcPr>
                <w:p>
                  <w:pPr>
                    <w:keepNext w:val="0"/>
                    <w:keepLines w:val="0"/>
                    <w:pageBreakBefore w:val="0"/>
                    <w:widowControl/>
                    <w:kinsoku/>
                    <w:wordWrap/>
                    <w:overflowPunct/>
                    <w:topLinePunct w:val="0"/>
                    <w:autoSpaceDE/>
                    <w:autoSpaceDN/>
                    <w:bidi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达标</w:t>
                  </w:r>
                </w:p>
              </w:tc>
            </w:tr>
          </w:tbl>
          <w:p>
            <w:pPr>
              <w:keepNext w:val="0"/>
              <w:keepLines w:val="0"/>
              <w:pageBreakBefore w:val="0"/>
              <w:widowControl w:val="0"/>
              <w:tabs>
                <w:tab w:val="left" w:pos="4675"/>
              </w:tabs>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lang w:val="en-US" w:eastAsia="zh-CN"/>
              </w:rPr>
              <w:t>根据监测结果可知，</w:t>
            </w:r>
            <w:r>
              <w:rPr>
                <w:rFonts w:hint="default" w:ascii="Times New Roman" w:hAnsi="Times New Roman" w:eastAsia="宋体" w:cs="Times New Roman"/>
                <w:color w:val="auto"/>
                <w:sz w:val="24"/>
                <w:szCs w:val="24"/>
              </w:rPr>
              <w:t>项目地周围环境空气中特征因子非甲烷总烃的小时平均浓度值满足《大气污染物排放标准详解》中相关标准限值要求。</w:t>
            </w:r>
          </w:p>
          <w:bookmarkEnd w:id="2"/>
          <w:p>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200" w:firstLine="482" w:firstLineChars="200"/>
              <w:jc w:val="both"/>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2、声环境质量现状</w:t>
            </w:r>
          </w:p>
          <w:p>
            <w:pPr>
              <w:keepNext w:val="0"/>
              <w:keepLines w:val="0"/>
              <w:pageBreakBefore w:val="0"/>
              <w:kinsoku/>
              <w:wordWrap/>
              <w:overflowPunct/>
              <w:topLinePunct w:val="0"/>
              <w:autoSpaceDE/>
              <w:autoSpaceDN/>
              <w:bidi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项目50m范围内无监测目标，因为不进行声环境质量现状监测。</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200" w:firstLine="482" w:firstLineChars="200"/>
              <w:jc w:val="both"/>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3、地表水环境</w:t>
            </w:r>
          </w:p>
          <w:p>
            <w:pPr>
              <w:keepNext w:val="0"/>
              <w:keepLines w:val="0"/>
              <w:pageBreakBefore w:val="0"/>
              <w:kinsoku/>
              <w:wordWrap/>
              <w:overflowPunct/>
              <w:topLinePunct w:val="0"/>
              <w:autoSpaceDE/>
              <w:autoSpaceDN/>
              <w:bidi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rPr>
              <w:t>生活污水经化粪池处理后经</w:t>
            </w:r>
            <w:r>
              <w:rPr>
                <w:rFonts w:hint="default" w:ascii="Times New Roman" w:hAnsi="Times New Roman" w:eastAsia="宋体" w:cs="Times New Roman"/>
                <w:color w:val="auto"/>
                <w:kern w:val="0"/>
                <w:sz w:val="24"/>
                <w:szCs w:val="24"/>
                <w:lang w:val="en-US" w:eastAsia="zh-CN" w:bidi="ar"/>
              </w:rPr>
              <w:t>园区污水管网排至集贤产业园污水处理厂统一处理后外排</w:t>
            </w:r>
            <w:r>
              <w:rPr>
                <w:rFonts w:hint="default" w:ascii="Times New Roman" w:hAnsi="Times New Roman" w:eastAsia="宋体" w:cs="Times New Roman"/>
                <w:color w:val="auto"/>
                <w:sz w:val="24"/>
                <w:szCs w:val="24"/>
                <w:highlight w:val="none"/>
              </w:rPr>
              <w:t>，因此不开展地表水环境质量现状调查。</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200" w:firstLine="482" w:firstLineChars="200"/>
              <w:jc w:val="both"/>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4、生态环境</w:t>
            </w:r>
          </w:p>
          <w:p>
            <w:pPr>
              <w:keepNext w:val="0"/>
              <w:keepLines w:val="0"/>
              <w:pageBreakBefore w:val="0"/>
              <w:kinsoku/>
              <w:wordWrap/>
              <w:overflowPunct/>
              <w:topLinePunct w:val="0"/>
              <w:autoSpaceDE/>
              <w:autoSpaceDN/>
              <w:bidi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val="en-US" w:eastAsia="zh-CN"/>
              </w:rPr>
              <w:t>位于</w:t>
            </w:r>
            <w:r>
              <w:rPr>
                <w:rFonts w:hint="default" w:ascii="Times New Roman" w:hAnsi="Times New Roman" w:eastAsia="宋体" w:cs="Times New Roman"/>
                <w:color w:val="auto"/>
                <w:sz w:val="24"/>
                <w:szCs w:val="24"/>
                <w:highlight w:val="none"/>
              </w:rPr>
              <w:t>已建厂房，无生态环境保护目标，因此不进行生态现状调查。</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200" w:firstLine="482" w:firstLineChars="200"/>
              <w:jc w:val="both"/>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5、电磁辐射</w:t>
            </w:r>
          </w:p>
          <w:p>
            <w:pPr>
              <w:keepNext w:val="0"/>
              <w:keepLines w:val="0"/>
              <w:pageBreakBefore w:val="0"/>
              <w:kinsoku/>
              <w:wordWrap/>
              <w:overflowPunct/>
              <w:topLinePunct w:val="0"/>
              <w:autoSpaceDE/>
              <w:autoSpaceDN/>
              <w:bidi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项目不涉及电磁辐射。</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200" w:firstLine="482" w:firstLineChars="200"/>
              <w:jc w:val="both"/>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6、地下水、土壤环境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lang w:eastAsia="zh-CN"/>
              </w:rPr>
              <w:t>根据《建设项目环境影响报告表编制技术指南》（污染影响类）（试行），地下水、土壤环境原则上不开展环境质量现状调查。</w:t>
            </w:r>
            <w:r>
              <w:rPr>
                <w:rFonts w:hint="default" w:ascii="Times New Roman" w:hAnsi="Times New Roman" w:eastAsia="宋体" w:cs="Times New Roman"/>
                <w:color w:val="auto"/>
                <w:sz w:val="24"/>
                <w:szCs w:val="24"/>
              </w:rPr>
              <w:t>项目</w:t>
            </w:r>
            <w:r>
              <w:rPr>
                <w:rFonts w:hint="default" w:ascii="Times New Roman" w:hAnsi="Times New Roman" w:eastAsia="宋体" w:cs="Times New Roman"/>
                <w:color w:val="auto"/>
                <w:sz w:val="24"/>
                <w:szCs w:val="24"/>
                <w:lang w:val="en-US" w:eastAsia="zh-CN"/>
              </w:rPr>
              <w:t>场地硬化无直接污染途径</w:t>
            </w:r>
            <w:r>
              <w:rPr>
                <w:rFonts w:hint="default" w:ascii="Times New Roman" w:hAnsi="Times New Roman" w:eastAsia="宋体" w:cs="Times New Roman"/>
                <w:color w:val="auto"/>
                <w:sz w:val="24"/>
                <w:szCs w:val="24"/>
              </w:rPr>
              <w:t>。因此，本次不对地下水、土壤环境进行监测。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jc w:val="center"/>
        </w:trPr>
        <w:tc>
          <w:tcPr>
            <w:tcW w:w="515" w:type="pct"/>
            <w:tcBorders>
              <w:bottom w:val="single" w:color="000000" w:sz="4" w:space="0"/>
            </w:tcBorders>
            <w:noWrap w:val="0"/>
            <w:vAlign w:val="center"/>
          </w:tcPr>
          <w:p>
            <w:pPr>
              <w:adjustRightInd w:val="0"/>
              <w:snapToGrid w:val="0"/>
              <w:ind w:left="-42" w:leftChars="-20" w:right="-42" w:rightChars="-2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环境保护目标</w:t>
            </w:r>
          </w:p>
        </w:tc>
        <w:tc>
          <w:tcPr>
            <w:tcW w:w="4484" w:type="pct"/>
            <w:tcBorders>
              <w:bottom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val="0"/>
              <w:snapToGrid w:val="0"/>
              <w:ind w:firstLine="480" w:firstLineChars="200"/>
              <w:jc w:val="both"/>
              <w:textAlignment w:val="baseline"/>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lang w:eastAsia="zh-CN"/>
              </w:rPr>
              <w:t>本项目位于</w:t>
            </w:r>
            <w:r>
              <w:rPr>
                <w:rFonts w:hint="default" w:ascii="Times New Roman" w:hAnsi="Times New Roman" w:eastAsia="宋体" w:cs="Times New Roman"/>
                <w:color w:val="auto"/>
                <w:sz w:val="24"/>
                <w:szCs w:val="24"/>
                <w:highlight w:val="none"/>
                <w:lang w:val="en-US" w:eastAsia="zh-CN"/>
              </w:rPr>
              <w:t>西安市高新区集贤园科技大道8号</w:t>
            </w:r>
            <w:r>
              <w:rPr>
                <w:rFonts w:hint="default"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经现场勘查，项目所在地不属于自然保护区、生态脆弱区等，评价范围内无重点保护文物、古迹、植物、动物及人文景观等。</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Cs/>
                <w:color w:val="auto"/>
                <w:sz w:val="24"/>
                <w:szCs w:val="24"/>
                <w:lang w:val="en-US" w:eastAsia="zh-CN"/>
              </w:rPr>
              <w:t>1</w:t>
            </w:r>
            <w:r>
              <w:rPr>
                <w:rFonts w:hint="default" w:ascii="Times New Roman" w:hAnsi="Times New Roman" w:eastAsia="宋体" w:cs="Times New Roman"/>
                <w:color w:val="auto"/>
                <w:sz w:val="24"/>
                <w:szCs w:val="24"/>
              </w:rPr>
              <w:t>、声环境保护目标：本项目所在地厂界外50m范围内无声环境保护目标</w:t>
            </w:r>
            <w:r>
              <w:rPr>
                <w:rFonts w:hint="default" w:ascii="Times New Roman" w:hAnsi="Times New Roman" w:eastAsia="宋体" w:cs="Times New Roman"/>
                <w:color w:val="auto"/>
                <w:sz w:val="24"/>
                <w:szCs w:val="24"/>
                <w:lang w:eastAsia="zh-CN"/>
              </w:rPr>
              <w:t>；</w:t>
            </w:r>
          </w:p>
          <w:p>
            <w:pPr>
              <w:keepNext w:val="0"/>
              <w:keepLines w:val="0"/>
              <w:pageBreakBefore w:val="0"/>
              <w:kinsoku/>
              <w:wordWrap/>
              <w:overflowPunct/>
              <w:topLinePunct w:val="0"/>
              <w:autoSpaceDE/>
              <w:autoSpaceDN/>
              <w:bidi w:val="0"/>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、地下水环境：本项目所在地厂界外500米范围内无地下水集中式饮用水水源和热水、矿泉水、温泉等特殊地下水资源</w:t>
            </w:r>
            <w:r>
              <w:rPr>
                <w:rFonts w:hint="default" w:ascii="Times New Roman" w:hAnsi="Times New Roman" w:eastAsia="宋体" w:cs="Times New Roman"/>
                <w:color w:val="auto"/>
                <w:sz w:val="24"/>
                <w:szCs w:val="24"/>
                <w:lang w:eastAsia="zh-CN"/>
              </w:rPr>
              <w:t>；</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z w:val="24"/>
                <w:szCs w:val="24"/>
                <w:lang w:val="en-US" w:eastAsia="zh-CN" w:bidi="ar"/>
              </w:rPr>
              <w:t>3</w:t>
            </w:r>
            <w:r>
              <w:rPr>
                <w:rFonts w:hint="default" w:ascii="Times New Roman" w:hAnsi="Times New Roman" w:eastAsia="宋体" w:cs="Times New Roman"/>
                <w:color w:val="auto"/>
                <w:sz w:val="24"/>
                <w:szCs w:val="24"/>
                <w:lang w:bidi="ar"/>
              </w:rPr>
              <w:t>、生态环境：</w:t>
            </w: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val="en-US" w:eastAsia="zh-CN"/>
              </w:rPr>
              <w:t>位于西安市高新区集贤园科技大道8号</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rPr>
              <w:t>项目用地属工业用地，用地范围内无生态环境保</w:t>
            </w:r>
            <w:r>
              <w:rPr>
                <w:rFonts w:hint="default" w:ascii="Times New Roman" w:hAnsi="Times New Roman" w:eastAsia="宋体" w:cs="Times New Roman"/>
                <w:color w:val="auto"/>
                <w:sz w:val="24"/>
                <w:szCs w:val="24"/>
                <w:highlight w:val="none"/>
              </w:rPr>
              <w:t>护目标</w:t>
            </w:r>
            <w:r>
              <w:rPr>
                <w:rFonts w:hint="default" w:ascii="Times New Roman" w:hAnsi="Times New Roman" w:eastAsia="宋体" w:cs="Times New Roman"/>
                <w:color w:val="auto"/>
                <w:sz w:val="24"/>
                <w:szCs w:val="24"/>
                <w:highlight w:val="none"/>
                <w:lang w:bidi="ar"/>
              </w:rPr>
              <w:t>。</w:t>
            </w:r>
          </w:p>
          <w:p>
            <w:pPr>
              <w:keepNext w:val="0"/>
              <w:keepLines w:val="0"/>
              <w:pageBreakBefore w:val="0"/>
              <w:kinsoku/>
              <w:wordWrap/>
              <w:overflowPunct/>
              <w:topLinePunct w:val="0"/>
              <w:autoSpaceDE/>
              <w:autoSpaceDN/>
              <w:bidi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bidi="ar"/>
              </w:rPr>
              <w:t>项目所在区域范围内</w:t>
            </w:r>
            <w:r>
              <w:rPr>
                <w:rFonts w:hint="default" w:ascii="Times New Roman" w:hAnsi="Times New Roman" w:eastAsia="宋体" w:cs="Times New Roman"/>
                <w:color w:val="auto"/>
                <w:sz w:val="24"/>
                <w:szCs w:val="24"/>
                <w:highlight w:val="none"/>
                <w:lang w:val="en-US" w:eastAsia="zh-CN" w:bidi="ar"/>
              </w:rPr>
              <w:t>大气</w:t>
            </w:r>
            <w:r>
              <w:rPr>
                <w:rFonts w:hint="default" w:ascii="Times New Roman" w:hAnsi="Times New Roman" w:eastAsia="宋体" w:cs="Times New Roman"/>
                <w:color w:val="auto"/>
                <w:sz w:val="24"/>
                <w:szCs w:val="24"/>
                <w:highlight w:val="none"/>
                <w:lang w:bidi="ar"/>
              </w:rPr>
              <w:t>环境保护目标见</w:t>
            </w:r>
            <w:r>
              <w:rPr>
                <w:rFonts w:hint="eastAsia" w:ascii="Times New Roman" w:hAnsi="Times New Roman" w:eastAsia="宋体" w:cs="Times New Roman"/>
                <w:color w:val="auto"/>
                <w:sz w:val="24"/>
                <w:szCs w:val="24"/>
                <w:lang w:val="en-US" w:eastAsia="zh-CN"/>
              </w:rPr>
              <w:t>下</w:t>
            </w: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ordWrap/>
              <w:overflowPunct/>
              <w:topLinePunct w:val="0"/>
              <w:autoSpaceDE w:val="0"/>
              <w:autoSpaceDN w:val="0"/>
              <w:bidi w:val="0"/>
              <w:spacing w:line="360" w:lineRule="auto"/>
              <w:ind w:firstLine="0" w:firstLineChars="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表3-</w:t>
            </w: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 xml:space="preserve">  项目主要环境保护对象及目标</w:t>
            </w:r>
          </w:p>
          <w:tbl>
            <w:tblPr>
              <w:tblStyle w:val="109"/>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88"/>
              <w:gridCol w:w="1095"/>
              <w:gridCol w:w="1033"/>
              <w:gridCol w:w="957"/>
              <w:gridCol w:w="1435"/>
              <w:gridCol w:w="924"/>
              <w:gridCol w:w="753"/>
              <w:gridCol w:w="9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37" w:type="pct"/>
                  <w:tcBorders>
                    <w:tl2br w:val="nil"/>
                    <w:tr2bl w:val="nil"/>
                  </w:tcBorders>
                  <w:noWrap w:val="0"/>
                  <w:vAlign w:val="center"/>
                </w:tcPr>
                <w:p>
                  <w:pPr>
                    <w:pStyle w:val="137"/>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sz w:val="21"/>
                      <w:szCs w:val="21"/>
                    </w:rPr>
                    <w:t>环境</w:t>
                  </w:r>
                </w:p>
                <w:p>
                  <w:pPr>
                    <w:pStyle w:val="137"/>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sz w:val="21"/>
                      <w:szCs w:val="21"/>
                    </w:rPr>
                    <w:t>要素</w:t>
                  </w:r>
                </w:p>
              </w:tc>
              <w:tc>
                <w:tcPr>
                  <w:tcW w:w="1351" w:type="pct"/>
                  <w:gridSpan w:val="2"/>
                  <w:tcBorders>
                    <w:tl2br w:val="nil"/>
                    <w:tr2bl w:val="nil"/>
                  </w:tcBorders>
                  <w:noWrap w:val="0"/>
                  <w:vAlign w:val="center"/>
                </w:tcPr>
                <w:p>
                  <w:pPr>
                    <w:pStyle w:val="137"/>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sz w:val="21"/>
                      <w:szCs w:val="21"/>
                    </w:rPr>
                    <w:t>坐标</w:t>
                  </w:r>
                </w:p>
              </w:tc>
              <w:tc>
                <w:tcPr>
                  <w:tcW w:w="607" w:type="pct"/>
                  <w:vMerge w:val="restart"/>
                  <w:tcBorders>
                    <w:tl2br w:val="nil"/>
                    <w:tr2bl w:val="nil"/>
                  </w:tcBorders>
                  <w:noWrap w:val="0"/>
                  <w:vAlign w:val="center"/>
                </w:tcPr>
                <w:p>
                  <w:pPr>
                    <w:pStyle w:val="137"/>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sz w:val="21"/>
                      <w:szCs w:val="21"/>
                    </w:rPr>
                    <w:t>保护对象</w:t>
                  </w:r>
                </w:p>
              </w:tc>
              <w:tc>
                <w:tcPr>
                  <w:tcW w:w="911" w:type="pct"/>
                  <w:vMerge w:val="restart"/>
                  <w:tcBorders>
                    <w:tl2br w:val="nil"/>
                    <w:tr2bl w:val="nil"/>
                  </w:tcBorders>
                  <w:noWrap w:val="0"/>
                  <w:vAlign w:val="center"/>
                </w:tcPr>
                <w:p>
                  <w:pPr>
                    <w:pStyle w:val="137"/>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1"/>
                      <w:sz w:val="21"/>
                      <w:szCs w:val="21"/>
                    </w:rPr>
                    <w:t>保护目标内容</w:t>
                  </w:r>
                </w:p>
              </w:tc>
              <w:tc>
                <w:tcPr>
                  <w:tcW w:w="586" w:type="pct"/>
                  <w:vMerge w:val="restart"/>
                  <w:tcBorders>
                    <w:tl2br w:val="nil"/>
                    <w:tr2bl w:val="nil"/>
                  </w:tcBorders>
                  <w:noWrap w:val="0"/>
                  <w:vAlign w:val="center"/>
                </w:tcPr>
                <w:p>
                  <w:pPr>
                    <w:pStyle w:val="137"/>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3"/>
                      <w:sz w:val="21"/>
                      <w:szCs w:val="21"/>
                    </w:rPr>
                    <w:t>环境功能区</w:t>
                  </w:r>
                </w:p>
              </w:tc>
              <w:tc>
                <w:tcPr>
                  <w:tcW w:w="478" w:type="pct"/>
                  <w:vMerge w:val="restart"/>
                  <w:tcBorders>
                    <w:tl2br w:val="nil"/>
                    <w:tr2bl w:val="nil"/>
                  </w:tcBorders>
                  <w:noWrap w:val="0"/>
                  <w:vAlign w:val="center"/>
                </w:tcPr>
                <w:p>
                  <w:pPr>
                    <w:pStyle w:val="137"/>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sz w:val="21"/>
                      <w:szCs w:val="21"/>
                    </w:rPr>
                    <w:t>相对厂址方位</w:t>
                  </w:r>
                </w:p>
              </w:tc>
              <w:tc>
                <w:tcPr>
                  <w:tcW w:w="627" w:type="pct"/>
                  <w:vMerge w:val="restart"/>
                  <w:tcBorders>
                    <w:tl2br w:val="nil"/>
                    <w:tr2bl w:val="nil"/>
                  </w:tcBorders>
                  <w:noWrap w:val="0"/>
                  <w:vAlign w:val="center"/>
                </w:tcPr>
                <w:p>
                  <w:pPr>
                    <w:pStyle w:val="137"/>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sz w:val="21"/>
                      <w:szCs w:val="21"/>
                    </w:rPr>
                    <w:t>相对厂址距离</w:t>
                  </w:r>
                  <w:r>
                    <w:rPr>
                      <w:rFonts w:hint="default" w:ascii="Times New Roman" w:hAnsi="Times New Roman" w:eastAsia="宋体" w:cs="Times New Roman"/>
                      <w:b/>
                      <w:bCs/>
                      <w:color w:val="auto"/>
                      <w:spacing w:val="5"/>
                      <w:sz w:val="21"/>
                      <w:szCs w:val="21"/>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3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环境空气</w:t>
                  </w:r>
                </w:p>
              </w:tc>
              <w:tc>
                <w:tcPr>
                  <w:tcW w:w="6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E</w:t>
                  </w:r>
                </w:p>
              </w:tc>
              <w:tc>
                <w:tcPr>
                  <w:tcW w:w="6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3"/>
                      <w:sz w:val="21"/>
                      <w:szCs w:val="21"/>
                    </w:rPr>
                    <w:t>N</w:t>
                  </w:r>
                </w:p>
              </w:tc>
              <w:tc>
                <w:tcPr>
                  <w:tcW w:w="60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p>
              </w:tc>
              <w:tc>
                <w:tcPr>
                  <w:tcW w:w="91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p>
              </w:tc>
              <w:tc>
                <w:tcPr>
                  <w:tcW w:w="58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p>
              </w:tc>
              <w:tc>
                <w:tcPr>
                  <w:tcW w:w="4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p>
              </w:tc>
              <w:tc>
                <w:tcPr>
                  <w:tcW w:w="6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p>
              </w:tc>
              <w:tc>
                <w:tcPr>
                  <w:tcW w:w="6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108.393623</w:t>
                  </w:r>
                </w:p>
              </w:tc>
              <w:tc>
                <w:tcPr>
                  <w:tcW w:w="6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34.0738217</w:t>
                  </w:r>
                </w:p>
              </w:tc>
              <w:tc>
                <w:tcPr>
                  <w:tcW w:w="607" w:type="pct"/>
                  <w:tcBorders>
                    <w:tl2br w:val="nil"/>
                    <w:tr2bl w:val="nil"/>
                  </w:tcBorders>
                  <w:noWrap w:val="0"/>
                  <w:vAlign w:val="center"/>
                </w:tcPr>
                <w:p>
                  <w:pPr>
                    <w:pStyle w:val="1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2"/>
                      <w:kern w:val="2"/>
                      <w:sz w:val="21"/>
                      <w:szCs w:val="21"/>
                      <w:lang w:val="en-US" w:eastAsia="zh-CN" w:bidi="ar-SA"/>
                    </w:rPr>
                  </w:pPr>
                  <w:r>
                    <w:rPr>
                      <w:rFonts w:hint="default" w:ascii="Times New Roman" w:hAnsi="Times New Roman" w:eastAsia="宋体" w:cs="Times New Roman"/>
                      <w:color w:val="auto"/>
                      <w:sz w:val="21"/>
                      <w:szCs w:val="21"/>
                      <w:lang w:val="en-US" w:eastAsia="zh-CN"/>
                    </w:rPr>
                    <w:t>西安高新区第六学校</w:t>
                  </w:r>
                </w:p>
              </w:tc>
              <w:tc>
                <w:tcPr>
                  <w:tcW w:w="911" w:type="pct"/>
                  <w:tcBorders>
                    <w:tl2br w:val="nil"/>
                    <w:tr2bl w:val="nil"/>
                  </w:tcBorders>
                  <w:noWrap w:val="0"/>
                  <w:vAlign w:val="center"/>
                </w:tcPr>
                <w:p>
                  <w:pPr>
                    <w:pStyle w:val="1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1"/>
                      <w:kern w:val="2"/>
                      <w:sz w:val="21"/>
                      <w:szCs w:val="21"/>
                      <w:lang w:val="en-US" w:eastAsia="zh-CN" w:bidi="ar-SA"/>
                    </w:rPr>
                  </w:pPr>
                  <w:r>
                    <w:rPr>
                      <w:rFonts w:hint="default" w:ascii="Times New Roman" w:hAnsi="Times New Roman" w:eastAsia="宋体" w:cs="Times New Roman"/>
                      <w:color w:val="auto"/>
                      <w:spacing w:val="-1"/>
                      <w:sz w:val="21"/>
                      <w:szCs w:val="21"/>
                      <w:lang w:val="en-US" w:eastAsia="zh-CN"/>
                    </w:rPr>
                    <w:t>800人</w:t>
                  </w:r>
                </w:p>
              </w:tc>
              <w:tc>
                <w:tcPr>
                  <w:tcW w:w="5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环境空气质量二类功能区</w:t>
                  </w:r>
                </w:p>
              </w:tc>
              <w:tc>
                <w:tcPr>
                  <w:tcW w:w="4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3"/>
                      <w:kern w:val="2"/>
                      <w:sz w:val="21"/>
                      <w:szCs w:val="21"/>
                      <w:lang w:val="en-US" w:eastAsia="zh-CN" w:bidi="ar-SA"/>
                    </w:rPr>
                  </w:pPr>
                  <w:r>
                    <w:rPr>
                      <w:rFonts w:hint="default" w:ascii="Times New Roman" w:hAnsi="Times New Roman" w:eastAsia="宋体" w:cs="Times New Roman"/>
                      <w:color w:val="auto"/>
                      <w:spacing w:val="-3"/>
                      <w:sz w:val="21"/>
                      <w:szCs w:val="21"/>
                      <w:lang w:val="en-US" w:eastAsia="zh-CN"/>
                    </w:rPr>
                    <w:t>SE</w:t>
                  </w:r>
                </w:p>
              </w:tc>
              <w:tc>
                <w:tcPr>
                  <w:tcW w:w="6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3"/>
                      <w:sz w:val="21"/>
                      <w:szCs w:val="21"/>
                      <w:lang w:val="en-US" w:eastAsia="zh-CN"/>
                    </w:rPr>
                    <w:t>225</w:t>
                  </w:r>
                </w:p>
              </w:tc>
            </w:tr>
          </w:tbl>
          <w:p>
            <w:pPr>
              <w:spacing w:line="360" w:lineRule="auto"/>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jc w:val="center"/>
        </w:trPr>
        <w:tc>
          <w:tcPr>
            <w:tcW w:w="515" w:type="pct"/>
            <w:tcBorders>
              <w:top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污染物排放控制标准</w:t>
            </w:r>
          </w:p>
        </w:tc>
        <w:tc>
          <w:tcPr>
            <w:tcW w:w="4484" w:type="pct"/>
            <w:tcBorders>
              <w:top w:val="single" w:color="000000" w:sz="4" w:space="0"/>
              <w:left w:val="single" w:color="000000" w:sz="4" w:space="0"/>
              <w:bottom w:val="single" w:color="000000" w:sz="4" w:space="0"/>
            </w:tcBorders>
            <w:noWrap w:val="0"/>
            <w:vAlign w:val="center"/>
          </w:tcPr>
          <w:p>
            <w:pPr>
              <w:pStyle w:val="68"/>
              <w:keepNext w:val="0"/>
              <w:keepLines w:val="0"/>
              <w:pageBreakBefore w:val="0"/>
              <w:widowControl/>
              <w:numPr>
                <w:ilvl w:val="0"/>
                <w:numId w:val="4"/>
              </w:numPr>
              <w:kinsoku/>
              <w:wordWrap/>
              <w:overflowPunct/>
              <w:topLinePunct w:val="0"/>
              <w:autoSpaceDE/>
              <w:autoSpaceDN/>
              <w:bidi w:val="0"/>
              <w:adjustRightInd w:val="0"/>
              <w:snapToGrid w:val="0"/>
              <w:ind w:firstLine="482" w:firstLineChars="20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废气</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项目运营期有组织及企业边界涂胶废气非甲烷总烃执行《大气污染物综合排放标准》（GB16297-1996）二级标准要求，厂区内无组织废气排放浓度执行《挥发性有机物无组织排放控制标准》（GB37822-2019）中厂区内监控点浓度限值；相关要求具体标准值见</w:t>
            </w:r>
            <w:r>
              <w:rPr>
                <w:rFonts w:hint="eastAsia" w:ascii="Times New Roman" w:hAnsi="Times New Roman" w:eastAsia="宋体" w:cs="Times New Roman"/>
                <w:color w:val="auto"/>
                <w:sz w:val="24"/>
                <w:szCs w:val="24"/>
                <w:lang w:val="en-US" w:eastAsia="zh-CN"/>
              </w:rPr>
              <w:t>下</w:t>
            </w: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kern w:val="2"/>
                <w:sz w:val="24"/>
                <w:szCs w:val="24"/>
                <w:highlight w:val="none"/>
                <w:lang w:val="en-US" w:eastAsia="zh-CN" w:bidi="ar-SA"/>
              </w:rPr>
              <w:t>。</w:t>
            </w:r>
          </w:p>
          <w:p>
            <w:pPr>
              <w:keepNext w:val="0"/>
              <w:keepLines w:val="0"/>
              <w:pageBreakBefore w:val="0"/>
              <w:wordWrap/>
              <w:overflowPunct/>
              <w:topLinePunct w:val="0"/>
              <w:autoSpaceDE w:val="0"/>
              <w:autoSpaceDN w:val="0"/>
              <w:bidi w:val="0"/>
              <w:snapToGrid w:val="0"/>
              <w:spacing w:line="360" w:lineRule="auto"/>
              <w:ind w:firstLine="0" w:firstLineChars="0"/>
              <w:jc w:val="center"/>
              <w:rPr>
                <w:rFonts w:hint="default" w:ascii="Times New Roman" w:hAnsi="Times New Roman" w:eastAsia="宋体" w:cs="Times New Roman"/>
                <w:b/>
                <w:bCs/>
                <w:snapToGrid w:val="0"/>
                <w:color w:val="auto"/>
                <w:kern w:val="0"/>
                <w:sz w:val="24"/>
                <w:szCs w:val="24"/>
                <w:highlight w:val="none"/>
              </w:rPr>
            </w:pPr>
            <w:r>
              <w:rPr>
                <w:rFonts w:hint="default" w:ascii="Times New Roman" w:hAnsi="Times New Roman" w:eastAsia="宋体" w:cs="Times New Roman"/>
                <w:b/>
                <w:bCs/>
                <w:snapToGrid w:val="0"/>
                <w:color w:val="auto"/>
                <w:kern w:val="0"/>
                <w:sz w:val="24"/>
                <w:szCs w:val="24"/>
                <w:highlight w:val="none"/>
              </w:rPr>
              <w:t>表3-</w:t>
            </w:r>
            <w:r>
              <w:rPr>
                <w:rFonts w:hint="default" w:ascii="Times New Roman" w:hAnsi="Times New Roman" w:eastAsia="宋体" w:cs="Times New Roman"/>
                <w:b/>
                <w:bCs/>
                <w:snapToGrid w:val="0"/>
                <w:color w:val="auto"/>
                <w:kern w:val="0"/>
                <w:sz w:val="24"/>
                <w:szCs w:val="24"/>
                <w:highlight w:val="none"/>
                <w:lang w:val="en-US" w:eastAsia="zh-CN"/>
              </w:rPr>
              <w:t xml:space="preserve">4 </w:t>
            </w:r>
            <w:r>
              <w:rPr>
                <w:rFonts w:hint="default" w:ascii="Times New Roman" w:hAnsi="Times New Roman" w:eastAsia="宋体" w:cs="Times New Roman"/>
                <w:b/>
                <w:bCs/>
                <w:snapToGrid w:val="0"/>
                <w:color w:val="auto"/>
                <w:kern w:val="0"/>
                <w:sz w:val="24"/>
                <w:szCs w:val="24"/>
                <w:highlight w:val="none"/>
              </w:rPr>
              <w:t xml:space="preserve"> 运营期废气排放标准</w:t>
            </w:r>
          </w:p>
          <w:tbl>
            <w:tblPr>
              <w:tblStyle w:val="3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10"/>
              <w:gridCol w:w="1027"/>
              <w:gridCol w:w="3278"/>
              <w:gridCol w:w="16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12" w:type="pct"/>
                  <w:tcBorders>
                    <w:tl2br w:val="nil"/>
                    <w:tr2bl w:val="nil"/>
                  </w:tcBorders>
                  <w:noWrap w:val="0"/>
                  <w:vAlign w:val="center"/>
                </w:tcPr>
                <w:p>
                  <w:pPr>
                    <w:pStyle w:val="60"/>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right="0" w:firstLine="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w:t>
                  </w:r>
                </w:p>
              </w:tc>
              <w:tc>
                <w:tcPr>
                  <w:tcW w:w="651" w:type="pct"/>
                  <w:tcBorders>
                    <w:tl2br w:val="nil"/>
                    <w:tr2bl w:val="nil"/>
                  </w:tcBorders>
                  <w:noWrap w:val="0"/>
                  <w:vAlign w:val="center"/>
                </w:tcPr>
                <w:p>
                  <w:pPr>
                    <w:pStyle w:val="60"/>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right="0" w:firstLine="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2080" w:type="pct"/>
                  <w:tcBorders>
                    <w:tl2br w:val="nil"/>
                    <w:tr2bl w:val="nil"/>
                  </w:tcBorders>
                  <w:noWrap w:val="0"/>
                  <w:vAlign w:val="center"/>
                </w:tcPr>
                <w:p>
                  <w:pPr>
                    <w:pStyle w:val="60"/>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right="0" w:firstLine="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污染物排放监控位置</w:t>
                  </w:r>
                </w:p>
              </w:tc>
              <w:tc>
                <w:tcPr>
                  <w:tcW w:w="1055" w:type="pct"/>
                  <w:tcBorders>
                    <w:tl2br w:val="nil"/>
                    <w:tr2bl w:val="nil"/>
                  </w:tcBorders>
                  <w:noWrap w:val="0"/>
                  <w:vAlign w:val="center"/>
                </w:tcPr>
                <w:p>
                  <w:pPr>
                    <w:pStyle w:val="60"/>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right="0" w:firstLine="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最高允许排放浓度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12" w:type="pct"/>
                  <w:vMerge w:val="restart"/>
                  <w:tcBorders>
                    <w:tl2br w:val="nil"/>
                    <w:tr2bl w:val="nil"/>
                  </w:tcBorders>
                  <w:noWrap w:val="0"/>
                  <w:vAlign w:val="center"/>
                </w:tcPr>
                <w:p>
                  <w:pPr>
                    <w:pStyle w:val="60"/>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《大气污染物综合排放标准》（GB16297-1996）二级标准</w:t>
                  </w:r>
                </w:p>
              </w:tc>
              <w:tc>
                <w:tcPr>
                  <w:tcW w:w="651" w:type="pct"/>
                  <w:vMerge w:val="restart"/>
                  <w:tcBorders>
                    <w:tl2br w:val="nil"/>
                    <w:tr2bl w:val="nil"/>
                  </w:tcBorders>
                  <w:noWrap w:val="0"/>
                  <w:vAlign w:val="center"/>
                </w:tcPr>
                <w:p>
                  <w:pPr>
                    <w:pStyle w:val="60"/>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2080" w:type="pct"/>
                  <w:tcBorders>
                    <w:tl2br w:val="nil"/>
                    <w:tr2bl w:val="nil"/>
                  </w:tcBorders>
                  <w:noWrap w:val="0"/>
                  <w:vAlign w:val="center"/>
                </w:tcPr>
                <w:p>
                  <w:pPr>
                    <w:pStyle w:val="60"/>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车间或生产设施排气筒大气污染物特别排放限值</w:t>
                  </w:r>
                </w:p>
              </w:tc>
              <w:tc>
                <w:tcPr>
                  <w:tcW w:w="1055" w:type="pct"/>
                  <w:tcBorders>
                    <w:tl2br w:val="nil"/>
                    <w:tr2bl w:val="nil"/>
                  </w:tcBorders>
                  <w:noWrap w:val="0"/>
                  <w:vAlign w:val="center"/>
                </w:tcPr>
                <w:p>
                  <w:pPr>
                    <w:pStyle w:val="60"/>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12</w:t>
                  </w:r>
                  <w:r>
                    <w:rPr>
                      <w:rFonts w:hint="default" w:ascii="Times New Roman" w:hAnsi="Times New Roman" w:eastAsia="宋体" w:cs="Times New Roman"/>
                      <w:color w:val="auto"/>
                      <w:sz w:val="21"/>
                      <w:szCs w:val="21"/>
                    </w:rPr>
                    <w:t>0mg/m</w:t>
                  </w:r>
                  <w:r>
                    <w:rPr>
                      <w:rFonts w:hint="default" w:ascii="Times New Roman" w:hAnsi="Times New Roman" w:eastAsia="宋体" w:cs="Times New Roman"/>
                      <w:color w:val="auto"/>
                      <w:sz w:val="21"/>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12" w:type="pct"/>
                  <w:vMerge w:val="continue"/>
                  <w:tcBorders>
                    <w:tl2br w:val="nil"/>
                    <w:tr2bl w:val="nil"/>
                  </w:tcBorders>
                  <w:noWrap w:val="0"/>
                  <w:vAlign w:val="center"/>
                </w:tcPr>
                <w:p>
                  <w:pPr>
                    <w:pStyle w:val="60"/>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right="0" w:firstLine="0"/>
                    <w:jc w:val="center"/>
                    <w:textAlignment w:val="baseline"/>
                    <w:rPr>
                      <w:rFonts w:hint="default" w:ascii="Times New Roman" w:hAnsi="Times New Roman" w:eastAsia="宋体" w:cs="Times New Roman"/>
                      <w:color w:val="auto"/>
                      <w:sz w:val="21"/>
                      <w:szCs w:val="21"/>
                    </w:rPr>
                  </w:pPr>
                </w:p>
              </w:tc>
              <w:tc>
                <w:tcPr>
                  <w:tcW w:w="651" w:type="pct"/>
                  <w:vMerge w:val="continue"/>
                  <w:tcBorders>
                    <w:tl2br w:val="nil"/>
                    <w:tr2bl w:val="nil"/>
                  </w:tcBorders>
                  <w:noWrap w:val="0"/>
                  <w:vAlign w:val="center"/>
                </w:tcPr>
                <w:p>
                  <w:pPr>
                    <w:pStyle w:val="60"/>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right="0" w:firstLine="0"/>
                    <w:jc w:val="center"/>
                    <w:textAlignment w:val="baseline"/>
                    <w:rPr>
                      <w:rFonts w:hint="default" w:ascii="Times New Roman" w:hAnsi="Times New Roman" w:eastAsia="宋体" w:cs="Times New Roman"/>
                      <w:color w:val="auto"/>
                      <w:sz w:val="21"/>
                      <w:szCs w:val="21"/>
                      <w:lang w:val="en-US" w:eastAsia="zh-CN"/>
                    </w:rPr>
                  </w:pPr>
                </w:p>
              </w:tc>
              <w:tc>
                <w:tcPr>
                  <w:tcW w:w="2080" w:type="pct"/>
                  <w:tcBorders>
                    <w:tl2br w:val="nil"/>
                    <w:tr2bl w:val="nil"/>
                  </w:tcBorders>
                  <w:noWrap w:val="0"/>
                  <w:vAlign w:val="center"/>
                </w:tcPr>
                <w:p>
                  <w:pPr>
                    <w:pStyle w:val="60"/>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排放速率</w:t>
                  </w:r>
                </w:p>
              </w:tc>
              <w:tc>
                <w:tcPr>
                  <w:tcW w:w="105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10kg/h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12" w:type="pct"/>
                  <w:vMerge w:val="continue"/>
                  <w:tcBorders>
                    <w:tl2br w:val="nil"/>
                    <w:tr2bl w:val="nil"/>
                  </w:tcBorders>
                  <w:noWrap w:val="0"/>
                  <w:vAlign w:val="center"/>
                </w:tcPr>
                <w:p>
                  <w:pPr>
                    <w:pStyle w:val="60"/>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right="0" w:firstLine="0"/>
                    <w:jc w:val="center"/>
                    <w:textAlignment w:val="baseline"/>
                    <w:rPr>
                      <w:rFonts w:hint="default" w:ascii="Times New Roman" w:hAnsi="Times New Roman" w:eastAsia="宋体" w:cs="Times New Roman"/>
                      <w:color w:val="auto"/>
                      <w:sz w:val="21"/>
                      <w:szCs w:val="21"/>
                    </w:rPr>
                  </w:pPr>
                </w:p>
              </w:tc>
              <w:tc>
                <w:tcPr>
                  <w:tcW w:w="651" w:type="pct"/>
                  <w:vMerge w:val="continue"/>
                  <w:tcBorders>
                    <w:tl2br w:val="nil"/>
                    <w:tr2bl w:val="nil"/>
                  </w:tcBorders>
                  <w:noWrap w:val="0"/>
                  <w:vAlign w:val="center"/>
                </w:tcPr>
                <w:p>
                  <w:pPr>
                    <w:pStyle w:val="60"/>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right="0" w:firstLine="0"/>
                    <w:jc w:val="center"/>
                    <w:textAlignment w:val="baseline"/>
                    <w:rPr>
                      <w:rFonts w:hint="default" w:ascii="Times New Roman" w:hAnsi="Times New Roman" w:eastAsia="宋体" w:cs="Times New Roman"/>
                      <w:color w:val="auto"/>
                      <w:sz w:val="21"/>
                      <w:szCs w:val="21"/>
                    </w:rPr>
                  </w:pPr>
                </w:p>
              </w:tc>
              <w:tc>
                <w:tcPr>
                  <w:tcW w:w="2080" w:type="pct"/>
                  <w:tcBorders>
                    <w:tl2br w:val="nil"/>
                    <w:tr2bl w:val="nil"/>
                  </w:tcBorders>
                  <w:noWrap w:val="0"/>
                  <w:vAlign w:val="center"/>
                </w:tcPr>
                <w:p>
                  <w:pPr>
                    <w:pStyle w:val="60"/>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周界外浓度最高点</w:t>
                  </w:r>
                </w:p>
              </w:tc>
              <w:tc>
                <w:tcPr>
                  <w:tcW w:w="1055" w:type="pct"/>
                  <w:tcBorders>
                    <w:tl2br w:val="nil"/>
                    <w:tr2bl w:val="nil"/>
                  </w:tcBorders>
                  <w:noWrap w:val="0"/>
                  <w:vAlign w:val="center"/>
                </w:tcPr>
                <w:p>
                  <w:pPr>
                    <w:pStyle w:val="60"/>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4.0mg/m</w:t>
                  </w:r>
                  <w:r>
                    <w:rPr>
                      <w:rFonts w:hint="default" w:ascii="Times New Roman" w:hAnsi="Times New Roman" w:eastAsia="宋体" w:cs="Times New Roman"/>
                      <w:color w:val="auto"/>
                      <w:sz w:val="21"/>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12" w:type="pct"/>
                  <w:vMerge w:val="restart"/>
                  <w:tcBorders>
                    <w:tl2br w:val="nil"/>
                    <w:tr2bl w:val="nil"/>
                  </w:tcBorders>
                  <w:noWrap w:val="0"/>
                  <w:vAlign w:val="center"/>
                </w:tcPr>
                <w:p>
                  <w:pPr>
                    <w:pStyle w:val="60"/>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《挥发性有机物无组织排放控制标准》GB37822-2019</w:t>
                  </w:r>
                </w:p>
              </w:tc>
              <w:tc>
                <w:tcPr>
                  <w:tcW w:w="651" w:type="pct"/>
                  <w:vMerge w:val="restart"/>
                  <w:tcBorders>
                    <w:tl2br w:val="nil"/>
                    <w:tr2bl w:val="nil"/>
                  </w:tcBorders>
                  <w:noWrap w:val="0"/>
                  <w:vAlign w:val="center"/>
                </w:tcPr>
                <w:p>
                  <w:pPr>
                    <w:pStyle w:val="60"/>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w:t>
                  </w:r>
                </w:p>
                <w:p>
                  <w:pPr>
                    <w:pStyle w:val="60"/>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总烃</w:t>
                  </w:r>
                </w:p>
              </w:tc>
              <w:tc>
                <w:tcPr>
                  <w:tcW w:w="2080" w:type="pct"/>
                  <w:tcBorders>
                    <w:tl2br w:val="nil"/>
                    <w:tr2bl w:val="nil"/>
                  </w:tcBorders>
                  <w:noWrap w:val="0"/>
                  <w:vAlign w:val="center"/>
                </w:tcPr>
                <w:p>
                  <w:pPr>
                    <w:pStyle w:val="60"/>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厂区内监控点处1h平均浓度值</w:t>
                  </w:r>
                </w:p>
              </w:tc>
              <w:tc>
                <w:tcPr>
                  <w:tcW w:w="1055" w:type="pct"/>
                  <w:tcBorders>
                    <w:tl2br w:val="nil"/>
                    <w:tr2bl w:val="nil"/>
                  </w:tcBorders>
                  <w:noWrap w:val="0"/>
                  <w:vAlign w:val="center"/>
                </w:tcPr>
                <w:p>
                  <w:pPr>
                    <w:pStyle w:val="60"/>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6mg/m</w:t>
                  </w:r>
                  <w:r>
                    <w:rPr>
                      <w:rFonts w:hint="default" w:ascii="Times New Roman" w:hAnsi="Times New Roman" w:eastAsia="宋体" w:cs="Times New Roman"/>
                      <w:color w:val="auto"/>
                      <w:sz w:val="21"/>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12" w:type="pct"/>
                  <w:vMerge w:val="continue"/>
                  <w:tcBorders>
                    <w:tl2br w:val="nil"/>
                    <w:tr2bl w:val="nil"/>
                  </w:tcBorders>
                  <w:noWrap w:val="0"/>
                  <w:vAlign w:val="center"/>
                </w:tcPr>
                <w:p>
                  <w:pPr>
                    <w:pStyle w:val="60"/>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right="0" w:firstLine="0"/>
                    <w:jc w:val="center"/>
                    <w:textAlignment w:val="baseline"/>
                    <w:rPr>
                      <w:rFonts w:hint="default" w:ascii="Times New Roman" w:hAnsi="Times New Roman" w:eastAsia="宋体" w:cs="Times New Roman"/>
                      <w:color w:val="auto"/>
                      <w:sz w:val="21"/>
                      <w:szCs w:val="21"/>
                    </w:rPr>
                  </w:pPr>
                </w:p>
              </w:tc>
              <w:tc>
                <w:tcPr>
                  <w:tcW w:w="651" w:type="pct"/>
                  <w:vMerge w:val="continue"/>
                  <w:tcBorders>
                    <w:tl2br w:val="nil"/>
                    <w:tr2bl w:val="nil"/>
                  </w:tcBorders>
                  <w:noWrap w:val="0"/>
                  <w:vAlign w:val="center"/>
                </w:tcPr>
                <w:p>
                  <w:pPr>
                    <w:pStyle w:val="60"/>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right="0" w:firstLine="0"/>
                    <w:jc w:val="center"/>
                    <w:textAlignment w:val="baseline"/>
                    <w:rPr>
                      <w:rFonts w:hint="default" w:ascii="Times New Roman" w:hAnsi="Times New Roman" w:eastAsia="宋体" w:cs="Times New Roman"/>
                      <w:color w:val="auto"/>
                      <w:sz w:val="21"/>
                      <w:szCs w:val="21"/>
                    </w:rPr>
                  </w:pPr>
                </w:p>
              </w:tc>
              <w:tc>
                <w:tcPr>
                  <w:tcW w:w="2080" w:type="pct"/>
                  <w:tcBorders>
                    <w:tl2br w:val="nil"/>
                    <w:tr2bl w:val="nil"/>
                  </w:tcBorders>
                  <w:noWrap w:val="0"/>
                  <w:vAlign w:val="center"/>
                </w:tcPr>
                <w:p>
                  <w:pPr>
                    <w:pStyle w:val="60"/>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厂区内监控点处任意一次浓度值</w:t>
                  </w:r>
                </w:p>
              </w:tc>
              <w:tc>
                <w:tcPr>
                  <w:tcW w:w="1055" w:type="pct"/>
                  <w:tcBorders>
                    <w:tl2br w:val="nil"/>
                    <w:tr2bl w:val="nil"/>
                  </w:tcBorders>
                  <w:noWrap w:val="0"/>
                  <w:vAlign w:val="center"/>
                </w:tcPr>
                <w:p>
                  <w:pPr>
                    <w:pStyle w:val="60"/>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r>
          </w:tbl>
          <w:p>
            <w:pPr>
              <w:pStyle w:val="68"/>
              <w:keepNext w:val="0"/>
              <w:keepLines w:val="0"/>
              <w:pageBreakBefore w:val="0"/>
              <w:widowControl/>
              <w:numPr>
                <w:ilvl w:val="0"/>
                <w:numId w:val="4"/>
              </w:numPr>
              <w:kinsoku/>
              <w:wordWrap/>
              <w:overflowPunct/>
              <w:topLinePunct w:val="0"/>
              <w:autoSpaceDE/>
              <w:autoSpaceDN/>
              <w:bidi w:val="0"/>
              <w:adjustRightInd w:val="0"/>
              <w:snapToGrid w:val="0"/>
              <w:ind w:left="0" w:leftChars="0" w:firstLine="482" w:firstLineChars="20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噪声</w:t>
            </w:r>
          </w:p>
          <w:p>
            <w:pPr>
              <w:pStyle w:val="68"/>
              <w:keepNext w:val="0"/>
              <w:keepLines w:val="0"/>
              <w:pageBreakBefore w:val="0"/>
              <w:widowControl/>
              <w:numPr>
                <w:ilvl w:val="0"/>
                <w:numId w:val="0"/>
              </w:numPr>
              <w:kinsoku/>
              <w:wordWrap/>
              <w:overflowPunct/>
              <w:topLinePunct w:val="0"/>
              <w:autoSpaceDE/>
              <w:autoSpaceDN/>
              <w:bidi w:val="0"/>
              <w:adjustRightInd w:val="0"/>
              <w:snapToGrid w:val="0"/>
              <w:ind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运营期厂界噪声执行《工业企业厂界环境噪声排放标准》（GB12348-2008）中的</w:t>
            </w:r>
            <w:r>
              <w:rPr>
                <w:rFonts w:hint="default" w:ascii="Times New Roman" w:hAnsi="Times New Roman" w:eastAsia="宋体" w:cs="Times New Roman"/>
                <w:color w:val="auto"/>
                <w:sz w:val="24"/>
                <w:szCs w:val="24"/>
                <w:highlight w:val="none"/>
                <w:lang w:val="en-US" w:eastAsia="zh-CN"/>
              </w:rPr>
              <w:t>3类</w:t>
            </w:r>
            <w:r>
              <w:rPr>
                <w:rFonts w:hint="default" w:ascii="Times New Roman" w:hAnsi="Times New Roman" w:eastAsia="宋体" w:cs="Times New Roman"/>
                <w:color w:val="auto"/>
                <w:sz w:val="24"/>
                <w:szCs w:val="24"/>
                <w:highlight w:val="none"/>
              </w:rPr>
              <w:t>标准。</w:t>
            </w:r>
          </w:p>
          <w:p>
            <w:pPr>
              <w:pStyle w:val="68"/>
              <w:keepNext w:val="0"/>
              <w:keepLines w:val="0"/>
              <w:pageBreakBefore w:val="0"/>
              <w:widowControl/>
              <w:kinsoku/>
              <w:wordWrap/>
              <w:overflowPunct/>
              <w:topLinePunct w:val="0"/>
              <w:autoSpaceDE w:val="0"/>
              <w:autoSpaceDN w:val="0"/>
              <w:bidi w:val="0"/>
              <w:adjustRightInd w:val="0"/>
              <w:snapToGrid w:val="0"/>
              <w:spacing w:line="360" w:lineRule="auto"/>
              <w:ind w:firstLine="0" w:firstLineChars="0"/>
              <w:jc w:val="center"/>
              <w:textAlignment w:val="baseline"/>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表3-</w:t>
            </w:r>
            <w:r>
              <w:rPr>
                <w:rFonts w:hint="default"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rPr>
              <w:t xml:space="preserve">  《工业企业厂界环境噪声排放标准》  单位：dB（A）</w:t>
            </w:r>
          </w:p>
          <w:tbl>
            <w:tblPr>
              <w:tblStyle w:val="3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37"/>
              <w:gridCol w:w="1119"/>
              <w:gridCol w:w="1119"/>
              <w:gridCol w:w="8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162" w:type="dxa"/>
                  <w:tcBorders>
                    <w:tl2br w:val="nil"/>
                    <w:tr2bl w:val="nil"/>
                  </w:tcBorders>
                  <w:noWrap w:val="0"/>
                  <w:vAlign w:val="center"/>
                </w:tcPr>
                <w:p>
                  <w:pPr>
                    <w:pStyle w:val="68"/>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w:t>
                  </w:r>
                </w:p>
              </w:tc>
              <w:tc>
                <w:tcPr>
                  <w:tcW w:w="1183" w:type="dxa"/>
                  <w:tcBorders>
                    <w:tl2br w:val="nil"/>
                    <w:tr2bl w:val="nil"/>
                  </w:tcBorders>
                  <w:noWrap w:val="0"/>
                  <w:vAlign w:val="center"/>
                </w:tcPr>
                <w:p>
                  <w:pPr>
                    <w:pStyle w:val="68"/>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标准</w:t>
                  </w:r>
                </w:p>
              </w:tc>
              <w:tc>
                <w:tcPr>
                  <w:tcW w:w="1183" w:type="dxa"/>
                  <w:tcBorders>
                    <w:tl2br w:val="nil"/>
                    <w:tr2bl w:val="nil"/>
                  </w:tcBorders>
                  <w:noWrap w:val="0"/>
                  <w:vAlign w:val="center"/>
                </w:tcPr>
                <w:p>
                  <w:pPr>
                    <w:pStyle w:val="68"/>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昼间</w:t>
                  </w:r>
                </w:p>
              </w:tc>
              <w:tc>
                <w:tcPr>
                  <w:tcW w:w="845" w:type="dxa"/>
                  <w:tcBorders>
                    <w:tl2br w:val="nil"/>
                    <w:tr2bl w:val="nil"/>
                  </w:tcBorders>
                  <w:noWrap w:val="0"/>
                  <w:vAlign w:val="center"/>
                </w:tcPr>
                <w:p>
                  <w:pPr>
                    <w:pStyle w:val="68"/>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162" w:type="dxa"/>
                  <w:tcBorders>
                    <w:tl2br w:val="nil"/>
                    <w:tr2bl w:val="nil"/>
                  </w:tcBorders>
                  <w:noWrap w:val="0"/>
                  <w:vAlign w:val="center"/>
                </w:tcPr>
                <w:p>
                  <w:pPr>
                    <w:pStyle w:val="68"/>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《工业企业厂界环境噪声排放标准》（GB12348-2008）</w:t>
                  </w:r>
                </w:p>
              </w:tc>
              <w:tc>
                <w:tcPr>
                  <w:tcW w:w="1183" w:type="dxa"/>
                  <w:tcBorders>
                    <w:tl2br w:val="nil"/>
                    <w:tr2bl w:val="nil"/>
                  </w:tcBorders>
                  <w:noWrap w:val="0"/>
                  <w:vAlign w:val="center"/>
                </w:tcPr>
                <w:p>
                  <w:pPr>
                    <w:pStyle w:val="68"/>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3类</w:t>
                  </w:r>
                </w:p>
              </w:tc>
              <w:tc>
                <w:tcPr>
                  <w:tcW w:w="1183" w:type="dxa"/>
                  <w:tcBorders>
                    <w:tl2br w:val="nil"/>
                    <w:tr2bl w:val="nil"/>
                  </w:tcBorders>
                  <w:noWrap w:val="0"/>
                  <w:vAlign w:val="center"/>
                </w:tcPr>
                <w:p>
                  <w:pPr>
                    <w:pStyle w:val="68"/>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6</w:t>
                  </w:r>
                  <w:r>
                    <w:rPr>
                      <w:rFonts w:hint="default" w:ascii="Times New Roman" w:hAnsi="Times New Roman" w:eastAsia="宋体" w:cs="Times New Roman"/>
                      <w:color w:val="auto"/>
                      <w:sz w:val="21"/>
                      <w:szCs w:val="21"/>
                      <w:highlight w:val="none"/>
                      <w:lang w:val="en-US" w:eastAsia="zh-CN"/>
                    </w:rPr>
                    <w:t>5</w:t>
                  </w:r>
                </w:p>
              </w:tc>
              <w:tc>
                <w:tcPr>
                  <w:tcW w:w="845" w:type="dxa"/>
                  <w:tcBorders>
                    <w:tl2br w:val="nil"/>
                    <w:tr2bl w:val="nil"/>
                  </w:tcBorders>
                  <w:noWrap w:val="0"/>
                  <w:vAlign w:val="center"/>
                </w:tcPr>
                <w:p>
                  <w:pPr>
                    <w:pStyle w:val="68"/>
                    <w:keepNext w:val="0"/>
                    <w:keepLines w:val="0"/>
                    <w:pageBreakBefore w:val="0"/>
                    <w:widowControl/>
                    <w:kinsoku/>
                    <w:wordWrap/>
                    <w:overflowPunct/>
                    <w:topLinePunct w:val="0"/>
                    <w:autoSpaceDE/>
                    <w:autoSpaceDN/>
                    <w:bidi w:val="0"/>
                    <w:adjustRightInd w:val="0"/>
                    <w:snapToGrid w:val="0"/>
                    <w:spacing w:line="240" w:lineRule="auto"/>
                    <w:ind w:firstLine="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5</w:t>
                  </w:r>
                  <w:r>
                    <w:rPr>
                      <w:rFonts w:hint="default" w:ascii="Times New Roman" w:hAnsi="Times New Roman" w:eastAsia="宋体" w:cs="Times New Roman"/>
                      <w:color w:val="auto"/>
                      <w:sz w:val="21"/>
                      <w:szCs w:val="21"/>
                      <w:highlight w:val="none"/>
                      <w:lang w:val="en-US" w:eastAsia="zh-CN"/>
                    </w:rPr>
                    <w:t>5</w:t>
                  </w:r>
                </w:p>
              </w:tc>
            </w:tr>
          </w:tbl>
          <w:p>
            <w:pPr>
              <w:pStyle w:val="68"/>
              <w:keepNext w:val="0"/>
              <w:keepLines w:val="0"/>
              <w:pageBreakBefore w:val="0"/>
              <w:widowControl/>
              <w:numPr>
                <w:ilvl w:val="0"/>
                <w:numId w:val="4"/>
              </w:numPr>
              <w:kinsoku/>
              <w:wordWrap/>
              <w:overflowPunct/>
              <w:topLinePunct w:val="0"/>
              <w:autoSpaceDE/>
              <w:autoSpaceDN/>
              <w:bidi w:val="0"/>
              <w:adjustRightInd w:val="0"/>
              <w:snapToGrid w:val="0"/>
              <w:ind w:left="0" w:leftChars="0" w:firstLine="482" w:firstLineChars="200"/>
              <w:jc w:val="both"/>
              <w:textAlignment w:val="baseline"/>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废水</w:t>
            </w:r>
          </w:p>
          <w:p>
            <w:pPr>
              <w:keepNext w:val="0"/>
              <w:keepLines w:val="0"/>
              <w:pageBreakBefore w:val="0"/>
              <w:widowControl/>
              <w:kinsoku/>
              <w:wordWrap/>
              <w:overflowPunct/>
              <w:topLinePunct w:val="0"/>
              <w:autoSpaceDE/>
              <w:autoSpaceDN/>
              <w:bidi w:val="0"/>
              <w:spacing w:line="360" w:lineRule="auto"/>
              <w:ind w:firstLine="480" w:firstLineChars="200"/>
              <w:jc w:val="both"/>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z w:val="24"/>
                <w:szCs w:val="24"/>
                <w:lang w:val="en-US" w:eastAsia="zh-CN"/>
              </w:rPr>
              <w:t>本项目生产清洗废水循环利用</w:t>
            </w:r>
            <w:r>
              <w:rPr>
                <w:rFonts w:hint="eastAsia" w:cs="Times New Roman"/>
                <w:color w:val="auto"/>
                <w:sz w:val="24"/>
                <w:szCs w:val="24"/>
                <w:lang w:val="en-US" w:eastAsia="zh-CN"/>
              </w:rPr>
              <w:t>不</w:t>
            </w:r>
            <w:r>
              <w:rPr>
                <w:rFonts w:hint="default" w:ascii="Times New Roman" w:hAnsi="Times New Roman" w:eastAsia="宋体" w:cs="Times New Roman"/>
                <w:color w:val="auto"/>
                <w:sz w:val="24"/>
                <w:szCs w:val="24"/>
                <w:lang w:val="en-US" w:eastAsia="zh-CN"/>
              </w:rPr>
              <w:t>外排，</w:t>
            </w:r>
            <w:r>
              <w:rPr>
                <w:rFonts w:hint="default" w:ascii="Times New Roman" w:hAnsi="Times New Roman" w:eastAsia="宋体" w:cs="Times New Roman"/>
                <w:color w:val="auto"/>
                <w:spacing w:val="-6"/>
                <w:sz w:val="24"/>
                <w:szCs w:val="24"/>
                <w:highlight w:val="none"/>
                <w:lang w:val="en-US" w:eastAsia="zh-CN"/>
              </w:rPr>
              <w:t>生活污水排放</w:t>
            </w:r>
            <w:r>
              <w:rPr>
                <w:rFonts w:hint="default" w:ascii="Times New Roman" w:hAnsi="Times New Roman" w:eastAsia="宋体" w:cs="Times New Roman"/>
                <w:bCs/>
                <w:color w:val="auto"/>
                <w:sz w:val="24"/>
                <w:szCs w:val="24"/>
                <w:highlight w:val="none"/>
              </w:rPr>
              <w:t>执行《污水综合排放标准》（GB8978-1996）三级标准及《污水排入城镇下水道水质标准》（GB/T31962-2015）中的B等级标准。</w:t>
            </w:r>
          </w:p>
          <w:p>
            <w:pPr>
              <w:keepNext w:val="0"/>
              <w:keepLines w:val="0"/>
              <w:pageBreakBefore w:val="0"/>
              <w:widowControl/>
              <w:kinsoku/>
              <w:wordWrap/>
              <w:overflowPunct/>
              <w:topLinePunct w:val="0"/>
              <w:autoSpaceDE/>
              <w:autoSpaceDN/>
              <w:bidi w:val="0"/>
              <w:spacing w:line="360" w:lineRule="auto"/>
              <w:ind w:firstLine="480" w:firstLineChars="200"/>
              <w:jc w:val="both"/>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具体数值详见下</w:t>
            </w: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bCs/>
                <w:color w:val="auto"/>
                <w:sz w:val="24"/>
                <w:szCs w:val="24"/>
                <w:highlight w:val="none"/>
              </w:rPr>
              <w:t>。</w:t>
            </w:r>
          </w:p>
          <w:p>
            <w:pPr>
              <w:keepNext w:val="0"/>
              <w:keepLines w:val="0"/>
              <w:pageBreakBefore w:val="0"/>
              <w:widowControl/>
              <w:wordWrap/>
              <w:overflowPunct/>
              <w:topLinePunct w:val="0"/>
              <w:autoSpaceDE w:val="0"/>
              <w:autoSpaceDN w:val="0"/>
              <w:bidi w:val="0"/>
              <w:snapToGrid w:val="0"/>
              <w:spacing w:line="360" w:lineRule="auto"/>
              <w:ind w:firstLine="0" w:firstLineChars="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表3-</w:t>
            </w: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 xml:space="preserve">  废水污染物排放标准</w:t>
            </w:r>
          </w:p>
          <w:tbl>
            <w:tblPr>
              <w:tblStyle w:val="34"/>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353"/>
              <w:gridCol w:w="1233"/>
              <w:gridCol w:w="1333"/>
              <w:gridCol w:w="1100"/>
              <w:gridCol w:w="8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27" w:type="pct"/>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标准名称</w:t>
                  </w:r>
                </w:p>
              </w:tc>
              <w:tc>
                <w:tcPr>
                  <w:tcW w:w="782" w:type="pct"/>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执行标准</w:t>
                  </w:r>
                </w:p>
              </w:tc>
              <w:tc>
                <w:tcPr>
                  <w:tcW w:w="845" w:type="pct"/>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项目</w:t>
                  </w:r>
                </w:p>
              </w:tc>
              <w:tc>
                <w:tcPr>
                  <w:tcW w:w="697" w:type="pct"/>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标准值</w:t>
                  </w:r>
                </w:p>
              </w:tc>
              <w:tc>
                <w:tcPr>
                  <w:tcW w:w="546" w:type="pct"/>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27" w:type="pct"/>
                  <w:vMerge w:val="restart"/>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《污水综合排放标准》（GB8978-1996）</w:t>
                  </w:r>
                </w:p>
              </w:tc>
              <w:tc>
                <w:tcPr>
                  <w:tcW w:w="782" w:type="pct"/>
                  <w:vMerge w:val="restart"/>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三级标准</w:t>
                  </w:r>
                </w:p>
              </w:tc>
              <w:tc>
                <w:tcPr>
                  <w:tcW w:w="845" w:type="pct"/>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P</w:t>
                  </w:r>
                  <w:r>
                    <w:rPr>
                      <w:rFonts w:hint="default" w:ascii="Times New Roman" w:hAnsi="Times New Roman" w:eastAsia="宋体" w:cs="Times New Roman"/>
                      <w:bCs/>
                      <w:color w:val="auto"/>
                      <w:sz w:val="21"/>
                      <w:szCs w:val="21"/>
                    </w:rPr>
                    <w:t>H</w:t>
                  </w:r>
                </w:p>
              </w:tc>
              <w:tc>
                <w:tcPr>
                  <w:tcW w:w="697" w:type="pct"/>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9</w:t>
                  </w:r>
                </w:p>
              </w:tc>
              <w:tc>
                <w:tcPr>
                  <w:tcW w:w="546" w:type="pct"/>
                  <w:tcBorders>
                    <w:tl2br w:val="nil"/>
                    <w:tr2bl w:val="nil"/>
                  </w:tcBorders>
                  <w:noWrap w:val="0"/>
                  <w:vAlign w:val="center"/>
                </w:tcPr>
                <w:p>
                  <w:pPr>
                    <w:keepNext w:val="0"/>
                    <w:keepLines w:val="0"/>
                    <w:pageBreakBefore w:val="0"/>
                    <w:widowControl/>
                    <w:kinsoku/>
                    <w:wordWrap/>
                    <w:overflowPunct/>
                    <w:topLinePunct w:val="0"/>
                    <w:autoSpaceDE/>
                    <w:autoSpaceDN/>
                    <w:bidi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2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rPr>
                      <w:rFonts w:hint="default" w:ascii="Times New Roman" w:hAnsi="Times New Roman" w:eastAsia="宋体" w:cs="Times New Roman"/>
                      <w:color w:val="auto"/>
                      <w:sz w:val="21"/>
                      <w:szCs w:val="21"/>
                    </w:rPr>
                  </w:pPr>
                </w:p>
              </w:tc>
              <w:tc>
                <w:tcPr>
                  <w:tcW w:w="78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COD</w:t>
                  </w:r>
                </w:p>
              </w:tc>
              <w:tc>
                <w:tcPr>
                  <w:tcW w:w="697" w:type="pct"/>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546"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2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rPr>
                      <w:rFonts w:hint="default" w:ascii="Times New Roman" w:hAnsi="Times New Roman" w:eastAsia="宋体" w:cs="Times New Roman"/>
                      <w:color w:val="auto"/>
                      <w:sz w:val="21"/>
                      <w:szCs w:val="21"/>
                    </w:rPr>
                  </w:pPr>
                </w:p>
              </w:tc>
              <w:tc>
                <w:tcPr>
                  <w:tcW w:w="78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697" w:type="pct"/>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54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jc w:val="center"/>
                    <w:rPr>
                      <w:rFonts w:hint="default" w:ascii="Times New Roman" w:hAnsi="Times New Roman" w:eastAsia="宋体" w:cs="Times New Roman"/>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2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rPr>
                      <w:rFonts w:hint="default" w:ascii="Times New Roman" w:hAnsi="Times New Roman" w:eastAsia="宋体" w:cs="Times New Roman"/>
                      <w:color w:val="auto"/>
                      <w:sz w:val="21"/>
                      <w:szCs w:val="21"/>
                    </w:rPr>
                  </w:pPr>
                </w:p>
              </w:tc>
              <w:tc>
                <w:tcPr>
                  <w:tcW w:w="78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SS</w:t>
                  </w:r>
                </w:p>
              </w:tc>
              <w:tc>
                <w:tcPr>
                  <w:tcW w:w="697" w:type="pct"/>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400</w:t>
                  </w:r>
                </w:p>
              </w:tc>
              <w:tc>
                <w:tcPr>
                  <w:tcW w:w="54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jc w:val="center"/>
                    <w:rPr>
                      <w:rFonts w:hint="default" w:ascii="Times New Roman" w:hAnsi="Times New Roman" w:eastAsia="宋体" w:cs="Times New Roman"/>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2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rPr>
                      <w:rFonts w:hint="default" w:ascii="Times New Roman" w:hAnsi="Times New Roman" w:eastAsia="宋体" w:cs="Times New Roman"/>
                      <w:color w:val="auto"/>
                      <w:sz w:val="21"/>
                      <w:szCs w:val="21"/>
                    </w:rPr>
                  </w:pPr>
                </w:p>
              </w:tc>
              <w:tc>
                <w:tcPr>
                  <w:tcW w:w="78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rPr>
                      <w:rFonts w:hint="default" w:ascii="Times New Roman" w:hAnsi="Times New Roman" w:eastAsia="宋体" w:cs="Times New Roman"/>
                      <w:color w:val="auto"/>
                      <w:sz w:val="21"/>
                      <w:szCs w:val="21"/>
                    </w:rPr>
                  </w:pPr>
                </w:p>
              </w:tc>
              <w:tc>
                <w:tcPr>
                  <w:tcW w:w="845"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动植物油</w:t>
                  </w:r>
                </w:p>
              </w:tc>
              <w:tc>
                <w:tcPr>
                  <w:tcW w:w="697" w:type="pct"/>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tc>
              <w:tc>
                <w:tcPr>
                  <w:tcW w:w="54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jc w:val="center"/>
                    <w:rPr>
                      <w:rFonts w:hint="default" w:ascii="Times New Roman" w:hAnsi="Times New Roman" w:eastAsia="宋体" w:cs="Times New Roman"/>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27" w:type="pct"/>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《污水排入城镇下水道水质标准》（GB/T31962-2015）</w:t>
                  </w:r>
                </w:p>
              </w:tc>
              <w:tc>
                <w:tcPr>
                  <w:tcW w:w="782" w:type="pct"/>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B级标准</w:t>
                  </w:r>
                </w:p>
              </w:tc>
              <w:tc>
                <w:tcPr>
                  <w:tcW w:w="845"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氨氮</w:t>
                  </w:r>
                </w:p>
              </w:tc>
              <w:tc>
                <w:tcPr>
                  <w:tcW w:w="697" w:type="pct"/>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45</w:t>
                  </w:r>
                </w:p>
              </w:tc>
              <w:tc>
                <w:tcPr>
                  <w:tcW w:w="54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jc w:val="center"/>
                    <w:rPr>
                      <w:rFonts w:hint="default" w:ascii="Times New Roman" w:hAnsi="Times New Roman" w:eastAsia="宋体" w:cs="Times New Roman"/>
                      <w:bCs/>
                      <w:color w:val="auto"/>
                      <w:sz w:val="21"/>
                      <w:szCs w:val="21"/>
                    </w:rPr>
                  </w:pPr>
                </w:p>
              </w:tc>
            </w:tr>
          </w:tbl>
          <w:p>
            <w:pPr>
              <w:pStyle w:val="68"/>
              <w:keepNext w:val="0"/>
              <w:keepLines w:val="0"/>
              <w:pageBreakBefore w:val="0"/>
              <w:widowControl/>
              <w:numPr>
                <w:ilvl w:val="0"/>
                <w:numId w:val="4"/>
              </w:numPr>
              <w:kinsoku/>
              <w:wordWrap/>
              <w:overflowPunct/>
              <w:topLinePunct w:val="0"/>
              <w:autoSpaceDE/>
              <w:autoSpaceDN/>
              <w:bidi w:val="0"/>
              <w:adjustRightInd w:val="0"/>
              <w:snapToGrid w:val="0"/>
              <w:ind w:left="0" w:leftChars="0" w:firstLine="482" w:firstLineChars="200"/>
              <w:jc w:val="both"/>
              <w:textAlignment w:val="baseline"/>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固体废物</w:t>
            </w:r>
          </w:p>
          <w:p>
            <w:pPr>
              <w:pStyle w:val="68"/>
              <w:keepNext w:val="0"/>
              <w:keepLines w:val="0"/>
              <w:pageBreakBefore w:val="0"/>
              <w:widowControl/>
              <w:numPr>
                <w:ilvl w:val="0"/>
                <w:numId w:val="0"/>
              </w:numPr>
              <w:kinsoku/>
              <w:wordWrap/>
              <w:overflowPunct/>
              <w:topLinePunct w:val="0"/>
              <w:autoSpaceDE/>
              <w:autoSpaceDN/>
              <w:bidi w:val="0"/>
              <w:adjustRightInd w:val="0"/>
              <w:snapToGrid w:val="0"/>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highlight w:val="none"/>
                <w:lang w:val="en-US" w:eastAsia="zh-CN"/>
              </w:rPr>
              <w:t>一般工业固体废物参照《一般工业固体废物贮存和填埋污染控制标准》（GB18599-2020），贮存应满足相应环境保护要求；危险废物执行《危险废物贮存污染控制标准》（GB18597-2023）中的相关规定，危险废物识别标志设置执行《危险废物识别标志设置技术规范》(HJ1276-2022)中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9" w:hRule="atLeast"/>
          <w:jc w:val="center"/>
        </w:trPr>
        <w:tc>
          <w:tcPr>
            <w:tcW w:w="515" w:type="pct"/>
            <w:tcBorders>
              <w:top w:val="single" w:color="000000" w:sz="4" w:space="0"/>
            </w:tcBorders>
            <w:noWrap w:val="0"/>
            <w:tcMar>
              <w:left w:w="28" w:type="dxa"/>
              <w:right w:w="28" w:type="dxa"/>
            </w:tcMar>
            <w:vAlign w:val="center"/>
          </w:tcPr>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总量控制指标</w:t>
            </w:r>
          </w:p>
        </w:tc>
        <w:tc>
          <w:tcPr>
            <w:tcW w:w="4484" w:type="pct"/>
            <w:tcBorders>
              <w:top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根据《“十四五”节能减排综合工作方案》，我国“十四”期间对COD、氨氮、VOC</w:t>
            </w:r>
            <w:r>
              <w:rPr>
                <w:rFonts w:hint="default" w:ascii="Times New Roman" w:hAnsi="Times New Roman" w:eastAsia="宋体" w:cs="Times New Roman"/>
                <w:color w:val="auto"/>
                <w:kern w:val="0"/>
                <w:sz w:val="24"/>
                <w:szCs w:val="24"/>
                <w:vertAlign w:val="subscript"/>
                <w:lang w:val="en-US" w:eastAsia="zh-CN" w:bidi="ar"/>
              </w:rPr>
              <w:t>S</w:t>
            </w:r>
            <w:r>
              <w:rPr>
                <w:rFonts w:hint="default" w:ascii="Times New Roman" w:hAnsi="Times New Roman" w:eastAsia="宋体" w:cs="Times New Roman"/>
                <w:color w:val="auto"/>
                <w:kern w:val="0"/>
                <w:sz w:val="24"/>
                <w:szCs w:val="24"/>
                <w:lang w:val="en-US" w:eastAsia="zh-CN" w:bidi="ar"/>
              </w:rPr>
              <w:t>、NO</w:t>
            </w:r>
            <w:r>
              <w:rPr>
                <w:rFonts w:hint="default" w:ascii="Times New Roman" w:hAnsi="Times New Roman" w:eastAsia="宋体" w:cs="Times New Roman"/>
                <w:color w:val="auto"/>
                <w:kern w:val="0"/>
                <w:sz w:val="24"/>
                <w:szCs w:val="24"/>
                <w:vertAlign w:val="subscript"/>
                <w:lang w:val="en-US" w:eastAsia="zh-CN" w:bidi="ar"/>
              </w:rPr>
              <w:t>X</w:t>
            </w:r>
            <w:r>
              <w:rPr>
                <w:rFonts w:hint="default" w:ascii="Times New Roman" w:hAnsi="Times New Roman" w:eastAsia="宋体" w:cs="Times New Roman"/>
                <w:color w:val="auto"/>
                <w:kern w:val="0"/>
                <w:sz w:val="24"/>
                <w:szCs w:val="24"/>
                <w:lang w:val="en-US" w:eastAsia="zh-CN" w:bidi="ar"/>
              </w:rPr>
              <w:t>这4种污染物实行排放总量控制，实施重点行业挥发性有机物总量控制。</w:t>
            </w:r>
          </w:p>
          <w:p>
            <w:pPr>
              <w:pStyle w:val="32"/>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t>结合项目工艺特征和排污特点，确定本项目污染物总量控制指标：VOCs：</w:t>
            </w:r>
            <w:r>
              <w:rPr>
                <w:rFonts w:hint="default" w:ascii="Times New Roman" w:hAnsi="Times New Roman" w:eastAsia="宋体" w:cs="Times New Roman"/>
                <w:b w:val="0"/>
                <w:color w:val="auto"/>
                <w:sz w:val="24"/>
                <w:szCs w:val="24"/>
                <w:highlight w:val="none"/>
                <w:lang w:val="en-US" w:eastAsia="zh-CN"/>
              </w:rPr>
              <w:t>0.670</w:t>
            </w:r>
            <w:r>
              <w:rPr>
                <w:rFonts w:hint="default" w:ascii="Times New Roman" w:hAnsi="Times New Roman" w:eastAsia="宋体" w:cs="Times New Roman"/>
                <w:b w:val="0"/>
                <w:color w:val="auto"/>
                <w:sz w:val="24"/>
                <w:szCs w:val="24"/>
                <w:highlight w:val="none"/>
              </w:rPr>
              <w:t>t/a。</w:t>
            </w:r>
          </w:p>
          <w:p>
            <w:pPr>
              <w:pStyle w:val="32"/>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color w:val="auto"/>
                <w:szCs w:val="24"/>
                <w:highlight w:val="none"/>
              </w:rPr>
            </w:pPr>
            <w:r>
              <w:rPr>
                <w:rFonts w:hint="default" w:ascii="Times New Roman" w:hAnsi="Times New Roman" w:eastAsia="宋体" w:cs="Times New Roman"/>
                <w:b w:val="0"/>
                <w:color w:val="auto"/>
                <w:sz w:val="24"/>
                <w:szCs w:val="24"/>
                <w:highlight w:val="none"/>
              </w:rPr>
              <w:t>项目</w:t>
            </w:r>
            <w:r>
              <w:rPr>
                <w:rFonts w:hint="eastAsia" w:cs="Times New Roman"/>
                <w:b w:val="0"/>
                <w:color w:val="auto"/>
                <w:sz w:val="24"/>
                <w:szCs w:val="24"/>
                <w:highlight w:val="none"/>
                <w:lang w:val="en-US" w:eastAsia="zh-CN"/>
              </w:rPr>
              <w:t>食堂废水经油水分离器处理后与其他办公废水一同经化粪池处理后通过市政管网排至集贤产业园污水处理厂深度处理</w:t>
            </w:r>
            <w:r>
              <w:rPr>
                <w:rFonts w:hint="default" w:ascii="Times New Roman" w:hAnsi="Times New Roman" w:eastAsia="宋体" w:cs="Times New Roman"/>
                <w:b w:val="0"/>
                <w:color w:val="auto"/>
                <w:szCs w:val="24"/>
                <w:highlight w:val="none"/>
              </w:rPr>
              <w:t>，</w:t>
            </w:r>
            <w:r>
              <w:rPr>
                <w:rFonts w:hint="default" w:ascii="Times New Roman" w:hAnsi="Times New Roman" w:eastAsia="宋体" w:cs="Times New Roman"/>
                <w:b w:val="0"/>
                <w:color w:val="auto"/>
                <w:szCs w:val="24"/>
                <w:highlight w:val="none"/>
                <w:lang w:val="en-US" w:eastAsia="zh-CN"/>
              </w:rPr>
              <w:t>故本次废水总量控制指标纳入</w:t>
            </w:r>
            <w:r>
              <w:rPr>
                <w:rFonts w:hint="eastAsia" w:cs="Times New Roman"/>
                <w:b w:val="0"/>
                <w:color w:val="auto"/>
                <w:szCs w:val="24"/>
                <w:highlight w:val="none"/>
                <w:lang w:val="en-US" w:eastAsia="zh-CN"/>
              </w:rPr>
              <w:t>集贤产业园污水处理厂</w:t>
            </w:r>
            <w:r>
              <w:rPr>
                <w:rFonts w:hint="default" w:ascii="Times New Roman" w:hAnsi="Times New Roman" w:eastAsia="宋体" w:cs="Times New Roman"/>
                <w:b w:val="0"/>
                <w:color w:val="auto"/>
                <w:szCs w:val="24"/>
                <w:highlight w:val="none"/>
                <w:lang w:val="en-US" w:eastAsia="zh-CN"/>
              </w:rPr>
              <w:t>总量中</w:t>
            </w:r>
            <w:r>
              <w:rPr>
                <w:rFonts w:hint="default" w:ascii="Times New Roman" w:hAnsi="Times New Roman" w:eastAsia="宋体" w:cs="Times New Roman"/>
                <w:b w:val="0"/>
                <w:color w:val="auto"/>
                <w:szCs w:val="24"/>
                <w:highlight w:val="none"/>
              </w:rPr>
              <w:t>。</w:t>
            </w:r>
          </w:p>
        </w:tc>
      </w:tr>
    </w:tbl>
    <w:p>
      <w:pPr>
        <w:pStyle w:val="30"/>
        <w:keepNext w:val="0"/>
        <w:keepLines w:val="0"/>
        <w:pageBreakBefore w:val="0"/>
        <w:widowControl/>
        <w:kinsoku/>
        <w:wordWrap/>
        <w:overflowPunct/>
        <w:topLinePunct w:val="0"/>
        <w:autoSpaceDE/>
        <w:autoSpaceDN/>
        <w:bidi w:val="0"/>
        <w:spacing w:before="0" w:beforeAutospacing="0" w:after="0" w:afterAutospacing="0" w:line="360" w:lineRule="auto"/>
        <w:jc w:val="center"/>
        <w:textAlignment w:val="auto"/>
        <w:outlineLvl w:val="0"/>
        <w:rPr>
          <w:rFonts w:hint="default" w:ascii="Times New Roman" w:hAnsi="Times New Roman" w:eastAsia="宋体" w:cs="Times New Roman"/>
          <w:b/>
          <w:bCs/>
          <w:snapToGrid w:val="0"/>
          <w:color w:val="auto"/>
          <w:sz w:val="30"/>
          <w:szCs w:val="30"/>
        </w:rPr>
      </w:pPr>
      <w:r>
        <w:rPr>
          <w:rFonts w:hint="default" w:ascii="Times New Roman" w:hAnsi="Times New Roman" w:eastAsia="宋体" w:cs="Times New Roman"/>
          <w:snapToGrid w:val="0"/>
          <w:color w:val="auto"/>
          <w:sz w:val="36"/>
          <w:szCs w:val="36"/>
        </w:rPr>
        <w:br w:type="page"/>
      </w:r>
      <w:r>
        <w:rPr>
          <w:rFonts w:hint="default" w:ascii="Times New Roman" w:hAnsi="Times New Roman" w:eastAsia="宋体" w:cs="Times New Roman"/>
          <w:b/>
          <w:bCs/>
          <w:snapToGrid w:val="0"/>
          <w:color w:val="auto"/>
          <w:sz w:val="30"/>
          <w:szCs w:val="30"/>
        </w:rPr>
        <w:t>四、主要环境影响和保护措施</w:t>
      </w:r>
    </w:p>
    <w:tbl>
      <w:tblPr>
        <w:tblStyle w:val="34"/>
        <w:tblW w:w="89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6" w:hRule="atLeast"/>
          <w:jc w:val="center"/>
        </w:trPr>
        <w:tc>
          <w:tcPr>
            <w:tcW w:w="746" w:type="dxa"/>
            <w:noWrap w:val="0"/>
            <w:tcMar>
              <w:left w:w="28" w:type="dxa"/>
              <w:right w:w="28" w:type="dxa"/>
            </w:tcMar>
            <w:vAlign w:val="center"/>
          </w:tcPr>
          <w:p>
            <w:pPr>
              <w:pStyle w:val="30"/>
              <w:adjustRightInd w:val="0"/>
              <w:snapToGrid w:val="0"/>
              <w:spacing w:before="0" w:beforeAutospacing="0" w:after="0" w:afterAutospacing="0"/>
              <w:jc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color w:val="auto"/>
                <w:kern w:val="2"/>
                <w:sz w:val="24"/>
                <w:szCs w:val="24"/>
              </w:rPr>
              <w:t>施工期环境保护措施</w:t>
            </w:r>
          </w:p>
        </w:tc>
        <w:tc>
          <w:tcPr>
            <w:tcW w:w="8162" w:type="dxa"/>
            <w:noWrap w:val="0"/>
            <w:vAlign w:val="center"/>
          </w:tcPr>
          <w:p>
            <w:pPr>
              <w:pStyle w:val="30"/>
              <w:keepNext w:val="0"/>
              <w:keepLines w:val="0"/>
              <w:pageBreakBefore w:val="0"/>
              <w:widowControl w:val="0"/>
              <w:kinsoku/>
              <w:wordWrap/>
              <w:overflowPunct/>
              <w:topLinePunct w:val="0"/>
              <w:autoSpaceDE/>
              <w:autoSpaceDN/>
              <w:bidi w:val="0"/>
              <w:spacing w:before="0" w:beforeAutospacing="0" w:after="0" w:afterAutospacing="0" w:line="360" w:lineRule="auto"/>
              <w:ind w:firstLine="482" w:firstLineChars="200"/>
              <w:jc w:val="both"/>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rPr>
              <w:t>施工期环境保护措施</w:t>
            </w:r>
          </w:p>
          <w:p>
            <w:pPr>
              <w:keepNext w:val="0"/>
              <w:keepLines w:val="0"/>
              <w:pageBreakBefore w:val="0"/>
              <w:kinsoku/>
              <w:wordWrap/>
              <w:overflowPunct/>
              <w:topLinePunct w:val="0"/>
              <w:autoSpaceDE/>
              <w:autoSpaceDN/>
              <w:bidi w:val="0"/>
              <w:spacing w:line="360" w:lineRule="auto"/>
              <w:ind w:firstLine="480" w:firstLineChars="200"/>
              <w:jc w:val="both"/>
              <w:rPr>
                <w:rFonts w:hint="default" w:ascii="Times New Roman" w:hAnsi="Times New Roman" w:eastAsia="宋体" w:cs="Times New Roman"/>
                <w:bCs/>
                <w:color w:val="auto"/>
                <w:spacing w:val="-10"/>
                <w:szCs w:val="21"/>
              </w:rPr>
            </w:pPr>
            <w:r>
              <w:rPr>
                <w:rFonts w:hint="default" w:ascii="Times New Roman" w:hAnsi="Times New Roman" w:eastAsia="宋体" w:cs="Times New Roman"/>
                <w:color w:val="auto"/>
                <w:kern w:val="2"/>
                <w:sz w:val="24"/>
                <w:szCs w:val="24"/>
                <w:highlight w:val="none"/>
                <w:lang w:eastAsia="zh-CN"/>
              </w:rPr>
              <w:t>本项目</w:t>
            </w:r>
            <w:r>
              <w:rPr>
                <w:rFonts w:hint="default" w:ascii="Times New Roman" w:hAnsi="Times New Roman" w:eastAsia="宋体" w:cs="Times New Roman"/>
                <w:color w:val="auto"/>
                <w:kern w:val="2"/>
                <w:sz w:val="24"/>
                <w:szCs w:val="24"/>
                <w:highlight w:val="none"/>
                <w:lang w:val="en-US" w:eastAsia="zh-CN"/>
              </w:rPr>
              <w:t>位于</w:t>
            </w:r>
            <w:r>
              <w:rPr>
                <w:rFonts w:hint="default" w:ascii="Times New Roman" w:hAnsi="Times New Roman" w:eastAsia="宋体" w:cs="Times New Roman"/>
                <w:color w:val="auto"/>
                <w:sz w:val="24"/>
                <w:szCs w:val="24"/>
                <w:highlight w:val="none"/>
                <w:lang w:val="en-US" w:eastAsia="zh-CN"/>
              </w:rPr>
              <w:t>高科建材（西安）新材料科技有限公司</w:t>
            </w:r>
            <w:r>
              <w:rPr>
                <w:rFonts w:hint="default" w:ascii="Times New Roman" w:hAnsi="Times New Roman" w:eastAsia="宋体" w:cs="Times New Roman"/>
                <w:color w:val="auto"/>
                <w:kern w:val="2"/>
                <w:sz w:val="24"/>
                <w:szCs w:val="24"/>
                <w:highlight w:val="none"/>
                <w:lang w:val="en-US" w:eastAsia="zh-CN"/>
              </w:rPr>
              <w:t>南区</w:t>
            </w:r>
            <w:r>
              <w:rPr>
                <w:rFonts w:hint="default" w:ascii="Times New Roman" w:hAnsi="Times New Roman" w:eastAsia="宋体" w:cs="Times New Roman"/>
                <w:color w:val="auto"/>
                <w:kern w:val="2"/>
                <w:sz w:val="24"/>
                <w:szCs w:val="24"/>
                <w:highlight w:val="none"/>
                <w:lang w:eastAsia="zh-CN"/>
              </w:rPr>
              <w:t>已建空置厂房及辅助生产设施，只需进行设备安装和简单装修，不涉及土建工程。本项目施工期主要环境影响为厂房内部装修、设备安装过程中产生的少量粉尘、设备噪声以及少量建筑垃圾等</w:t>
            </w:r>
            <w:r>
              <w:rPr>
                <w:rFonts w:hint="default" w:ascii="Times New Roman" w:hAnsi="Times New Roman" w:eastAsia="宋体" w:cs="Times New Roman"/>
                <w:b w:val="0"/>
                <w:bCs/>
                <w:color w:val="auto"/>
                <w:sz w:val="24"/>
                <w:szCs w:val="24"/>
                <w:lang w:val="en-US" w:eastAsia="zh-CN"/>
              </w:rPr>
              <w:t>，施工期较短，本次评价不对施工期进行影响分析。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6" w:type="dxa"/>
            <w:noWrap w:val="0"/>
            <w:tcMar>
              <w:left w:w="28" w:type="dxa"/>
              <w:right w:w="28" w:type="dxa"/>
            </w:tcMar>
            <w:vAlign w:val="center"/>
          </w:tcPr>
          <w:p>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运营期环境影响和保护措施</w:t>
            </w:r>
          </w:p>
        </w:tc>
        <w:tc>
          <w:tcPr>
            <w:tcW w:w="8162" w:type="dxa"/>
            <w:noWrap w:val="0"/>
            <w:vAlign w:val="center"/>
          </w:tcPr>
          <w:p>
            <w:pPr>
              <w:pStyle w:val="68"/>
              <w:keepNext w:val="0"/>
              <w:keepLines w:val="0"/>
              <w:pageBreakBefore w:val="0"/>
              <w:widowControl w:val="0"/>
              <w:kinsoku/>
              <w:wordWrap/>
              <w:overflowPunct/>
              <w:topLinePunct w:val="0"/>
              <w:autoSpaceDE/>
              <w:autoSpaceDN/>
              <w:bidi w:val="0"/>
              <w:adjustRightInd w:val="0"/>
              <w:snapToGrid w:val="0"/>
              <w:ind w:firstLine="482" w:firstLineChars="200"/>
              <w:jc w:val="both"/>
              <w:textAlignment w:val="baseline"/>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运营期环境影响和保护措施</w:t>
            </w:r>
          </w:p>
          <w:p>
            <w:pPr>
              <w:pStyle w:val="68"/>
              <w:keepNext w:val="0"/>
              <w:keepLines w:val="0"/>
              <w:pageBreakBefore w:val="0"/>
              <w:kinsoku/>
              <w:wordWrap/>
              <w:overflowPunct/>
              <w:topLinePunct w:val="0"/>
              <w:autoSpaceDE/>
              <w:autoSpaceDN/>
              <w:bidi w:val="0"/>
              <w:ind w:firstLine="482" w:firstLineChars="200"/>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一</w:t>
            </w:r>
            <w:r>
              <w:rPr>
                <w:rFonts w:hint="default" w:ascii="Times New Roman" w:hAnsi="Times New Roman" w:eastAsia="宋体" w:cs="Times New Roman"/>
                <w:b/>
                <w:bCs/>
                <w:color w:val="auto"/>
                <w:sz w:val="24"/>
                <w:szCs w:val="24"/>
              </w:rPr>
              <w:t>、废气</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highlight w:val="none"/>
                <w:lang w:val="en-US" w:eastAsia="zh-CN"/>
              </w:rPr>
              <w:t>1、产污环节及</w:t>
            </w:r>
            <w:r>
              <w:rPr>
                <w:rFonts w:hint="default" w:ascii="Times New Roman" w:hAnsi="Times New Roman" w:eastAsia="宋体" w:cs="Times New Roman"/>
                <w:b/>
                <w:bCs/>
                <w:color w:val="auto"/>
                <w:sz w:val="24"/>
                <w:szCs w:val="24"/>
                <w:lang w:val="en-US" w:eastAsia="zh-CN"/>
              </w:rPr>
              <w:t>源强核算</w:t>
            </w:r>
          </w:p>
          <w:p>
            <w:pPr>
              <w:pStyle w:val="131"/>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根据工艺流程分析，项目运行过程中会产生涂胶废气、食堂油烟等。</w:t>
            </w:r>
          </w:p>
          <w:p>
            <w:pPr>
              <w:pStyle w:val="137"/>
              <w:keepNext w:val="0"/>
              <w:keepLines w:val="0"/>
              <w:pageBreakBefore w:val="0"/>
              <w:widowControl w:val="0"/>
              <w:kinsoku/>
              <w:wordWrap/>
              <w:overflowPunct/>
              <w:topLinePunct w:val="0"/>
              <w:autoSpaceDE/>
              <w:autoSpaceDN/>
              <w:bidi w:val="0"/>
              <w:adjustRightInd w:val="0"/>
              <w:snapToGrid w:val="0"/>
              <w:spacing w:line="360" w:lineRule="auto"/>
              <w:ind w:left="0" w:firstLine="472"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lang w:eastAsia="zh-CN"/>
              </w:rPr>
              <w:t>（</w:t>
            </w:r>
            <w:r>
              <w:rPr>
                <w:rFonts w:hint="default" w:ascii="Times New Roman" w:hAnsi="Times New Roman" w:eastAsia="宋体" w:cs="Times New Roman"/>
                <w:color w:val="auto"/>
                <w:spacing w:val="-2"/>
                <w:sz w:val="24"/>
                <w:szCs w:val="24"/>
                <w:lang w:val="en-US" w:eastAsia="zh-CN"/>
              </w:rPr>
              <w:t>1</w:t>
            </w:r>
            <w:r>
              <w:rPr>
                <w:rFonts w:hint="default" w:ascii="Times New Roman" w:hAnsi="Times New Roman" w:eastAsia="宋体" w:cs="Times New Roman"/>
                <w:color w:val="auto"/>
                <w:spacing w:val="-2"/>
                <w:sz w:val="24"/>
                <w:szCs w:val="24"/>
                <w:lang w:eastAsia="zh-CN"/>
              </w:rPr>
              <w:t>）</w:t>
            </w:r>
            <w:r>
              <w:rPr>
                <w:rFonts w:hint="default" w:ascii="Times New Roman" w:hAnsi="Times New Roman" w:eastAsia="宋体" w:cs="Times New Roman"/>
                <w:color w:val="auto"/>
                <w:sz w:val="24"/>
                <w:szCs w:val="24"/>
                <w:highlight w:val="none"/>
                <w:lang w:val="en-US" w:eastAsia="zh-CN"/>
              </w:rPr>
              <w:t>涂胶</w:t>
            </w:r>
            <w:r>
              <w:rPr>
                <w:rFonts w:hint="default" w:ascii="Times New Roman" w:hAnsi="Times New Roman" w:eastAsia="宋体" w:cs="Times New Roman"/>
                <w:color w:val="auto"/>
                <w:spacing w:val="-2"/>
                <w:sz w:val="24"/>
                <w:szCs w:val="24"/>
              </w:rPr>
              <w:t>废气</w:t>
            </w:r>
          </w:p>
          <w:p>
            <w:pPr>
              <w:keepNext w:val="0"/>
              <w:keepLines w:val="0"/>
              <w:pageBreakBefore w:val="0"/>
              <w:widowControl/>
              <w:suppressLineNumbers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本项目打胶过程会有丁基胶、中空玻璃硅酮密封胶挥发产生的有机废气，主要为非甲烷总烃。本项目丁基胶年用量为1.2t、硅酮密封胶年用量21.6t，所用各种密封胶均在常温常压条件下自然固化。因《排放源统计调查产排污核算方法和系数手册》（公告2021年第24号）中的《304玻璃制造行业系数手册》中无非甲烷总烃相关的产污系数，故参照《排放源统计调查产排污核算方法和系数手册》（公告2021年第24号）中的《33-37，431-434机械行业系数手册》“10粘胶涂胶及涂胶后固化工艺”，非甲烷总烃的排放系数为60.0kg/t-原料，本项目与其工艺类似，则非甲烷产生量1.368t/a。</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项目拟在涂胶工序上方设置集气罩</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集中收集后统一经1 套两级活性炭吸附装置处理，通过15m高排气筒（DA001）排放</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风量为5000m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/h</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年工作300天，每天工作时间16h。根据《集气罩设计手册》，设置外部型集气设备（包括顶式集气罩、侧式集气罩、槽边抽风等），相应工位所有逸散点控制风速不小于0.5m/s 时，集气罩收集效率可达85%以上，本项目设计控制风速＞0.5m/s，收集效率以85%计。两级活性炭吸附处理效率参照《排放源统计调查产排污核算方法和系数手册》-2646 密封用填料机类似品制造行业系数表中挥发性有机物活性炭吸附去除效率为36%，本项目设置二级活性炭，吸附效率以60%计。根据计算可知，非甲烷总烃有组织产生量为1.16t/a，产生速率为0.24kg/h，产生浓度为48.45mg/m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，有组织排放量为0.465t/a，排放速率为0.097kg/h，排放浓度为19.38mg/m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；非甲烷总烃的无组织排放量为0.205t/a。非甲烷总烃有组织排放浓度满足《大气污染物综合排放标准》（GB16297-1996）表5中规定的限值要求（排放限值为120mg/m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w:t>
            </w:r>
          </w:p>
          <w:p>
            <w:pPr>
              <w:pStyle w:val="137"/>
              <w:keepNext w:val="0"/>
              <w:keepLines w:val="0"/>
              <w:pageBreakBefore w:val="0"/>
              <w:kinsoku/>
              <w:wordWrap/>
              <w:overflowPunct/>
              <w:topLinePunct w:val="0"/>
              <w:autoSpaceDE/>
              <w:autoSpaceDN/>
              <w:bidi w:val="0"/>
              <w:spacing w:line="360" w:lineRule="auto"/>
              <w:ind w:firstLine="472"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pacing w:val="-2"/>
                <w:sz w:val="24"/>
                <w:szCs w:val="24"/>
                <w:lang w:val="en-US" w:eastAsia="zh-CN"/>
              </w:rPr>
              <w:t>（2）</w:t>
            </w:r>
            <w:r>
              <w:rPr>
                <w:rFonts w:hint="default" w:ascii="Times New Roman" w:hAnsi="Times New Roman" w:eastAsia="宋体" w:cs="Times New Roman"/>
                <w:color w:val="auto"/>
                <w:spacing w:val="-2"/>
                <w:sz w:val="24"/>
                <w:szCs w:val="24"/>
              </w:rPr>
              <w:t>食堂油烟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项目劳动定员</w:t>
            </w:r>
            <w:r>
              <w:rPr>
                <w:rFonts w:hint="default" w:ascii="Times New Roman" w:hAnsi="Times New Roman" w:eastAsia="宋体" w:cs="Times New Roman"/>
                <w:color w:val="auto"/>
                <w:sz w:val="24"/>
                <w:szCs w:val="24"/>
                <w:highlight w:val="none"/>
                <w:lang w:val="en-US" w:eastAsia="zh-CN"/>
              </w:rPr>
              <w:t>50</w:t>
            </w:r>
            <w:r>
              <w:rPr>
                <w:rFonts w:hint="default" w:ascii="Times New Roman" w:hAnsi="Times New Roman" w:eastAsia="宋体" w:cs="Times New Roman"/>
                <w:color w:val="auto"/>
                <w:sz w:val="24"/>
                <w:szCs w:val="24"/>
                <w:highlight w:val="none"/>
              </w:rPr>
              <w:t>人，用餐人数</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0人。</w:t>
            </w:r>
            <w:r>
              <w:rPr>
                <w:rFonts w:hint="default" w:ascii="Times New Roman" w:hAnsi="Times New Roman" w:eastAsia="宋体" w:cs="Times New Roman"/>
                <w:color w:val="auto"/>
                <w:sz w:val="24"/>
                <w:szCs w:val="24"/>
                <w:highlight w:val="none"/>
                <w:lang w:val="en-US" w:eastAsia="zh-CN"/>
              </w:rPr>
              <w:t>依托高科建材</w:t>
            </w:r>
            <w:r>
              <w:rPr>
                <w:rFonts w:hint="default" w:ascii="Times New Roman" w:hAnsi="Times New Roman" w:eastAsia="宋体" w:cs="Times New Roman"/>
                <w:color w:val="auto"/>
                <w:sz w:val="24"/>
                <w:szCs w:val="24"/>
                <w:highlight w:val="none"/>
              </w:rPr>
              <w:t>食堂设有</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个灶头，规模属于中型饮食业单位，能源为天然气。耗油量按15g/（人·餐），一日三餐计算，则耗油量为</w:t>
            </w:r>
            <w:r>
              <w:rPr>
                <w:rFonts w:hint="default" w:ascii="Times New Roman" w:hAnsi="Times New Roman" w:eastAsia="宋体" w:cs="Times New Roman"/>
                <w:color w:val="auto"/>
                <w:sz w:val="24"/>
                <w:szCs w:val="24"/>
                <w:highlight w:val="none"/>
                <w:lang w:val="en-US" w:eastAsia="zh-CN"/>
              </w:rPr>
              <w:t>4.5</w:t>
            </w:r>
            <w:r>
              <w:rPr>
                <w:rFonts w:hint="default" w:ascii="Times New Roman" w:hAnsi="Times New Roman" w:eastAsia="宋体" w:cs="Times New Roman"/>
                <w:color w:val="auto"/>
                <w:sz w:val="24"/>
                <w:szCs w:val="24"/>
                <w:highlight w:val="none"/>
              </w:rPr>
              <w:t>kg/d，一般油烟挥发量占总耗油量的2~4%，平均为2.83%，则</w:t>
            </w:r>
            <w:r>
              <w:rPr>
                <w:rFonts w:hint="default" w:ascii="Times New Roman" w:hAnsi="Times New Roman" w:eastAsia="宋体" w:cs="Times New Roman"/>
                <w:color w:val="auto"/>
                <w:sz w:val="24"/>
                <w:szCs w:val="24"/>
                <w:highlight w:val="none"/>
                <w:lang w:val="en-US" w:eastAsia="zh-CN"/>
              </w:rPr>
              <w:t>本项目食堂</w:t>
            </w:r>
            <w:r>
              <w:rPr>
                <w:rFonts w:hint="default" w:ascii="Times New Roman" w:hAnsi="Times New Roman" w:eastAsia="宋体" w:cs="Times New Roman"/>
                <w:color w:val="auto"/>
                <w:sz w:val="24"/>
                <w:szCs w:val="24"/>
                <w:highlight w:val="none"/>
              </w:rPr>
              <w:t>油烟产生量约0.</w:t>
            </w:r>
            <w:r>
              <w:rPr>
                <w:rFonts w:hint="default" w:ascii="Times New Roman" w:hAnsi="Times New Roman" w:eastAsia="宋体" w:cs="Times New Roman"/>
                <w:color w:val="auto"/>
                <w:sz w:val="24"/>
                <w:szCs w:val="24"/>
                <w:highlight w:val="none"/>
                <w:lang w:val="en-US" w:eastAsia="zh-CN"/>
              </w:rPr>
              <w:t>021</w:t>
            </w:r>
            <w:r>
              <w:rPr>
                <w:rFonts w:hint="default" w:ascii="Times New Roman" w:hAnsi="Times New Roman" w:eastAsia="宋体" w:cs="Times New Roman"/>
                <w:color w:val="auto"/>
                <w:sz w:val="24"/>
                <w:szCs w:val="24"/>
                <w:highlight w:val="none"/>
              </w:rPr>
              <w:t>kg/d，</w:t>
            </w:r>
            <w:r>
              <w:rPr>
                <w:rFonts w:hint="default" w:ascii="Times New Roman" w:hAnsi="Times New Roman" w:eastAsia="宋体" w:cs="Times New Roman"/>
                <w:color w:val="auto"/>
                <w:sz w:val="24"/>
                <w:szCs w:val="24"/>
                <w:highlight w:val="none"/>
                <w:lang w:val="en-US" w:eastAsia="zh-CN"/>
              </w:rPr>
              <w:t>0.019t</w:t>
            </w:r>
            <w:r>
              <w:rPr>
                <w:rFonts w:hint="default" w:ascii="Times New Roman" w:hAnsi="Times New Roman" w:eastAsia="宋体" w:cs="Times New Roman"/>
                <w:color w:val="auto"/>
                <w:sz w:val="24"/>
                <w:szCs w:val="24"/>
                <w:highlight w:val="none"/>
              </w:rPr>
              <w:t>/a。厨房基准灶头排风量按</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000m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/h，每天工作时间为3h，则油烟产生浓度约</w:t>
            </w:r>
            <w:r>
              <w:rPr>
                <w:rFonts w:hint="default" w:ascii="Times New Roman" w:hAnsi="Times New Roman" w:eastAsia="宋体" w:cs="Times New Roman"/>
                <w:color w:val="auto"/>
                <w:sz w:val="24"/>
                <w:szCs w:val="24"/>
                <w:highlight w:val="none"/>
                <w:lang w:val="en-US" w:eastAsia="zh-CN"/>
              </w:rPr>
              <w:t>7.08</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食堂厨房利用现有油烟净化装置，油烟设计去除效率大于75%，经处理 后油烟排放浓度约1.</w:t>
            </w:r>
            <w:r>
              <w:rPr>
                <w:rFonts w:hint="default" w:ascii="Times New Roman" w:hAnsi="Times New Roman" w:eastAsia="宋体" w:cs="Times New Roman"/>
                <w:color w:val="auto"/>
                <w:sz w:val="24"/>
                <w:szCs w:val="24"/>
                <w:lang w:val="en-US" w:eastAsia="zh-CN"/>
              </w:rPr>
              <w:t>77</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，排放量为0.0</w:t>
            </w:r>
            <w:r>
              <w:rPr>
                <w:rFonts w:hint="default" w:ascii="Times New Roman" w:hAnsi="Times New Roman" w:eastAsia="宋体" w:cs="Times New Roman"/>
                <w:color w:val="auto"/>
                <w:sz w:val="24"/>
                <w:szCs w:val="24"/>
                <w:lang w:val="en-US" w:eastAsia="zh-CN"/>
              </w:rPr>
              <w:t>05</w:t>
            </w:r>
            <w:r>
              <w:rPr>
                <w:rFonts w:hint="default" w:ascii="Times New Roman" w:hAnsi="Times New Roman" w:eastAsia="宋体" w:cs="Times New Roman"/>
                <w:color w:val="auto"/>
                <w:sz w:val="24"/>
                <w:szCs w:val="24"/>
              </w:rPr>
              <w:t>kg/d，</w:t>
            </w:r>
            <w:r>
              <w:rPr>
                <w:rFonts w:hint="default" w:ascii="Times New Roman" w:hAnsi="Times New Roman" w:eastAsia="宋体" w:cs="Times New Roman"/>
                <w:color w:val="auto"/>
                <w:sz w:val="24"/>
                <w:szCs w:val="24"/>
                <w:lang w:val="en-US" w:eastAsia="zh-CN"/>
              </w:rPr>
              <w:t>0.005t</w:t>
            </w:r>
            <w:r>
              <w:rPr>
                <w:rFonts w:hint="default" w:ascii="Times New Roman" w:hAnsi="Times New Roman" w:eastAsia="宋体" w:cs="Times New Roman"/>
                <w:color w:val="auto"/>
                <w:sz w:val="24"/>
                <w:szCs w:val="24"/>
              </w:rPr>
              <w:t>/a。能够达到《饮 食业油烟排放标准（试行）》（GB18483-2001）的最高允许排放浓度要求（2.0mg/m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p>
          <w:p>
            <w:pPr>
              <w:keepNext w:val="0"/>
              <w:keepLines w:val="0"/>
              <w:pageBreakBefore w:val="0"/>
              <w:kinsoku/>
              <w:wordWrap/>
              <w:overflowPunct/>
              <w:topLinePunct w:val="0"/>
              <w:autoSpaceDE/>
              <w:autoSpaceDN/>
              <w:bidi w:val="0"/>
              <w:adjustRightInd w:val="0"/>
              <w:snapToGrid w:val="0"/>
              <w:spacing w:line="360" w:lineRule="auto"/>
              <w:ind w:firstLine="482" w:firstLineChars="200"/>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废气产生及排放情况</w:t>
            </w:r>
          </w:p>
          <w:p>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经计算，本项目废气污染物处理及排放情况见下表。</w:t>
            </w:r>
          </w:p>
          <w:p>
            <w:pPr>
              <w:keepNext w:val="0"/>
              <w:keepLines w:val="0"/>
              <w:pageBreakBefore w:val="0"/>
              <w:wordWrap/>
              <w:overflowPunct/>
              <w:topLinePunct w:val="0"/>
              <w:autoSpaceDE w:val="0"/>
              <w:autoSpaceDN w:val="0"/>
              <w:bidi w:val="0"/>
              <w:spacing w:line="360" w:lineRule="auto"/>
              <w:ind w:firstLine="0" w:firstLineChars="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w:t>
            </w: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rPr>
              <w:t xml:space="preserve">  项目废气污染物产排情况一览表</w:t>
            </w:r>
          </w:p>
          <w:tbl>
            <w:tblPr>
              <w:tblStyle w:val="3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53"/>
              <w:gridCol w:w="842"/>
              <w:gridCol w:w="749"/>
              <w:gridCol w:w="842"/>
              <w:gridCol w:w="1404"/>
              <w:gridCol w:w="719"/>
              <w:gridCol w:w="689"/>
              <w:gridCol w:w="814"/>
              <w:gridCol w:w="8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5"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污染物及产生环节</w:t>
                  </w:r>
                </w:p>
              </w:tc>
              <w:tc>
                <w:tcPr>
                  <w:tcW w:w="1537" w:type="pct"/>
                  <w:gridSpan w:val="3"/>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产生情况</w:t>
                  </w:r>
                </w:p>
              </w:tc>
              <w:tc>
                <w:tcPr>
                  <w:tcW w:w="887"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处理措施</w:t>
                  </w:r>
                </w:p>
              </w:tc>
              <w:tc>
                <w:tcPr>
                  <w:tcW w:w="1403" w:type="pct"/>
                  <w:gridSpan w:val="3"/>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排放情况</w:t>
                  </w:r>
                </w:p>
              </w:tc>
              <w:tc>
                <w:tcPr>
                  <w:tcW w:w="506"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排放形式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rPr>
                  </w:pP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产生量t/a</w:t>
                  </w:r>
                </w:p>
              </w:tc>
              <w:tc>
                <w:tcPr>
                  <w:tcW w:w="473"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速率kg/h</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浓度mg/m</w:t>
                  </w:r>
                  <w:r>
                    <w:rPr>
                      <w:rFonts w:hint="default" w:ascii="Times New Roman" w:hAnsi="Times New Roman" w:eastAsia="宋体" w:cs="Times New Roman"/>
                      <w:b/>
                      <w:bCs/>
                      <w:color w:val="auto"/>
                      <w:sz w:val="21"/>
                      <w:szCs w:val="21"/>
                      <w:vertAlign w:val="superscript"/>
                    </w:rPr>
                    <w:t>3</w:t>
                  </w:r>
                </w:p>
              </w:tc>
              <w:tc>
                <w:tcPr>
                  <w:tcW w:w="88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sz w:val="21"/>
                      <w:szCs w:val="21"/>
                    </w:rPr>
                  </w:pPr>
                </w:p>
              </w:tc>
              <w:tc>
                <w:tcPr>
                  <w:tcW w:w="454"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排放量t/a</w:t>
                  </w:r>
                </w:p>
              </w:tc>
              <w:tc>
                <w:tcPr>
                  <w:tcW w:w="435"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速率kg/h</w:t>
                  </w:r>
                </w:p>
              </w:tc>
              <w:tc>
                <w:tcPr>
                  <w:tcW w:w="513"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浓度mg/m</w:t>
                  </w:r>
                  <w:r>
                    <w:rPr>
                      <w:rFonts w:hint="default" w:ascii="Times New Roman" w:hAnsi="Times New Roman" w:eastAsia="宋体" w:cs="Times New Roman"/>
                      <w:b/>
                      <w:bCs/>
                      <w:color w:val="auto"/>
                      <w:sz w:val="21"/>
                      <w:szCs w:val="21"/>
                      <w:vertAlign w:val="superscript"/>
                    </w:rPr>
                    <w:t>3</w:t>
                  </w:r>
                </w:p>
              </w:tc>
              <w:tc>
                <w:tcPr>
                  <w:tcW w:w="50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5"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涂胶废气</w:t>
                  </w:r>
                </w:p>
              </w:tc>
              <w:tc>
                <w:tcPr>
                  <w:tcW w:w="5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1.16</w:t>
                  </w:r>
                </w:p>
              </w:tc>
              <w:tc>
                <w:tcPr>
                  <w:tcW w:w="47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0.24</w:t>
                  </w:r>
                </w:p>
              </w:tc>
              <w:tc>
                <w:tcPr>
                  <w:tcW w:w="5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48.45</w:t>
                  </w:r>
                </w:p>
              </w:tc>
              <w:tc>
                <w:tcPr>
                  <w:tcW w:w="887" w:type="pct"/>
                  <w:tcBorders>
                    <w:tl2br w:val="nil"/>
                    <w:tr2bl w:val="nil"/>
                  </w:tcBorders>
                  <w:noWrap w:val="0"/>
                  <w:vAlign w:val="center"/>
                </w:tcPr>
                <w:p>
                  <w:pPr>
                    <w:pStyle w:val="143"/>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二级活性炭吸附+15m</w:t>
                  </w:r>
                  <w:r>
                    <w:rPr>
                      <w:rFonts w:hint="default" w:ascii="Times New Roman" w:hAnsi="Times New Roman" w:eastAsia="宋体" w:cs="Times New Roman"/>
                      <w:b w:val="0"/>
                      <w:bCs w:val="0"/>
                      <w:color w:val="auto"/>
                      <w:sz w:val="21"/>
                      <w:szCs w:val="21"/>
                      <w:highlight w:val="none"/>
                    </w:rPr>
                    <w:t>高排气筒</w:t>
                  </w:r>
                </w:p>
              </w:tc>
              <w:tc>
                <w:tcPr>
                  <w:tcW w:w="45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0.465</w:t>
                  </w:r>
                </w:p>
              </w:tc>
              <w:tc>
                <w:tcPr>
                  <w:tcW w:w="43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0.097</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19.38</w:t>
                  </w:r>
                </w:p>
              </w:tc>
              <w:tc>
                <w:tcPr>
                  <w:tcW w:w="506"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有</w:t>
                  </w:r>
                  <w:r>
                    <w:rPr>
                      <w:rFonts w:hint="default" w:ascii="Times New Roman" w:hAnsi="Times New Roman" w:eastAsia="宋体" w:cs="Times New Roman"/>
                      <w:color w:val="auto"/>
                      <w:sz w:val="21"/>
                      <w:szCs w:val="21"/>
                    </w:rPr>
                    <w:t>组织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rPr>
                  </w:pPr>
                </w:p>
              </w:tc>
              <w:tc>
                <w:tcPr>
                  <w:tcW w:w="5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0.205</w:t>
                  </w:r>
                </w:p>
              </w:tc>
              <w:tc>
                <w:tcPr>
                  <w:tcW w:w="47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887" w:type="pct"/>
                  <w:tcBorders>
                    <w:tl2br w:val="nil"/>
                    <w:tr2bl w:val="nil"/>
                  </w:tcBorders>
                  <w:noWrap w:val="0"/>
                  <w:vAlign w:val="center"/>
                </w:tcPr>
                <w:p>
                  <w:pPr>
                    <w:pStyle w:val="143"/>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45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0.205</w:t>
                  </w:r>
                </w:p>
              </w:tc>
              <w:tc>
                <w:tcPr>
                  <w:tcW w:w="43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513"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06"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5"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食堂油烟</w:t>
                  </w:r>
                </w:p>
              </w:tc>
              <w:tc>
                <w:tcPr>
                  <w:tcW w:w="5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0.019</w:t>
                  </w:r>
                </w:p>
              </w:tc>
              <w:tc>
                <w:tcPr>
                  <w:tcW w:w="47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0.021</w:t>
                  </w:r>
                </w:p>
              </w:tc>
              <w:tc>
                <w:tcPr>
                  <w:tcW w:w="5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7.08</w:t>
                  </w:r>
                </w:p>
              </w:tc>
              <w:tc>
                <w:tcPr>
                  <w:tcW w:w="887" w:type="pct"/>
                  <w:tcBorders>
                    <w:tl2br w:val="nil"/>
                    <w:tr2bl w:val="nil"/>
                  </w:tcBorders>
                  <w:noWrap w:val="0"/>
                  <w:vAlign w:val="center"/>
                </w:tcPr>
                <w:p>
                  <w:pPr>
                    <w:pStyle w:val="143"/>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油烟净化器</w:t>
                  </w:r>
                </w:p>
              </w:tc>
              <w:tc>
                <w:tcPr>
                  <w:tcW w:w="45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0.005</w:t>
                  </w:r>
                </w:p>
              </w:tc>
              <w:tc>
                <w:tcPr>
                  <w:tcW w:w="43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0.005</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1.77</w:t>
                  </w:r>
                </w:p>
              </w:tc>
              <w:tc>
                <w:tcPr>
                  <w:tcW w:w="506"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color w:val="auto"/>
                <w:sz w:val="24"/>
                <w:szCs w:val="24"/>
              </w:rPr>
              <w:t>、废气排放口信息</w:t>
            </w:r>
          </w:p>
          <w:p>
            <w:pPr>
              <w:keepNext w:val="0"/>
              <w:keepLines w:val="0"/>
              <w:pageBreakBefore w:val="0"/>
              <w:kinsoku/>
              <w:wordWrap/>
              <w:overflowPunct/>
              <w:topLinePunct w:val="0"/>
              <w:autoSpaceDE/>
              <w:autoSpaceDN/>
              <w:bidi w:val="0"/>
              <w:spacing w:line="360" w:lineRule="auto"/>
              <w:ind w:firstLine="480" w:firstLineChars="200"/>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sz w:val="24"/>
                <w:szCs w:val="24"/>
              </w:rPr>
              <w:t>本项目涉及排放口基本情况见</w:t>
            </w:r>
            <w:r>
              <w:rPr>
                <w:rFonts w:hint="eastAsia" w:ascii="Times New Roman" w:hAnsi="Times New Roman" w:eastAsia="宋体" w:cs="Times New Roman"/>
                <w:color w:val="auto"/>
                <w:sz w:val="24"/>
                <w:szCs w:val="24"/>
                <w:lang w:val="en-US" w:eastAsia="zh-CN"/>
              </w:rPr>
              <w:t>下</w:t>
            </w: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rPr>
              <w:t>。</w:t>
            </w:r>
          </w:p>
          <w:p>
            <w:pPr>
              <w:keepNext w:val="0"/>
              <w:keepLines w:val="0"/>
              <w:pageBreakBefore w:val="0"/>
              <w:wordWrap/>
              <w:overflowPunct/>
              <w:topLinePunct w:val="0"/>
              <w:autoSpaceDE w:val="0"/>
              <w:autoSpaceDN w:val="0"/>
              <w:bidi w:val="0"/>
              <w:adjustRightInd w:val="0"/>
              <w:spacing w:line="360" w:lineRule="auto"/>
              <w:ind w:firstLine="0" w:firstLineChars="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 xml:space="preserve">4-2 </w:t>
            </w:r>
            <w:r>
              <w:rPr>
                <w:rFonts w:hint="default" w:ascii="Times New Roman" w:hAnsi="Times New Roman" w:eastAsia="宋体" w:cs="Times New Roman"/>
                <w:b/>
                <w:bCs/>
                <w:color w:val="auto"/>
                <w:sz w:val="24"/>
                <w:szCs w:val="24"/>
              </w:rPr>
              <w:t xml:space="preserve"> 废气有组织排放口基本情况</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924"/>
              <w:gridCol w:w="776"/>
              <w:gridCol w:w="1302"/>
              <w:gridCol w:w="719"/>
              <w:gridCol w:w="1021"/>
              <w:gridCol w:w="738"/>
              <w:gridCol w:w="892"/>
              <w:gridCol w:w="15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584"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污染源类别</w:t>
                  </w:r>
                </w:p>
              </w:tc>
              <w:tc>
                <w:tcPr>
                  <w:tcW w:w="490"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排放口编号</w:t>
                  </w:r>
                </w:p>
              </w:tc>
              <w:tc>
                <w:tcPr>
                  <w:tcW w:w="822" w:type="pct"/>
                  <w:vMerge w:val="restar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排放口名称</w:t>
                  </w:r>
                </w:p>
              </w:tc>
              <w:tc>
                <w:tcPr>
                  <w:tcW w:w="3103" w:type="pct"/>
                  <w:gridSpan w:val="5"/>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排放口基本情况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58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sz w:val="21"/>
                      <w:szCs w:val="21"/>
                    </w:rPr>
                  </w:pPr>
                </w:p>
              </w:tc>
              <w:tc>
                <w:tcPr>
                  <w:tcW w:w="49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sz w:val="21"/>
                      <w:szCs w:val="21"/>
                    </w:rPr>
                  </w:pPr>
                </w:p>
              </w:tc>
              <w:tc>
                <w:tcPr>
                  <w:tcW w:w="82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sz w:val="21"/>
                      <w:szCs w:val="21"/>
                    </w:rPr>
                  </w:pPr>
                </w:p>
              </w:tc>
              <w:tc>
                <w:tcPr>
                  <w:tcW w:w="454"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高度</w:t>
                  </w:r>
                </w:p>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w:t>
                  </w:r>
                </w:p>
              </w:tc>
              <w:tc>
                <w:tcPr>
                  <w:tcW w:w="645"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排气筒出口内径m</w:t>
                  </w:r>
                </w:p>
              </w:tc>
              <w:tc>
                <w:tcPr>
                  <w:tcW w:w="466" w:type="pct"/>
                  <w:tcBorders>
                    <w:tl2br w:val="nil"/>
                    <w:tr2bl w:val="nil"/>
                  </w:tcBorders>
                  <w:noWrap w:val="0"/>
                  <w:vAlign w:val="center"/>
                </w:tcPr>
                <w:p>
                  <w:pPr>
                    <w:keepNext w:val="0"/>
                    <w:keepLines w:val="0"/>
                    <w:pageBreakBefore w:val="0"/>
                    <w:widowControl/>
                    <w:kinsoku/>
                    <w:wordWrap/>
                    <w:overflowPunct/>
                    <w:topLinePunct w:val="0"/>
                    <w:autoSpaceDE/>
                    <w:autoSpaceDN/>
                    <w:bidi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温度</w:t>
                  </w:r>
                </w:p>
                <w:p>
                  <w:pPr>
                    <w:keepNext w:val="0"/>
                    <w:keepLines w:val="0"/>
                    <w:pageBreakBefore w:val="0"/>
                    <w:widowControl/>
                    <w:kinsoku/>
                    <w:wordWrap/>
                    <w:overflowPunct/>
                    <w:topLinePunct w:val="0"/>
                    <w:autoSpaceDE/>
                    <w:autoSpaceDN/>
                    <w:bidi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p>
              </w:tc>
              <w:tc>
                <w:tcPr>
                  <w:tcW w:w="563"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类型</w:t>
                  </w:r>
                </w:p>
              </w:tc>
              <w:tc>
                <w:tcPr>
                  <w:tcW w:w="973"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排气筒底部中心坐标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584"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有组织</w:t>
                  </w:r>
                </w:p>
              </w:tc>
              <w:tc>
                <w:tcPr>
                  <w:tcW w:w="490"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DA001</w:t>
                  </w:r>
                </w:p>
              </w:tc>
              <w:tc>
                <w:tcPr>
                  <w:tcW w:w="822"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z w:val="21"/>
                      <w:szCs w:val="21"/>
                      <w:lang w:val="en-US" w:eastAsia="zh-CN"/>
                    </w:rPr>
                    <w:t>涂胶废气排气筒</w:t>
                  </w:r>
                </w:p>
              </w:tc>
              <w:tc>
                <w:tcPr>
                  <w:tcW w:w="454"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645"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w:t>
                  </w:r>
                </w:p>
              </w:tc>
              <w:tc>
                <w:tcPr>
                  <w:tcW w:w="466"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563"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一般</w:t>
                  </w:r>
                  <w:r>
                    <w:rPr>
                      <w:rFonts w:hint="default" w:ascii="Times New Roman" w:hAnsi="Times New Roman" w:eastAsia="宋体" w:cs="Times New Roman"/>
                      <w:color w:val="auto"/>
                      <w:sz w:val="21"/>
                      <w:szCs w:val="21"/>
                    </w:rPr>
                    <w:t>排放口</w:t>
                  </w:r>
                </w:p>
              </w:tc>
              <w:tc>
                <w:tcPr>
                  <w:tcW w:w="973"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108.38</w:t>
                  </w:r>
                  <w:r>
                    <w:rPr>
                      <w:rFonts w:hint="default" w:ascii="Times New Roman" w:hAnsi="Times New Roman" w:eastAsia="宋体" w:cs="Times New Roman"/>
                      <w:color w:val="auto"/>
                      <w:sz w:val="21"/>
                      <w:szCs w:val="21"/>
                      <w:highlight w:val="none"/>
                      <w:lang w:val="en-US" w:eastAsia="zh-CN"/>
                    </w:rPr>
                    <w:t>5388</w:t>
                  </w:r>
                  <w:r>
                    <w:rPr>
                      <w:rFonts w:hint="default" w:ascii="Times New Roman" w:hAnsi="Times New Roman" w:eastAsia="宋体" w:cs="Times New Roman"/>
                      <w:color w:val="auto"/>
                      <w:sz w:val="21"/>
                      <w:szCs w:val="21"/>
                      <w:highlight w:val="none"/>
                    </w:rPr>
                    <w:t>,</w:t>
                  </w:r>
                </w:p>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34.07</w:t>
                  </w:r>
                  <w:r>
                    <w:rPr>
                      <w:rFonts w:hint="default" w:ascii="Times New Roman" w:hAnsi="Times New Roman" w:eastAsia="宋体" w:cs="Times New Roman"/>
                      <w:color w:val="auto"/>
                      <w:sz w:val="21"/>
                      <w:szCs w:val="21"/>
                      <w:highlight w:val="none"/>
                      <w:lang w:val="en-US" w:eastAsia="zh-CN"/>
                    </w:rPr>
                    <w:t>7130</w:t>
                  </w:r>
                </w:p>
              </w:tc>
            </w:tr>
          </w:tbl>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4、非正常工况</w:t>
            </w:r>
          </w:p>
          <w:p>
            <w:pPr>
              <w:keepNext w:val="0"/>
              <w:keepLines w:val="0"/>
              <w:pageBreakBefore w:val="0"/>
              <w:kinsoku/>
              <w:wordWrap/>
              <w:overflowPunct/>
              <w:topLinePunct w:val="0"/>
              <w:autoSpaceDE/>
              <w:autoSpaceDN/>
              <w:bidi w:val="0"/>
              <w:adjustRightInd w:val="0"/>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非正常工况下大气污染物核算：非正常工况包括生产设备开停、局部设备故障及检修等工况。本项目非正常工况主要为设备检验、维修。</w:t>
            </w:r>
          </w:p>
          <w:p>
            <w:pPr>
              <w:keepNext w:val="0"/>
              <w:keepLines w:val="0"/>
              <w:pageBreakBefore w:val="0"/>
              <w:kinsoku/>
              <w:wordWrap/>
              <w:overflowPunct/>
              <w:topLinePunct w:val="0"/>
              <w:autoSpaceDE/>
              <w:autoSpaceDN/>
              <w:bidi w:val="0"/>
              <w:adjustRightInd w:val="0"/>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①发生频次</w:t>
            </w:r>
          </w:p>
          <w:p>
            <w:pPr>
              <w:keepNext w:val="0"/>
              <w:keepLines w:val="0"/>
              <w:pageBreakBefore w:val="0"/>
              <w:kinsoku/>
              <w:wordWrap/>
              <w:overflowPunct/>
              <w:topLinePunct w:val="0"/>
              <w:autoSpaceDE/>
              <w:autoSpaceDN/>
              <w:bidi w:val="0"/>
              <w:adjustRightInd w:val="0"/>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由于本项目采用的废气治理设施原理及设备结构简单，技术相对成熟，检修频次按1年/次考虑。</w:t>
            </w:r>
          </w:p>
          <w:p>
            <w:pPr>
              <w:keepNext w:val="0"/>
              <w:keepLines w:val="0"/>
              <w:pageBreakBefore w:val="0"/>
              <w:numPr>
                <w:ilvl w:val="0"/>
                <w:numId w:val="0"/>
              </w:numPr>
              <w:kinsoku/>
              <w:wordWrap/>
              <w:overflowPunct/>
              <w:topLinePunct w:val="0"/>
              <w:autoSpaceDE/>
              <w:autoSpaceDN/>
              <w:bidi w:val="0"/>
              <w:adjustRightInd w:val="0"/>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2"/>
                <w:sz w:val="24"/>
                <w:szCs w:val="24"/>
                <w:lang w:val="en-US" w:eastAsia="zh-CN" w:bidi="ar-SA"/>
              </w:rPr>
              <w:t>②</w:t>
            </w:r>
            <w:r>
              <w:rPr>
                <w:rFonts w:hint="default" w:ascii="Times New Roman" w:hAnsi="Times New Roman" w:eastAsia="宋体" w:cs="Times New Roman"/>
                <w:color w:val="auto"/>
                <w:sz w:val="24"/>
                <w:szCs w:val="24"/>
                <w:lang w:val="en-US" w:eastAsia="zh-CN"/>
              </w:rPr>
              <w:t>非正常废气污染物排放量核算</w:t>
            </w:r>
          </w:p>
          <w:p>
            <w:pPr>
              <w:keepNext w:val="0"/>
              <w:keepLines w:val="0"/>
              <w:pageBreakBefore w:val="0"/>
              <w:widowControl/>
              <w:wordWrap/>
              <w:overflowPunct/>
              <w:topLinePunct w:val="0"/>
              <w:autoSpaceDE w:val="0"/>
              <w:autoSpaceDN w:val="0"/>
              <w:bidi w:val="0"/>
              <w:spacing w:line="360" w:lineRule="auto"/>
              <w:ind w:firstLine="0" w:firstLineChars="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表4-3  非正常工况下废气污染物排放情况一览表</w:t>
            </w:r>
          </w:p>
          <w:tbl>
            <w:tblPr>
              <w:tblStyle w:val="34"/>
              <w:tblW w:w="499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5"/>
              <w:gridCol w:w="875"/>
              <w:gridCol w:w="929"/>
              <w:gridCol w:w="837"/>
              <w:gridCol w:w="919"/>
              <w:gridCol w:w="786"/>
              <w:gridCol w:w="897"/>
              <w:gridCol w:w="676"/>
              <w:gridCol w:w="15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2" w:type="pct"/>
                  <w:tcBorders>
                    <w:tl2br w:val="nil"/>
                    <w:tr2bl w:val="nil"/>
                  </w:tcBorders>
                  <w:noWrap w:val="0"/>
                  <w:tcMar>
                    <w:left w:w="28" w:type="dxa"/>
                    <w:right w:w="28" w:type="dxa"/>
                  </w:tcMar>
                  <w:vAlign w:val="center"/>
                </w:tcPr>
                <w:p>
                  <w:pPr>
                    <w:pStyle w:val="71"/>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553" w:type="pct"/>
                  <w:tcBorders>
                    <w:tl2br w:val="nil"/>
                    <w:tr2bl w:val="nil"/>
                  </w:tcBorders>
                  <w:noWrap w:val="0"/>
                  <w:tcMar>
                    <w:left w:w="28" w:type="dxa"/>
                    <w:right w:w="28" w:type="dxa"/>
                  </w:tcMar>
                  <w:vAlign w:val="center"/>
                </w:tcPr>
                <w:p>
                  <w:pPr>
                    <w:pStyle w:val="71"/>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非正常排放源</w:t>
                  </w:r>
                </w:p>
              </w:tc>
              <w:tc>
                <w:tcPr>
                  <w:tcW w:w="587" w:type="pct"/>
                  <w:tcBorders>
                    <w:tl2br w:val="nil"/>
                    <w:tr2bl w:val="nil"/>
                  </w:tcBorders>
                  <w:noWrap w:val="0"/>
                  <w:tcMar>
                    <w:left w:w="28" w:type="dxa"/>
                    <w:right w:w="28" w:type="dxa"/>
                  </w:tcMar>
                  <w:vAlign w:val="center"/>
                </w:tcPr>
                <w:p>
                  <w:pPr>
                    <w:pStyle w:val="71"/>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非正常排放原因</w:t>
                  </w:r>
                </w:p>
              </w:tc>
              <w:tc>
                <w:tcPr>
                  <w:tcW w:w="529" w:type="pct"/>
                  <w:tcBorders>
                    <w:tl2br w:val="nil"/>
                    <w:tr2bl w:val="nil"/>
                  </w:tcBorders>
                  <w:noWrap w:val="0"/>
                  <w:tcMar>
                    <w:left w:w="28" w:type="dxa"/>
                    <w:right w:w="28" w:type="dxa"/>
                  </w:tcMar>
                  <w:vAlign w:val="center"/>
                </w:tcPr>
                <w:p>
                  <w:pPr>
                    <w:pStyle w:val="71"/>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581" w:type="pct"/>
                  <w:tcBorders>
                    <w:tl2br w:val="nil"/>
                    <w:tr2bl w:val="nil"/>
                  </w:tcBorders>
                  <w:noWrap w:val="0"/>
                  <w:tcMar>
                    <w:left w:w="28" w:type="dxa"/>
                    <w:right w:w="28" w:type="dxa"/>
                  </w:tcMar>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速率kg/h</w:t>
                  </w:r>
                </w:p>
              </w:tc>
              <w:tc>
                <w:tcPr>
                  <w:tcW w:w="497" w:type="pct"/>
                  <w:tcBorders>
                    <w:tl2br w:val="nil"/>
                    <w:tr2bl w:val="nil"/>
                  </w:tcBorders>
                  <w:noWrap w:val="0"/>
                  <w:tcMar>
                    <w:left w:w="28" w:type="dxa"/>
                    <w:right w:w="28" w:type="dxa"/>
                  </w:tcMar>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浓度mg/m</w:t>
                  </w:r>
                  <w:r>
                    <w:rPr>
                      <w:rFonts w:hint="default" w:ascii="Times New Roman" w:hAnsi="Times New Roman" w:eastAsia="宋体" w:cs="Times New Roman"/>
                      <w:b/>
                      <w:bCs/>
                      <w:color w:val="auto"/>
                      <w:sz w:val="21"/>
                      <w:szCs w:val="21"/>
                      <w:vertAlign w:val="superscript"/>
                    </w:rPr>
                    <w:t>3</w:t>
                  </w:r>
                </w:p>
              </w:tc>
              <w:tc>
                <w:tcPr>
                  <w:tcW w:w="567" w:type="pct"/>
                  <w:tcBorders>
                    <w:tl2br w:val="nil"/>
                    <w:tr2bl w:val="nil"/>
                  </w:tcBorders>
                  <w:noWrap w:val="0"/>
                  <w:tcMar>
                    <w:left w:w="28" w:type="dxa"/>
                    <w:right w:w="28" w:type="dxa"/>
                  </w:tcMar>
                  <w:vAlign w:val="center"/>
                </w:tcPr>
                <w:p>
                  <w:pPr>
                    <w:pStyle w:val="71"/>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单次持续时间/h</w:t>
                  </w:r>
                </w:p>
              </w:tc>
              <w:tc>
                <w:tcPr>
                  <w:tcW w:w="427" w:type="pct"/>
                  <w:tcBorders>
                    <w:tl2br w:val="nil"/>
                    <w:tr2bl w:val="nil"/>
                  </w:tcBorders>
                  <w:noWrap w:val="0"/>
                  <w:tcMar>
                    <w:left w:w="28" w:type="dxa"/>
                    <w:right w:w="28" w:type="dxa"/>
                  </w:tcMar>
                  <w:vAlign w:val="center"/>
                </w:tcPr>
                <w:p>
                  <w:pPr>
                    <w:pStyle w:val="71"/>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年发生频次/次</w:t>
                  </w:r>
                </w:p>
              </w:tc>
              <w:tc>
                <w:tcPr>
                  <w:tcW w:w="993" w:type="pct"/>
                  <w:tcBorders>
                    <w:tl2br w:val="nil"/>
                    <w:tr2bl w:val="nil"/>
                  </w:tcBorders>
                  <w:noWrap w:val="0"/>
                  <w:tcMar>
                    <w:left w:w="28" w:type="dxa"/>
                    <w:right w:w="28" w:type="dxa"/>
                  </w:tcMar>
                  <w:vAlign w:val="center"/>
                </w:tcPr>
                <w:p>
                  <w:pPr>
                    <w:pStyle w:val="71"/>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采取措施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2" w:type="pct"/>
                  <w:tcBorders>
                    <w:tl2br w:val="nil"/>
                    <w:tr2bl w:val="nil"/>
                  </w:tcBorders>
                  <w:noWrap w:val="0"/>
                  <w:tcMar>
                    <w:left w:w="28" w:type="dxa"/>
                    <w:right w:w="28" w:type="dxa"/>
                  </w:tcMar>
                  <w:vAlign w:val="center"/>
                </w:tcPr>
                <w:p>
                  <w:pPr>
                    <w:pStyle w:val="71"/>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553" w:type="pct"/>
                  <w:tcBorders>
                    <w:tl2br w:val="nil"/>
                    <w:tr2bl w:val="nil"/>
                  </w:tcBorders>
                  <w:noWrap w:val="0"/>
                  <w:tcMar>
                    <w:left w:w="28" w:type="dxa"/>
                    <w:right w:w="28" w:type="dxa"/>
                  </w:tcMar>
                  <w:vAlign w:val="center"/>
                </w:tcPr>
                <w:p>
                  <w:pPr>
                    <w:pStyle w:val="33"/>
                    <w:keepNext w:val="0"/>
                    <w:keepLines w:val="0"/>
                    <w:pageBreakBefore w:val="0"/>
                    <w:kinsoku/>
                    <w:wordWrap/>
                    <w:overflowPunct/>
                    <w:topLinePunct w:val="0"/>
                    <w:autoSpaceDE/>
                    <w:autoSpaceDN/>
                    <w:bidi w:val="0"/>
                    <w:spacing w:before="0" w:after="0" w:line="240" w:lineRule="auto"/>
                    <w:ind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highlight w:val="none"/>
                      <w:vertAlign w:val="baseline"/>
                      <w:lang w:val="en-US" w:eastAsia="zh-CN"/>
                    </w:rPr>
                    <w:t>DA001</w:t>
                  </w:r>
                </w:p>
              </w:tc>
              <w:tc>
                <w:tcPr>
                  <w:tcW w:w="587" w:type="pct"/>
                  <w:tcBorders>
                    <w:tl2br w:val="nil"/>
                    <w:tr2bl w:val="nil"/>
                  </w:tcBorders>
                  <w:noWrap w:val="0"/>
                  <w:tcMar>
                    <w:left w:w="28" w:type="dxa"/>
                    <w:right w:w="28" w:type="dxa"/>
                  </w:tcMar>
                  <w:vAlign w:val="center"/>
                </w:tcPr>
                <w:p>
                  <w:pPr>
                    <w:pStyle w:val="19"/>
                    <w:keepNext w:val="0"/>
                    <w:keepLines w:val="0"/>
                    <w:pageBreakBefore w:val="0"/>
                    <w:numPr>
                      <w:ilvl w:val="0"/>
                      <w:numId w:val="0"/>
                    </w:numPr>
                    <w:kinsoku/>
                    <w:wordWrap/>
                    <w:overflowPunct/>
                    <w:topLinePunct w:val="0"/>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活性炭饱和未及时更换或风机故障</w:t>
                  </w:r>
                </w:p>
              </w:tc>
              <w:tc>
                <w:tcPr>
                  <w:tcW w:w="529" w:type="pct"/>
                  <w:tcBorders>
                    <w:tl2br w:val="nil"/>
                    <w:tr2bl w:val="nil"/>
                  </w:tcBorders>
                  <w:noWrap w:val="0"/>
                  <w:tcMar>
                    <w:left w:w="28" w:type="dxa"/>
                    <w:right w:w="28" w:type="dxa"/>
                  </w:tcMar>
                  <w:vAlign w:val="center"/>
                </w:tcPr>
                <w:p>
                  <w:pPr>
                    <w:pStyle w:val="33"/>
                    <w:keepNext w:val="0"/>
                    <w:keepLines w:val="0"/>
                    <w:pageBreakBefore w:val="0"/>
                    <w:kinsoku/>
                    <w:wordWrap/>
                    <w:overflowPunct/>
                    <w:topLinePunct w:val="0"/>
                    <w:autoSpaceDE/>
                    <w:autoSpaceDN/>
                    <w:bidi w:val="0"/>
                    <w:spacing w:before="0" w:after="0" w:line="240" w:lineRule="auto"/>
                    <w:ind w:right="0" w:firstLine="0" w:firstLineChars="0"/>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非甲烷总烃</w:t>
                  </w:r>
                </w:p>
              </w:tc>
              <w:tc>
                <w:tcPr>
                  <w:tcW w:w="581" w:type="pct"/>
                  <w:tcBorders>
                    <w:tl2br w:val="nil"/>
                    <w:tr2bl w:val="nil"/>
                  </w:tcBorders>
                  <w:noWrap w:val="0"/>
                  <w:tcMar>
                    <w:left w:w="28" w:type="dxa"/>
                    <w:right w:w="28" w:type="dxa"/>
                  </w:tcMar>
                  <w:vAlign w:val="center"/>
                </w:tcPr>
                <w:p>
                  <w:pPr>
                    <w:pStyle w:val="33"/>
                    <w:keepNext w:val="0"/>
                    <w:keepLines w:val="0"/>
                    <w:pageBreakBefore w:val="0"/>
                    <w:kinsoku/>
                    <w:wordWrap/>
                    <w:overflowPunct/>
                    <w:topLinePunct w:val="0"/>
                    <w:autoSpaceDE/>
                    <w:autoSpaceDN/>
                    <w:bidi w:val="0"/>
                    <w:spacing w:before="0" w:after="0" w:line="240" w:lineRule="auto"/>
                    <w:ind w:right="0" w:firstLine="0" w:firstLineChars="0"/>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 xml:space="preserve">0.24 </w:t>
                  </w:r>
                </w:p>
              </w:tc>
              <w:tc>
                <w:tcPr>
                  <w:tcW w:w="497" w:type="pct"/>
                  <w:tcBorders>
                    <w:tl2br w:val="nil"/>
                    <w:tr2bl w:val="nil"/>
                  </w:tcBorders>
                  <w:noWrap w:val="0"/>
                  <w:tcMar>
                    <w:left w:w="28" w:type="dxa"/>
                    <w:right w:w="28" w:type="dxa"/>
                  </w:tcMar>
                  <w:vAlign w:val="center"/>
                </w:tcPr>
                <w:p>
                  <w:pPr>
                    <w:pStyle w:val="33"/>
                    <w:keepNext w:val="0"/>
                    <w:keepLines w:val="0"/>
                    <w:pageBreakBefore w:val="0"/>
                    <w:kinsoku/>
                    <w:wordWrap/>
                    <w:overflowPunct/>
                    <w:topLinePunct w:val="0"/>
                    <w:autoSpaceDE/>
                    <w:autoSpaceDN/>
                    <w:bidi w:val="0"/>
                    <w:spacing w:before="0" w:after="0" w:line="240" w:lineRule="auto"/>
                    <w:ind w:right="0" w:firstLine="0" w:firstLineChars="0"/>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 xml:space="preserve">48.45 </w:t>
                  </w:r>
                </w:p>
              </w:tc>
              <w:tc>
                <w:tcPr>
                  <w:tcW w:w="567" w:type="pct"/>
                  <w:tcBorders>
                    <w:tl2br w:val="nil"/>
                    <w:tr2bl w:val="nil"/>
                  </w:tcBorders>
                  <w:noWrap w:val="0"/>
                  <w:tcMar>
                    <w:left w:w="28" w:type="dxa"/>
                    <w:right w:w="28" w:type="dxa"/>
                  </w:tcMar>
                  <w:vAlign w:val="center"/>
                </w:tcPr>
                <w:p>
                  <w:pPr>
                    <w:pStyle w:val="33"/>
                    <w:keepNext w:val="0"/>
                    <w:keepLines w:val="0"/>
                    <w:pageBreakBefore w:val="0"/>
                    <w:kinsoku/>
                    <w:wordWrap/>
                    <w:overflowPunct/>
                    <w:topLinePunct w:val="0"/>
                    <w:autoSpaceDE/>
                    <w:autoSpaceDN/>
                    <w:bidi w:val="0"/>
                    <w:spacing w:before="0" w:after="0" w:line="240" w:lineRule="auto"/>
                    <w:ind w:right="0" w:firstLine="0" w:firstLineChars="0"/>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1</w:t>
                  </w:r>
                </w:p>
              </w:tc>
              <w:tc>
                <w:tcPr>
                  <w:tcW w:w="427" w:type="pct"/>
                  <w:tcBorders>
                    <w:tl2br w:val="nil"/>
                    <w:tr2bl w:val="nil"/>
                  </w:tcBorders>
                  <w:noWrap w:val="0"/>
                  <w:tcMar>
                    <w:left w:w="28" w:type="dxa"/>
                    <w:right w:w="28" w:type="dxa"/>
                  </w:tcMar>
                  <w:vAlign w:val="center"/>
                </w:tcPr>
                <w:p>
                  <w:pPr>
                    <w:pStyle w:val="33"/>
                    <w:keepNext w:val="0"/>
                    <w:keepLines w:val="0"/>
                    <w:pageBreakBefore w:val="0"/>
                    <w:kinsoku/>
                    <w:wordWrap/>
                    <w:overflowPunct/>
                    <w:topLinePunct w:val="0"/>
                    <w:autoSpaceDE/>
                    <w:autoSpaceDN/>
                    <w:bidi w:val="0"/>
                    <w:spacing w:before="0" w:after="0" w:line="240" w:lineRule="auto"/>
                    <w:ind w:right="0" w:firstLine="0" w:firstLineChars="0"/>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1</w:t>
                  </w:r>
                </w:p>
              </w:tc>
              <w:tc>
                <w:tcPr>
                  <w:tcW w:w="993" w:type="pct"/>
                  <w:tcBorders>
                    <w:tl2br w:val="nil"/>
                    <w:tr2bl w:val="nil"/>
                  </w:tcBorders>
                  <w:noWrap w:val="0"/>
                  <w:tcMar>
                    <w:left w:w="28" w:type="dxa"/>
                    <w:right w:w="28" w:type="dxa"/>
                  </w:tcMar>
                  <w:vAlign w:val="center"/>
                </w:tcPr>
                <w:p>
                  <w:pPr>
                    <w:pStyle w:val="33"/>
                    <w:keepNext w:val="0"/>
                    <w:keepLines w:val="0"/>
                    <w:pageBreakBefore w:val="0"/>
                    <w:kinsoku/>
                    <w:wordWrap/>
                    <w:overflowPunct/>
                    <w:topLinePunct w:val="0"/>
                    <w:autoSpaceDE/>
                    <w:autoSpaceDN/>
                    <w:bidi w:val="0"/>
                    <w:spacing w:before="0" w:after="0" w:line="240" w:lineRule="auto"/>
                    <w:ind w:right="0" w:firstLine="0" w:firstLineChars="0"/>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加强维护，选用可靠设备，废气日常监测与记录，加强管理</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为防止生产废气非正常工况排放，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pPr>
              <w:keepNext w:val="0"/>
              <w:keepLines w:val="0"/>
              <w:pageBreakBefore w:val="0"/>
              <w:kinsoku/>
              <w:wordWrap/>
              <w:overflowPunct/>
              <w:topLinePunct w:val="0"/>
              <w:autoSpaceDE/>
              <w:autoSpaceDN/>
              <w:bidi w:val="0"/>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1 \* GB3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①</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安排专人负责环保设备的日常维护和管理，每个固定时间检查、汇报情况，及时发现废气处理设备的隐患，确保废气处理系统正常运行；</w:t>
            </w:r>
          </w:p>
          <w:p>
            <w:pPr>
              <w:keepNext w:val="0"/>
              <w:keepLines w:val="0"/>
              <w:pageBreakBefore w:val="0"/>
              <w:kinsoku/>
              <w:wordWrap/>
              <w:overflowPunct/>
              <w:topLinePunct w:val="0"/>
              <w:autoSpaceDE/>
              <w:autoSpaceDN/>
              <w:bidi w:val="0"/>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②建立健全的环保管理机构，对环保管理人员和技术人员进行岗位培训，委托具有专业资质的环境检测单位对项目排放的各类污染物进行定期检测；</w:t>
            </w:r>
          </w:p>
          <w:p>
            <w:pPr>
              <w:keepNext w:val="0"/>
              <w:keepLines w:val="0"/>
              <w:pageBreakBefore w:val="0"/>
              <w:kinsoku/>
              <w:wordWrap/>
              <w:overflowPunct/>
              <w:topLinePunct w:val="0"/>
              <w:autoSpaceDE/>
              <w:autoSpaceDN/>
              <w:bidi w:val="0"/>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③应定期维护、检修废气净化装置，以保持废气处理装置净化能力和净化容量。</w:t>
            </w:r>
          </w:p>
          <w:p>
            <w:pPr>
              <w:keepNext w:val="0"/>
              <w:keepLines w:val="0"/>
              <w:pageBreakBefore w:val="0"/>
              <w:kinsoku/>
              <w:wordWrap/>
              <w:overflowPunct/>
              <w:topLinePunct w:val="0"/>
              <w:autoSpaceDE/>
              <w:autoSpaceDN/>
              <w:bidi w:val="0"/>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④每班次开工前，确认废气处理设备开启并正常运行。若有需要停产检修的情况，需要关闭生产设备一段时间后再关闭废气处理设备，不存在废气突然排放情况。</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5、影响分析</w:t>
            </w:r>
          </w:p>
          <w:p>
            <w:pPr>
              <w:pStyle w:val="10"/>
              <w:keepNext w:val="0"/>
              <w:keepLines w:val="0"/>
              <w:pageBreakBefore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en-US" w:eastAsia="zh-CN"/>
              </w:rPr>
              <w:t>废气处理措施合理性分析</w:t>
            </w:r>
          </w:p>
          <w:p>
            <w:pPr>
              <w:keepNext w:val="0"/>
              <w:keepLines w:val="0"/>
              <w:pageBreakBefore w:val="0"/>
              <w:widowControl/>
              <w:suppressLineNumbers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本项目涂胶废气经二级活性炭吸附装置处理后经15m高排气筒（DA001）排放，参照《排放源统计调查产排污核算方法和系数手册》（公告2021年第24号）中的《33-37，431-434机械行业系数手册》“10粘胶涂胶及涂胶后固化工艺”中提供的挥发性有机物治理措施，活性炭吸附处理工艺为可行的末端治理技术。</w:t>
            </w:r>
          </w:p>
          <w:p>
            <w:pPr>
              <w:keepNext w:val="0"/>
              <w:keepLines w:val="0"/>
              <w:pageBreakBefore w:val="0"/>
              <w:widowControl/>
              <w:suppressLineNumbers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（2）排气筒设置合理性分析 </w:t>
            </w:r>
          </w:p>
          <w:p>
            <w:pPr>
              <w:keepNext w:val="0"/>
              <w:keepLines w:val="0"/>
              <w:pageBreakBefore w:val="0"/>
              <w:widowControl/>
              <w:suppressLineNumbers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本项目运营过程中涂胶密封工序上方设置集气罩，废气经收集后管道送至二级活性炭吸附装置处理后经15m排气筒（DA001）排放。</w:t>
            </w:r>
          </w:p>
          <w:p>
            <w:pPr>
              <w:keepNext w:val="0"/>
              <w:keepLines w:val="0"/>
              <w:pageBreakBefore w:val="0"/>
              <w:widowControl/>
              <w:suppressLineNumbers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color w:val="auto"/>
                <w:kern w:val="0"/>
                <w:sz w:val="24"/>
                <w:szCs w:val="24"/>
                <w:lang w:val="en-US" w:eastAsia="zh-CN" w:bidi="ar"/>
              </w:rPr>
              <w:t>根据《大气污染物综合排放标准》（GB16297-1996），排气筒高度应高出周围200m半径范围的建筑5m以上，不能达到该要求的排气筒，应按其高度对应的表列排放速率标准值严格50%执行。本项目周围半径200m范围内最高建筑物为生产厂房，约为10m左右，故本项目排气筒高为15m设置合理。</w:t>
            </w:r>
          </w:p>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6、</w:t>
            </w:r>
            <w:r>
              <w:rPr>
                <w:rFonts w:hint="default" w:ascii="Times New Roman" w:hAnsi="Times New Roman" w:eastAsia="宋体" w:cs="Times New Roman"/>
                <w:b/>
                <w:bCs/>
                <w:color w:val="auto"/>
                <w:sz w:val="24"/>
                <w:szCs w:val="24"/>
              </w:rPr>
              <w:t>废气监测要求</w:t>
            </w:r>
          </w:p>
          <w:p>
            <w:pPr>
              <w:keepNext w:val="0"/>
              <w:keepLines w:val="0"/>
              <w:pageBreakBefore w:val="0"/>
              <w:widowControl/>
              <w:suppressLineNumbers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sz w:val="24"/>
                <w:szCs w:val="24"/>
              </w:rPr>
              <w:t>根据《排污单位自行监测技术指南 总则》（HJ819-2017）</w:t>
            </w:r>
            <w:r>
              <w:rPr>
                <w:rFonts w:hint="default" w:ascii="Times New Roman" w:hAnsi="Times New Roman" w:eastAsia="宋体" w:cs="Times New Roman"/>
                <w:color w:val="auto"/>
                <w:kern w:val="0"/>
                <w:sz w:val="24"/>
                <w:szCs w:val="24"/>
                <w:lang w:val="en-US" w:eastAsia="zh-CN" w:bidi="ar"/>
              </w:rPr>
              <w:t>中的相关监测要求</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kern w:val="0"/>
                <w:sz w:val="24"/>
                <w:szCs w:val="24"/>
                <w:lang w:val="en-US" w:eastAsia="zh-CN" w:bidi="ar"/>
              </w:rPr>
              <w:t>制定了本项目废气运营期污染源与环境监测计划表，见下表。</w:t>
            </w:r>
          </w:p>
          <w:p>
            <w:pPr>
              <w:keepNext w:val="0"/>
              <w:keepLines w:val="0"/>
              <w:pageBreakBefore w:val="0"/>
              <w:kinsoku w:val="0"/>
              <w:wordWrap/>
              <w:overflowPunct/>
              <w:topLinePunct w:val="0"/>
              <w:autoSpaceDE w:val="0"/>
              <w:autoSpaceDN w:val="0"/>
              <w:bidi w:val="0"/>
              <w:snapToGrid w:val="0"/>
              <w:spacing w:line="360" w:lineRule="auto"/>
              <w:ind w:firstLine="0" w:firstLineChars="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rPr>
              <w:t xml:space="preserve">   废气污染源与环境监测计划表</w:t>
            </w:r>
          </w:p>
          <w:tbl>
            <w:tblPr>
              <w:tblStyle w:val="3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5"/>
              <w:gridCol w:w="888"/>
              <w:gridCol w:w="692"/>
              <w:gridCol w:w="1441"/>
              <w:gridCol w:w="975"/>
              <w:gridCol w:w="997"/>
              <w:gridCol w:w="25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23" w:type="pct"/>
                  <w:gridSpan w:val="2"/>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污染源名称</w:t>
                  </w:r>
                </w:p>
              </w:tc>
              <w:tc>
                <w:tcPr>
                  <w:tcW w:w="437"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监测项目</w:t>
                  </w:r>
                </w:p>
              </w:tc>
              <w:tc>
                <w:tcPr>
                  <w:tcW w:w="910"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监测点位置</w:t>
                  </w:r>
                </w:p>
              </w:tc>
              <w:tc>
                <w:tcPr>
                  <w:tcW w:w="616"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w:t>
                  </w:r>
                </w:p>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点数</w:t>
                  </w:r>
                </w:p>
              </w:tc>
              <w:tc>
                <w:tcPr>
                  <w:tcW w:w="630"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w:t>
                  </w:r>
                </w:p>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频率</w:t>
                  </w:r>
                </w:p>
              </w:tc>
              <w:tc>
                <w:tcPr>
                  <w:tcW w:w="1582"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控制指标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2" w:type="pct"/>
                  <w:vMerge w:val="restar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560"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DA001</w:t>
                  </w:r>
                </w:p>
              </w:tc>
              <w:tc>
                <w:tcPr>
                  <w:tcW w:w="437" w:type="pct"/>
                  <w:vMerge w:val="restart"/>
                  <w:tcBorders>
                    <w:tl2br w:val="nil"/>
                    <w:tr2bl w:val="nil"/>
                  </w:tcBorders>
                  <w:noWrap w:val="0"/>
                  <w:vAlign w:val="center"/>
                </w:tcPr>
                <w:p>
                  <w:pPr>
                    <w:pStyle w:val="97"/>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非甲烷总烃</w:t>
                  </w:r>
                </w:p>
              </w:tc>
              <w:tc>
                <w:tcPr>
                  <w:tcW w:w="910"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排气筒出口</w:t>
                  </w:r>
                </w:p>
              </w:tc>
              <w:tc>
                <w:tcPr>
                  <w:tcW w:w="616"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30"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1次/年</w:t>
                  </w:r>
                </w:p>
              </w:tc>
              <w:tc>
                <w:tcPr>
                  <w:tcW w:w="1582" w:type="pct"/>
                  <w:vMerge w:val="restar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 xml:space="preserve">《大气污染物综合排放标准》 (GB16297-1996)表2中二级标准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560"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厂界</w:t>
                  </w:r>
                </w:p>
              </w:tc>
              <w:tc>
                <w:tcPr>
                  <w:tcW w:w="43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910"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上风向</w:t>
                  </w: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rPr>
                    <w:t>个、下风向</w:t>
                  </w: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rPr>
                    <w:t>个</w:t>
                  </w:r>
                </w:p>
              </w:tc>
              <w:tc>
                <w:tcPr>
                  <w:tcW w:w="616"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w:t>
                  </w:r>
                </w:p>
              </w:tc>
              <w:tc>
                <w:tcPr>
                  <w:tcW w:w="630"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1次/年</w:t>
                  </w:r>
                </w:p>
              </w:tc>
              <w:tc>
                <w:tcPr>
                  <w:tcW w:w="1582"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560"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车间外</w:t>
                  </w:r>
                </w:p>
              </w:tc>
              <w:tc>
                <w:tcPr>
                  <w:tcW w:w="43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910"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车间门窗处</w:t>
                  </w:r>
                </w:p>
              </w:tc>
              <w:tc>
                <w:tcPr>
                  <w:tcW w:w="616"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630"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1次/年</w:t>
                  </w:r>
                </w:p>
              </w:tc>
              <w:tc>
                <w:tcPr>
                  <w:tcW w:w="15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《挥发性有机物无组织排放控制标准》（GB37822-2019）</w:t>
                  </w:r>
                </w:p>
              </w:tc>
            </w:tr>
          </w:tbl>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二</w:t>
            </w:r>
            <w:r>
              <w:rPr>
                <w:rFonts w:hint="default" w:ascii="Times New Roman" w:hAnsi="Times New Roman" w:eastAsia="宋体" w:cs="Times New Roman"/>
                <w:b/>
                <w:bCs/>
                <w:color w:val="auto"/>
                <w:sz w:val="24"/>
                <w:szCs w:val="24"/>
              </w:rPr>
              <w:t>、废水</w:t>
            </w:r>
          </w:p>
          <w:p>
            <w:pPr>
              <w:pStyle w:val="68"/>
              <w:keepNext w:val="0"/>
              <w:keepLines w:val="0"/>
              <w:pageBreakBefore w:val="0"/>
              <w:kinsoku/>
              <w:wordWrap/>
              <w:overflowPunct/>
              <w:topLinePunct w:val="0"/>
              <w:autoSpaceDE/>
              <w:autoSpaceDN/>
              <w:bidi w:val="0"/>
              <w:ind w:firstLine="482" w:firstLineChars="200"/>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rPr>
              <w:t>废水产排放情况</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本项目运营期废水主要包括生活污水和生产废水。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kern w:val="0"/>
                <w:sz w:val="24"/>
                <w:szCs w:val="24"/>
                <w:lang w:val="en-US" w:eastAsia="zh-CN" w:bidi="ar"/>
              </w:rPr>
              <w:t>生产废水主要为玻璃清洗用水，循环使用不外排</w:t>
            </w:r>
            <w:r>
              <w:rPr>
                <w:rFonts w:hint="default" w:ascii="Times New Roman" w:hAnsi="Times New Roman" w:eastAsia="宋体" w:cs="Times New Roman"/>
                <w:color w:val="auto"/>
                <w:sz w:val="24"/>
                <w:szCs w:val="24"/>
              </w:rPr>
              <w:t>。项目</w:t>
            </w:r>
            <w:r>
              <w:rPr>
                <w:rFonts w:hint="eastAsia" w:cs="Times New Roman"/>
                <w:color w:val="auto"/>
                <w:sz w:val="24"/>
                <w:szCs w:val="24"/>
                <w:highlight w:val="none"/>
                <w:lang w:val="en-US" w:eastAsia="zh-CN"/>
              </w:rPr>
              <w:t>食堂废水经油水分离器处理后与其他办公废水一同经化粪池处理后通过市政管网排至集贤产业园污水处理厂深度处理</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本项目废水产排情况见</w:t>
            </w:r>
            <w:r>
              <w:rPr>
                <w:rFonts w:hint="eastAsia" w:ascii="Times New Roman" w:hAnsi="Times New Roman" w:eastAsia="宋体" w:cs="Times New Roman"/>
                <w:color w:val="auto"/>
                <w:sz w:val="24"/>
                <w:szCs w:val="24"/>
                <w:lang w:val="en-US" w:eastAsia="zh-CN"/>
              </w:rPr>
              <w:t>下</w:t>
            </w: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0" w:line="360" w:lineRule="auto"/>
              <w:ind w:left="0" w:firstLine="0" w:firstLineChars="0"/>
              <w:jc w:val="center"/>
              <w:textAlignment w:val="baseline"/>
              <w:rPr>
                <w:rFonts w:hint="default" w:ascii="Times New Roman" w:hAnsi="Times New Roman" w:eastAsia="宋体" w:cs="Times New Roman"/>
                <w:b/>
                <w:bCs/>
                <w:color w:val="auto"/>
                <w:kern w:val="2"/>
                <w:sz w:val="24"/>
                <w:szCs w:val="24"/>
                <w:lang w:val="en-US" w:eastAsia="en-US" w:bidi="ar-SA"/>
              </w:rPr>
            </w:pPr>
            <w:r>
              <w:rPr>
                <w:rFonts w:hint="default" w:ascii="Times New Roman" w:hAnsi="Times New Roman" w:eastAsia="宋体" w:cs="Times New Roman"/>
                <w:b/>
                <w:bCs/>
                <w:color w:val="auto"/>
                <w:kern w:val="2"/>
                <w:sz w:val="24"/>
                <w:szCs w:val="24"/>
                <w:lang w:val="en-US" w:eastAsia="en-US" w:bidi="ar-SA"/>
              </w:rPr>
              <w:t>表4-</w:t>
            </w:r>
            <w:r>
              <w:rPr>
                <w:rFonts w:hint="eastAsia" w:ascii="Times New Roman" w:hAnsi="Times New Roman" w:eastAsia="宋体" w:cs="Times New Roman"/>
                <w:b/>
                <w:bCs/>
                <w:color w:val="auto"/>
                <w:kern w:val="2"/>
                <w:sz w:val="24"/>
                <w:szCs w:val="24"/>
                <w:lang w:val="en-US" w:eastAsia="zh-CN" w:bidi="ar-SA"/>
              </w:rPr>
              <w:t>5</w:t>
            </w:r>
            <w:r>
              <w:rPr>
                <w:rFonts w:hint="default" w:ascii="Times New Roman" w:hAnsi="Times New Roman" w:eastAsia="宋体" w:cs="Times New Roman"/>
                <w:b/>
                <w:bCs/>
                <w:color w:val="auto"/>
                <w:kern w:val="2"/>
                <w:sz w:val="24"/>
                <w:szCs w:val="24"/>
                <w:lang w:val="en-US" w:eastAsia="en-US" w:bidi="ar-SA"/>
              </w:rPr>
              <w:t xml:space="preserve">  本项目废水产生与排放情况一览表</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77"/>
              <w:gridCol w:w="572"/>
              <w:gridCol w:w="571"/>
              <w:gridCol w:w="563"/>
              <w:gridCol w:w="696"/>
              <w:gridCol w:w="415"/>
              <w:gridCol w:w="411"/>
              <w:gridCol w:w="187"/>
              <w:gridCol w:w="415"/>
              <w:gridCol w:w="531"/>
              <w:gridCol w:w="655"/>
              <w:gridCol w:w="350"/>
              <w:gridCol w:w="629"/>
              <w:gridCol w:w="10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53"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废水类别</w:t>
                  </w:r>
                </w:p>
              </w:tc>
              <w:tc>
                <w:tcPr>
                  <w:tcW w:w="361"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color w:val="auto"/>
                      <w:sz w:val="21"/>
                      <w:szCs w:val="21"/>
                      <w:lang w:bidi="ar"/>
                    </w:rPr>
                  </w:pPr>
                  <w:r>
                    <w:rPr>
                      <w:rFonts w:hint="default" w:ascii="Times New Roman" w:hAnsi="Times New Roman" w:eastAsia="宋体" w:cs="Times New Roman"/>
                      <w:b/>
                      <w:color w:val="auto"/>
                      <w:sz w:val="21"/>
                      <w:szCs w:val="21"/>
                      <w:lang w:bidi="ar"/>
                    </w:rPr>
                    <w:t>排污口编号</w:t>
                  </w:r>
                </w:p>
              </w:tc>
              <w:tc>
                <w:tcPr>
                  <w:tcW w:w="360"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color w:val="auto"/>
                      <w:sz w:val="21"/>
                      <w:szCs w:val="21"/>
                      <w:lang w:bidi="ar"/>
                    </w:rPr>
                  </w:pPr>
                  <w:r>
                    <w:rPr>
                      <w:rFonts w:hint="default" w:ascii="Times New Roman" w:hAnsi="Times New Roman" w:eastAsia="宋体" w:cs="Times New Roman"/>
                      <w:b/>
                      <w:color w:val="auto"/>
                      <w:sz w:val="21"/>
                      <w:szCs w:val="21"/>
                      <w:lang w:bidi="ar"/>
                    </w:rPr>
                    <w:t>类型</w:t>
                  </w:r>
                </w:p>
              </w:tc>
              <w:tc>
                <w:tcPr>
                  <w:tcW w:w="35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color w:val="auto"/>
                      <w:sz w:val="21"/>
                      <w:szCs w:val="21"/>
                      <w:lang w:bidi="ar"/>
                    </w:rPr>
                    <w:t>地理坐标</w:t>
                  </w:r>
                </w:p>
              </w:tc>
              <w:tc>
                <w:tcPr>
                  <w:tcW w:w="439"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污染物名称</w:t>
                  </w:r>
                </w:p>
              </w:tc>
              <w:tc>
                <w:tcPr>
                  <w:tcW w:w="521"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污染物产生情况</w:t>
                  </w:r>
                </w:p>
              </w:tc>
              <w:tc>
                <w:tcPr>
                  <w:tcW w:w="118"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治理措施</w:t>
                  </w:r>
                </w:p>
              </w:tc>
              <w:tc>
                <w:tcPr>
                  <w:tcW w:w="59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污染物接管排放情况</w:t>
                  </w:r>
                </w:p>
              </w:tc>
              <w:tc>
                <w:tcPr>
                  <w:tcW w:w="413"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浓度限值（mg/L）</w:t>
                  </w:r>
                </w:p>
              </w:tc>
              <w:tc>
                <w:tcPr>
                  <w:tcW w:w="221"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lang w:bidi="ar"/>
                    </w:rPr>
                  </w:pPr>
                  <w:r>
                    <w:rPr>
                      <w:rFonts w:hint="default" w:ascii="Times New Roman" w:hAnsi="Times New Roman" w:eastAsia="宋体" w:cs="Times New Roman"/>
                      <w:b/>
                      <w:bCs/>
                      <w:color w:val="auto"/>
                      <w:sz w:val="21"/>
                      <w:szCs w:val="21"/>
                      <w:lang w:bidi="ar"/>
                    </w:rPr>
                    <w:t>排放</w:t>
                  </w:r>
                </w:p>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方式</w:t>
                  </w:r>
                </w:p>
              </w:tc>
              <w:tc>
                <w:tcPr>
                  <w:tcW w:w="397"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排放去向</w:t>
                  </w:r>
                </w:p>
              </w:tc>
              <w:tc>
                <w:tcPr>
                  <w:tcW w:w="658"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color w:val="auto"/>
                      <w:sz w:val="21"/>
                      <w:szCs w:val="21"/>
                      <w:lang w:bidi="ar"/>
                    </w:rPr>
                    <w:t>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5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36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36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35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3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26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浓度mg/L</w:t>
                  </w:r>
                </w:p>
              </w:tc>
              <w:tc>
                <w:tcPr>
                  <w:tcW w:w="25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产生量t/a</w:t>
                  </w:r>
                </w:p>
              </w:tc>
              <w:tc>
                <w:tcPr>
                  <w:tcW w:w="11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26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浓度mg/L</w:t>
                  </w:r>
                </w:p>
              </w:tc>
              <w:tc>
                <w:tcPr>
                  <w:tcW w:w="33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排放量t/a</w:t>
                  </w:r>
                </w:p>
              </w:tc>
              <w:tc>
                <w:tcPr>
                  <w:tcW w:w="41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22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39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5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53"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总排放口废水（合计：1440m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/a）</w:t>
                  </w:r>
                </w:p>
              </w:tc>
              <w:tc>
                <w:tcPr>
                  <w:tcW w:w="361"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bidi="ar"/>
                    </w:rPr>
                    <w:t>DW001</w:t>
                  </w:r>
                </w:p>
              </w:tc>
              <w:tc>
                <w:tcPr>
                  <w:tcW w:w="360"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bidi="ar"/>
                    </w:rPr>
                    <w:t>一般排放口</w:t>
                  </w:r>
                </w:p>
              </w:tc>
              <w:tc>
                <w:tcPr>
                  <w:tcW w:w="35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东经108.387083761″ 北纬34.077742482</w:t>
                  </w:r>
                </w:p>
              </w:tc>
              <w:tc>
                <w:tcPr>
                  <w:tcW w:w="43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2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25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1.458</w:t>
                  </w:r>
                </w:p>
              </w:tc>
              <w:tc>
                <w:tcPr>
                  <w:tcW w:w="118"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lang w:eastAsia="zh-CN"/>
                    </w:rPr>
                  </w:pPr>
                  <w:r>
                    <w:rPr>
                      <w:rStyle w:val="89"/>
                      <w:rFonts w:hint="default" w:ascii="Times New Roman" w:hAnsi="Times New Roman" w:eastAsia="宋体" w:cs="Times New Roman"/>
                      <w:color w:val="auto"/>
                      <w:sz w:val="21"/>
                      <w:szCs w:val="21"/>
                      <w:lang w:val="en-US" w:eastAsia="zh-CN" w:bidi="ar"/>
                    </w:rPr>
                    <w:t>化粪池</w:t>
                  </w:r>
                </w:p>
              </w:tc>
              <w:tc>
                <w:tcPr>
                  <w:tcW w:w="2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360</w:t>
                  </w:r>
                </w:p>
              </w:tc>
              <w:tc>
                <w:tcPr>
                  <w:tcW w:w="33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0.518 </w:t>
                  </w:r>
                </w:p>
              </w:tc>
              <w:tc>
                <w:tcPr>
                  <w:tcW w:w="4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221"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Cs/>
                      <w:color w:val="auto"/>
                      <w:sz w:val="21"/>
                      <w:szCs w:val="21"/>
                      <w:lang w:bidi="ar"/>
                    </w:rPr>
                    <w:t>间接排放</w:t>
                  </w:r>
                </w:p>
              </w:tc>
              <w:tc>
                <w:tcPr>
                  <w:tcW w:w="397"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集贤产业园污水处理厂</w:t>
                  </w:r>
                </w:p>
              </w:tc>
              <w:tc>
                <w:tcPr>
                  <w:tcW w:w="658"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val="en-US" w:eastAsia="zh-CN" w:bidi="ar"/>
                    </w:rPr>
                    <w:t>《污水综合排放标准》（GB8978-1996）、《污水排入城镇下水道水质标准》（GB/T31962-2015）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5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rPr>
                  </w:pPr>
                </w:p>
              </w:tc>
              <w:tc>
                <w:tcPr>
                  <w:tcW w:w="361"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6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55"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3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2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260</w:t>
                  </w:r>
                </w:p>
              </w:tc>
              <w:tc>
                <w:tcPr>
                  <w:tcW w:w="25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0.948</w:t>
                  </w:r>
                </w:p>
              </w:tc>
              <w:tc>
                <w:tcPr>
                  <w:tcW w:w="11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rPr>
                  </w:pPr>
                </w:p>
              </w:tc>
              <w:tc>
                <w:tcPr>
                  <w:tcW w:w="2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221</w:t>
                  </w:r>
                </w:p>
              </w:tc>
              <w:tc>
                <w:tcPr>
                  <w:tcW w:w="33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0.318 </w:t>
                  </w:r>
                </w:p>
              </w:tc>
              <w:tc>
                <w:tcPr>
                  <w:tcW w:w="4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221"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rPr>
                  </w:pPr>
                </w:p>
              </w:tc>
              <w:tc>
                <w:tcPr>
                  <w:tcW w:w="397"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rPr>
                  </w:pPr>
                </w:p>
              </w:tc>
              <w:tc>
                <w:tcPr>
                  <w:tcW w:w="65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5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rPr>
                  </w:pPr>
                </w:p>
              </w:tc>
              <w:tc>
                <w:tcPr>
                  <w:tcW w:w="361"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6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55"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3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SS</w:t>
                  </w:r>
                </w:p>
              </w:tc>
              <w:tc>
                <w:tcPr>
                  <w:tcW w:w="2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360</w:t>
                  </w:r>
                </w:p>
              </w:tc>
              <w:tc>
                <w:tcPr>
                  <w:tcW w:w="25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1.166</w:t>
                  </w:r>
                </w:p>
              </w:tc>
              <w:tc>
                <w:tcPr>
                  <w:tcW w:w="11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rPr>
                  </w:pPr>
                </w:p>
              </w:tc>
              <w:tc>
                <w:tcPr>
                  <w:tcW w:w="2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216</w:t>
                  </w:r>
                </w:p>
              </w:tc>
              <w:tc>
                <w:tcPr>
                  <w:tcW w:w="33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0.311 </w:t>
                  </w:r>
                </w:p>
              </w:tc>
              <w:tc>
                <w:tcPr>
                  <w:tcW w:w="4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221"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rPr>
                  </w:pPr>
                </w:p>
              </w:tc>
              <w:tc>
                <w:tcPr>
                  <w:tcW w:w="397"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rPr>
                  </w:pPr>
                </w:p>
              </w:tc>
              <w:tc>
                <w:tcPr>
                  <w:tcW w:w="65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5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rPr>
                  </w:pPr>
                </w:p>
              </w:tc>
              <w:tc>
                <w:tcPr>
                  <w:tcW w:w="361"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6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55"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3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氨氮</w:t>
                  </w:r>
                </w:p>
              </w:tc>
              <w:tc>
                <w:tcPr>
                  <w:tcW w:w="2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w:t>
                  </w:r>
                </w:p>
              </w:tc>
              <w:tc>
                <w:tcPr>
                  <w:tcW w:w="25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0.126</w:t>
                  </w:r>
                </w:p>
              </w:tc>
              <w:tc>
                <w:tcPr>
                  <w:tcW w:w="11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rPr>
                  </w:pPr>
                </w:p>
              </w:tc>
              <w:tc>
                <w:tcPr>
                  <w:tcW w:w="2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40</w:t>
                  </w:r>
                </w:p>
              </w:tc>
              <w:tc>
                <w:tcPr>
                  <w:tcW w:w="33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0.058 </w:t>
                  </w:r>
                </w:p>
              </w:tc>
              <w:tc>
                <w:tcPr>
                  <w:tcW w:w="4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45</w:t>
                  </w:r>
                </w:p>
              </w:tc>
              <w:tc>
                <w:tcPr>
                  <w:tcW w:w="221"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rPr>
                  </w:pPr>
                </w:p>
              </w:tc>
              <w:tc>
                <w:tcPr>
                  <w:tcW w:w="397"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rPr>
                  </w:pPr>
                </w:p>
              </w:tc>
              <w:tc>
                <w:tcPr>
                  <w:tcW w:w="65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5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rPr>
                  </w:pPr>
                </w:p>
              </w:tc>
              <w:tc>
                <w:tcPr>
                  <w:tcW w:w="361"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6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55"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3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动植物油</w:t>
                  </w:r>
                </w:p>
              </w:tc>
              <w:tc>
                <w:tcPr>
                  <w:tcW w:w="2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80</w:t>
                  </w:r>
                </w:p>
              </w:tc>
              <w:tc>
                <w:tcPr>
                  <w:tcW w:w="25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0.065</w:t>
                  </w:r>
                </w:p>
              </w:tc>
              <w:tc>
                <w:tcPr>
                  <w:tcW w:w="11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rPr>
                  </w:pPr>
                </w:p>
              </w:tc>
              <w:tc>
                <w:tcPr>
                  <w:tcW w:w="2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32</w:t>
                  </w:r>
                </w:p>
              </w:tc>
              <w:tc>
                <w:tcPr>
                  <w:tcW w:w="33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0.046 </w:t>
                  </w:r>
                </w:p>
              </w:tc>
              <w:tc>
                <w:tcPr>
                  <w:tcW w:w="4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221"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rPr>
                  </w:pPr>
                </w:p>
              </w:tc>
              <w:tc>
                <w:tcPr>
                  <w:tcW w:w="397"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rPr>
                  </w:pPr>
                </w:p>
              </w:tc>
              <w:tc>
                <w:tcPr>
                  <w:tcW w:w="65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rPr>
                  </w:pP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由上表可知，本项目废水排放各污染物均满足《污水综合排放标准》</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GB8978-1996</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中的三级标准及《污水排入城镇下水道水质标准》（GB/T31962-2015）B级标准。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2、</w:t>
            </w:r>
            <w:r>
              <w:rPr>
                <w:rFonts w:hint="default" w:ascii="Times New Roman" w:hAnsi="Times New Roman" w:eastAsia="宋体" w:cs="Times New Roman"/>
                <w:b/>
                <w:bCs/>
                <w:color w:val="auto"/>
                <w:sz w:val="24"/>
              </w:rPr>
              <w:t>生活污水处理措施依托可行性</w:t>
            </w:r>
          </w:p>
          <w:p>
            <w:pPr>
              <w:keepNext w:val="0"/>
              <w:keepLines w:val="0"/>
              <w:pageBreakBefore w:val="0"/>
              <w:widowControl w:val="0"/>
              <w:kinsoku/>
              <w:wordWrap/>
              <w:overflowPunct/>
              <w:topLinePunct w:val="0"/>
              <w:autoSpaceDE/>
              <w:autoSpaceDN/>
              <w:bidi w:val="0"/>
              <w:spacing w:line="360" w:lineRule="auto"/>
              <w:ind w:firstLine="482" w:firstLineChars="200"/>
              <w:jc w:val="both"/>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rPr>
              <w:t>（1）依托</w:t>
            </w:r>
            <w:r>
              <w:rPr>
                <w:rFonts w:hint="default" w:ascii="Times New Roman" w:hAnsi="Times New Roman" w:eastAsia="宋体" w:cs="Times New Roman"/>
                <w:b/>
                <w:bCs/>
                <w:color w:val="auto"/>
                <w:sz w:val="24"/>
                <w:lang w:val="en-US" w:eastAsia="zh-CN"/>
              </w:rPr>
              <w:t>高科建材</w:t>
            </w:r>
            <w:r>
              <w:rPr>
                <w:rFonts w:hint="default" w:ascii="Times New Roman" w:hAnsi="Times New Roman" w:eastAsia="宋体" w:cs="Times New Roman"/>
                <w:b/>
                <w:bCs/>
                <w:color w:val="auto"/>
                <w:sz w:val="24"/>
              </w:rPr>
              <w:t>内化粪池处</w:t>
            </w:r>
            <w:r>
              <w:rPr>
                <w:rFonts w:hint="default" w:ascii="Times New Roman" w:hAnsi="Times New Roman" w:eastAsia="宋体" w:cs="Times New Roman"/>
                <w:b/>
                <w:bCs/>
                <w:color w:val="auto"/>
                <w:sz w:val="24"/>
                <w:highlight w:val="none"/>
              </w:rPr>
              <w:t>理可行性分析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val="0"/>
                <w:bCs w:val="0"/>
                <w:color w:val="auto"/>
                <w:sz w:val="24"/>
                <w:highlight w:val="none"/>
              </w:rPr>
              <w:t>化粪池位于</w:t>
            </w:r>
            <w:r>
              <w:rPr>
                <w:rFonts w:hint="default" w:ascii="Times New Roman" w:hAnsi="Times New Roman" w:eastAsia="宋体" w:cs="Times New Roman"/>
                <w:b w:val="0"/>
                <w:bCs w:val="0"/>
                <w:color w:val="auto"/>
                <w:sz w:val="24"/>
                <w:highlight w:val="none"/>
                <w:lang w:val="en-US" w:eastAsia="zh-CN"/>
              </w:rPr>
              <w:t>高科建材</w:t>
            </w:r>
            <w:r>
              <w:rPr>
                <w:rFonts w:hint="eastAsia" w:cs="Times New Roman"/>
                <w:b w:val="0"/>
                <w:bCs w:val="0"/>
                <w:color w:val="auto"/>
                <w:sz w:val="24"/>
                <w:highlight w:val="none"/>
                <w:lang w:val="en-US" w:eastAsia="zh-CN"/>
              </w:rPr>
              <w:t>北</w:t>
            </w:r>
            <w:r>
              <w:rPr>
                <w:rFonts w:hint="default" w:ascii="Times New Roman" w:hAnsi="Times New Roman" w:eastAsia="宋体" w:cs="Times New Roman"/>
                <w:b w:val="0"/>
                <w:bCs w:val="0"/>
                <w:color w:val="auto"/>
                <w:sz w:val="24"/>
                <w:highlight w:val="none"/>
                <w:lang w:val="en-US" w:eastAsia="zh-CN"/>
              </w:rPr>
              <w:t>厂区</w:t>
            </w:r>
            <w:r>
              <w:rPr>
                <w:rFonts w:hint="default" w:ascii="Times New Roman" w:hAnsi="Times New Roman" w:eastAsia="宋体" w:cs="Times New Roman"/>
                <w:b w:val="0"/>
                <w:bCs w:val="0"/>
                <w:color w:val="auto"/>
                <w:sz w:val="24"/>
                <w:highlight w:val="none"/>
              </w:rPr>
              <w:t>，容积</w:t>
            </w:r>
            <w:r>
              <w:rPr>
                <w:rFonts w:hint="eastAsia" w:cs="Times New Roman"/>
                <w:b w:val="0"/>
                <w:bCs w:val="0"/>
                <w:color w:val="auto"/>
                <w:sz w:val="24"/>
                <w:highlight w:val="none"/>
                <w:lang w:val="en-US" w:eastAsia="zh-CN"/>
              </w:rPr>
              <w:t>100</w:t>
            </w:r>
            <w:r>
              <w:rPr>
                <w:rFonts w:hint="default" w:ascii="Times New Roman" w:hAnsi="Times New Roman" w:eastAsia="宋体" w:cs="Times New Roman"/>
                <w:b w:val="0"/>
                <w:bCs w:val="0"/>
                <w:color w:val="auto"/>
                <w:sz w:val="24"/>
                <w:highlight w:val="none"/>
              </w:rPr>
              <w:t>m</w:t>
            </w:r>
            <w:r>
              <w:rPr>
                <w:rFonts w:hint="default" w:ascii="Times New Roman" w:hAnsi="Times New Roman" w:eastAsia="宋体" w:cs="Times New Roman"/>
                <w:b w:val="0"/>
                <w:bCs w:val="0"/>
                <w:color w:val="auto"/>
                <w:sz w:val="24"/>
                <w:highlight w:val="none"/>
                <w:vertAlign w:val="superscript"/>
              </w:rPr>
              <w:t>3</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highlight w:val="none"/>
                <w:lang w:val="en-US" w:eastAsia="zh-CN"/>
              </w:rPr>
              <w:t>高科建材</w:t>
            </w:r>
            <w:r>
              <w:rPr>
                <w:rFonts w:hint="eastAsia" w:cs="Times New Roman"/>
                <w:b w:val="0"/>
                <w:bCs w:val="0"/>
                <w:color w:val="auto"/>
                <w:sz w:val="24"/>
                <w:highlight w:val="none"/>
                <w:lang w:val="en-US" w:eastAsia="zh-CN"/>
              </w:rPr>
              <w:t>北</w:t>
            </w:r>
            <w:r>
              <w:rPr>
                <w:rFonts w:hint="default" w:ascii="Times New Roman" w:hAnsi="Times New Roman" w:eastAsia="宋体" w:cs="Times New Roman"/>
                <w:b w:val="0"/>
                <w:bCs w:val="0"/>
                <w:color w:val="auto"/>
                <w:sz w:val="24"/>
                <w:highlight w:val="none"/>
                <w:lang w:val="en-US" w:eastAsia="zh-CN"/>
              </w:rPr>
              <w:t>区生活污水产量</w:t>
            </w:r>
            <w:r>
              <w:rPr>
                <w:rFonts w:hint="default" w:ascii="Times New Roman" w:hAnsi="Times New Roman" w:eastAsia="宋体" w:cs="Times New Roman"/>
                <w:b w:val="0"/>
                <w:bCs w:val="0"/>
                <w:color w:val="auto"/>
                <w:sz w:val="24"/>
                <w:lang w:val="en-US" w:eastAsia="zh-CN"/>
              </w:rPr>
              <w:t>约为</w:t>
            </w:r>
            <w:r>
              <w:rPr>
                <w:rFonts w:hint="default" w:ascii="Times New Roman" w:hAnsi="Times New Roman" w:eastAsia="宋体" w:cs="Times New Roman"/>
                <w:color w:val="000000"/>
                <w:kern w:val="0"/>
                <w:sz w:val="24"/>
                <w:szCs w:val="24"/>
                <w:lang w:val="en-US" w:eastAsia="zh-CN" w:bidi="ar"/>
              </w:rPr>
              <w:t>49.508</w:t>
            </w:r>
            <w:r>
              <w:rPr>
                <w:rFonts w:hint="default" w:ascii="Times New Roman" w:hAnsi="Times New Roman" w:eastAsia="宋体" w:cs="Times New Roman"/>
                <w:b w:val="0"/>
                <w:bCs w:val="0"/>
                <w:color w:val="auto"/>
                <w:sz w:val="24"/>
                <w:lang w:val="en-US" w:eastAsia="zh-CN"/>
              </w:rPr>
              <w:t>m</w:t>
            </w:r>
            <w:r>
              <w:rPr>
                <w:rFonts w:hint="default" w:ascii="Times New Roman" w:hAnsi="Times New Roman" w:eastAsia="宋体" w:cs="Times New Roman"/>
                <w:b w:val="0"/>
                <w:bCs w:val="0"/>
                <w:color w:val="auto"/>
                <w:sz w:val="24"/>
                <w:vertAlign w:val="superscript"/>
                <w:lang w:val="en-US" w:eastAsia="zh-CN"/>
              </w:rPr>
              <w:t>3</w:t>
            </w:r>
            <w:r>
              <w:rPr>
                <w:rFonts w:hint="default" w:ascii="Times New Roman" w:hAnsi="Times New Roman" w:eastAsia="宋体" w:cs="Times New Roman"/>
                <w:b w:val="0"/>
                <w:bCs w:val="0"/>
                <w:color w:val="auto"/>
                <w:sz w:val="24"/>
                <w:lang w:val="en-US" w:eastAsia="zh-CN"/>
              </w:rPr>
              <w:t>/d，化粪池留有余量</w:t>
            </w:r>
            <w:r>
              <w:rPr>
                <w:rFonts w:hint="eastAsia" w:cs="Times New Roman"/>
                <w:b w:val="0"/>
                <w:bCs w:val="0"/>
                <w:color w:val="auto"/>
                <w:sz w:val="24"/>
                <w:lang w:val="en-US" w:eastAsia="zh-CN"/>
              </w:rPr>
              <w:t>50.492</w:t>
            </w:r>
            <w:r>
              <w:rPr>
                <w:rFonts w:hint="default" w:ascii="Times New Roman" w:hAnsi="Times New Roman" w:eastAsia="宋体" w:cs="Times New Roman"/>
                <w:b w:val="0"/>
                <w:bCs w:val="0"/>
                <w:color w:val="auto"/>
                <w:sz w:val="24"/>
                <w:lang w:val="en-US" w:eastAsia="zh-CN"/>
              </w:rPr>
              <w:t>m</w:t>
            </w:r>
            <w:r>
              <w:rPr>
                <w:rFonts w:hint="default" w:ascii="Times New Roman" w:hAnsi="Times New Roman" w:eastAsia="宋体" w:cs="Times New Roman"/>
                <w:b w:val="0"/>
                <w:bCs w:val="0"/>
                <w:color w:val="auto"/>
                <w:sz w:val="24"/>
                <w:vertAlign w:val="superscript"/>
                <w:lang w:val="en-US" w:eastAsia="zh-CN"/>
              </w:rPr>
              <w:t>3</w:t>
            </w:r>
            <w:r>
              <w:rPr>
                <w:rFonts w:hint="default" w:ascii="Times New Roman" w:hAnsi="Times New Roman" w:eastAsia="宋体" w:cs="Times New Roman"/>
                <w:b w:val="0"/>
                <w:bCs w:val="0"/>
                <w:color w:val="auto"/>
                <w:sz w:val="24"/>
                <w:lang w:val="en-US" w:eastAsia="zh-CN"/>
              </w:rPr>
              <w:t>，本</w:t>
            </w:r>
            <w:r>
              <w:rPr>
                <w:rFonts w:hint="default" w:ascii="Times New Roman" w:hAnsi="Times New Roman" w:eastAsia="宋体" w:cs="Times New Roman"/>
                <w:b w:val="0"/>
                <w:bCs w:val="0"/>
                <w:color w:val="auto"/>
                <w:sz w:val="24"/>
              </w:rPr>
              <w:t>项目劳动定员</w:t>
            </w:r>
            <w:r>
              <w:rPr>
                <w:rFonts w:hint="default" w:ascii="Times New Roman" w:hAnsi="Times New Roman" w:eastAsia="宋体" w:cs="Times New Roman"/>
                <w:b w:val="0"/>
                <w:bCs w:val="0"/>
                <w:color w:val="auto"/>
                <w:sz w:val="24"/>
                <w:lang w:val="en-US" w:eastAsia="zh-CN"/>
              </w:rPr>
              <w:t>5</w:t>
            </w:r>
            <w:r>
              <w:rPr>
                <w:rFonts w:hint="default" w:ascii="Times New Roman" w:hAnsi="Times New Roman" w:eastAsia="宋体" w:cs="Times New Roman"/>
                <w:b w:val="0"/>
                <w:bCs w:val="0"/>
                <w:color w:val="auto"/>
                <w:sz w:val="24"/>
              </w:rPr>
              <w:t>0人，生活污水产生量约</w:t>
            </w:r>
            <w:r>
              <w:rPr>
                <w:rFonts w:hint="default" w:ascii="Times New Roman" w:hAnsi="Times New Roman" w:eastAsia="宋体" w:cs="Times New Roman"/>
                <w:b w:val="0"/>
                <w:bCs w:val="0"/>
                <w:color w:val="auto"/>
                <w:sz w:val="24"/>
                <w:lang w:val="en-US" w:eastAsia="zh-CN"/>
              </w:rPr>
              <w:t>4.80</w:t>
            </w:r>
            <w:r>
              <w:rPr>
                <w:rFonts w:hint="default" w:ascii="Times New Roman" w:hAnsi="Times New Roman" w:eastAsia="宋体" w:cs="Times New Roman"/>
                <w:b w:val="0"/>
                <w:bCs w:val="0"/>
                <w:color w:val="auto"/>
                <w:sz w:val="24"/>
              </w:rPr>
              <w:t>m</w:t>
            </w:r>
            <w:r>
              <w:rPr>
                <w:rFonts w:hint="default" w:ascii="Times New Roman" w:hAnsi="Times New Roman" w:eastAsia="宋体" w:cs="Times New Roman"/>
                <w:b w:val="0"/>
                <w:bCs w:val="0"/>
                <w:color w:val="auto"/>
                <w:sz w:val="24"/>
                <w:vertAlign w:val="superscript"/>
              </w:rPr>
              <w:t>3</w:t>
            </w:r>
            <w:r>
              <w:rPr>
                <w:rFonts w:hint="default" w:ascii="Times New Roman" w:hAnsi="Times New Roman" w:eastAsia="宋体" w:cs="Times New Roman"/>
                <w:b w:val="0"/>
                <w:bCs w:val="0"/>
                <w:color w:val="auto"/>
                <w:sz w:val="24"/>
              </w:rPr>
              <w:t>/d，</w:t>
            </w:r>
            <w:r>
              <w:rPr>
                <w:rFonts w:hint="default" w:ascii="Times New Roman" w:hAnsi="Times New Roman" w:eastAsia="宋体" w:cs="Times New Roman"/>
                <w:b w:val="0"/>
                <w:bCs w:val="0"/>
                <w:color w:val="auto"/>
                <w:sz w:val="24"/>
                <w:lang w:val="en-US" w:eastAsia="zh-CN"/>
              </w:rPr>
              <w:t>因此高科建材</w:t>
            </w:r>
            <w:r>
              <w:rPr>
                <w:rFonts w:hint="eastAsia" w:cs="Times New Roman"/>
                <w:b w:val="0"/>
                <w:bCs w:val="0"/>
                <w:color w:val="auto"/>
                <w:sz w:val="24"/>
                <w:lang w:val="en-US" w:eastAsia="zh-CN"/>
              </w:rPr>
              <w:t>北</w:t>
            </w:r>
            <w:r>
              <w:rPr>
                <w:rFonts w:hint="default" w:ascii="Times New Roman" w:hAnsi="Times New Roman" w:eastAsia="宋体" w:cs="Times New Roman"/>
                <w:b w:val="0"/>
                <w:bCs w:val="0"/>
                <w:color w:val="auto"/>
                <w:sz w:val="24"/>
                <w:lang w:val="en-US" w:eastAsia="zh-CN"/>
              </w:rPr>
              <w:t>厂区</w:t>
            </w:r>
            <w:r>
              <w:rPr>
                <w:rFonts w:hint="default" w:ascii="Times New Roman" w:hAnsi="Times New Roman" w:eastAsia="宋体" w:cs="Times New Roman"/>
                <w:b w:val="0"/>
                <w:bCs w:val="0"/>
                <w:color w:val="auto"/>
                <w:sz w:val="24"/>
              </w:rPr>
              <w:t>化粪池容积可以满足项目劳动定员需求，</w:t>
            </w:r>
            <w:r>
              <w:rPr>
                <w:rFonts w:hint="default" w:ascii="Times New Roman" w:hAnsi="Times New Roman" w:eastAsia="宋体" w:cs="Times New Roman"/>
                <w:b w:val="0"/>
                <w:bCs w:val="0"/>
                <w:color w:val="auto"/>
                <w:sz w:val="24"/>
                <w:lang w:val="en-US" w:eastAsia="zh-CN"/>
              </w:rPr>
              <w:t>且</w:t>
            </w:r>
            <w:r>
              <w:rPr>
                <w:rFonts w:hint="default" w:ascii="Times New Roman" w:hAnsi="Times New Roman" w:eastAsia="宋体" w:cs="Times New Roman"/>
                <w:b w:val="0"/>
                <w:bCs w:val="0"/>
                <w:color w:val="auto"/>
                <w:sz w:val="24"/>
              </w:rPr>
              <w:t>化粪池剩余处理余量充足，因此本项目废水依托厂区现有化粪池可行。</w:t>
            </w:r>
          </w:p>
          <w:p>
            <w:pPr>
              <w:keepNext w:val="0"/>
              <w:keepLines w:val="0"/>
              <w:pageBreakBefore w:val="0"/>
              <w:widowControl w:val="0"/>
              <w:numPr>
                <w:ilvl w:val="0"/>
                <w:numId w:val="5"/>
              </w:numPr>
              <w:kinsoku/>
              <w:wordWrap/>
              <w:overflowPunct/>
              <w:topLinePunct w:val="0"/>
              <w:autoSpaceDE/>
              <w:autoSpaceDN/>
              <w:bidi w:val="0"/>
              <w:spacing w:line="360" w:lineRule="auto"/>
              <w:ind w:firstLine="482" w:firstLineChars="200"/>
              <w:jc w:val="both"/>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污水处理厂可依托性分析</w:t>
            </w:r>
          </w:p>
          <w:p>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bCs/>
                <w:color w:val="auto"/>
                <w:sz w:val="24"/>
                <w:szCs w:val="21"/>
              </w:rPr>
            </w:pPr>
            <w:r>
              <w:rPr>
                <w:rFonts w:hint="default" w:ascii="Times New Roman" w:hAnsi="Times New Roman" w:eastAsia="宋体" w:cs="Times New Roman"/>
                <w:bCs/>
                <w:color w:val="auto"/>
                <w:sz w:val="24"/>
                <w:szCs w:val="21"/>
              </w:rPr>
              <w:t>集贤产业园污水处理厂位于集贤产业园东北角，占地26666.97亩，处理规模为2万t/d，采用污水处理工艺：格栅+曝气沉砂池+辐流式初沉池+奥贝尔氧化沟+周进周出沉淀+混凝沉淀+纤维转盘过滤+消毒池，经处理后的污水水质排放标准为《城镇污水</w:t>
            </w:r>
            <w:r>
              <w:rPr>
                <w:rFonts w:hint="default" w:ascii="Times New Roman" w:hAnsi="Times New Roman" w:eastAsia="宋体" w:cs="Times New Roman"/>
                <w:bCs/>
                <w:color w:val="auto"/>
                <w:sz w:val="24"/>
                <w:szCs w:val="21"/>
                <w:lang w:eastAsia="zh-CN"/>
              </w:rPr>
              <w:t>处</w:t>
            </w:r>
            <w:r>
              <w:rPr>
                <w:rFonts w:hint="default" w:ascii="Times New Roman" w:hAnsi="Times New Roman" w:eastAsia="宋体" w:cs="Times New Roman"/>
                <w:bCs/>
                <w:color w:val="auto"/>
                <w:sz w:val="24"/>
                <w:szCs w:val="21"/>
              </w:rPr>
              <w:t>理厂污染物排放标准》（GB18918-2002）一级A标准，出水排入耿峪河。集贤产业园污水处理厂一期已经建成，设计处理规模为5000t/d，目前实际处理量为1000t/d，本项目外排混合污水量约</w:t>
            </w:r>
            <w:r>
              <w:rPr>
                <w:rFonts w:hint="default" w:ascii="Times New Roman" w:hAnsi="Times New Roman" w:eastAsia="宋体" w:cs="Times New Roman"/>
                <w:bCs/>
                <w:color w:val="auto"/>
                <w:sz w:val="24"/>
                <w:szCs w:val="21"/>
                <w:lang w:val="en-US" w:eastAsia="zh-CN"/>
              </w:rPr>
              <w:t>4.80</w:t>
            </w:r>
            <w:r>
              <w:rPr>
                <w:rFonts w:hint="default" w:ascii="Times New Roman" w:hAnsi="Times New Roman" w:eastAsia="宋体" w:cs="Times New Roman"/>
                <w:bCs/>
                <w:color w:val="auto"/>
                <w:sz w:val="24"/>
                <w:szCs w:val="21"/>
              </w:rPr>
              <w:t>m</w:t>
            </w:r>
            <w:r>
              <w:rPr>
                <w:rFonts w:hint="default" w:ascii="Times New Roman" w:hAnsi="Times New Roman" w:eastAsia="宋体" w:cs="Times New Roman"/>
                <w:bCs/>
                <w:color w:val="auto"/>
                <w:sz w:val="24"/>
                <w:szCs w:val="21"/>
                <w:vertAlign w:val="superscript"/>
              </w:rPr>
              <w:t>3</w:t>
            </w:r>
            <w:r>
              <w:rPr>
                <w:rFonts w:hint="default" w:ascii="Times New Roman" w:hAnsi="Times New Roman" w:eastAsia="宋体" w:cs="Times New Roman"/>
                <w:bCs/>
                <w:color w:val="auto"/>
                <w:sz w:val="24"/>
                <w:szCs w:val="21"/>
              </w:rPr>
              <w:t>/d，总体占污水处理厂剩余处理水量份额的</w:t>
            </w:r>
            <w:r>
              <w:rPr>
                <w:rFonts w:hint="default" w:ascii="Times New Roman" w:hAnsi="Times New Roman" w:eastAsia="宋体" w:cs="Times New Roman"/>
                <w:bCs/>
                <w:color w:val="auto"/>
                <w:sz w:val="24"/>
                <w:szCs w:val="21"/>
                <w:lang w:val="en-US" w:eastAsia="zh-CN"/>
              </w:rPr>
              <w:t>0.48</w:t>
            </w:r>
            <w:r>
              <w:rPr>
                <w:rFonts w:hint="default" w:ascii="Times New Roman" w:hAnsi="Times New Roman" w:eastAsia="宋体" w:cs="Times New Roman"/>
                <w:bCs/>
                <w:color w:val="auto"/>
                <w:sz w:val="24"/>
                <w:szCs w:val="21"/>
              </w:rPr>
              <w:t>%，废水水质简单，水质水量可满足污水处理厂纳管要求。根据现场调查，项目所在地园区污水管网已敷设至项目区，可直接接入。因此项目废水依托集贤产业园污水处理厂措施可行。</w:t>
            </w:r>
          </w:p>
          <w:p>
            <w:pPr>
              <w:pStyle w:val="53"/>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综上所述，经处理后废水对项目周边水环境产生的影响较小，采取上述废水防治措施可行。</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3、</w:t>
            </w:r>
            <w:r>
              <w:rPr>
                <w:rFonts w:hint="default" w:ascii="Times New Roman" w:hAnsi="Times New Roman" w:eastAsia="宋体" w:cs="Times New Roman"/>
                <w:b/>
                <w:bCs/>
                <w:color w:val="auto"/>
                <w:sz w:val="24"/>
              </w:rPr>
              <w:t>废水污染物排放信息</w:t>
            </w:r>
          </w:p>
          <w:p>
            <w:pPr>
              <w:keepNext w:val="0"/>
              <w:keepLines w:val="0"/>
              <w:pageBreakBefore w:val="0"/>
              <w:widowControl w:val="0"/>
              <w:kinsoku/>
              <w:wordWrap/>
              <w:overflowPunct/>
              <w:topLinePunct w:val="0"/>
              <w:autoSpaceDE/>
              <w:autoSpaceDN/>
              <w:bidi w:val="0"/>
              <w:snapToGrid w:val="0"/>
              <w:spacing w:line="360" w:lineRule="auto"/>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间接排放建设项目污染源排放量核算根据依托污水处理设施的控制要求核算确定。建设项目污染物排放信息情况，见下表：</w:t>
            </w:r>
          </w:p>
          <w:p>
            <w:pPr>
              <w:pStyle w:val="144"/>
              <w:keepNext w:val="0"/>
              <w:keepLines w:val="0"/>
              <w:pageBreakBefore w:val="0"/>
              <w:kinsoku/>
              <w:wordWrap/>
              <w:overflowPunct/>
              <w:topLinePunct w:val="0"/>
              <w:autoSpaceDE/>
              <w:autoSpaceDN/>
              <w:bidi w:val="0"/>
              <w:adjustRightInd w:val="0"/>
              <w:spacing w:line="360" w:lineRule="auto"/>
              <w:ind w:firstLine="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表4-</w:t>
            </w:r>
            <w:r>
              <w:rPr>
                <w:rFonts w:hint="eastAsia" w:ascii="Times New Roman" w:hAnsi="Times New Roman" w:eastAsia="宋体" w:cs="Times New Roman"/>
                <w:color w:val="auto"/>
                <w:sz w:val="24"/>
                <w:szCs w:val="24"/>
                <w:lang w:val="en-US" w:eastAsia="zh-CN"/>
              </w:rPr>
              <w:t xml:space="preserve">6 </w:t>
            </w:r>
            <w:r>
              <w:rPr>
                <w:rFonts w:hint="default" w:ascii="Times New Roman" w:hAnsi="Times New Roman" w:eastAsia="宋体" w:cs="Times New Roman"/>
                <w:color w:val="auto"/>
                <w:sz w:val="24"/>
                <w:szCs w:val="24"/>
              </w:rPr>
              <w:t xml:space="preserve"> 废水类别、污染物及污染治理设施信息表</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26"/>
              <w:gridCol w:w="1017"/>
              <w:gridCol w:w="426"/>
              <w:gridCol w:w="675"/>
              <w:gridCol w:w="855"/>
              <w:gridCol w:w="646"/>
              <w:gridCol w:w="710"/>
              <w:gridCol w:w="814"/>
              <w:gridCol w:w="708"/>
              <w:gridCol w:w="12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jc w:val="center"/>
              </w:trPr>
              <w:tc>
                <w:tcPr>
                  <w:tcW w:w="269"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269"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废水类别</w:t>
                  </w:r>
                </w:p>
              </w:tc>
              <w:tc>
                <w:tcPr>
                  <w:tcW w:w="642"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种类</w:t>
                  </w:r>
                </w:p>
              </w:tc>
              <w:tc>
                <w:tcPr>
                  <w:tcW w:w="269"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排放去向</w:t>
                  </w:r>
                </w:p>
              </w:tc>
              <w:tc>
                <w:tcPr>
                  <w:tcW w:w="42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排放规律</w:t>
                  </w:r>
                </w:p>
              </w:tc>
              <w:tc>
                <w:tcPr>
                  <w:tcW w:w="1396" w:type="pct"/>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污染治理设施</w:t>
                  </w:r>
                </w:p>
              </w:tc>
              <w:tc>
                <w:tcPr>
                  <w:tcW w:w="51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排放口编号</w:t>
                  </w:r>
                </w:p>
              </w:tc>
              <w:tc>
                <w:tcPr>
                  <w:tcW w:w="447"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排放口设置是否符合要求</w:t>
                  </w:r>
                </w:p>
              </w:tc>
              <w:tc>
                <w:tcPr>
                  <w:tcW w:w="76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w:t>
                  </w:r>
                </w:p>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rPr>
                  </w:pPr>
                </w:p>
              </w:tc>
              <w:tc>
                <w:tcPr>
                  <w:tcW w:w="26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rPr>
                  </w:pPr>
                </w:p>
              </w:tc>
              <w:tc>
                <w:tcPr>
                  <w:tcW w:w="64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rPr>
                  </w:pPr>
                </w:p>
              </w:tc>
              <w:tc>
                <w:tcPr>
                  <w:tcW w:w="26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rPr>
                  </w:pPr>
                </w:p>
              </w:tc>
              <w:tc>
                <w:tcPr>
                  <w:tcW w:w="42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rPr>
                  </w:pPr>
                </w:p>
              </w:tc>
              <w:tc>
                <w:tcPr>
                  <w:tcW w:w="54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污染治理设施</w:t>
                  </w:r>
                </w:p>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编号</w:t>
                  </w:r>
                </w:p>
              </w:tc>
              <w:tc>
                <w:tcPr>
                  <w:tcW w:w="40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污染治理设施</w:t>
                  </w:r>
                </w:p>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44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污染治理设施工艺</w:t>
                  </w:r>
                </w:p>
              </w:tc>
              <w:tc>
                <w:tcPr>
                  <w:tcW w:w="51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yellow"/>
                    </w:rPr>
                  </w:pPr>
                </w:p>
              </w:tc>
              <w:tc>
                <w:tcPr>
                  <w:tcW w:w="44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yellow"/>
                    </w:rPr>
                  </w:pPr>
                </w:p>
              </w:tc>
              <w:tc>
                <w:tcPr>
                  <w:tcW w:w="76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6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生活废水</w:t>
                  </w:r>
                </w:p>
              </w:tc>
              <w:tc>
                <w:tcPr>
                  <w:tcW w:w="64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pH、</w:t>
                  </w:r>
                  <w:r>
                    <w:rPr>
                      <w:rFonts w:hint="default" w:ascii="Times New Roman" w:hAnsi="Times New Roman" w:eastAsia="宋体" w:cs="Times New Roman"/>
                      <w:color w:val="auto"/>
                      <w:sz w:val="21"/>
                      <w:szCs w:val="21"/>
                    </w:rPr>
                    <w:t>COD、BOD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、SS、氨氮</w:t>
                  </w:r>
                  <w:r>
                    <w:rPr>
                      <w:rFonts w:hint="default" w:ascii="Times New Roman" w:hAnsi="Times New Roman" w:eastAsia="宋体" w:cs="Times New Roman"/>
                      <w:color w:val="auto"/>
                      <w:sz w:val="21"/>
                      <w:szCs w:val="21"/>
                      <w:lang w:eastAsia="zh-CN"/>
                    </w:rPr>
                    <w:t>、动植物油</w:t>
                  </w:r>
                </w:p>
              </w:tc>
              <w:tc>
                <w:tcPr>
                  <w:tcW w:w="26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进入城市污水处理厂</w:t>
                  </w:r>
                </w:p>
              </w:tc>
              <w:tc>
                <w:tcPr>
                  <w:tcW w:w="42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间断排放，排放期间流量稳定</w:t>
                  </w:r>
                </w:p>
              </w:tc>
              <w:tc>
                <w:tcPr>
                  <w:tcW w:w="54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TW001</w:t>
                  </w:r>
                </w:p>
              </w:tc>
              <w:tc>
                <w:tcPr>
                  <w:tcW w:w="40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化粪池</w:t>
                  </w:r>
                </w:p>
              </w:tc>
              <w:tc>
                <w:tcPr>
                  <w:tcW w:w="44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沉淀</w:t>
                  </w:r>
                </w:p>
              </w:tc>
              <w:tc>
                <w:tcPr>
                  <w:tcW w:w="51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DW001</w:t>
                  </w:r>
                </w:p>
              </w:tc>
              <w:tc>
                <w:tcPr>
                  <w:tcW w:w="44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napToGrid w:val="0"/>
                      <w:color w:val="auto"/>
                      <w:kern w:val="20"/>
                      <w:sz w:val="21"/>
                      <w:szCs w:val="21"/>
                    </w:rPr>
                  </w:pP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是</w:t>
                  </w:r>
                </w:p>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c>
                <w:tcPr>
                  <w:tcW w:w="76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企业总排口</w:t>
                  </w:r>
                </w:p>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□雨水排放</w:t>
                  </w:r>
                </w:p>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pacing w:val="-10"/>
                      <w:sz w:val="21"/>
                      <w:szCs w:val="21"/>
                    </w:rPr>
                    <w:t>清净下水排放</w:t>
                  </w:r>
                  <w:r>
                    <w:rPr>
                      <w:rFonts w:hint="default" w:ascii="Times New Roman" w:hAnsi="Times New Roman" w:eastAsia="宋体" w:cs="Times New Roman"/>
                      <w:color w:val="auto"/>
                      <w:sz w:val="21"/>
                      <w:szCs w:val="21"/>
                    </w:rPr>
                    <w:t>□温排水排放车间或车间处理设施排放口</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lang w:val="en-US" w:eastAsia="zh-CN"/>
              </w:rPr>
              <w:t>4</w:t>
            </w:r>
            <w:r>
              <w:rPr>
                <w:rFonts w:hint="default" w:ascii="Times New Roman" w:hAnsi="Times New Roman" w:eastAsia="宋体" w:cs="Times New Roman"/>
                <w:b w:val="0"/>
                <w:bCs/>
                <w:color w:val="auto"/>
                <w:sz w:val="24"/>
                <w:szCs w:val="24"/>
              </w:rPr>
              <w:t>、监测计划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根据《排污许可证申请与核发技术规范 总则》（HJ942-2018）、《排污单位自行监测技术指南 总则》（HJ819-2017）</w:t>
            </w:r>
            <w:r>
              <w:rPr>
                <w:rFonts w:hint="default" w:ascii="Times New Roman" w:hAnsi="Times New Roman" w:eastAsia="宋体" w:cs="Times New Roman"/>
                <w:color w:val="auto"/>
                <w:kern w:val="0"/>
                <w:sz w:val="24"/>
                <w:lang w:bidi="ar"/>
              </w:rPr>
              <w:t>中，</w:t>
            </w:r>
            <w:r>
              <w:rPr>
                <w:rFonts w:hint="default" w:ascii="Times New Roman" w:hAnsi="Times New Roman" w:eastAsia="宋体" w:cs="Times New Roman"/>
                <w:color w:val="auto"/>
                <w:kern w:val="0"/>
                <w:sz w:val="24"/>
                <w:lang w:eastAsia="zh-CN" w:bidi="ar"/>
              </w:rPr>
              <w:t>“</w:t>
            </w:r>
            <w:r>
              <w:rPr>
                <w:rFonts w:hint="default" w:ascii="Times New Roman" w:hAnsi="Times New Roman" w:eastAsia="宋体" w:cs="Times New Roman"/>
                <w:color w:val="auto"/>
                <w:kern w:val="0"/>
                <w:sz w:val="24"/>
                <w:lang w:val="en-US" w:eastAsia="zh-CN" w:bidi="ar"/>
              </w:rPr>
              <w:t>对于水污染物，以排放口为单位确定主要排放口许可排放浓度和排放量，一般排放口仅许可排放浓度。单独排入城镇集中污水处理设施的生活污水仅说明排放去向。”本</w:t>
            </w:r>
            <w:r>
              <w:rPr>
                <w:rFonts w:hint="default" w:ascii="Times New Roman" w:hAnsi="Times New Roman" w:eastAsia="宋体" w:cs="Times New Roman"/>
                <w:color w:val="auto"/>
                <w:kern w:val="0"/>
                <w:sz w:val="24"/>
                <w:szCs w:val="24"/>
                <w:lang w:val="en-US" w:eastAsia="zh-CN" w:bidi="ar"/>
              </w:rPr>
              <w:t>项目</w:t>
            </w:r>
            <w:r>
              <w:rPr>
                <w:rFonts w:hint="default" w:ascii="Times New Roman" w:hAnsi="Times New Roman" w:eastAsia="宋体" w:cs="Times New Roman"/>
                <w:color w:val="auto"/>
                <w:sz w:val="24"/>
                <w:szCs w:val="24"/>
              </w:rPr>
              <w:t>项目</w:t>
            </w:r>
            <w:r>
              <w:rPr>
                <w:rFonts w:hint="eastAsia" w:cs="Times New Roman"/>
                <w:color w:val="auto"/>
                <w:sz w:val="24"/>
                <w:szCs w:val="24"/>
                <w:highlight w:val="none"/>
                <w:lang w:val="en-US" w:eastAsia="zh-CN"/>
              </w:rPr>
              <w:t>食堂废水经油水分离器处理后与其他办公废水一同经化粪池处理后通过市政管网排至集贤产业园污水处理厂深度处理</w:t>
            </w:r>
            <w:r>
              <w:rPr>
                <w:rFonts w:hint="default" w:ascii="Times New Roman" w:hAnsi="Times New Roman" w:eastAsia="宋体" w:cs="Times New Roman"/>
                <w:color w:val="auto"/>
                <w:kern w:val="0"/>
                <w:sz w:val="24"/>
                <w:szCs w:val="24"/>
                <w:lang w:val="en-US" w:eastAsia="zh-CN" w:bidi="ar"/>
              </w:rPr>
              <w:t>。故本项目仅</w:t>
            </w:r>
            <w:r>
              <w:rPr>
                <w:rFonts w:hint="default" w:ascii="Times New Roman" w:hAnsi="Times New Roman" w:eastAsia="宋体" w:cs="Times New Roman"/>
                <w:color w:val="auto"/>
                <w:kern w:val="0"/>
                <w:sz w:val="24"/>
                <w:lang w:val="en-US" w:eastAsia="zh-CN" w:bidi="ar"/>
              </w:rPr>
              <w:t>说明排放去向，</w:t>
            </w:r>
            <w:r>
              <w:rPr>
                <w:rFonts w:hint="default" w:ascii="Times New Roman" w:hAnsi="Times New Roman" w:eastAsia="宋体" w:cs="Times New Roman"/>
                <w:color w:val="auto"/>
                <w:kern w:val="0"/>
                <w:sz w:val="24"/>
                <w:szCs w:val="24"/>
                <w:lang w:val="en-US" w:eastAsia="zh-CN" w:bidi="ar"/>
              </w:rPr>
              <w:t>不制定废水污染源环境监测计划。</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jc w:val="both"/>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val="en-US" w:eastAsia="zh-CN"/>
              </w:rPr>
              <w:t>三</w:t>
            </w:r>
            <w:r>
              <w:rPr>
                <w:rFonts w:hint="default" w:ascii="Times New Roman" w:hAnsi="Times New Roman" w:eastAsia="宋体" w:cs="Times New Roman"/>
                <w:b/>
                <w:color w:val="auto"/>
                <w:sz w:val="24"/>
                <w:szCs w:val="24"/>
              </w:rPr>
              <w:t>、噪声</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rPr>
              <w:t>噪声源强分析</w:t>
            </w:r>
          </w:p>
          <w:p>
            <w:pPr>
              <w:pStyle w:val="131"/>
              <w:keepNext w:val="0"/>
              <w:keepLines w:val="0"/>
              <w:pageBreakBefore w:val="0"/>
              <w:widowControl w:val="0"/>
              <w:kinsoku/>
              <w:wordWrap/>
              <w:overflowPunct/>
              <w:topLinePunct w:val="0"/>
              <w:autoSpaceDE/>
              <w:autoSpaceDN/>
              <w:bidi w:val="0"/>
              <w:ind w:firstLine="480" w:firstLineChars="200"/>
              <w:jc w:val="both"/>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highlight w:val="none"/>
              </w:rPr>
              <w:t>项目噪声源主要为</w:t>
            </w:r>
            <w:r>
              <w:rPr>
                <w:rFonts w:hint="default" w:ascii="Times New Roman" w:hAnsi="Times New Roman" w:eastAsia="宋体" w:cs="Times New Roman"/>
                <w:color w:val="auto"/>
                <w:highlight w:val="none"/>
                <w:lang w:val="en-US" w:eastAsia="zh-CN"/>
              </w:rPr>
              <w:t>生产</w:t>
            </w:r>
            <w:r>
              <w:rPr>
                <w:rFonts w:hint="default" w:ascii="Times New Roman" w:hAnsi="Times New Roman" w:eastAsia="宋体" w:cs="Times New Roman"/>
                <w:color w:val="auto"/>
                <w:highlight w:val="none"/>
              </w:rPr>
              <w:t>设备</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风机等</w:t>
            </w:r>
            <w:r>
              <w:rPr>
                <w:rFonts w:hint="default" w:ascii="Times New Roman" w:hAnsi="Times New Roman" w:eastAsia="宋体" w:cs="Times New Roman"/>
                <w:color w:val="auto"/>
                <w:highlight w:val="none"/>
              </w:rPr>
              <w:t>产生的噪声。根据类比调查，设备噪声在</w:t>
            </w:r>
            <w:r>
              <w:rPr>
                <w:rFonts w:hint="default" w:ascii="Times New Roman" w:hAnsi="Times New Roman" w:eastAsia="宋体" w:cs="Times New Roman"/>
                <w:color w:val="auto"/>
                <w:highlight w:val="none"/>
                <w:lang w:val="en-US" w:eastAsia="zh-CN"/>
              </w:rPr>
              <w:t>75</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90</w:t>
            </w:r>
            <w:r>
              <w:rPr>
                <w:rFonts w:hint="default" w:ascii="Times New Roman" w:hAnsi="Times New Roman" w:eastAsia="宋体" w:cs="Times New Roman"/>
                <w:color w:val="auto"/>
                <w:highlight w:val="none"/>
              </w:rPr>
              <w:t>dB（A）之间。建设项目各类生产设备均安置于厂房内，厂房设计隔声</w:t>
            </w:r>
            <w:r>
              <w:rPr>
                <w:rFonts w:hint="default" w:ascii="Times New Roman" w:hAnsi="Times New Roman" w:eastAsia="宋体" w:cs="Times New Roman"/>
                <w:color w:val="auto"/>
                <w:highlight w:val="none"/>
                <w:lang w:val="en-US" w:eastAsia="zh-CN"/>
              </w:rPr>
              <w:t>15-</w:t>
            </w:r>
            <w:r>
              <w:rPr>
                <w:rFonts w:hint="default" w:ascii="Times New Roman" w:hAnsi="Times New Roman" w:eastAsia="宋体" w:cs="Times New Roman"/>
                <w:color w:val="auto"/>
                <w:highlight w:val="none"/>
              </w:rPr>
              <w:t>25dB(A)。在保证正常生产的前提下优先选用低噪声的设备；合理车间平面布局，工作台固定并安装缓冲垫片等一系列减震降噪措施，减少项目噪声排放，并加强管理，使设备处于良好运转状态。</w:t>
            </w:r>
            <w:r>
              <w:rPr>
                <w:rFonts w:hint="default" w:ascii="Times New Roman" w:hAnsi="Times New Roman" w:eastAsia="宋体" w:cs="Times New Roman"/>
                <w:color w:val="auto"/>
                <w:szCs w:val="24"/>
                <w:lang w:val="en-US" w:eastAsia="zh-CN"/>
              </w:rPr>
              <w:t>本项目</w:t>
            </w:r>
            <w:r>
              <w:rPr>
                <w:rFonts w:hint="default" w:ascii="Times New Roman" w:hAnsi="Times New Roman" w:eastAsia="宋体" w:cs="Times New Roman"/>
                <w:color w:val="auto"/>
                <w:sz w:val="24"/>
                <w:highlight w:val="none"/>
                <w:lang w:eastAsia="zh-CN"/>
              </w:rPr>
              <w:t>噪声源强</w:t>
            </w:r>
            <w:r>
              <w:rPr>
                <w:rFonts w:hint="default" w:ascii="Times New Roman" w:hAnsi="Times New Roman" w:eastAsia="宋体" w:cs="Times New Roman"/>
                <w:color w:val="auto"/>
                <w:sz w:val="24"/>
                <w:highlight w:val="none"/>
                <w:lang w:val="en-US" w:eastAsia="zh-CN"/>
              </w:rPr>
              <w:t>见</w:t>
            </w:r>
            <w:r>
              <w:rPr>
                <w:rFonts w:hint="eastAsia" w:ascii="Times New Roman" w:hAnsi="Times New Roman" w:eastAsia="宋体" w:cs="Times New Roman"/>
                <w:color w:val="auto"/>
                <w:sz w:val="24"/>
                <w:szCs w:val="24"/>
                <w:lang w:val="en-US" w:eastAsia="zh-CN"/>
              </w:rPr>
              <w:t>下</w:t>
            </w: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highlight w:val="none"/>
                <w:lang w:val="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表4-</w:t>
            </w:r>
            <w:r>
              <w:rPr>
                <w:rFonts w:hint="eastAsia"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项目主要设备噪声源强和距离</w:t>
            </w:r>
            <w:r>
              <w:rPr>
                <w:rFonts w:hint="default" w:ascii="Times New Roman" w:hAnsi="Times New Roman" w:eastAsia="宋体" w:cs="Times New Roman"/>
                <w:b/>
                <w:bCs/>
                <w:color w:val="auto"/>
                <w:sz w:val="24"/>
                <w:szCs w:val="24"/>
              </w:rPr>
              <w:t>一览表    单位：dB</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A</w:t>
            </w:r>
            <w:r>
              <w:rPr>
                <w:rFonts w:hint="default" w:ascii="Times New Roman" w:hAnsi="Times New Roman" w:eastAsia="宋体" w:cs="Times New Roman"/>
                <w:b/>
                <w:bCs/>
                <w:color w:val="auto"/>
                <w:sz w:val="24"/>
                <w:szCs w:val="24"/>
                <w:lang w:eastAsia="zh-CN"/>
              </w:rPr>
              <w:t>）</w:t>
            </w:r>
          </w:p>
          <w:tbl>
            <w:tblPr>
              <w:tblStyle w:val="34"/>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32"/>
              <w:gridCol w:w="434"/>
              <w:gridCol w:w="912"/>
              <w:gridCol w:w="701"/>
              <w:gridCol w:w="595"/>
              <w:gridCol w:w="434"/>
              <w:gridCol w:w="435"/>
              <w:gridCol w:w="325"/>
              <w:gridCol w:w="549"/>
              <w:gridCol w:w="739"/>
              <w:gridCol w:w="435"/>
              <w:gridCol w:w="626"/>
              <w:gridCol w:w="713"/>
              <w:gridCol w:w="5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9" w:hRule="atLeast"/>
                <w:jc w:val="center"/>
              </w:trPr>
              <w:tc>
                <w:tcPr>
                  <w:tcW w:w="273"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序号</w:t>
                  </w:r>
                </w:p>
              </w:tc>
              <w:tc>
                <w:tcPr>
                  <w:tcW w:w="274"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建筑物名称</w:t>
                  </w:r>
                </w:p>
              </w:tc>
              <w:tc>
                <w:tcPr>
                  <w:tcW w:w="576"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声源名称</w:t>
                  </w:r>
                </w:p>
              </w:tc>
              <w:tc>
                <w:tcPr>
                  <w:tcW w:w="443"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声压级/距声源距离dB（A）/m</w:t>
                  </w:r>
                </w:p>
              </w:tc>
              <w:tc>
                <w:tcPr>
                  <w:tcW w:w="376"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声源控制措施</w:t>
                  </w:r>
                </w:p>
              </w:tc>
              <w:tc>
                <w:tcPr>
                  <w:tcW w:w="754" w:type="pct"/>
                  <w:gridSpan w:val="3"/>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空间相对位置/m</w:t>
                  </w:r>
                </w:p>
              </w:tc>
              <w:tc>
                <w:tcPr>
                  <w:tcW w:w="347"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距室内边界距离/m</w:t>
                  </w:r>
                </w:p>
              </w:tc>
              <w:tc>
                <w:tcPr>
                  <w:tcW w:w="467"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室内边界声级dB（A）</w:t>
                  </w:r>
                </w:p>
              </w:tc>
              <w:tc>
                <w:tcPr>
                  <w:tcW w:w="275"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运行时段</w:t>
                  </w:r>
                </w:p>
              </w:tc>
              <w:tc>
                <w:tcPr>
                  <w:tcW w:w="395"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建筑物插入损失（dB（A）</w:t>
                  </w:r>
                </w:p>
              </w:tc>
              <w:tc>
                <w:tcPr>
                  <w:tcW w:w="814" w:type="pct"/>
                  <w:gridSpan w:val="2"/>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建筑物外噪声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u w:val="none"/>
                    </w:rPr>
                  </w:pPr>
                </w:p>
              </w:tc>
              <w:tc>
                <w:tcPr>
                  <w:tcW w:w="274"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u w:val="none"/>
                    </w:rPr>
                  </w:pPr>
                </w:p>
              </w:tc>
              <w:tc>
                <w:tcPr>
                  <w:tcW w:w="57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u w:val="none"/>
                    </w:rPr>
                  </w:pPr>
                </w:p>
              </w:tc>
              <w:tc>
                <w:tcPr>
                  <w:tcW w:w="44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u w:val="none"/>
                    </w:rPr>
                  </w:pPr>
                </w:p>
              </w:tc>
              <w:tc>
                <w:tcPr>
                  <w:tcW w:w="37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u w:val="none"/>
                    </w:rPr>
                  </w:pPr>
                </w:p>
              </w:tc>
              <w:tc>
                <w:tcPr>
                  <w:tcW w:w="274"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X</w:t>
                  </w:r>
                </w:p>
              </w:tc>
              <w:tc>
                <w:tcPr>
                  <w:tcW w:w="275"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Y</w:t>
                  </w:r>
                </w:p>
              </w:tc>
              <w:tc>
                <w:tcPr>
                  <w:tcW w:w="205"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Z</w:t>
                  </w:r>
                </w:p>
              </w:tc>
              <w:tc>
                <w:tcPr>
                  <w:tcW w:w="347"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u w:val="none"/>
                    </w:rPr>
                  </w:pPr>
                </w:p>
              </w:tc>
              <w:tc>
                <w:tcPr>
                  <w:tcW w:w="467"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u w:val="none"/>
                    </w:rPr>
                  </w:pPr>
                </w:p>
              </w:tc>
              <w:tc>
                <w:tcPr>
                  <w:tcW w:w="275"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u w:val="none"/>
                    </w:rPr>
                  </w:pPr>
                </w:p>
              </w:tc>
              <w:tc>
                <w:tcPr>
                  <w:tcW w:w="395"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u w:val="none"/>
                    </w:rPr>
                  </w:pPr>
                </w:p>
              </w:tc>
              <w:tc>
                <w:tcPr>
                  <w:tcW w:w="814" w:type="pct"/>
                  <w:gridSpan w:val="2"/>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u w:val="none"/>
                    </w:rPr>
                  </w:pPr>
                </w:p>
              </w:tc>
              <w:tc>
                <w:tcPr>
                  <w:tcW w:w="274"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u w:val="none"/>
                    </w:rPr>
                  </w:pPr>
                </w:p>
              </w:tc>
              <w:tc>
                <w:tcPr>
                  <w:tcW w:w="57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u w:val="none"/>
                    </w:rPr>
                  </w:pPr>
                </w:p>
              </w:tc>
              <w:tc>
                <w:tcPr>
                  <w:tcW w:w="443"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u w:val="none"/>
                    </w:rPr>
                  </w:pPr>
                </w:p>
              </w:tc>
              <w:tc>
                <w:tcPr>
                  <w:tcW w:w="37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u w:val="none"/>
                    </w:rPr>
                  </w:pPr>
                </w:p>
              </w:tc>
              <w:tc>
                <w:tcPr>
                  <w:tcW w:w="274"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u w:val="none"/>
                    </w:rPr>
                  </w:pPr>
                </w:p>
              </w:tc>
              <w:tc>
                <w:tcPr>
                  <w:tcW w:w="275"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u w:val="none"/>
                    </w:rPr>
                  </w:pPr>
                </w:p>
              </w:tc>
              <w:tc>
                <w:tcPr>
                  <w:tcW w:w="205"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u w:val="none"/>
                    </w:rPr>
                  </w:pPr>
                </w:p>
              </w:tc>
              <w:tc>
                <w:tcPr>
                  <w:tcW w:w="347"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u w:val="none"/>
                    </w:rPr>
                  </w:pPr>
                </w:p>
              </w:tc>
              <w:tc>
                <w:tcPr>
                  <w:tcW w:w="467"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u w:val="none"/>
                    </w:rPr>
                  </w:pPr>
                </w:p>
              </w:tc>
              <w:tc>
                <w:tcPr>
                  <w:tcW w:w="275"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u w:val="none"/>
                    </w:rPr>
                  </w:pPr>
                </w:p>
              </w:tc>
              <w:tc>
                <w:tcPr>
                  <w:tcW w:w="395"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u w:val="none"/>
                    </w:rPr>
                  </w:pPr>
                </w:p>
              </w:tc>
              <w:tc>
                <w:tcPr>
                  <w:tcW w:w="45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声压级dB（A）</w:t>
                  </w:r>
                </w:p>
              </w:tc>
              <w:tc>
                <w:tcPr>
                  <w:tcW w:w="36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建筑物外距离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274"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生产车间</w:t>
                  </w:r>
                </w:p>
              </w:tc>
              <w:tc>
                <w:tcPr>
                  <w:tcW w:w="57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自动穿梭仓</w:t>
                  </w:r>
                </w:p>
              </w:tc>
              <w:tc>
                <w:tcPr>
                  <w:tcW w:w="44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85</w:t>
                  </w:r>
                </w:p>
              </w:tc>
              <w:tc>
                <w:tcPr>
                  <w:tcW w:w="376"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基础减振、厂房隔声</w:t>
                  </w:r>
                </w:p>
              </w:tc>
              <w:tc>
                <w:tcPr>
                  <w:tcW w:w="27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38</w:t>
                  </w:r>
                </w:p>
              </w:tc>
              <w:tc>
                <w:tcPr>
                  <w:tcW w:w="27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w:t>
                  </w:r>
                </w:p>
              </w:tc>
              <w:tc>
                <w:tcPr>
                  <w:tcW w:w="2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62</w:t>
                  </w:r>
                </w:p>
              </w:tc>
              <w:tc>
                <w:tcPr>
                  <w:tcW w:w="46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49.15</w:t>
                  </w:r>
                </w:p>
              </w:tc>
              <w:tc>
                <w:tcPr>
                  <w:tcW w:w="275"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运行时段</w:t>
                  </w:r>
                </w:p>
              </w:tc>
              <w:tc>
                <w:tcPr>
                  <w:tcW w:w="39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45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34.15</w:t>
                  </w:r>
                </w:p>
              </w:tc>
              <w:tc>
                <w:tcPr>
                  <w:tcW w:w="36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274"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57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玻璃自动切磨生产线1</w:t>
                  </w:r>
                </w:p>
              </w:tc>
              <w:tc>
                <w:tcPr>
                  <w:tcW w:w="44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37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7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65</w:t>
                  </w:r>
                </w:p>
              </w:tc>
              <w:tc>
                <w:tcPr>
                  <w:tcW w:w="27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w:t>
                  </w:r>
                </w:p>
              </w:tc>
              <w:tc>
                <w:tcPr>
                  <w:tcW w:w="2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w:t>
                  </w:r>
                </w:p>
              </w:tc>
              <w:tc>
                <w:tcPr>
                  <w:tcW w:w="46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49.12</w:t>
                  </w:r>
                </w:p>
              </w:tc>
              <w:tc>
                <w:tcPr>
                  <w:tcW w:w="275"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39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45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34.12</w:t>
                  </w:r>
                </w:p>
              </w:tc>
              <w:tc>
                <w:tcPr>
                  <w:tcW w:w="36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274"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57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玻璃自动切磨生产线2</w:t>
                  </w:r>
                </w:p>
              </w:tc>
              <w:tc>
                <w:tcPr>
                  <w:tcW w:w="44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37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7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65</w:t>
                  </w:r>
                </w:p>
              </w:tc>
              <w:tc>
                <w:tcPr>
                  <w:tcW w:w="27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2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w:t>
                  </w:r>
                </w:p>
              </w:tc>
              <w:tc>
                <w:tcPr>
                  <w:tcW w:w="46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49.12</w:t>
                  </w:r>
                </w:p>
              </w:tc>
              <w:tc>
                <w:tcPr>
                  <w:tcW w:w="275"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39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45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34.12</w:t>
                  </w:r>
                </w:p>
              </w:tc>
              <w:tc>
                <w:tcPr>
                  <w:tcW w:w="36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274"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57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钢化生产线</w:t>
                  </w:r>
                </w:p>
              </w:tc>
              <w:tc>
                <w:tcPr>
                  <w:tcW w:w="44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85</w:t>
                  </w:r>
                </w:p>
              </w:tc>
              <w:tc>
                <w:tcPr>
                  <w:tcW w:w="37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7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w:t>
                  </w:r>
                </w:p>
              </w:tc>
              <w:tc>
                <w:tcPr>
                  <w:tcW w:w="27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2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46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51.93</w:t>
                  </w:r>
                </w:p>
              </w:tc>
              <w:tc>
                <w:tcPr>
                  <w:tcW w:w="275"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39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45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36.93</w:t>
                  </w:r>
                </w:p>
              </w:tc>
              <w:tc>
                <w:tcPr>
                  <w:tcW w:w="36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274"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57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玻璃中空生产线1</w:t>
                  </w:r>
                </w:p>
              </w:tc>
              <w:tc>
                <w:tcPr>
                  <w:tcW w:w="44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85</w:t>
                  </w:r>
                </w:p>
              </w:tc>
              <w:tc>
                <w:tcPr>
                  <w:tcW w:w="37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7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27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2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w:t>
                  </w:r>
                </w:p>
              </w:tc>
              <w:tc>
                <w:tcPr>
                  <w:tcW w:w="46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50.19</w:t>
                  </w:r>
                </w:p>
              </w:tc>
              <w:tc>
                <w:tcPr>
                  <w:tcW w:w="275"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39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45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35.19</w:t>
                  </w:r>
                </w:p>
              </w:tc>
              <w:tc>
                <w:tcPr>
                  <w:tcW w:w="36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274"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57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玻璃中空生产线2</w:t>
                  </w:r>
                </w:p>
              </w:tc>
              <w:tc>
                <w:tcPr>
                  <w:tcW w:w="44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85</w:t>
                  </w:r>
                </w:p>
              </w:tc>
              <w:tc>
                <w:tcPr>
                  <w:tcW w:w="37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7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27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2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w:t>
                  </w:r>
                </w:p>
              </w:tc>
              <w:tc>
                <w:tcPr>
                  <w:tcW w:w="46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50.19</w:t>
                  </w:r>
                </w:p>
              </w:tc>
              <w:tc>
                <w:tcPr>
                  <w:tcW w:w="275"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39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45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35.19</w:t>
                  </w:r>
                </w:p>
              </w:tc>
              <w:tc>
                <w:tcPr>
                  <w:tcW w:w="36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274"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57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玻璃中空生产线3</w:t>
                  </w:r>
                </w:p>
              </w:tc>
              <w:tc>
                <w:tcPr>
                  <w:tcW w:w="44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85</w:t>
                  </w:r>
                </w:p>
              </w:tc>
              <w:tc>
                <w:tcPr>
                  <w:tcW w:w="376"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7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27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2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w:t>
                  </w:r>
                </w:p>
              </w:tc>
              <w:tc>
                <w:tcPr>
                  <w:tcW w:w="46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50.19</w:t>
                  </w:r>
                </w:p>
              </w:tc>
              <w:tc>
                <w:tcPr>
                  <w:tcW w:w="275"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39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45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35.19</w:t>
                  </w:r>
                </w:p>
              </w:tc>
              <w:tc>
                <w:tcPr>
                  <w:tcW w:w="36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274"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厂房外</w:t>
                  </w:r>
                </w:p>
              </w:tc>
              <w:tc>
                <w:tcPr>
                  <w:tcW w:w="576"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风机</w:t>
                  </w:r>
                </w:p>
              </w:tc>
              <w:tc>
                <w:tcPr>
                  <w:tcW w:w="443"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90</w:t>
                  </w:r>
                </w:p>
              </w:tc>
              <w:tc>
                <w:tcPr>
                  <w:tcW w:w="37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基础减振</w:t>
                  </w:r>
                </w:p>
              </w:tc>
              <w:tc>
                <w:tcPr>
                  <w:tcW w:w="27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27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2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4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w:t>
                  </w:r>
                </w:p>
              </w:tc>
              <w:tc>
                <w:tcPr>
                  <w:tcW w:w="46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55.19</w:t>
                  </w:r>
                </w:p>
              </w:tc>
              <w:tc>
                <w:tcPr>
                  <w:tcW w:w="275"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39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45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40.19</w:t>
                  </w:r>
                </w:p>
              </w:tc>
              <w:tc>
                <w:tcPr>
                  <w:tcW w:w="36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bl>
          <w:p>
            <w:pPr>
              <w:adjustRightInd w:val="0"/>
              <w:snapToGrid w:val="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备注：坐标原点为</w:t>
            </w:r>
            <w:r>
              <w:rPr>
                <w:rFonts w:hint="default" w:ascii="Times New Roman" w:hAnsi="Times New Roman" w:eastAsia="宋体" w:cs="Times New Roman"/>
                <w:b/>
                <w:color w:val="auto"/>
                <w:sz w:val="18"/>
                <w:szCs w:val="18"/>
                <w:lang w:val="en-US" w:eastAsia="zh-CN"/>
              </w:rPr>
              <w:t>厂区西南角</w:t>
            </w:r>
            <w:r>
              <w:rPr>
                <w:rFonts w:hint="default" w:ascii="Times New Roman" w:hAnsi="Times New Roman" w:eastAsia="宋体" w:cs="Times New Roman"/>
                <w:b/>
                <w:color w:val="auto"/>
                <w:sz w:val="18"/>
                <w:szCs w:val="18"/>
              </w:rPr>
              <w:t>，X轴为正东方向，Y轴为正北方向</w:t>
            </w:r>
          </w:p>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2" w:firstLineChars="200"/>
              <w:jc w:val="both"/>
              <w:textAlignment w:val="auto"/>
              <w:rPr>
                <w:rFonts w:hint="default" w:ascii="Times New Roman" w:hAnsi="Times New Roman" w:eastAsia="宋体" w:cs="Times New Roman"/>
                <w:b/>
                <w:bCs/>
                <w:snapToGrid/>
                <w:color w:val="auto"/>
                <w:kern w:val="2"/>
                <w:sz w:val="24"/>
                <w:szCs w:val="24"/>
                <w:highlight w:val="none"/>
                <w:lang w:val="en-US" w:eastAsia="zh-CN" w:bidi="ar"/>
              </w:rPr>
            </w:pP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bCs/>
                <w:snapToGrid/>
                <w:color w:val="auto"/>
                <w:kern w:val="2"/>
                <w:sz w:val="24"/>
                <w:szCs w:val="24"/>
                <w:highlight w:val="none"/>
                <w:lang w:val="en-US" w:eastAsia="zh-CN" w:bidi="ar"/>
              </w:rPr>
              <w:t>预测模式</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lang w:val="en-US" w:eastAsia="zh-CN"/>
              </w:rPr>
              <w:t>1</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预测方案</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本次为</w:t>
            </w:r>
            <w:r>
              <w:rPr>
                <w:rFonts w:hint="default" w:ascii="Times New Roman" w:hAnsi="Times New Roman" w:eastAsia="宋体" w:cs="Times New Roman"/>
                <w:color w:val="auto"/>
                <w:sz w:val="24"/>
                <w:szCs w:val="24"/>
                <w:lang w:val="en-US" w:eastAsia="zh-CN"/>
              </w:rPr>
              <w:t>新建</w:t>
            </w:r>
            <w:r>
              <w:rPr>
                <w:rFonts w:hint="default" w:ascii="Times New Roman" w:hAnsi="Times New Roman" w:eastAsia="宋体" w:cs="Times New Roman"/>
                <w:color w:val="auto"/>
                <w:sz w:val="24"/>
                <w:szCs w:val="24"/>
              </w:rPr>
              <w:t>项目，噪声预测考虑本次项目的噪声贡献值。</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预测条件假设</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1 \* GB3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①</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所有产噪设备均在正常工况条件下运行；</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2 \* GB3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②</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室内噪声源考虑声源所在厂房围护结构的隔声作用；</w:t>
            </w:r>
          </w:p>
          <w:p>
            <w:pPr>
              <w:keepNext w:val="0"/>
              <w:keepLines w:val="0"/>
              <w:pageBreakBefore w:val="0"/>
              <w:widowControl w:val="0"/>
              <w:tabs>
                <w:tab w:val="left" w:pos="-900"/>
              </w:tabs>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3 \* GB3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③</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考虑声源至预测点的距离衰减，忽略传播中地面反射以及空气吸收、雨、雪、温度等影响。</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预测模式</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①室外声源</w:t>
            </w:r>
          </w:p>
          <w:p>
            <w:pPr>
              <w:spacing w:line="360" w:lineRule="auto"/>
              <w:ind w:firstLine="480" w:firstLineChars="20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position w:val="-14"/>
                <w:sz w:val="24"/>
              </w:rPr>
              <w:drawing>
                <wp:inline distT="0" distB="0" distL="114300" distR="114300">
                  <wp:extent cx="2009775" cy="238125"/>
                  <wp:effectExtent l="0" t="0" r="0" b="2540"/>
                  <wp:docPr id="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9"/>
                          <pic:cNvPicPr>
                            <a:picLocks noChangeAspect="1"/>
                          </pic:cNvPicPr>
                        </pic:nvPicPr>
                        <pic:blipFill>
                          <a:blip r:embed="rId11"/>
                          <a:stretch>
                            <a:fillRect/>
                          </a:stretch>
                        </pic:blipFill>
                        <pic:spPr>
                          <a:xfrm>
                            <a:off x="0" y="0"/>
                            <a:ext cx="2009775" cy="2381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w:r>
              <w:rPr>
                <w:rFonts w:hint="default" w:ascii="Times New Roman" w:hAnsi="Times New Roman" w:eastAsia="宋体" w:cs="Times New Roman"/>
                <w:color w:val="auto"/>
                <w:position w:val="-14"/>
                <w:sz w:val="24"/>
                <w:szCs w:val="24"/>
              </w:rPr>
              <w:drawing>
                <wp:inline distT="0" distB="0" distL="114300" distR="114300">
                  <wp:extent cx="381000" cy="238125"/>
                  <wp:effectExtent l="0" t="0" r="0" b="2540"/>
                  <wp:docPr id="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pic:cNvPicPr>
                            <a:picLocks noChangeAspect="1"/>
                          </pic:cNvPicPr>
                        </pic:nvPicPr>
                        <pic:blipFill>
                          <a:blip r:embed="rId12"/>
                          <a:stretch>
                            <a:fillRect/>
                          </a:stretch>
                        </pic:blipFill>
                        <pic:spPr>
                          <a:xfrm>
                            <a:off x="0" y="0"/>
                            <a:ext cx="381000" cy="238125"/>
                          </a:xfrm>
                          <a:prstGeom prst="rect">
                            <a:avLst/>
                          </a:prstGeom>
                          <a:noFill/>
                          <a:ln>
                            <a:noFill/>
                          </a:ln>
                        </pic:spPr>
                      </pic:pic>
                    </a:graphicData>
                  </a:graphic>
                </wp:inline>
              </w:drawing>
            </w:r>
            <w:r>
              <w:rPr>
                <w:rFonts w:hint="default" w:ascii="Times New Roman" w:hAnsi="Times New Roman" w:eastAsia="宋体" w:cs="Times New Roman"/>
                <w:color w:val="auto"/>
                <w:sz w:val="24"/>
                <w:szCs w:val="24"/>
              </w:rPr>
              <w:t>—噪声源在预测点的声压级，dB(A)；</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position w:val="-14"/>
                <w:sz w:val="24"/>
                <w:szCs w:val="24"/>
              </w:rPr>
              <w:drawing>
                <wp:inline distT="0" distB="0" distL="114300" distR="114300">
                  <wp:extent cx="419100" cy="238125"/>
                  <wp:effectExtent l="0" t="0" r="0" b="2540"/>
                  <wp:docPr id="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7"/>
                          <pic:cNvPicPr>
                            <a:picLocks noChangeAspect="1"/>
                          </pic:cNvPicPr>
                        </pic:nvPicPr>
                        <pic:blipFill>
                          <a:blip r:embed="rId13"/>
                          <a:stretch>
                            <a:fillRect/>
                          </a:stretch>
                        </pic:blipFill>
                        <pic:spPr>
                          <a:xfrm>
                            <a:off x="0" y="0"/>
                            <a:ext cx="419100" cy="238125"/>
                          </a:xfrm>
                          <a:prstGeom prst="rect">
                            <a:avLst/>
                          </a:prstGeom>
                          <a:noFill/>
                          <a:ln>
                            <a:noFill/>
                          </a:ln>
                        </pic:spPr>
                      </pic:pic>
                    </a:graphicData>
                  </a:graphic>
                </wp:inline>
              </w:drawing>
            </w:r>
            <w:r>
              <w:rPr>
                <w:rFonts w:hint="default" w:ascii="Times New Roman" w:hAnsi="Times New Roman" w:eastAsia="宋体" w:cs="Times New Roman"/>
                <w:color w:val="auto"/>
                <w:sz w:val="24"/>
                <w:szCs w:val="24"/>
              </w:rPr>
              <w:t>—参考位置</w:t>
            </w:r>
            <w:r>
              <w:rPr>
                <w:rFonts w:hint="default" w:ascii="Times New Roman" w:hAnsi="Times New Roman" w:eastAsia="宋体" w:cs="Times New Roman"/>
                <w:color w:val="auto"/>
                <w:position w:val="-12"/>
                <w:sz w:val="24"/>
                <w:szCs w:val="24"/>
              </w:rPr>
              <w:drawing>
                <wp:inline distT="0" distB="0" distL="114300" distR="114300">
                  <wp:extent cx="142875" cy="228600"/>
                  <wp:effectExtent l="0" t="0" r="0" b="0"/>
                  <wp:docPr id="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6"/>
                          <pic:cNvPicPr>
                            <a:picLocks noChangeAspect="1"/>
                          </pic:cNvPicPr>
                        </pic:nvPicPr>
                        <pic:blipFill>
                          <a:blip r:embed="rId14"/>
                          <a:stretch>
                            <a:fillRect/>
                          </a:stretch>
                        </pic:blipFill>
                        <pic:spPr>
                          <a:xfrm>
                            <a:off x="0" y="0"/>
                            <a:ext cx="142875" cy="228600"/>
                          </a:xfrm>
                          <a:prstGeom prst="rect">
                            <a:avLst/>
                          </a:prstGeom>
                          <a:noFill/>
                          <a:ln>
                            <a:noFill/>
                          </a:ln>
                        </pic:spPr>
                      </pic:pic>
                    </a:graphicData>
                  </a:graphic>
                </wp:inline>
              </w:drawing>
            </w:r>
            <w:r>
              <w:rPr>
                <w:rFonts w:hint="default" w:ascii="Times New Roman" w:hAnsi="Times New Roman" w:eastAsia="宋体" w:cs="Times New Roman"/>
                <w:color w:val="auto"/>
                <w:sz w:val="24"/>
                <w:szCs w:val="24"/>
              </w:rPr>
              <w:t>处的声压级，dB(A)；</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position w:val="-12"/>
                <w:sz w:val="24"/>
                <w:szCs w:val="24"/>
              </w:rPr>
              <w:drawing>
                <wp:inline distT="0" distB="0" distL="114300" distR="114300">
                  <wp:extent cx="142875" cy="228600"/>
                  <wp:effectExtent l="0" t="0" r="0" b="0"/>
                  <wp:docPr id="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5"/>
                          <pic:cNvPicPr>
                            <a:picLocks noChangeAspect="1"/>
                          </pic:cNvPicPr>
                        </pic:nvPicPr>
                        <pic:blipFill>
                          <a:blip r:embed="rId14"/>
                          <a:stretch>
                            <a:fillRect/>
                          </a:stretch>
                        </pic:blipFill>
                        <pic:spPr>
                          <a:xfrm>
                            <a:off x="0" y="0"/>
                            <a:ext cx="142875" cy="228600"/>
                          </a:xfrm>
                          <a:prstGeom prst="rect">
                            <a:avLst/>
                          </a:prstGeom>
                          <a:noFill/>
                          <a:ln>
                            <a:noFill/>
                          </a:ln>
                        </pic:spPr>
                      </pic:pic>
                    </a:graphicData>
                  </a:graphic>
                </wp:inline>
              </w:drawing>
            </w:r>
            <w:r>
              <w:rPr>
                <w:rFonts w:hint="default" w:ascii="Times New Roman" w:hAnsi="Times New Roman" w:eastAsia="宋体" w:cs="Times New Roman"/>
                <w:color w:val="auto"/>
                <w:sz w:val="24"/>
                <w:szCs w:val="24"/>
              </w:rPr>
              <w:t>—参考位置距声源中心的位置，m；</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position w:val="-4"/>
                <w:sz w:val="24"/>
                <w:szCs w:val="24"/>
              </w:rPr>
              <w:drawing>
                <wp:inline distT="0" distB="0" distL="114300" distR="114300">
                  <wp:extent cx="114300" cy="123825"/>
                  <wp:effectExtent l="0" t="0" r="0" b="2540"/>
                  <wp:docPr id="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4"/>
                          <pic:cNvPicPr>
                            <a:picLocks noChangeAspect="1"/>
                          </pic:cNvPicPr>
                        </pic:nvPicPr>
                        <pic:blipFill>
                          <a:blip r:embed="rId15"/>
                          <a:stretch>
                            <a:fillRect/>
                          </a:stretch>
                        </pic:blipFill>
                        <pic:spPr>
                          <a:xfrm>
                            <a:off x="0" y="0"/>
                            <a:ext cx="114300" cy="123825"/>
                          </a:xfrm>
                          <a:prstGeom prst="rect">
                            <a:avLst/>
                          </a:prstGeom>
                          <a:noFill/>
                          <a:ln>
                            <a:noFill/>
                          </a:ln>
                        </pic:spPr>
                      </pic:pic>
                    </a:graphicData>
                  </a:graphic>
                </wp:inline>
              </w:drawing>
            </w:r>
            <w:r>
              <w:rPr>
                <w:rFonts w:hint="default" w:ascii="Times New Roman" w:hAnsi="Times New Roman" w:eastAsia="宋体" w:cs="Times New Roman"/>
                <w:color w:val="auto"/>
                <w:sz w:val="24"/>
                <w:szCs w:val="24"/>
              </w:rPr>
              <w:t>—声源中心至预测点的距离，m；</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position w:val="-4"/>
                <w:sz w:val="24"/>
                <w:szCs w:val="24"/>
              </w:rPr>
              <w:drawing>
                <wp:inline distT="0" distB="0" distL="114300" distR="114300">
                  <wp:extent cx="228600" cy="161925"/>
                  <wp:effectExtent l="0" t="0" r="0" b="2540"/>
                  <wp:docPr id="1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3"/>
                          <pic:cNvPicPr>
                            <a:picLocks noChangeAspect="1"/>
                          </pic:cNvPicPr>
                        </pic:nvPicPr>
                        <pic:blipFill>
                          <a:blip r:embed="rId16"/>
                          <a:stretch>
                            <a:fillRect/>
                          </a:stretch>
                        </pic:blipFill>
                        <pic:spPr>
                          <a:xfrm>
                            <a:off x="0" y="0"/>
                            <a:ext cx="228600" cy="161925"/>
                          </a:xfrm>
                          <a:prstGeom prst="rect">
                            <a:avLst/>
                          </a:prstGeom>
                          <a:noFill/>
                          <a:ln>
                            <a:noFill/>
                          </a:ln>
                        </pic:spPr>
                      </pic:pic>
                    </a:graphicData>
                  </a:graphic>
                </wp:inline>
              </w:drawing>
            </w:r>
            <w:r>
              <w:rPr>
                <w:rFonts w:hint="default" w:ascii="Times New Roman" w:hAnsi="Times New Roman" w:eastAsia="宋体" w:cs="Times New Roman"/>
                <w:color w:val="auto"/>
                <w:sz w:val="24"/>
                <w:szCs w:val="24"/>
              </w:rPr>
              <w:t>—各种因素引起的声衰减量（如声屏障，遮挡物，空气吸收，地面吸收等引起的声衰减），dB（A）。</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②室内声源</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室内声源由室内向室外传播示意图见图4-2。</w:t>
            </w:r>
          </w:p>
          <w:p>
            <w:pPr>
              <w:spacing w:line="36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2105025" cy="819150"/>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7"/>
                          <a:stretch>
                            <a:fillRect/>
                          </a:stretch>
                        </pic:blipFill>
                        <pic:spPr>
                          <a:xfrm>
                            <a:off x="0" y="0"/>
                            <a:ext cx="2105025" cy="81915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spacing w:line="360" w:lineRule="auto"/>
              <w:ind w:firstLine="0" w:firstLineChars="0"/>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图4-</w:t>
            </w:r>
            <w:r>
              <w:rPr>
                <w:rFonts w:hint="default" w:ascii="Times New Roman" w:hAnsi="Times New Roman" w:eastAsia="宋体" w:cs="Times New Roman"/>
                <w:b/>
                <w:color w:val="auto"/>
                <w:sz w:val="24"/>
                <w:szCs w:val="24"/>
                <w:lang w:val="en-US" w:eastAsia="zh-CN"/>
              </w:rPr>
              <w:t>1</w:t>
            </w:r>
            <w:r>
              <w:rPr>
                <w:rFonts w:hint="default" w:ascii="Times New Roman" w:hAnsi="Times New Roman" w:eastAsia="宋体" w:cs="Times New Roman"/>
                <w:b/>
                <w:color w:val="auto"/>
                <w:sz w:val="24"/>
                <w:szCs w:val="24"/>
              </w:rPr>
              <w:t xml:space="preserve">    室内声源向室外传播示意图</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rPr>
              <w:t>a计算车间室内声源靠近围护结构处产生的声压级</w:t>
            </w:r>
            <w:r>
              <w:rPr>
                <w:rFonts w:hint="default" w:ascii="Times New Roman" w:hAnsi="Times New Roman" w:eastAsia="宋体" w:cs="Times New Roman"/>
                <w:color w:val="auto"/>
                <w:sz w:val="24"/>
              </w:rPr>
              <w:t>：</w:t>
            </w:r>
          </w:p>
          <w:p>
            <w:pPr>
              <w:spacing w:line="360" w:lineRule="auto"/>
              <w:ind w:firstLine="480" w:firstLineChars="200"/>
              <w:jc w:val="center"/>
              <w:rPr>
                <w:rFonts w:hint="default" w:ascii="Times New Roman" w:hAnsi="Times New Roman" w:eastAsia="宋体" w:cs="Times New Roman"/>
                <w:color w:val="auto"/>
              </w:rPr>
            </w:pPr>
            <w:r>
              <w:rPr>
                <w:rFonts w:hint="default" w:ascii="Times New Roman" w:hAnsi="Times New Roman" w:eastAsia="宋体" w:cs="Times New Roman"/>
                <w:color w:val="auto"/>
                <w:position w:val="-32"/>
                <w:sz w:val="24"/>
              </w:rPr>
              <w:object>
                <v:shape id="_x0000_i1025" o:spt="75" type="#_x0000_t75" style="height:35.5pt;width:136.7pt;" o:ole="t" filled="f" o:preferrelative="t" stroked="f" coordsize="21600,21600">
                  <v:path/>
                  <v:fill on="f" focussize="0,0"/>
                  <v:stroke on="f" joinstyle="miter"/>
                  <v:imagedata r:id="rId19" o:title=""/>
                  <o:lock v:ext="edit" aspectratio="t"/>
                  <w10:wrap type="none"/>
                  <w10:anchorlock/>
                </v:shape>
                <o:OLEObject Type="Embed" ProgID="Equation.DSMT4" ShapeID="_x0000_i1025" DrawAspect="Content" ObjectID="_1468075725" r:id="rId18">
                  <o:LockedField>false</o:LockedField>
                </o:OLEObject>
              </w:objec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w:r>
              <w:rPr>
                <w:rFonts w:hint="default" w:ascii="Times New Roman" w:hAnsi="Times New Roman" w:eastAsia="宋体" w:cs="Times New Roman"/>
                <w:color w:val="auto"/>
                <w:position w:val="-10"/>
                <w:sz w:val="24"/>
                <w:szCs w:val="24"/>
              </w:rPr>
              <w:object>
                <v:shape id="_x0000_i1026" o:spt="75" type="#_x0000_t75" style="height:14.6pt;width:7.3pt;" o:ole="t" filled="f" o:preferrelative="t" stroked="f" coordsize="21600,21600">
                  <v:path/>
                  <v:fill on="f" focussize="0,0"/>
                  <v:stroke on="f" joinstyle="miter"/>
                  <v:imagedata r:id="rId21" o:title=""/>
                  <o:lock v:ext="edit" aspectratio="t"/>
                  <w10:wrap type="none"/>
                  <w10:anchorlock/>
                </v:shape>
                <o:OLEObject Type="Embed" ProgID="Equation.DSMT4" ShapeID="_x0000_i1026" DrawAspect="Content" ObjectID="_1468075726" r:id="rId20">
                  <o:LockedField>false</o:LockedField>
                </o:OLEObject>
              </w:object>
            </w:r>
            <w:r>
              <w:rPr>
                <w:rFonts w:hint="default" w:ascii="Times New Roman" w:hAnsi="Times New Roman" w:eastAsia="宋体" w:cs="Times New Roman"/>
                <w:color w:val="auto"/>
                <w:sz w:val="24"/>
                <w:szCs w:val="24"/>
              </w:rPr>
              <w:t>—指向性因子；</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i/>
                <w:color w:val="auto"/>
                <w:sz w:val="24"/>
                <w:szCs w:val="24"/>
              </w:rPr>
              <w:t>L</w:t>
            </w:r>
            <w:r>
              <w:rPr>
                <w:rFonts w:hint="default" w:ascii="Times New Roman" w:hAnsi="Times New Roman" w:eastAsia="宋体" w:cs="Times New Roman"/>
                <w:i/>
                <w:color w:val="auto"/>
                <w:sz w:val="24"/>
                <w:szCs w:val="24"/>
                <w:vertAlign w:val="subscript"/>
              </w:rPr>
              <w:t>W</w:t>
            </w:r>
            <w:r>
              <w:rPr>
                <w:rFonts w:hint="default" w:ascii="Times New Roman" w:hAnsi="Times New Roman" w:eastAsia="宋体" w:cs="Times New Roman"/>
                <w:color w:val="auto"/>
                <w:sz w:val="24"/>
                <w:szCs w:val="24"/>
              </w:rPr>
              <w:t>—室内声源声功率级，dB；</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position w:val="-4"/>
                <w:sz w:val="24"/>
                <w:szCs w:val="24"/>
              </w:rPr>
              <w:object>
                <v:shape id="_x0000_i1027" o:spt="75" type="#_x0000_t75" style="height:14.6pt;width:7.3pt;" o:ole="t" filled="f" o:preferrelative="t" stroked="f" coordsize="21600,21600">
                  <v:path/>
                  <v:fill on="f" focussize="0,0"/>
                  <v:stroke on="f" joinstyle="miter"/>
                  <v:imagedata r:id="rId23" o:title=""/>
                  <o:lock v:ext="edit" aspectratio="t"/>
                  <w10:wrap type="none"/>
                  <w10:anchorlock/>
                </v:shape>
                <o:OLEObject Type="Embed" ProgID="Equation.DSMT4" ShapeID="_x0000_i1027" DrawAspect="Content" ObjectID="_1468075727" r:id="rId22">
                  <o:LockedField>false</o:LockedField>
                </o:OLEObject>
              </w:object>
            </w:r>
            <w:r>
              <w:rPr>
                <w:rFonts w:hint="default" w:ascii="Times New Roman" w:hAnsi="Times New Roman" w:eastAsia="宋体" w:cs="Times New Roman"/>
                <w:color w:val="auto"/>
                <w:sz w:val="24"/>
                <w:szCs w:val="24"/>
              </w:rPr>
              <w:t>—房间常数；</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position w:val="-12"/>
                <w:sz w:val="24"/>
                <w:szCs w:val="24"/>
              </w:rPr>
              <w:object>
                <v:shape id="_x0000_i1028" o:spt="75" type="#_x0000_t75" style="height:14.6pt;width:14.6pt;" o:ole="t" filled="f" o:preferrelative="t" stroked="f" coordsize="21600,21600">
                  <v:path/>
                  <v:fill on="f" focussize="0,0"/>
                  <v:stroke on="f" joinstyle="miter"/>
                  <v:imagedata r:id="rId25" o:title=""/>
                  <o:lock v:ext="edit" aspectratio="t"/>
                  <w10:wrap type="none"/>
                  <w10:anchorlock/>
                </v:shape>
                <o:OLEObject Type="Embed" ProgID="Equation.DSMT4" ShapeID="_x0000_i1028" DrawAspect="Content" ObjectID="_1468075728" r:id="rId24">
                  <o:LockedField>false</o:LockedField>
                </o:OLEObject>
              </w:object>
            </w:r>
            <w:r>
              <w:rPr>
                <w:rFonts w:hint="default" w:ascii="Times New Roman" w:hAnsi="Times New Roman" w:eastAsia="宋体" w:cs="Times New Roman"/>
                <w:color w:val="auto"/>
                <w:sz w:val="24"/>
                <w:szCs w:val="24"/>
              </w:rPr>
              <w:t>—声源到靠近围护结构某点处的距离，m。</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b计算所有室内声源在围护结构处产生的叠加声压级：</w:t>
            </w:r>
          </w:p>
          <w:p>
            <w:pPr>
              <w:spacing w:line="360" w:lineRule="auto"/>
              <w:ind w:firstLine="480" w:firstLineChars="20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position w:val="-30"/>
                <w:sz w:val="24"/>
              </w:rPr>
              <w:object>
                <v:shape id="_x0000_i1029" o:spt="75" type="#_x0000_t75" style="height:35.55pt;width:122.1pt;" o:ole="t" filled="f" o:preferrelative="t" stroked="f" coordsize="21600,21600">
                  <v:path/>
                  <v:fill on="f" focussize="0,0"/>
                  <v:stroke on="f" joinstyle="miter"/>
                  <v:imagedata r:id="rId27" o:title=""/>
                  <o:lock v:ext="edit" aspectratio="t"/>
                  <w10:wrap type="none"/>
                  <w10:anchorlock/>
                </v:shape>
                <o:OLEObject Type="Embed" ProgID="Equation.DSMT4" ShapeID="_x0000_i1029" DrawAspect="Content" ObjectID="_1468075729" r:id="rId26">
                  <o:LockedField>false</o:LockedField>
                </o:OLEObject>
              </w:objec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w:r>
              <w:rPr>
                <w:rFonts w:hint="default" w:ascii="Times New Roman" w:hAnsi="Times New Roman" w:eastAsia="宋体" w:cs="Times New Roman"/>
                <w:i/>
                <w:color w:val="auto"/>
                <w:sz w:val="24"/>
                <w:szCs w:val="24"/>
              </w:rPr>
              <w:t>L</w:t>
            </w:r>
            <w:r>
              <w:rPr>
                <w:rFonts w:hint="default" w:ascii="Times New Roman" w:hAnsi="Times New Roman" w:eastAsia="宋体" w:cs="Times New Roman"/>
                <w:i/>
                <w:color w:val="auto"/>
                <w:sz w:val="24"/>
                <w:szCs w:val="24"/>
                <w:vertAlign w:val="subscript"/>
              </w:rPr>
              <w:t>p</w:t>
            </w:r>
            <w:r>
              <w:rPr>
                <w:rFonts w:hint="default" w:ascii="Times New Roman" w:hAnsi="Times New Roman" w:eastAsia="宋体" w:cs="Times New Roman"/>
                <w:color w:val="auto"/>
                <w:sz w:val="24"/>
                <w:szCs w:val="24"/>
                <w:vertAlign w:val="subscript"/>
              </w:rPr>
              <w:t>1</w:t>
            </w:r>
            <w:r>
              <w:rPr>
                <w:rFonts w:hint="default" w:ascii="Times New Roman" w:hAnsi="Times New Roman" w:eastAsia="宋体" w:cs="Times New Roman"/>
                <w:color w:val="auto"/>
                <w:sz w:val="24"/>
                <w:szCs w:val="24"/>
              </w:rPr>
              <w:t>（T）—靠近围护结构处室内N个声源的叠加声压级，dB；</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i/>
                <w:color w:val="auto"/>
                <w:sz w:val="24"/>
                <w:szCs w:val="24"/>
              </w:rPr>
              <w:t>L</w:t>
            </w:r>
            <w:r>
              <w:rPr>
                <w:rFonts w:hint="default" w:ascii="Times New Roman" w:hAnsi="Times New Roman" w:eastAsia="宋体" w:cs="Times New Roman"/>
                <w:i/>
                <w:color w:val="auto"/>
                <w:sz w:val="24"/>
                <w:szCs w:val="24"/>
                <w:vertAlign w:val="subscript"/>
              </w:rPr>
              <w:t>p1j</w:t>
            </w:r>
            <w:r>
              <w:rPr>
                <w:rFonts w:hint="default" w:ascii="Times New Roman" w:hAnsi="Times New Roman" w:eastAsia="宋体" w:cs="Times New Roman"/>
                <w:color w:val="auto"/>
                <w:sz w:val="24"/>
                <w:szCs w:val="24"/>
              </w:rPr>
              <w:t>（T）—室内j声源声压级，dB；</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N—室内声源总数。</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c计算靠近室外维护结构处的声压级：</w:t>
            </w:r>
          </w:p>
          <w:p>
            <w:pPr>
              <w:spacing w:line="360" w:lineRule="auto"/>
              <w:ind w:firstLine="480" w:firstLineChars="20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position w:val="-14"/>
                <w:sz w:val="24"/>
              </w:rPr>
              <w:object>
                <v:shape id="_x0000_i1030" o:spt="75" type="#_x0000_t75" style="height:21.9pt;width:136.7pt;" o:ole="t" filled="f" o:preferrelative="t" stroked="f" coordsize="21600,21600">
                  <v:path/>
                  <v:fill on="f" focussize="0,0"/>
                  <v:stroke on="f" joinstyle="miter"/>
                  <v:imagedata r:id="rId29" o:title=""/>
                  <o:lock v:ext="edit" aspectratio="t"/>
                  <w10:wrap type="none"/>
                  <w10:anchorlock/>
                </v:shape>
                <o:OLEObject Type="Embed" ProgID="Equation.DSMT4" ShapeID="_x0000_i1030" DrawAspect="Content" ObjectID="_1468075730" r:id="rId28">
                  <o:LockedField>false</o:LockedField>
                </o:OLEObject>
              </w:objec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w:r>
              <w:rPr>
                <w:rFonts w:hint="default" w:ascii="Times New Roman" w:hAnsi="Times New Roman" w:eastAsia="宋体" w:cs="Times New Roman"/>
                <w:i/>
                <w:color w:val="auto"/>
                <w:sz w:val="24"/>
                <w:szCs w:val="24"/>
              </w:rPr>
              <w:t>L</w:t>
            </w:r>
            <w:r>
              <w:rPr>
                <w:rFonts w:hint="default" w:ascii="Times New Roman" w:hAnsi="Times New Roman" w:eastAsia="宋体" w:cs="Times New Roman"/>
                <w:i/>
                <w:color w:val="auto"/>
                <w:sz w:val="24"/>
                <w:szCs w:val="24"/>
                <w:vertAlign w:val="subscript"/>
              </w:rPr>
              <w:t>p</w:t>
            </w:r>
            <w:r>
              <w:rPr>
                <w:rFonts w:hint="default" w:ascii="Times New Roman" w:hAnsi="Times New Roman" w:eastAsia="宋体" w:cs="Times New Roman"/>
                <w:color w:val="auto"/>
                <w:sz w:val="24"/>
                <w:szCs w:val="24"/>
                <w:vertAlign w:val="subscript"/>
              </w:rPr>
              <w:t>2i</w:t>
            </w:r>
            <w:r>
              <w:rPr>
                <w:rFonts w:hint="default" w:ascii="Times New Roman" w:hAnsi="Times New Roman" w:eastAsia="宋体" w:cs="Times New Roman"/>
                <w:color w:val="auto"/>
                <w:sz w:val="24"/>
                <w:szCs w:val="24"/>
              </w:rPr>
              <w:t>（T）—靠近围护结构处室内N个声源的叠加声压级，dB；</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i/>
                <w:color w:val="auto"/>
                <w:sz w:val="24"/>
                <w:szCs w:val="24"/>
              </w:rPr>
              <w:t>TL</w:t>
            </w:r>
            <w:r>
              <w:rPr>
                <w:rFonts w:hint="default" w:ascii="Times New Roman" w:hAnsi="Times New Roman" w:eastAsia="宋体" w:cs="Times New Roman"/>
                <w:color w:val="auto"/>
                <w:sz w:val="24"/>
                <w:szCs w:val="24"/>
              </w:rPr>
              <w:t>—围护结构的隔声量，dB。</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d将室外声源的声压级和透过面积换算成等效的室外声源，计算中心位置位于透声面积处的等效声源的声功率级：</w:t>
            </w:r>
          </w:p>
          <w:p>
            <w:pPr>
              <w:spacing w:line="360" w:lineRule="auto"/>
              <w:ind w:firstLine="480" w:firstLineChars="20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position w:val="-12"/>
                <w:sz w:val="24"/>
              </w:rPr>
              <w:object>
                <v:shape id="_x0000_i1031" o:spt="75" type="#_x0000_t75" style="height:21.9pt;width:108.5pt;" o:ole="t" filled="f" o:preferrelative="t" stroked="f" coordsize="21600,21600">
                  <v:path/>
                  <v:fill on="f" focussize="0,0"/>
                  <v:stroke on="f" joinstyle="miter"/>
                  <v:imagedata r:id="rId31" o:title=""/>
                  <o:lock v:ext="edit" aspectratio="t"/>
                  <w10:wrap type="none"/>
                  <w10:anchorlock/>
                </v:shape>
                <o:OLEObject Type="Embed" ProgID="Equation.3" ShapeID="_x0000_i1031" DrawAspect="Content" ObjectID="_1468075731" r:id="rId30">
                  <o:LockedField>false</o:LockedField>
                </o:OLEObject>
              </w:objec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w:r>
              <w:rPr>
                <w:rFonts w:hint="default" w:ascii="Times New Roman" w:hAnsi="Times New Roman" w:eastAsia="宋体" w:cs="Times New Roman"/>
                <w:i/>
                <w:color w:val="auto"/>
                <w:sz w:val="24"/>
                <w:szCs w:val="24"/>
              </w:rPr>
              <w:t>S</w:t>
            </w:r>
            <w:r>
              <w:rPr>
                <w:rFonts w:hint="default" w:ascii="Times New Roman" w:hAnsi="Times New Roman" w:eastAsia="宋体" w:cs="Times New Roman"/>
                <w:color w:val="auto"/>
                <w:sz w:val="24"/>
                <w:szCs w:val="24"/>
              </w:rPr>
              <w:t>为透声面积，m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③总声压级</w:t>
            </w:r>
          </w:p>
          <w:p>
            <w:pPr>
              <w:spacing w:line="360" w:lineRule="auto"/>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position w:val="-30"/>
                <w:sz w:val="24"/>
              </w:rPr>
              <w:drawing>
                <wp:inline distT="0" distB="0" distL="114300" distR="114300">
                  <wp:extent cx="3048000" cy="447675"/>
                  <wp:effectExtent l="0" t="0" r="0" b="9525"/>
                  <wp:docPr id="1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2"/>
                          <pic:cNvPicPr>
                            <a:picLocks noChangeAspect="1"/>
                          </pic:cNvPicPr>
                        </pic:nvPicPr>
                        <pic:blipFill>
                          <a:blip r:embed="rId32"/>
                          <a:stretch>
                            <a:fillRect/>
                          </a:stretch>
                        </pic:blipFill>
                        <pic:spPr>
                          <a:xfrm>
                            <a:off x="0" y="0"/>
                            <a:ext cx="3048000" cy="4476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式中：T为计算等效声级的时间；</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M为室外声源个数；N为室内声源个数；</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position w:val="-14"/>
                <w:sz w:val="24"/>
                <w:szCs w:val="24"/>
              </w:rPr>
              <w:drawing>
                <wp:inline distT="0" distB="0" distL="114300" distR="114300">
                  <wp:extent cx="266700" cy="238125"/>
                  <wp:effectExtent l="0" t="0" r="0" b="0"/>
                  <wp:docPr id="1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pic:cNvPicPr>
                            <a:picLocks noChangeAspect="1"/>
                          </pic:cNvPicPr>
                        </pic:nvPicPr>
                        <pic:blipFill>
                          <a:blip r:embed="rId33"/>
                          <a:stretch>
                            <a:fillRect/>
                          </a:stretch>
                        </pic:blipFill>
                        <pic:spPr>
                          <a:xfrm>
                            <a:off x="0" y="0"/>
                            <a:ext cx="266700" cy="238125"/>
                          </a:xfrm>
                          <a:prstGeom prst="rect">
                            <a:avLst/>
                          </a:prstGeom>
                          <a:noFill/>
                          <a:ln>
                            <a:noFill/>
                          </a:ln>
                        </pic:spPr>
                      </pic:pic>
                    </a:graphicData>
                  </a:graphic>
                </wp:inline>
              </w:drawing>
            </w:r>
            <w:r>
              <w:rPr>
                <w:rFonts w:hint="default" w:ascii="Times New Roman" w:hAnsi="Times New Roman" w:eastAsia="宋体" w:cs="Times New Roman"/>
                <w:color w:val="auto"/>
                <w:sz w:val="24"/>
                <w:szCs w:val="24"/>
              </w:rPr>
              <w:t>为T时间内第i个室外声源的工作时间；</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position w:val="-14"/>
                <w:sz w:val="24"/>
                <w:szCs w:val="24"/>
              </w:rPr>
              <w:drawing>
                <wp:inline distT="0" distB="0" distL="114300" distR="114300">
                  <wp:extent cx="228600" cy="238125"/>
                  <wp:effectExtent l="0" t="0" r="0" b="2540"/>
                  <wp:docPr id="1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pic:cNvPicPr>
                            <a:picLocks noChangeAspect="1"/>
                          </pic:cNvPicPr>
                        </pic:nvPicPr>
                        <pic:blipFill>
                          <a:blip r:embed="rId34"/>
                          <a:stretch>
                            <a:fillRect/>
                          </a:stretch>
                        </pic:blipFill>
                        <pic:spPr>
                          <a:xfrm>
                            <a:off x="0" y="0"/>
                            <a:ext cx="228600" cy="238125"/>
                          </a:xfrm>
                          <a:prstGeom prst="rect">
                            <a:avLst/>
                          </a:prstGeom>
                          <a:noFill/>
                          <a:ln>
                            <a:noFill/>
                          </a:ln>
                        </pic:spPr>
                      </pic:pic>
                    </a:graphicData>
                  </a:graphic>
                </wp:inline>
              </w:drawing>
            </w:r>
            <w:r>
              <w:rPr>
                <w:rFonts w:hint="default" w:ascii="Times New Roman" w:hAnsi="Times New Roman" w:eastAsia="宋体" w:cs="Times New Roman"/>
                <w:color w:val="auto"/>
                <w:sz w:val="24"/>
                <w:szCs w:val="24"/>
              </w:rPr>
              <w:t>为T时间内第j个室内声源的工作时间。</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position w:val="-12"/>
                <w:sz w:val="24"/>
                <w:szCs w:val="24"/>
              </w:rPr>
              <w:drawing>
                <wp:inline distT="0" distB="0" distL="114300" distR="114300">
                  <wp:extent cx="200025" cy="228600"/>
                  <wp:effectExtent l="0" t="0" r="3175" b="0"/>
                  <wp:docPr id="1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pic:cNvPicPr>
                            <a:picLocks noChangeAspect="1"/>
                          </pic:cNvPicPr>
                        </pic:nvPicPr>
                        <pic:blipFill>
                          <a:blip r:embed="rId35"/>
                          <a:stretch>
                            <a:fillRect/>
                          </a:stretch>
                        </pic:blipFill>
                        <pic:spPr>
                          <a:xfrm>
                            <a:off x="0" y="0"/>
                            <a:ext cx="200025" cy="228600"/>
                          </a:xfrm>
                          <a:prstGeom prst="rect">
                            <a:avLst/>
                          </a:prstGeom>
                          <a:noFill/>
                          <a:ln>
                            <a:noFill/>
                          </a:ln>
                        </pic:spPr>
                      </pic:pic>
                    </a:graphicData>
                  </a:graphic>
                </wp:inline>
              </w:drawing>
            </w:r>
            <w:r>
              <w:rPr>
                <w:rFonts w:hint="default" w:ascii="Times New Roman" w:hAnsi="Times New Roman" w:eastAsia="宋体" w:cs="Times New Roman"/>
                <w:color w:val="auto"/>
                <w:sz w:val="24"/>
                <w:szCs w:val="24"/>
              </w:rPr>
              <w:t>和</w:t>
            </w:r>
            <w:r>
              <w:rPr>
                <w:rFonts w:hint="default" w:ascii="Times New Roman" w:hAnsi="Times New Roman" w:eastAsia="宋体" w:cs="Times New Roman"/>
                <w:color w:val="auto"/>
                <w:position w:val="-12"/>
                <w:sz w:val="24"/>
                <w:szCs w:val="24"/>
              </w:rPr>
              <w:drawing>
                <wp:inline distT="0" distB="0" distL="114300" distR="114300">
                  <wp:extent cx="152400" cy="228600"/>
                  <wp:effectExtent l="0" t="0" r="0" b="0"/>
                  <wp:docPr id="1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pic:cNvPicPr>
                            <a:picLocks noChangeAspect="1"/>
                          </pic:cNvPicPr>
                        </pic:nvPicPr>
                        <pic:blipFill>
                          <a:blip r:embed="rId36"/>
                          <a:stretch>
                            <a:fillRect/>
                          </a:stretch>
                        </pic:blipFill>
                        <pic:spPr>
                          <a:xfrm>
                            <a:off x="0" y="0"/>
                            <a:ext cx="152400" cy="228600"/>
                          </a:xfrm>
                          <a:prstGeom prst="rect">
                            <a:avLst/>
                          </a:prstGeom>
                          <a:noFill/>
                          <a:ln>
                            <a:noFill/>
                          </a:ln>
                        </pic:spPr>
                      </pic:pic>
                    </a:graphicData>
                  </a:graphic>
                </wp:inline>
              </w:drawing>
            </w:r>
            <w:r>
              <w:rPr>
                <w:rFonts w:hint="default" w:ascii="Times New Roman" w:hAnsi="Times New Roman" w:eastAsia="宋体" w:cs="Times New Roman"/>
                <w:color w:val="auto"/>
                <w:sz w:val="24"/>
                <w:szCs w:val="24"/>
              </w:rPr>
              <w:t>均按T时间内实际工作时间计算。</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预测输入清单</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1 \* GB3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①</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噪声源确定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color w:val="auto"/>
                <w:sz w:val="24"/>
                <w:szCs w:val="24"/>
              </w:rPr>
              <w:t>主要设备噪声源有为风机、</w:t>
            </w:r>
            <w:r>
              <w:rPr>
                <w:rFonts w:hint="default" w:ascii="Times New Roman" w:hAnsi="Times New Roman" w:eastAsia="宋体" w:cs="Times New Roman"/>
                <w:color w:val="auto"/>
                <w:sz w:val="24"/>
                <w:szCs w:val="24"/>
                <w:lang w:val="en-US" w:eastAsia="zh-CN"/>
              </w:rPr>
              <w:t>PE吹膜机组及隔热条挤出机</w:t>
            </w:r>
            <w:r>
              <w:rPr>
                <w:rFonts w:hint="default" w:ascii="Times New Roman" w:hAnsi="Times New Roman" w:eastAsia="宋体" w:cs="Times New Roman"/>
                <w:color w:val="auto"/>
                <w:sz w:val="24"/>
                <w:szCs w:val="24"/>
              </w:rPr>
              <w:t>等，噪声源及源强等见表4-1</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2 \* GB3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②</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其他参数</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考虑厂房维护结构隔声量TL为20dB（A）计，预测时考虑厂房建筑遮挡影响，厂房墙体填充吸声材料，吸声系数取0.2。</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预测结果及评价</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项目生产车间内设备同时运转时的最大噪声源强至各个厂界的噪声贡献值见下表。</w:t>
            </w:r>
          </w:p>
          <w:p>
            <w:pPr>
              <w:keepNext w:val="0"/>
              <w:keepLines w:val="0"/>
              <w:pageBreakBefore w:val="0"/>
              <w:widowControl w:val="0"/>
              <w:kinsoku/>
              <w:wordWrap/>
              <w:overflowPunct/>
              <w:topLinePunct w:val="0"/>
              <w:autoSpaceDE/>
              <w:autoSpaceDN/>
              <w:bidi w:val="0"/>
              <w:snapToGrid w:val="0"/>
              <w:spacing w:line="360" w:lineRule="auto"/>
              <w:ind w:firstLine="0" w:firstLineChars="0"/>
              <w:jc w:val="center"/>
              <w:textAlignment w:val="auto"/>
              <w:outlineLvl w:val="9"/>
              <w:rPr>
                <w:rFonts w:hint="default" w:ascii="Times New Roman" w:hAnsi="Times New Roman" w:eastAsia="宋体" w:cs="Times New Roman"/>
                <w:b/>
                <w:bCs/>
                <w:color w:val="auto"/>
                <w:kern w:val="24"/>
                <w:sz w:val="24"/>
                <w:szCs w:val="24"/>
              </w:rPr>
            </w:pPr>
            <w:r>
              <w:rPr>
                <w:rFonts w:hint="default" w:ascii="Times New Roman" w:hAnsi="Times New Roman" w:eastAsia="宋体" w:cs="Times New Roman"/>
                <w:b/>
                <w:bCs/>
                <w:color w:val="auto"/>
                <w:sz w:val="24"/>
                <w:szCs w:val="24"/>
              </w:rPr>
              <w:t>表4-</w:t>
            </w:r>
            <w:r>
              <w:rPr>
                <w:rFonts w:hint="eastAsia" w:ascii="Times New Roman" w:hAnsi="Times New Roman" w:eastAsia="宋体" w:cs="Times New Roman"/>
                <w:b/>
                <w:bCs/>
                <w:color w:val="auto"/>
                <w:sz w:val="24"/>
                <w:szCs w:val="24"/>
                <w:lang w:val="en-US" w:eastAsia="zh-CN"/>
              </w:rPr>
              <w:t>8</w:t>
            </w:r>
            <w:r>
              <w:rPr>
                <w:rFonts w:hint="default" w:ascii="Times New Roman" w:hAnsi="Times New Roman" w:eastAsia="宋体" w:cs="Times New Roman"/>
                <w:b/>
                <w:bCs/>
                <w:color w:val="auto"/>
                <w:kern w:val="24"/>
                <w:sz w:val="24"/>
                <w:szCs w:val="24"/>
              </w:rPr>
              <w:t>噪声预测结果</w:t>
            </w:r>
          </w:p>
          <w:tbl>
            <w:tblPr>
              <w:tblStyle w:val="3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04"/>
              <w:gridCol w:w="1284"/>
              <w:gridCol w:w="1246"/>
              <w:gridCol w:w="1084"/>
              <w:gridCol w:w="933"/>
              <w:gridCol w:w="698"/>
              <w:gridCol w:w="16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5"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预测点</w:t>
                  </w:r>
                </w:p>
              </w:tc>
              <w:tc>
                <w:tcPr>
                  <w:tcW w:w="1472" w:type="pct"/>
                  <w:gridSpan w:val="2"/>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贡献</w:t>
                  </w:r>
                  <w:r>
                    <w:rPr>
                      <w:rFonts w:hint="default" w:ascii="Times New Roman" w:hAnsi="Times New Roman" w:eastAsia="宋体" w:cs="Times New Roman"/>
                      <w:b/>
                      <w:bCs/>
                      <w:color w:val="auto"/>
                      <w:sz w:val="21"/>
                      <w:szCs w:val="21"/>
                    </w:rPr>
                    <w:t>值dB(A)</w:t>
                  </w:r>
                </w:p>
              </w:tc>
              <w:tc>
                <w:tcPr>
                  <w:tcW w:w="1030" w:type="pct"/>
                  <w:gridSpan w:val="2"/>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标准限值</w:t>
                  </w:r>
                </w:p>
              </w:tc>
              <w:tc>
                <w:tcPr>
                  <w:tcW w:w="1051" w:type="pct"/>
                  <w:vMerge w:val="restar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5"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rPr>
                  </w:pPr>
                </w:p>
              </w:tc>
              <w:tc>
                <w:tcPr>
                  <w:tcW w:w="787"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昼间</w:t>
                  </w:r>
                </w:p>
              </w:tc>
              <w:tc>
                <w:tcPr>
                  <w:tcW w:w="684"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夜间</w:t>
                  </w:r>
                </w:p>
              </w:tc>
              <w:tc>
                <w:tcPr>
                  <w:tcW w:w="589"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昼间</w:t>
                  </w:r>
                </w:p>
              </w:tc>
              <w:tc>
                <w:tcPr>
                  <w:tcW w:w="441"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夜间</w:t>
                  </w:r>
                </w:p>
              </w:tc>
              <w:tc>
                <w:tcPr>
                  <w:tcW w:w="105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34" w:type="pct"/>
                  <w:vMerge w:val="restar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本项目所在南厂区厂</w:t>
                  </w:r>
                  <w:r>
                    <w:rPr>
                      <w:rFonts w:hint="default" w:ascii="Times New Roman" w:hAnsi="Times New Roman" w:eastAsia="宋体" w:cs="Times New Roman"/>
                      <w:color w:val="auto"/>
                      <w:sz w:val="21"/>
                      <w:szCs w:val="21"/>
                    </w:rPr>
                    <w:t>界</w:t>
                  </w:r>
                </w:p>
              </w:tc>
              <w:tc>
                <w:tcPr>
                  <w:tcW w:w="811"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东厂界</w:t>
                  </w:r>
                </w:p>
              </w:tc>
              <w:tc>
                <w:tcPr>
                  <w:tcW w:w="787"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39.2</w:t>
                  </w:r>
                </w:p>
              </w:tc>
              <w:tc>
                <w:tcPr>
                  <w:tcW w:w="1086" w:type="dxa"/>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39.2</w:t>
                  </w:r>
                </w:p>
              </w:tc>
              <w:tc>
                <w:tcPr>
                  <w:tcW w:w="589"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441"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p>
              </w:tc>
              <w:tc>
                <w:tcPr>
                  <w:tcW w:w="1051"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3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811"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西厂界</w:t>
                  </w:r>
                </w:p>
              </w:tc>
              <w:tc>
                <w:tcPr>
                  <w:tcW w:w="787"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35.0</w:t>
                  </w:r>
                </w:p>
              </w:tc>
              <w:tc>
                <w:tcPr>
                  <w:tcW w:w="1086" w:type="dxa"/>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35.0</w:t>
                  </w:r>
                </w:p>
              </w:tc>
              <w:tc>
                <w:tcPr>
                  <w:tcW w:w="589"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441"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55</w:t>
                  </w:r>
                </w:p>
              </w:tc>
              <w:tc>
                <w:tcPr>
                  <w:tcW w:w="1051"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3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811"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南厂界</w:t>
                  </w:r>
                </w:p>
              </w:tc>
              <w:tc>
                <w:tcPr>
                  <w:tcW w:w="787"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38.6</w:t>
                  </w:r>
                </w:p>
              </w:tc>
              <w:tc>
                <w:tcPr>
                  <w:tcW w:w="1086" w:type="dxa"/>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38.6</w:t>
                  </w:r>
                </w:p>
              </w:tc>
              <w:tc>
                <w:tcPr>
                  <w:tcW w:w="589"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441"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55</w:t>
                  </w:r>
                </w:p>
              </w:tc>
              <w:tc>
                <w:tcPr>
                  <w:tcW w:w="1051"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3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811"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北厂界</w:t>
                  </w:r>
                </w:p>
              </w:tc>
              <w:tc>
                <w:tcPr>
                  <w:tcW w:w="787"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37.3</w:t>
                  </w:r>
                </w:p>
              </w:tc>
              <w:tc>
                <w:tcPr>
                  <w:tcW w:w="1086" w:type="dxa"/>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37.3</w:t>
                  </w:r>
                </w:p>
              </w:tc>
              <w:tc>
                <w:tcPr>
                  <w:tcW w:w="589"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441"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55</w:t>
                  </w:r>
                </w:p>
              </w:tc>
              <w:tc>
                <w:tcPr>
                  <w:tcW w:w="1051"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pPr>
              <w:keepNext w:val="0"/>
              <w:keepLines w:val="0"/>
              <w:pageBreakBefore w:val="0"/>
              <w:kinsoku/>
              <w:wordWrap/>
              <w:overflowPunct/>
              <w:topLinePunct w:val="0"/>
              <w:autoSpaceDE/>
              <w:autoSpaceDN/>
              <w:bidi w:val="0"/>
              <w:adjustRightInd/>
              <w:snapToGrid/>
              <w:spacing w:before="156" w:beforeLines="50" w:line="360" w:lineRule="auto"/>
              <w:ind w:left="-34" w:leftChars="-16" w:right="-6"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lang w:val="en-US"/>
              </w:rPr>
              <w:t>根据噪声预测</w:t>
            </w:r>
            <w:r>
              <w:rPr>
                <w:rFonts w:hint="default" w:ascii="Times New Roman" w:hAnsi="Times New Roman" w:eastAsia="宋体" w:cs="Times New Roman"/>
                <w:color w:val="auto"/>
                <w:sz w:val="24"/>
                <w:szCs w:val="24"/>
                <w:lang w:val="en-GB"/>
              </w:rPr>
              <w:t>结果，通过选用低噪声设备，基础减振、厂房隔声和软连接措施，项目厂界四周昼间</w:t>
            </w:r>
            <w:r>
              <w:rPr>
                <w:rFonts w:hint="default" w:ascii="Times New Roman" w:hAnsi="Times New Roman" w:eastAsia="宋体" w:cs="Times New Roman"/>
                <w:color w:val="auto"/>
                <w:sz w:val="24"/>
                <w:szCs w:val="24"/>
                <w:lang w:val="en-GB" w:eastAsia="zh-CN"/>
              </w:rPr>
              <w:t>、</w:t>
            </w:r>
            <w:r>
              <w:rPr>
                <w:rFonts w:hint="default" w:ascii="Times New Roman" w:hAnsi="Times New Roman" w:eastAsia="宋体" w:cs="Times New Roman"/>
                <w:color w:val="auto"/>
                <w:sz w:val="24"/>
                <w:szCs w:val="24"/>
                <w:lang w:val="en-US" w:eastAsia="zh-CN"/>
              </w:rPr>
              <w:t>夜间</w:t>
            </w:r>
            <w:r>
              <w:rPr>
                <w:rFonts w:hint="default" w:ascii="Times New Roman" w:hAnsi="Times New Roman" w:eastAsia="宋体" w:cs="Times New Roman"/>
                <w:color w:val="auto"/>
                <w:sz w:val="24"/>
                <w:szCs w:val="24"/>
                <w:lang w:val="en-GB"/>
              </w:rPr>
              <w:t>噪声</w:t>
            </w:r>
            <w:r>
              <w:rPr>
                <w:rFonts w:hint="default" w:ascii="Times New Roman" w:hAnsi="Times New Roman" w:eastAsia="宋体" w:cs="Times New Roman"/>
                <w:color w:val="auto"/>
                <w:sz w:val="24"/>
                <w:szCs w:val="24"/>
                <w:lang w:val="en-US" w:eastAsia="zh-CN"/>
              </w:rPr>
              <w:t>贡献</w:t>
            </w:r>
            <w:r>
              <w:rPr>
                <w:rFonts w:hint="default" w:ascii="Times New Roman" w:hAnsi="Times New Roman" w:eastAsia="宋体" w:cs="Times New Roman"/>
                <w:color w:val="auto"/>
                <w:sz w:val="24"/>
                <w:szCs w:val="24"/>
                <w:lang w:val="en-GB"/>
              </w:rPr>
              <w:t>值能够达到《工业企业厂界环境噪声排放标准》（GB12348-2008）中</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GB"/>
              </w:rPr>
              <w:t>类标准；</w:t>
            </w:r>
            <w:r>
              <w:rPr>
                <w:rFonts w:hint="default" w:ascii="Times New Roman" w:hAnsi="Times New Roman" w:eastAsia="宋体" w:cs="Times New Roman"/>
                <w:color w:val="auto"/>
                <w:sz w:val="24"/>
                <w:szCs w:val="24"/>
                <w:highlight w:val="none"/>
                <w:lang w:eastAsia="zh-CN"/>
              </w:rPr>
              <w:t>项目周边</w:t>
            </w:r>
            <w:r>
              <w:rPr>
                <w:rFonts w:hint="default" w:ascii="Times New Roman" w:hAnsi="Times New Roman" w:eastAsia="宋体" w:cs="Times New Roman"/>
                <w:color w:val="auto"/>
                <w:sz w:val="24"/>
                <w:szCs w:val="24"/>
                <w:highlight w:val="none"/>
                <w:lang w:val="en-US" w:eastAsia="zh-CN"/>
              </w:rPr>
              <w:t>50</w:t>
            </w:r>
            <w:r>
              <w:rPr>
                <w:rFonts w:hint="default" w:ascii="Times New Roman" w:hAnsi="Times New Roman" w:eastAsia="宋体" w:cs="Times New Roman"/>
                <w:color w:val="auto"/>
                <w:sz w:val="24"/>
                <w:szCs w:val="24"/>
                <w:highlight w:val="none"/>
                <w:lang w:eastAsia="zh-CN"/>
              </w:rPr>
              <w:t>m内无噪声敏感点。因此，项目运营对周围声环境影响较小。</w:t>
            </w:r>
          </w:p>
          <w:p>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污染防治措施</w:t>
            </w:r>
          </w:p>
          <w:p>
            <w:pPr>
              <w:pStyle w:val="107"/>
              <w:keepNext w:val="0"/>
              <w:keepLines w:val="0"/>
              <w:pageBreakBefore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b w:val="0"/>
                <w:bCs/>
                <w:color w:val="auto"/>
                <w:spacing w:val="0"/>
                <w:sz w:val="24"/>
                <w:szCs w:val="24"/>
                <w:lang w:val="en-US" w:eastAsia="zh-CN"/>
              </w:rPr>
            </w:pPr>
            <w:r>
              <w:rPr>
                <w:rFonts w:hint="default" w:ascii="Times New Roman" w:hAnsi="Times New Roman" w:eastAsia="宋体" w:cs="Times New Roman"/>
                <w:color w:val="auto"/>
                <w:sz w:val="24"/>
                <w:szCs w:val="24"/>
              </w:rPr>
              <w:t>为了确保厂界噪声达到相应的标准和员工的健康，</w:t>
            </w:r>
            <w:r>
              <w:rPr>
                <w:rFonts w:hint="default" w:ascii="Times New Roman" w:hAnsi="Times New Roman" w:eastAsia="宋体" w:cs="Times New Roman"/>
                <w:b w:val="0"/>
                <w:bCs/>
                <w:color w:val="auto"/>
                <w:spacing w:val="0"/>
                <w:sz w:val="24"/>
                <w:szCs w:val="24"/>
                <w:lang w:val="en-US" w:eastAsia="zh-CN"/>
              </w:rPr>
              <w:t>评价要求项目采取以下措施降低噪声影响：</w:t>
            </w:r>
          </w:p>
          <w:p>
            <w:pPr>
              <w:pStyle w:val="107"/>
              <w:keepNext w:val="0"/>
              <w:keepLines w:val="0"/>
              <w:pageBreakBefore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b w:val="0"/>
                <w:bCs/>
                <w:color w:val="auto"/>
                <w:spacing w:val="0"/>
                <w:sz w:val="24"/>
                <w:szCs w:val="24"/>
                <w:lang w:val="en-US" w:eastAsia="zh-CN"/>
              </w:rPr>
            </w:pPr>
            <w:r>
              <w:rPr>
                <w:rFonts w:hint="default" w:ascii="Times New Roman" w:hAnsi="Times New Roman" w:eastAsia="宋体" w:cs="Times New Roman"/>
                <w:b w:val="0"/>
                <w:bCs/>
                <w:color w:val="auto"/>
                <w:spacing w:val="0"/>
                <w:sz w:val="24"/>
                <w:szCs w:val="24"/>
                <w:lang w:val="en-US" w:eastAsia="zh-CN"/>
              </w:rPr>
              <w:t>①尽可能选用低噪声设备；</w:t>
            </w:r>
            <w:r>
              <w:rPr>
                <w:rFonts w:hint="default" w:ascii="Times New Roman" w:hAnsi="Times New Roman" w:eastAsia="宋体" w:cs="Times New Roman"/>
                <w:bCs/>
                <w:color w:val="auto"/>
                <w:sz w:val="24"/>
                <w:szCs w:val="24"/>
              </w:rPr>
              <w:t>在选型时应选择高效、节能、低噪声、低振动的设备</w:t>
            </w:r>
            <w:r>
              <w:rPr>
                <w:rFonts w:hint="default" w:ascii="Times New Roman" w:hAnsi="Times New Roman" w:eastAsia="宋体" w:cs="Times New Roman"/>
                <w:b w:val="0"/>
                <w:bCs/>
                <w:color w:val="auto"/>
                <w:spacing w:val="0"/>
                <w:sz w:val="24"/>
                <w:szCs w:val="24"/>
                <w:lang w:val="en-US" w:eastAsia="zh-CN"/>
              </w:rPr>
              <w:t>；</w:t>
            </w:r>
          </w:p>
          <w:p>
            <w:pPr>
              <w:pStyle w:val="107"/>
              <w:keepNext w:val="0"/>
              <w:keepLines w:val="0"/>
              <w:pageBreakBefore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b w:val="0"/>
                <w:bCs/>
                <w:color w:val="auto"/>
                <w:spacing w:val="0"/>
                <w:sz w:val="24"/>
                <w:szCs w:val="24"/>
                <w:lang w:val="en-US" w:eastAsia="zh-CN"/>
              </w:rPr>
            </w:pPr>
            <w:r>
              <w:rPr>
                <w:rFonts w:hint="default" w:ascii="Times New Roman" w:hAnsi="Times New Roman" w:eastAsia="宋体" w:cs="Times New Roman"/>
                <w:b w:val="0"/>
                <w:bCs/>
                <w:color w:val="auto"/>
                <w:spacing w:val="0"/>
                <w:sz w:val="24"/>
                <w:szCs w:val="24"/>
                <w:lang w:val="en-US" w:eastAsia="zh-CN"/>
              </w:rPr>
              <w:t>②对高噪声设备进行室内隔声、基础减振、柔性连接、隔声门窗处置；设备选择低噪声设备、基础减振、柔性连接、隔声门窗等。</w:t>
            </w:r>
          </w:p>
          <w:p>
            <w:pPr>
              <w:pStyle w:val="107"/>
              <w:keepNext w:val="0"/>
              <w:keepLines w:val="0"/>
              <w:pageBreakBefore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b w:val="0"/>
                <w:bCs/>
                <w:color w:val="auto"/>
                <w:spacing w:val="0"/>
                <w:sz w:val="24"/>
                <w:szCs w:val="24"/>
                <w:lang w:val="en-US" w:eastAsia="zh-CN"/>
              </w:rPr>
            </w:pPr>
            <w:r>
              <w:rPr>
                <w:rFonts w:hint="default" w:ascii="Times New Roman" w:hAnsi="Times New Roman" w:eastAsia="宋体" w:cs="Times New Roman"/>
                <w:b w:val="0"/>
                <w:bCs/>
                <w:color w:val="auto"/>
                <w:spacing w:val="0"/>
                <w:sz w:val="24"/>
                <w:szCs w:val="24"/>
                <w:lang w:val="en-US" w:eastAsia="zh-CN"/>
              </w:rPr>
              <w:t>在采取一系列降噪措施后，可有效减少项目运行设备的噪声源强，对周边声环境影响较小。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4、噪声环境监测要求</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根据《排污单位自行监测技术指南 总则》（HJ819-2017）中的有关规定，噪声污染源监测计划见下表。</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b/>
                <w:bCs/>
                <w:color w:val="auto"/>
                <w:spacing w:val="0"/>
                <w:sz w:val="24"/>
                <w:szCs w:val="24"/>
                <w:highlight w:val="none"/>
              </w:rPr>
            </w:pPr>
            <w:r>
              <w:rPr>
                <w:rFonts w:hint="default" w:ascii="Times New Roman" w:hAnsi="Times New Roman" w:eastAsia="宋体" w:cs="Times New Roman"/>
                <w:b/>
                <w:bCs/>
                <w:color w:val="auto"/>
                <w:spacing w:val="0"/>
                <w:sz w:val="24"/>
                <w:szCs w:val="24"/>
                <w:highlight w:val="none"/>
              </w:rPr>
              <w:t>表4-</w:t>
            </w:r>
            <w:r>
              <w:rPr>
                <w:rFonts w:hint="eastAsia" w:ascii="Times New Roman" w:hAnsi="Times New Roman" w:eastAsia="宋体" w:cs="Times New Roman"/>
                <w:b/>
                <w:bCs/>
                <w:color w:val="auto"/>
                <w:spacing w:val="0"/>
                <w:sz w:val="24"/>
                <w:szCs w:val="24"/>
                <w:highlight w:val="none"/>
                <w:lang w:val="en-US" w:eastAsia="zh-CN"/>
              </w:rPr>
              <w:t>9</w:t>
            </w:r>
            <w:r>
              <w:rPr>
                <w:rFonts w:hint="default" w:ascii="Times New Roman" w:hAnsi="Times New Roman" w:eastAsia="宋体" w:cs="Times New Roman"/>
                <w:b/>
                <w:bCs/>
                <w:color w:val="auto"/>
                <w:spacing w:val="0"/>
                <w:sz w:val="24"/>
                <w:szCs w:val="24"/>
                <w:highlight w:val="none"/>
              </w:rPr>
              <w:t xml:space="preserve">  项目噪声监测要求表</w:t>
            </w:r>
          </w:p>
          <w:tbl>
            <w:tblPr>
              <w:tblStyle w:val="3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059"/>
              <w:gridCol w:w="1363"/>
              <w:gridCol w:w="1063"/>
              <w:gridCol w:w="37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08"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669"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监测因子</w:t>
                  </w:r>
                </w:p>
              </w:tc>
              <w:tc>
                <w:tcPr>
                  <w:tcW w:w="861"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w:t>
                  </w:r>
                </w:p>
              </w:tc>
              <w:tc>
                <w:tcPr>
                  <w:tcW w:w="671"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监测频次</w:t>
                  </w:r>
                </w:p>
              </w:tc>
              <w:tc>
                <w:tcPr>
                  <w:tcW w:w="2388"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控制指标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08"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669"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Leq(A)</w:t>
                  </w:r>
                </w:p>
              </w:tc>
              <w:tc>
                <w:tcPr>
                  <w:tcW w:w="861"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厂界外1m处</w:t>
                  </w:r>
                </w:p>
              </w:tc>
              <w:tc>
                <w:tcPr>
                  <w:tcW w:w="671"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1次/季度</w:t>
                  </w:r>
                </w:p>
              </w:tc>
              <w:tc>
                <w:tcPr>
                  <w:tcW w:w="2388"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《工业企业厂界环境噪声排放标准》（GB12348-2008）</w:t>
                  </w:r>
                  <w:r>
                    <w:rPr>
                      <w:rFonts w:hint="default" w:ascii="Times New Roman" w:hAnsi="Times New Roman" w:eastAsia="宋体" w:cs="Times New Roman"/>
                      <w:color w:val="auto"/>
                      <w:sz w:val="21"/>
                      <w:szCs w:val="21"/>
                      <w:lang w:val="en-US" w:eastAsia="zh-CN"/>
                    </w:rPr>
                    <w:t>中3类标准</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jc w:val="both"/>
              <w:textAlignment w:val="auto"/>
              <w:rPr>
                <w:rFonts w:hint="default" w:ascii="Times New Roman" w:hAnsi="Times New Roman" w:eastAsia="宋体" w:cs="Times New Roman"/>
                <w:b/>
                <w:bCs/>
                <w:color w:val="auto"/>
                <w:spacing w:val="0"/>
                <w:sz w:val="24"/>
                <w:szCs w:val="24"/>
                <w:highlight w:val="none"/>
              </w:rPr>
            </w:pPr>
            <w:r>
              <w:rPr>
                <w:rFonts w:hint="default" w:ascii="Times New Roman" w:hAnsi="Times New Roman" w:eastAsia="宋体" w:cs="Times New Roman"/>
                <w:b/>
                <w:bCs/>
                <w:color w:val="auto"/>
                <w:spacing w:val="0"/>
                <w:sz w:val="24"/>
                <w:szCs w:val="24"/>
                <w:highlight w:val="none"/>
                <w:lang w:val="en-US" w:eastAsia="zh-CN"/>
              </w:rPr>
              <w:t>5、</w:t>
            </w:r>
            <w:r>
              <w:rPr>
                <w:rFonts w:hint="default" w:ascii="Times New Roman" w:hAnsi="Times New Roman" w:eastAsia="宋体" w:cs="Times New Roman"/>
                <w:b/>
                <w:bCs/>
                <w:color w:val="auto"/>
                <w:spacing w:val="0"/>
                <w:sz w:val="24"/>
                <w:szCs w:val="24"/>
                <w:highlight w:val="none"/>
              </w:rPr>
              <w:t>环境影响分析</w:t>
            </w:r>
          </w:p>
          <w:p>
            <w:pPr>
              <w:pStyle w:val="131"/>
              <w:keepNext w:val="0"/>
              <w:keepLines w:val="0"/>
              <w:pageBreakBefore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pacing w:val="0"/>
                <w:sz w:val="24"/>
                <w:szCs w:val="24"/>
                <w:highlight w:val="none"/>
              </w:rPr>
              <w:t>根据分析，项目运营期噪声符合《工业企业厂界环境噪声排放标准》（GB12348-2008）中</w:t>
            </w:r>
            <w:r>
              <w:rPr>
                <w:rFonts w:hint="default" w:ascii="Times New Roman" w:hAnsi="Times New Roman" w:eastAsia="宋体" w:cs="Times New Roman"/>
                <w:color w:val="auto"/>
                <w:spacing w:val="0"/>
                <w:sz w:val="24"/>
                <w:szCs w:val="24"/>
                <w:highlight w:val="none"/>
                <w:lang w:val="en-US" w:eastAsia="zh-CN"/>
              </w:rPr>
              <w:t>3类</w:t>
            </w:r>
            <w:r>
              <w:rPr>
                <w:rFonts w:hint="default" w:ascii="Times New Roman" w:hAnsi="Times New Roman" w:eastAsia="宋体" w:cs="Times New Roman"/>
                <w:color w:val="auto"/>
                <w:spacing w:val="0"/>
                <w:sz w:val="24"/>
                <w:szCs w:val="24"/>
                <w:highlight w:val="none"/>
              </w:rPr>
              <w:t>标准要求</w:t>
            </w:r>
            <w:r>
              <w:rPr>
                <w:rFonts w:hint="default" w:ascii="Times New Roman" w:hAnsi="Times New Roman" w:eastAsia="宋体" w:cs="Times New Roman"/>
                <w:color w:val="auto"/>
                <w:spacing w:val="0"/>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四</w:t>
            </w:r>
            <w:r>
              <w:rPr>
                <w:rFonts w:hint="default" w:ascii="Times New Roman" w:hAnsi="Times New Roman" w:eastAsia="宋体" w:cs="Times New Roman"/>
                <w:b/>
                <w:bCs/>
                <w:color w:val="auto"/>
                <w:sz w:val="24"/>
                <w:szCs w:val="24"/>
              </w:rPr>
              <w:t>、固体废物</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本项目运营期固体废物包括生产固废</w:t>
            </w:r>
            <w:r>
              <w:rPr>
                <w:rFonts w:hint="default" w:ascii="Times New Roman" w:hAnsi="Times New Roman" w:eastAsia="宋体" w:cs="Times New Roman"/>
                <w:color w:val="auto"/>
                <w:kern w:val="0"/>
                <w:sz w:val="24"/>
                <w:szCs w:val="24"/>
                <w:lang w:val="en-US" w:eastAsia="zh-CN"/>
              </w:rPr>
              <w:t>和生活垃圾</w:t>
            </w:r>
            <w:r>
              <w:rPr>
                <w:rFonts w:hint="default" w:ascii="Times New Roman" w:hAnsi="Times New Roman" w:eastAsia="宋体" w:cs="Times New Roman"/>
                <w:color w:val="auto"/>
                <w:kern w:val="0"/>
                <w:sz w:val="24"/>
                <w:szCs w:val="24"/>
                <w:lang w:eastAsia="zh-CN"/>
              </w:rPr>
              <w:t>；生产固废主要包括一般固废和危险固废，一般固废包括</w:t>
            </w:r>
            <w:r>
              <w:rPr>
                <w:rFonts w:hint="default" w:ascii="Times New Roman" w:hAnsi="Times New Roman" w:eastAsia="宋体" w:cs="Times New Roman"/>
                <w:color w:val="auto"/>
                <w:kern w:val="0"/>
                <w:sz w:val="24"/>
                <w:szCs w:val="24"/>
                <w:lang w:val="en-US" w:eastAsia="zh-CN" w:bidi="ar"/>
              </w:rPr>
              <w:t>废包装材料、</w:t>
            </w:r>
            <w:r>
              <w:rPr>
                <w:rFonts w:hint="default" w:ascii="Times New Roman" w:hAnsi="Times New Roman" w:eastAsia="宋体" w:cs="Times New Roman"/>
                <w:b w:val="0"/>
                <w:bCs/>
                <w:color w:val="auto"/>
                <w:sz w:val="24"/>
                <w:szCs w:val="24"/>
                <w:lang w:val="en-US" w:eastAsia="zh-CN"/>
              </w:rPr>
              <w:t>不合格品</w:t>
            </w:r>
            <w:r>
              <w:rPr>
                <w:rFonts w:hint="default" w:ascii="Times New Roman" w:hAnsi="Times New Roman" w:eastAsia="宋体" w:cs="Times New Roman"/>
                <w:color w:val="auto"/>
                <w:kern w:val="0"/>
                <w:sz w:val="24"/>
                <w:szCs w:val="24"/>
                <w:lang w:val="en-US" w:eastAsia="zh-CN" w:bidi="ar"/>
              </w:rPr>
              <w:t>、沉淀池沉渣、废胶桶、废滤料、废RO膜等</w:t>
            </w:r>
            <w:r>
              <w:rPr>
                <w:rFonts w:hint="default" w:ascii="Times New Roman" w:hAnsi="Times New Roman" w:eastAsia="宋体" w:cs="Times New Roman"/>
                <w:color w:val="auto"/>
                <w:kern w:val="0"/>
                <w:sz w:val="24"/>
                <w:szCs w:val="24"/>
                <w:lang w:eastAsia="zh-CN"/>
              </w:rPr>
              <w:t>；危险固废包括</w:t>
            </w:r>
            <w:r>
              <w:rPr>
                <w:rFonts w:hint="default" w:ascii="Times New Roman" w:hAnsi="Times New Roman" w:eastAsia="宋体" w:cs="Times New Roman"/>
                <w:color w:val="auto"/>
                <w:kern w:val="0"/>
                <w:sz w:val="24"/>
                <w:szCs w:val="24"/>
                <w:lang w:val="en-US" w:eastAsia="zh-CN"/>
              </w:rPr>
              <w:t>废机油、废机油桶、废含油抹布及手套和废活性炭</w:t>
            </w:r>
            <w:r>
              <w:rPr>
                <w:rFonts w:hint="default" w:ascii="Times New Roman" w:hAnsi="Times New Roman" w:eastAsia="宋体" w:cs="Times New Roman"/>
                <w:color w:val="auto"/>
                <w:kern w:val="0"/>
                <w:sz w:val="24"/>
                <w:szCs w:val="24"/>
                <w:lang w:eastAsia="zh-CN"/>
              </w:rPr>
              <w:t>。</w:t>
            </w:r>
          </w:p>
          <w:p>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1、生活垃圾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①生活垃圾：项目劳动定员50人，平均按照每人每天产生垃圾0.5kg计，工作日以300天计，则生活垃圾的产生量为7.5t/a，分类收集后，由</w:t>
            </w:r>
            <w:r>
              <w:rPr>
                <w:rFonts w:hint="eastAsia" w:cs="Times New Roman"/>
                <w:b w:val="0"/>
                <w:bCs/>
                <w:color w:val="auto"/>
                <w:sz w:val="24"/>
                <w:szCs w:val="24"/>
                <w:lang w:val="en-US" w:eastAsia="zh-CN"/>
              </w:rPr>
              <w:t>周至县</w:t>
            </w:r>
            <w:r>
              <w:rPr>
                <w:rFonts w:hint="default" w:ascii="Times New Roman" w:hAnsi="Times New Roman" w:eastAsia="宋体" w:cs="Times New Roman"/>
                <w:b w:val="0"/>
                <w:bCs/>
                <w:color w:val="auto"/>
                <w:sz w:val="24"/>
                <w:szCs w:val="24"/>
                <w:lang w:val="en-US" w:eastAsia="zh-CN"/>
              </w:rPr>
              <w:t>环卫部门统一清运处置</w:t>
            </w:r>
            <w:r>
              <w:rPr>
                <w:rFonts w:hint="eastAsia" w:cs="Times New Roman"/>
                <w:b w:val="0"/>
                <w:bCs/>
                <w:color w:val="auto"/>
                <w:sz w:val="24"/>
                <w:szCs w:val="24"/>
                <w:lang w:val="en-US" w:eastAsia="zh-CN"/>
              </w:rPr>
              <w:t>，</w:t>
            </w:r>
            <w:r>
              <w:rPr>
                <w:rFonts w:hint="default" w:ascii="Times New Roman" w:hAnsi="Times New Roman" w:eastAsia="宋体" w:cs="Times New Roman"/>
                <w:color w:val="auto"/>
                <w:kern w:val="0"/>
                <w:sz w:val="24"/>
                <w:szCs w:val="24"/>
                <w:lang w:val="en-US" w:eastAsia="zh-CN" w:bidi="ar"/>
              </w:rPr>
              <w:t xml:space="preserve">根据《固体废物分类与代码目录》，代码为 900-099-S64 </w:t>
            </w:r>
            <w:r>
              <w:rPr>
                <w:rFonts w:hint="default" w:ascii="Times New Roman" w:hAnsi="Times New Roman" w:eastAsia="宋体" w:cs="Times New Roman"/>
                <w:b w:val="0"/>
                <w:bCs/>
                <w:color w:val="auto"/>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②废油脂：产生量约1.5t/a，收集后定期交有资质单位处置</w:t>
            </w:r>
            <w:r>
              <w:rPr>
                <w:rFonts w:hint="eastAsia" w:cs="Times New Roman"/>
                <w:b w:val="0"/>
                <w:bCs/>
                <w:color w:val="auto"/>
                <w:sz w:val="24"/>
                <w:szCs w:val="24"/>
                <w:lang w:val="en-US" w:eastAsia="zh-CN"/>
              </w:rPr>
              <w:t>，</w:t>
            </w:r>
            <w:r>
              <w:rPr>
                <w:rFonts w:hint="default" w:ascii="Times New Roman" w:hAnsi="Times New Roman" w:eastAsia="宋体" w:cs="Times New Roman"/>
                <w:color w:val="auto"/>
                <w:kern w:val="0"/>
                <w:sz w:val="24"/>
                <w:szCs w:val="24"/>
                <w:lang w:val="en-US" w:eastAsia="zh-CN" w:bidi="ar"/>
              </w:rPr>
              <w:t>根据《固体废物分类与代码目录》，代码为 900-002-S61</w:t>
            </w:r>
            <w:r>
              <w:rPr>
                <w:rFonts w:hint="default" w:ascii="Times New Roman" w:hAnsi="Times New Roman" w:eastAsia="宋体" w:cs="Times New Roman"/>
                <w:b w:val="0"/>
                <w:bCs/>
                <w:color w:val="auto"/>
                <w:sz w:val="24"/>
                <w:szCs w:val="24"/>
                <w:lang w:val="en-US" w:eastAsia="zh-CN"/>
              </w:rPr>
              <w:t>。</w:t>
            </w:r>
          </w:p>
          <w:p>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val="en-US" w:eastAsia="zh-CN"/>
              </w:rPr>
              <w:t>2、</w:t>
            </w:r>
            <w:r>
              <w:rPr>
                <w:rFonts w:hint="default" w:ascii="Times New Roman" w:hAnsi="Times New Roman" w:eastAsia="宋体" w:cs="Times New Roman"/>
                <w:b/>
                <w:color w:val="auto"/>
                <w:sz w:val="24"/>
                <w:szCs w:val="24"/>
              </w:rPr>
              <w:t>一般工业固废</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lang w:val="en-US" w:eastAsia="zh-CN"/>
              </w:rPr>
              <w:t>①</w:t>
            </w:r>
            <w:r>
              <w:rPr>
                <w:rFonts w:hint="default" w:ascii="Times New Roman" w:hAnsi="Times New Roman" w:eastAsia="宋体" w:cs="Times New Roman"/>
                <w:color w:val="auto"/>
                <w:kern w:val="0"/>
                <w:sz w:val="24"/>
                <w:szCs w:val="24"/>
                <w:lang w:val="en-US" w:eastAsia="zh-CN" w:bidi="ar"/>
              </w:rPr>
              <w:t>废包装材料：</w:t>
            </w:r>
            <w:r>
              <w:rPr>
                <w:rFonts w:hint="default" w:ascii="Times New Roman" w:hAnsi="Times New Roman" w:eastAsia="宋体" w:cs="Times New Roman"/>
                <w:b w:val="0"/>
                <w:bCs/>
                <w:color w:val="auto"/>
                <w:sz w:val="24"/>
                <w:szCs w:val="24"/>
                <w:lang w:val="en-US" w:eastAsia="zh-CN"/>
              </w:rPr>
              <w:t>根据企业提供资料，原辅材料拆封时会产生一定量的废弃包装材料，主要为塑料编织袋、包装箱等。产生量约为0.5t/a，收集后交废品回收站回收处理。</w:t>
            </w:r>
            <w:r>
              <w:rPr>
                <w:rFonts w:hint="default" w:ascii="Times New Roman" w:hAnsi="Times New Roman" w:eastAsia="宋体" w:cs="Times New Roman"/>
                <w:color w:val="auto"/>
                <w:kern w:val="0"/>
                <w:sz w:val="24"/>
                <w:szCs w:val="24"/>
                <w:lang w:val="en-US" w:eastAsia="zh-CN" w:bidi="ar"/>
              </w:rPr>
              <w:t xml:space="preserve">根据《固体废物分类与代码目录》，代码为900-003-S17。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val="0"/>
                <w:bCs/>
                <w:color w:val="auto"/>
                <w:sz w:val="24"/>
                <w:szCs w:val="24"/>
                <w:lang w:val="en-US" w:eastAsia="zh-CN"/>
              </w:rPr>
              <w:t>②不合格品：</w:t>
            </w:r>
            <w:r>
              <w:rPr>
                <w:rFonts w:hint="default" w:ascii="Times New Roman" w:hAnsi="Times New Roman" w:eastAsia="宋体" w:cs="Times New Roman"/>
                <w:b w:val="0"/>
                <w:bCs/>
                <w:color w:val="auto"/>
                <w:sz w:val="24"/>
                <w:szCs w:val="24"/>
                <w:highlight w:val="none"/>
                <w:lang w:val="en-US" w:eastAsia="zh-CN"/>
              </w:rPr>
              <w:t>根据企业提供资料，不合格产品</w:t>
            </w:r>
            <w:r>
              <w:rPr>
                <w:rFonts w:hint="default" w:ascii="Times New Roman" w:hAnsi="Times New Roman" w:eastAsia="宋体" w:cs="Times New Roman"/>
                <w:color w:val="auto"/>
                <w:sz w:val="24"/>
                <w:szCs w:val="24"/>
                <w:highlight w:val="none"/>
                <w:lang w:val="en-US" w:eastAsia="zh-CN"/>
              </w:rPr>
              <w:t>产生量为</w:t>
            </w:r>
            <w:r>
              <w:rPr>
                <w:rFonts w:hint="eastAsia" w:cs="Times New Roman"/>
                <w:color w:val="auto"/>
                <w:sz w:val="24"/>
                <w:szCs w:val="24"/>
                <w:highlight w:val="none"/>
                <w:lang w:val="en-US" w:eastAsia="zh-CN"/>
              </w:rPr>
              <w:t>100</w:t>
            </w:r>
            <w:r>
              <w:rPr>
                <w:rFonts w:hint="default" w:ascii="Times New Roman" w:hAnsi="Times New Roman" w:eastAsia="宋体" w:cs="Times New Roman"/>
                <w:color w:val="auto"/>
                <w:sz w:val="24"/>
                <w:szCs w:val="24"/>
                <w:highlight w:val="none"/>
                <w:lang w:val="en-US" w:eastAsia="zh-CN"/>
              </w:rPr>
              <w:t>t/a，</w:t>
            </w:r>
            <w:r>
              <w:rPr>
                <w:rFonts w:hint="default" w:ascii="Times New Roman" w:hAnsi="Times New Roman" w:eastAsia="宋体" w:cs="Times New Roman"/>
                <w:b w:val="0"/>
                <w:bCs/>
                <w:color w:val="auto"/>
                <w:sz w:val="24"/>
                <w:szCs w:val="24"/>
                <w:lang w:val="en-US" w:eastAsia="zh-CN"/>
              </w:rPr>
              <w:t>收集后交废品回收站回收处理</w:t>
            </w:r>
            <w:r>
              <w:rPr>
                <w:rFonts w:hint="default"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color w:val="auto"/>
                <w:kern w:val="0"/>
                <w:sz w:val="24"/>
                <w:szCs w:val="24"/>
                <w:lang w:val="en-US" w:eastAsia="zh-CN" w:bidi="ar"/>
              </w:rPr>
              <w:t>根据《固体废物分类与代码目录》，代码为 900-004-S17。</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③沉淀池沉渣：项目玻璃清洗会产生少量沉淀池废渣，根据建设单位提供资料，产生量为 0.5t/a，收集后外售玻璃加工厂处理。根据《固体废物分类与代码目录》，属于废玻璃，代码为900-004-S17。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④纯水制备产生废滤料、废RO膜：本项目软水制备过程产生废滤料、废RO 膜，年产生量为0.2t/a。废滤料、废RO膜厂家定期更换后统一回收处置。根据《固体废物分类与代码目录》，代码为</w:t>
            </w:r>
            <w:r>
              <w:rPr>
                <w:rFonts w:hint="eastAsia" w:ascii="Times New Roman" w:hAnsi="Times New Roman" w:eastAsia="宋体" w:cs="Times New Roman"/>
                <w:color w:val="auto"/>
                <w:kern w:val="0"/>
                <w:sz w:val="24"/>
                <w:szCs w:val="24"/>
                <w:lang w:val="en-US" w:eastAsia="zh-CN" w:bidi="ar"/>
              </w:rPr>
              <w:t xml:space="preserve">900-009-S59 </w:t>
            </w:r>
            <w:r>
              <w:rPr>
                <w:rFonts w:hint="default" w:ascii="Times New Roman" w:hAnsi="Times New Roman" w:eastAsia="宋体" w:cs="Times New Roman"/>
                <w:color w:val="auto"/>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⑤废胶桶（不含胶）：项目中空玻璃涂胶时会产生一定量的废胶桶，根据建设单位提供，废胶桶的产生量约0.5t/a，收集后交废</w:t>
            </w:r>
            <w:r>
              <w:rPr>
                <w:rFonts w:hint="default" w:ascii="Times New Roman" w:hAnsi="Times New Roman" w:eastAsia="宋体" w:cs="Times New Roman"/>
                <w:b w:val="0"/>
                <w:bCs/>
                <w:color w:val="auto"/>
                <w:sz w:val="24"/>
                <w:szCs w:val="24"/>
                <w:lang w:val="en-US" w:eastAsia="zh-CN"/>
              </w:rPr>
              <w:t>品回收站回收处理</w:t>
            </w:r>
            <w:r>
              <w:rPr>
                <w:rFonts w:hint="default" w:ascii="Times New Roman" w:hAnsi="Times New Roman" w:eastAsia="宋体" w:cs="Times New Roman"/>
                <w:color w:val="auto"/>
                <w:kern w:val="0"/>
                <w:sz w:val="24"/>
                <w:szCs w:val="24"/>
                <w:lang w:val="en-US" w:eastAsia="zh-CN" w:bidi="ar"/>
              </w:rPr>
              <w:t>。根据《固体废物分类与代码目录》，代码为 900-099-S59。</w:t>
            </w:r>
          </w:p>
          <w:p>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val="en-US" w:eastAsia="zh-CN"/>
              </w:rPr>
              <w:t>3、</w:t>
            </w:r>
            <w:r>
              <w:rPr>
                <w:rFonts w:hint="default" w:ascii="Times New Roman" w:hAnsi="Times New Roman" w:eastAsia="宋体" w:cs="Times New Roman"/>
                <w:b/>
                <w:color w:val="auto"/>
                <w:sz w:val="24"/>
                <w:szCs w:val="24"/>
              </w:rPr>
              <w:t>危险废物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①</w:t>
            </w:r>
            <w:r>
              <w:rPr>
                <w:rFonts w:hint="default" w:ascii="Times New Roman" w:hAnsi="Times New Roman" w:eastAsia="宋体" w:cs="Times New Roman"/>
                <w:b w:val="0"/>
                <w:bCs w:val="0"/>
                <w:color w:val="auto"/>
                <w:sz w:val="24"/>
                <w:szCs w:val="24"/>
              </w:rPr>
              <w:t>废</w:t>
            </w:r>
            <w:r>
              <w:rPr>
                <w:rFonts w:hint="default" w:ascii="Times New Roman" w:hAnsi="Times New Roman" w:eastAsia="宋体" w:cs="Times New Roman"/>
                <w:b w:val="0"/>
                <w:bCs w:val="0"/>
                <w:color w:val="auto"/>
                <w:sz w:val="24"/>
                <w:szCs w:val="24"/>
                <w:lang w:val="en-US" w:eastAsia="zh-CN"/>
              </w:rPr>
              <w:t>机油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rPr>
              <w:t>生产、维护保养过程产生的废</w:t>
            </w:r>
            <w:r>
              <w:rPr>
                <w:rFonts w:hint="default" w:ascii="Times New Roman" w:hAnsi="Times New Roman" w:eastAsia="宋体" w:cs="Times New Roman"/>
                <w:b w:val="0"/>
                <w:bCs w:val="0"/>
                <w:color w:val="auto"/>
                <w:sz w:val="24"/>
                <w:szCs w:val="24"/>
                <w:lang w:val="en-US" w:eastAsia="zh-CN"/>
              </w:rPr>
              <w:t>机油</w:t>
            </w:r>
            <w:r>
              <w:rPr>
                <w:rFonts w:hint="default" w:ascii="Times New Roman" w:hAnsi="Times New Roman" w:eastAsia="宋体" w:cs="Times New Roman"/>
                <w:b w:val="0"/>
                <w:bCs w:val="0"/>
                <w:color w:val="auto"/>
                <w:sz w:val="24"/>
                <w:szCs w:val="24"/>
              </w:rPr>
              <w:t>，预计产生量约</w:t>
            </w:r>
            <w:r>
              <w:rPr>
                <w:rFonts w:hint="default" w:ascii="Times New Roman" w:hAnsi="Times New Roman" w:eastAsia="宋体" w:cs="Times New Roman"/>
                <w:b w:val="0"/>
                <w:bCs w:val="0"/>
                <w:color w:val="auto"/>
                <w:sz w:val="24"/>
                <w:szCs w:val="24"/>
                <w:lang w:val="en-US" w:eastAsia="zh-CN"/>
              </w:rPr>
              <w:t>0.</w:t>
            </w:r>
            <w:r>
              <w:rPr>
                <w:rFonts w:hint="eastAsia"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rPr>
              <w:t>t/a；对照《国家危险废物名录》（20</w:t>
            </w:r>
            <w:r>
              <w:rPr>
                <w:rFonts w:hint="default" w:ascii="Times New Roman" w:hAnsi="Times New Roman" w:eastAsia="宋体" w:cs="Times New Roman"/>
                <w:b w:val="0"/>
                <w:bCs w:val="0"/>
                <w:color w:val="auto"/>
                <w:sz w:val="24"/>
                <w:szCs w:val="24"/>
                <w:lang w:val="en-US" w:eastAsia="zh-CN"/>
              </w:rPr>
              <w:t>21</w:t>
            </w:r>
            <w:r>
              <w:rPr>
                <w:rFonts w:hint="default" w:ascii="Times New Roman" w:hAnsi="Times New Roman" w:eastAsia="宋体" w:cs="Times New Roman"/>
                <w:b w:val="0"/>
                <w:bCs w:val="0"/>
                <w:color w:val="auto"/>
                <w:sz w:val="24"/>
                <w:szCs w:val="24"/>
              </w:rPr>
              <w:t>年本），此类危废编号为</w:t>
            </w:r>
            <w:r>
              <w:rPr>
                <w:rFonts w:hint="default" w:ascii="Times New Roman" w:hAnsi="Times New Roman" w:eastAsia="宋体" w:cs="Times New Roman"/>
                <w:b w:val="0"/>
                <w:bCs w:val="0"/>
                <w:color w:val="auto"/>
                <w:sz w:val="24"/>
                <w:szCs w:val="24"/>
                <w:lang w:val="en-US" w:eastAsia="zh-CN"/>
              </w:rPr>
              <w:t>HW08其他废物（非特定行业），废物代码为：900-249-08</w:t>
            </w:r>
            <w:r>
              <w:rPr>
                <w:rFonts w:hint="default" w:ascii="Times New Roman" w:hAnsi="Times New Roman" w:eastAsia="宋体" w:cs="Times New Roman"/>
                <w:b w:val="0"/>
                <w:bCs w:val="0"/>
                <w:color w:val="auto"/>
                <w:sz w:val="24"/>
                <w:szCs w:val="24"/>
              </w:rPr>
              <w:t>。</w:t>
            </w:r>
            <w:r>
              <w:rPr>
                <w:rFonts w:hint="default" w:ascii="Times New Roman" w:hAnsi="Times New Roman" w:eastAsia="宋体" w:cs="Times New Roman"/>
                <w:b w:val="0"/>
                <w:bCs w:val="0"/>
                <w:color w:val="auto"/>
                <w:sz w:val="24"/>
                <w:szCs w:val="24"/>
                <w:lang w:val="en-US" w:eastAsia="zh-CN"/>
              </w:rPr>
              <w:t>收集后</w:t>
            </w:r>
            <w:r>
              <w:rPr>
                <w:rFonts w:hint="default" w:ascii="Times New Roman" w:hAnsi="Times New Roman" w:eastAsia="宋体" w:cs="Times New Roman"/>
                <w:b w:val="0"/>
                <w:bCs w:val="0"/>
                <w:color w:val="auto"/>
                <w:sz w:val="24"/>
                <w:szCs w:val="24"/>
                <w:lang w:eastAsia="zh-CN"/>
              </w:rPr>
              <w:t>危废贮存库</w:t>
            </w:r>
            <w:r>
              <w:rPr>
                <w:rFonts w:hint="default" w:ascii="Times New Roman" w:hAnsi="Times New Roman" w:eastAsia="宋体" w:cs="Times New Roman"/>
                <w:b w:val="0"/>
                <w:bCs w:val="0"/>
                <w:color w:val="auto"/>
                <w:sz w:val="24"/>
                <w:szCs w:val="24"/>
              </w:rPr>
              <w:t>内暂存，</w:t>
            </w:r>
            <w:r>
              <w:rPr>
                <w:rFonts w:hint="default" w:ascii="Times New Roman" w:hAnsi="Times New Roman" w:eastAsia="宋体" w:cs="Times New Roman"/>
                <w:b w:val="0"/>
                <w:bCs w:val="0"/>
                <w:color w:val="auto"/>
                <w:sz w:val="24"/>
                <w:szCs w:val="24"/>
                <w:highlight w:val="none"/>
                <w:lang w:val="en-US" w:eastAsia="zh-CN"/>
              </w:rPr>
              <w:t>交由有资质单位清运处置。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②废机油桶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生</w:t>
            </w:r>
            <w:r>
              <w:rPr>
                <w:rFonts w:hint="default" w:ascii="Times New Roman" w:hAnsi="Times New Roman" w:eastAsia="宋体" w:cs="Times New Roman"/>
                <w:b w:val="0"/>
                <w:bCs w:val="0"/>
                <w:color w:val="auto"/>
                <w:sz w:val="24"/>
                <w:szCs w:val="24"/>
              </w:rPr>
              <w:t>产、维护保养过程产生的废</w:t>
            </w:r>
            <w:r>
              <w:rPr>
                <w:rFonts w:hint="default" w:ascii="Times New Roman" w:hAnsi="Times New Roman" w:eastAsia="宋体" w:cs="Times New Roman"/>
                <w:b w:val="0"/>
                <w:bCs w:val="0"/>
                <w:color w:val="auto"/>
                <w:sz w:val="24"/>
                <w:szCs w:val="24"/>
                <w:lang w:val="en-US" w:eastAsia="zh-CN"/>
              </w:rPr>
              <w:t>机油桶</w:t>
            </w:r>
            <w:r>
              <w:rPr>
                <w:rFonts w:hint="default" w:ascii="Times New Roman" w:hAnsi="Times New Roman" w:eastAsia="宋体" w:cs="Times New Roman"/>
                <w:b w:val="0"/>
                <w:bCs w:val="0"/>
                <w:color w:val="auto"/>
                <w:sz w:val="24"/>
                <w:szCs w:val="24"/>
              </w:rPr>
              <w:t>，预计产生量约</w:t>
            </w:r>
            <w:r>
              <w:rPr>
                <w:rFonts w:hint="default" w:ascii="Times New Roman" w:hAnsi="Times New Roman" w:eastAsia="宋体" w:cs="Times New Roman"/>
                <w:b w:val="0"/>
                <w:bCs w:val="0"/>
                <w:color w:val="auto"/>
                <w:sz w:val="24"/>
                <w:szCs w:val="24"/>
                <w:lang w:val="en-US" w:eastAsia="zh-CN"/>
              </w:rPr>
              <w:t>0.10</w:t>
            </w:r>
            <w:r>
              <w:rPr>
                <w:rFonts w:hint="default" w:ascii="Times New Roman" w:hAnsi="Times New Roman" w:eastAsia="宋体" w:cs="Times New Roman"/>
                <w:b w:val="0"/>
                <w:bCs w:val="0"/>
                <w:color w:val="auto"/>
                <w:sz w:val="24"/>
                <w:szCs w:val="24"/>
              </w:rPr>
              <w:t>t/a；对照《国家危险废物名录》（20</w:t>
            </w:r>
            <w:r>
              <w:rPr>
                <w:rFonts w:hint="default" w:ascii="Times New Roman" w:hAnsi="Times New Roman" w:eastAsia="宋体" w:cs="Times New Roman"/>
                <w:b w:val="0"/>
                <w:bCs w:val="0"/>
                <w:color w:val="auto"/>
                <w:sz w:val="24"/>
                <w:szCs w:val="24"/>
                <w:lang w:val="en-US" w:eastAsia="zh-CN"/>
              </w:rPr>
              <w:t>21</w:t>
            </w:r>
            <w:r>
              <w:rPr>
                <w:rFonts w:hint="default" w:ascii="Times New Roman" w:hAnsi="Times New Roman" w:eastAsia="宋体" w:cs="Times New Roman"/>
                <w:b w:val="0"/>
                <w:bCs w:val="0"/>
                <w:color w:val="auto"/>
                <w:sz w:val="24"/>
                <w:szCs w:val="24"/>
              </w:rPr>
              <w:t>年本），此类危废编号为HW</w:t>
            </w:r>
            <w:r>
              <w:rPr>
                <w:rFonts w:hint="eastAsia" w:cs="Times New Roman"/>
                <w:b w:val="0"/>
                <w:bCs w:val="0"/>
                <w:color w:val="auto"/>
                <w:sz w:val="24"/>
                <w:szCs w:val="24"/>
                <w:lang w:val="en-US" w:eastAsia="zh-CN"/>
              </w:rPr>
              <w:t>49</w:t>
            </w:r>
            <w:r>
              <w:rPr>
                <w:rFonts w:hint="default" w:ascii="Times New Roman" w:hAnsi="Times New Roman" w:eastAsia="宋体" w:cs="Times New Roman"/>
                <w:b w:val="0"/>
                <w:bCs w:val="0"/>
                <w:color w:val="auto"/>
                <w:sz w:val="24"/>
                <w:szCs w:val="24"/>
              </w:rPr>
              <w:t>，废物代码是900-</w:t>
            </w:r>
            <w:r>
              <w:rPr>
                <w:rFonts w:hint="eastAsia" w:cs="Times New Roman"/>
                <w:b w:val="0"/>
                <w:bCs w:val="0"/>
                <w:color w:val="auto"/>
                <w:sz w:val="24"/>
                <w:szCs w:val="24"/>
                <w:lang w:val="en-US" w:eastAsia="zh-CN"/>
              </w:rPr>
              <w:t>041</w:t>
            </w:r>
            <w:r>
              <w:rPr>
                <w:rFonts w:hint="default" w:ascii="Times New Roman" w:hAnsi="Times New Roman" w:eastAsia="宋体" w:cs="Times New Roman"/>
                <w:b w:val="0"/>
                <w:bCs w:val="0"/>
                <w:color w:val="auto"/>
                <w:sz w:val="24"/>
                <w:szCs w:val="24"/>
              </w:rPr>
              <w:t>-</w:t>
            </w:r>
            <w:r>
              <w:rPr>
                <w:rFonts w:hint="eastAsia" w:cs="Times New Roman"/>
                <w:b w:val="0"/>
                <w:bCs w:val="0"/>
                <w:color w:val="auto"/>
                <w:sz w:val="24"/>
                <w:szCs w:val="24"/>
                <w:lang w:val="en-US" w:eastAsia="zh-CN"/>
              </w:rPr>
              <w:t>49</w:t>
            </w:r>
            <w:r>
              <w:rPr>
                <w:rFonts w:hint="default" w:ascii="Times New Roman" w:hAnsi="Times New Roman" w:eastAsia="宋体" w:cs="Times New Roman"/>
                <w:b w:val="0"/>
                <w:bCs w:val="0"/>
                <w:color w:val="auto"/>
                <w:sz w:val="24"/>
                <w:szCs w:val="24"/>
              </w:rPr>
              <w:t>。</w:t>
            </w:r>
            <w:r>
              <w:rPr>
                <w:rFonts w:hint="default" w:ascii="Times New Roman" w:hAnsi="Times New Roman" w:eastAsia="宋体" w:cs="Times New Roman"/>
                <w:b w:val="0"/>
                <w:bCs w:val="0"/>
                <w:color w:val="auto"/>
                <w:sz w:val="24"/>
                <w:szCs w:val="24"/>
                <w:lang w:val="en-US" w:eastAsia="zh-CN"/>
              </w:rPr>
              <w:t>收集后</w:t>
            </w:r>
            <w:r>
              <w:rPr>
                <w:rFonts w:hint="default" w:ascii="Times New Roman" w:hAnsi="Times New Roman" w:eastAsia="宋体" w:cs="Times New Roman"/>
                <w:b w:val="0"/>
                <w:bCs w:val="0"/>
                <w:color w:val="auto"/>
                <w:sz w:val="24"/>
                <w:szCs w:val="24"/>
                <w:lang w:eastAsia="zh-CN"/>
              </w:rPr>
              <w:t>危废贮存库</w:t>
            </w:r>
            <w:r>
              <w:rPr>
                <w:rFonts w:hint="default" w:ascii="Times New Roman" w:hAnsi="Times New Roman" w:eastAsia="宋体" w:cs="Times New Roman"/>
                <w:b w:val="0"/>
                <w:bCs w:val="0"/>
                <w:color w:val="auto"/>
                <w:sz w:val="24"/>
                <w:szCs w:val="24"/>
              </w:rPr>
              <w:t>内暂存，</w:t>
            </w:r>
            <w:r>
              <w:rPr>
                <w:rFonts w:hint="default" w:ascii="Times New Roman" w:hAnsi="Times New Roman" w:eastAsia="宋体" w:cs="Times New Roman"/>
                <w:b w:val="0"/>
                <w:bCs w:val="0"/>
                <w:color w:val="auto"/>
                <w:sz w:val="24"/>
                <w:szCs w:val="24"/>
                <w:highlight w:val="none"/>
                <w:lang w:val="en-US" w:eastAsia="zh-CN"/>
              </w:rPr>
              <w:t>交由有资质单位清运处置。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③废含油抹布及手套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设备维护及检修产生废含油抹布及手套，产生量约为0.02t/a。根据《国家危险废物名录》（2021年版），项目产生的含油废物属于危险废弃物，危险废物编号为：HW49其他废物（非特定行业），废物代码为：900-041-49，收集后</w:t>
            </w:r>
            <w:r>
              <w:rPr>
                <w:rFonts w:hint="default" w:ascii="Times New Roman" w:hAnsi="Times New Roman" w:eastAsia="宋体" w:cs="Times New Roman"/>
                <w:b w:val="0"/>
                <w:bCs w:val="0"/>
                <w:color w:val="auto"/>
                <w:sz w:val="24"/>
                <w:szCs w:val="24"/>
                <w:lang w:eastAsia="zh-CN"/>
              </w:rPr>
              <w:t>危废贮存库</w:t>
            </w:r>
            <w:r>
              <w:rPr>
                <w:rFonts w:hint="default" w:ascii="Times New Roman" w:hAnsi="Times New Roman" w:eastAsia="宋体" w:cs="Times New Roman"/>
                <w:b w:val="0"/>
                <w:bCs w:val="0"/>
                <w:color w:val="auto"/>
                <w:sz w:val="24"/>
                <w:szCs w:val="24"/>
              </w:rPr>
              <w:t>内暂存，</w:t>
            </w:r>
            <w:r>
              <w:rPr>
                <w:rFonts w:hint="default" w:ascii="Times New Roman" w:hAnsi="Times New Roman" w:eastAsia="宋体" w:cs="Times New Roman"/>
                <w:b w:val="0"/>
                <w:bCs w:val="0"/>
                <w:color w:val="auto"/>
                <w:sz w:val="24"/>
                <w:szCs w:val="24"/>
                <w:lang w:val="en-US" w:eastAsia="zh-CN"/>
              </w:rPr>
              <w:t>交由有资质单位处置。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④</w:t>
            </w:r>
            <w:r>
              <w:rPr>
                <w:rFonts w:hint="eastAsia" w:ascii="Times New Roman" w:hAnsi="Times New Roman" w:eastAsia="宋体" w:cs="Times New Roman"/>
                <w:b w:val="0"/>
                <w:bCs w:val="0"/>
                <w:color w:val="auto"/>
                <w:sz w:val="24"/>
                <w:szCs w:val="24"/>
                <w:lang w:val="en-US" w:eastAsia="zh-CN"/>
              </w:rPr>
              <w:t>废胶：本项目废胶产生量约</w:t>
            </w:r>
            <w:r>
              <w:rPr>
                <w:rFonts w:hint="default" w:ascii="Times New Roman" w:hAnsi="Times New Roman" w:eastAsia="宋体" w:cs="Times New Roman"/>
                <w:b w:val="0"/>
                <w:bCs w:val="0"/>
                <w:color w:val="auto"/>
                <w:sz w:val="24"/>
                <w:szCs w:val="24"/>
                <w:lang w:val="en-US" w:eastAsia="zh-CN"/>
              </w:rPr>
              <w:t>0.5t</w:t>
            </w:r>
            <w:r>
              <w:rPr>
                <w:rFonts w:hint="eastAsia" w:ascii="Times New Roman" w:hAnsi="Times New Roman" w:eastAsia="宋体" w:cs="Times New Roman"/>
                <w:b w:val="0"/>
                <w:bCs w:val="0"/>
                <w:color w:val="auto"/>
                <w:sz w:val="24"/>
                <w:szCs w:val="24"/>
                <w:lang w:val="en-US" w:eastAsia="zh-CN"/>
              </w:rPr>
              <w:t>，根据《国家危险废物名录》（</w:t>
            </w:r>
            <w:r>
              <w:rPr>
                <w:rFonts w:hint="default" w:ascii="Times New Roman" w:hAnsi="Times New Roman" w:eastAsia="宋体" w:cs="Times New Roman"/>
                <w:b w:val="0"/>
                <w:bCs w:val="0"/>
                <w:color w:val="auto"/>
                <w:sz w:val="24"/>
                <w:szCs w:val="24"/>
                <w:lang w:val="en-US" w:eastAsia="zh-CN"/>
              </w:rPr>
              <w:t xml:space="preserve">2021 </w:t>
            </w:r>
            <w:r>
              <w:rPr>
                <w:rFonts w:hint="eastAsia" w:ascii="Times New Roman" w:hAnsi="Times New Roman" w:eastAsia="宋体" w:cs="Times New Roman"/>
                <w:b w:val="0"/>
                <w:bCs w:val="0"/>
                <w:color w:val="auto"/>
                <w:sz w:val="24"/>
                <w:szCs w:val="24"/>
                <w:lang w:val="en-US" w:eastAsia="zh-CN"/>
              </w:rPr>
              <w:t>版）废丁基胶、硅酮胶属于</w:t>
            </w:r>
            <w:r>
              <w:rPr>
                <w:rFonts w:hint="default" w:ascii="Times New Roman" w:hAnsi="Times New Roman" w:eastAsia="宋体" w:cs="Times New Roman"/>
                <w:b w:val="0"/>
                <w:bCs w:val="0"/>
                <w:color w:val="auto"/>
                <w:sz w:val="24"/>
                <w:szCs w:val="24"/>
                <w:lang w:val="en-US" w:eastAsia="zh-CN"/>
              </w:rPr>
              <w:t xml:space="preserve">“HW13 </w:t>
            </w:r>
            <w:r>
              <w:rPr>
                <w:rFonts w:hint="eastAsia" w:ascii="Times New Roman" w:hAnsi="Times New Roman" w:eastAsia="宋体" w:cs="Times New Roman"/>
                <w:b w:val="0"/>
                <w:bCs w:val="0"/>
                <w:color w:val="auto"/>
                <w:sz w:val="24"/>
                <w:szCs w:val="24"/>
                <w:lang w:val="en-US" w:eastAsia="zh-CN"/>
              </w:rPr>
              <w:t>有机树脂类废物（</w:t>
            </w:r>
            <w:r>
              <w:rPr>
                <w:rFonts w:hint="default" w:ascii="Times New Roman" w:hAnsi="Times New Roman" w:eastAsia="宋体" w:cs="Times New Roman"/>
                <w:b w:val="0"/>
                <w:bCs w:val="0"/>
                <w:color w:val="auto"/>
                <w:sz w:val="24"/>
                <w:szCs w:val="24"/>
                <w:lang w:val="en-US" w:eastAsia="zh-CN"/>
              </w:rPr>
              <w:t>900-014-13</w:t>
            </w:r>
            <w:r>
              <w:rPr>
                <w:rFonts w:hint="eastAsia" w:ascii="Times New Roman" w:hAnsi="Times New Roman" w:eastAsia="宋体" w:cs="Times New Roman"/>
                <w:b w:val="0"/>
                <w:bCs w:val="0"/>
                <w:color w:val="auto"/>
                <w:sz w:val="24"/>
                <w:szCs w:val="24"/>
                <w:lang w:val="en-US" w:eastAsia="zh-CN"/>
              </w:rPr>
              <w:t>）废弃的粘合剂和密封剂（不包括水基型和热熔型粘合剂和密封剂）</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收集后</w:t>
            </w:r>
            <w:r>
              <w:rPr>
                <w:rFonts w:hint="default" w:ascii="Times New Roman" w:hAnsi="Times New Roman" w:eastAsia="宋体" w:cs="Times New Roman"/>
                <w:b w:val="0"/>
                <w:bCs w:val="0"/>
                <w:color w:val="auto"/>
                <w:sz w:val="24"/>
                <w:szCs w:val="24"/>
                <w:lang w:eastAsia="zh-CN"/>
              </w:rPr>
              <w:t>危废贮存库</w:t>
            </w:r>
            <w:r>
              <w:rPr>
                <w:rFonts w:hint="default" w:ascii="Times New Roman" w:hAnsi="Times New Roman" w:eastAsia="宋体" w:cs="Times New Roman"/>
                <w:b w:val="0"/>
                <w:bCs w:val="0"/>
                <w:color w:val="auto"/>
                <w:sz w:val="24"/>
                <w:szCs w:val="24"/>
              </w:rPr>
              <w:t>内暂存，</w:t>
            </w:r>
            <w:r>
              <w:rPr>
                <w:rFonts w:hint="default" w:ascii="Times New Roman" w:hAnsi="Times New Roman" w:eastAsia="宋体" w:cs="Times New Roman"/>
                <w:b w:val="0"/>
                <w:bCs w:val="0"/>
                <w:color w:val="auto"/>
                <w:sz w:val="24"/>
                <w:szCs w:val="24"/>
                <w:lang w:val="en-US" w:eastAsia="zh-CN"/>
              </w:rPr>
              <w:t>交由有资质单位处置。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rPr>
            </w:pPr>
            <w:r>
              <w:rPr>
                <w:rFonts w:hint="eastAsia" w:ascii="宋体" w:hAnsi="宋体" w:eastAsia="宋体" w:cs="宋体"/>
                <w:b w:val="0"/>
                <w:bCs w:val="0"/>
                <w:color w:val="auto"/>
                <w:sz w:val="24"/>
                <w:szCs w:val="24"/>
              </w:rPr>
              <w:t>⑤</w:t>
            </w:r>
            <w:r>
              <w:rPr>
                <w:rFonts w:hint="default" w:ascii="Times New Roman" w:hAnsi="Times New Roman" w:eastAsia="宋体" w:cs="Times New Roman"/>
                <w:b w:val="0"/>
                <w:bCs w:val="0"/>
                <w:color w:val="auto"/>
                <w:sz w:val="24"/>
                <w:szCs w:val="24"/>
              </w:rPr>
              <w:t>废活性炭</w:t>
            </w:r>
          </w:p>
          <w:p>
            <w:pPr>
              <w:keepNext w:val="0"/>
              <w:keepLines w:val="0"/>
              <w:pageBreakBefore w:val="0"/>
              <w:numPr>
                <w:ilvl w:val="0"/>
                <w:numId w:val="0"/>
              </w:numPr>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项目营运期环保设备定期更换废活性炭，根据《现代涂装手册》（化学工业出版社，2010年出版），活性炭对有机废气等各成分的吸附量约为0.25g废气/1g活性炭。根据工程分析，本项目活性炭吸附装置处理非甲烷总烃为</w:t>
            </w:r>
            <w:r>
              <w:rPr>
                <w:rFonts w:hint="default" w:ascii="Times New Roman" w:hAnsi="Times New Roman" w:eastAsia="宋体" w:cs="Times New Roman"/>
                <w:color w:val="auto"/>
                <w:kern w:val="0"/>
                <w:sz w:val="24"/>
                <w:szCs w:val="24"/>
                <w:highlight w:val="none"/>
                <w:lang w:val="en-US" w:eastAsia="zh-CN"/>
              </w:rPr>
              <w:t>0.698</w:t>
            </w:r>
            <w:r>
              <w:rPr>
                <w:rFonts w:hint="default" w:ascii="Times New Roman" w:hAnsi="Times New Roman" w:eastAsia="宋体" w:cs="Times New Roman"/>
                <w:color w:val="auto"/>
                <w:kern w:val="0"/>
                <w:sz w:val="24"/>
                <w:szCs w:val="24"/>
                <w:highlight w:val="none"/>
              </w:rPr>
              <w:t>t/a，则吸附非甲烷总烃理论上所需活性炭为</w:t>
            </w:r>
            <w:r>
              <w:rPr>
                <w:rFonts w:hint="default" w:ascii="Times New Roman" w:hAnsi="Times New Roman" w:eastAsia="宋体" w:cs="Times New Roman"/>
                <w:color w:val="auto"/>
                <w:kern w:val="0"/>
                <w:sz w:val="24"/>
                <w:szCs w:val="24"/>
                <w:highlight w:val="none"/>
                <w:lang w:val="en-US" w:eastAsia="zh-CN"/>
              </w:rPr>
              <w:t>2.79</w:t>
            </w:r>
            <w:r>
              <w:rPr>
                <w:rFonts w:hint="default" w:ascii="Times New Roman" w:hAnsi="Times New Roman" w:eastAsia="宋体" w:cs="Times New Roman"/>
                <w:color w:val="auto"/>
                <w:kern w:val="0"/>
                <w:sz w:val="24"/>
                <w:szCs w:val="24"/>
                <w:highlight w:val="none"/>
              </w:rPr>
              <w:t>t/a，产生废活性炭</w:t>
            </w:r>
            <w:r>
              <w:rPr>
                <w:rFonts w:hint="default" w:ascii="Times New Roman" w:hAnsi="Times New Roman" w:eastAsia="宋体" w:cs="Times New Roman"/>
                <w:color w:val="auto"/>
                <w:kern w:val="0"/>
                <w:sz w:val="24"/>
                <w:szCs w:val="24"/>
                <w:highlight w:val="none"/>
                <w:lang w:val="en-US" w:eastAsia="zh-CN"/>
              </w:rPr>
              <w:t>3.49</w:t>
            </w:r>
            <w:r>
              <w:rPr>
                <w:rFonts w:hint="default" w:ascii="Times New Roman" w:hAnsi="Times New Roman" w:eastAsia="宋体" w:cs="Times New Roman"/>
                <w:color w:val="auto"/>
                <w:kern w:val="0"/>
                <w:sz w:val="24"/>
                <w:szCs w:val="24"/>
                <w:highlight w:val="none"/>
              </w:rPr>
              <w:t>t/a，更换下来的废活性炭属于危险废物（危废类别HW49，危废代码 900-039-49），收集后暂存于</w:t>
            </w:r>
            <w:r>
              <w:rPr>
                <w:rFonts w:hint="eastAsia" w:cs="Times New Roman"/>
                <w:color w:val="auto"/>
                <w:kern w:val="0"/>
                <w:sz w:val="24"/>
                <w:szCs w:val="24"/>
                <w:highlight w:val="none"/>
                <w:lang w:eastAsia="zh-CN"/>
              </w:rPr>
              <w:t>危废贮存库</w:t>
            </w:r>
            <w:r>
              <w:rPr>
                <w:rFonts w:hint="default" w:ascii="Times New Roman" w:hAnsi="Times New Roman" w:eastAsia="宋体" w:cs="Times New Roman"/>
                <w:color w:val="auto"/>
                <w:kern w:val="0"/>
                <w:sz w:val="24"/>
                <w:szCs w:val="24"/>
                <w:highlight w:val="none"/>
              </w:rPr>
              <w:t>，定期交有资质单位处置。</w:t>
            </w:r>
          </w:p>
          <w:p>
            <w:pPr>
              <w:keepNext w:val="0"/>
              <w:keepLines w:val="0"/>
              <w:pageBreakBefore w:val="0"/>
              <w:numPr>
                <w:ilvl w:val="0"/>
                <w:numId w:val="0"/>
              </w:numPr>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根据西安市生态环境局</w:t>
            </w:r>
            <w:r>
              <w:rPr>
                <w:rFonts w:hint="default" w:ascii="Times New Roman" w:hAnsi="Times New Roman" w:eastAsia="宋体" w:cs="Times New Roman"/>
                <w:color w:val="auto"/>
                <w:kern w:val="0"/>
                <w:sz w:val="24"/>
                <w:szCs w:val="24"/>
                <w:highlight w:val="none"/>
                <w:lang w:eastAsia="zh-CN"/>
              </w:rPr>
              <w:t>《关于加强挥发性有机物活性炭吸附处理设施运行管理工作的通知（市环发【</w:t>
            </w:r>
            <w:r>
              <w:rPr>
                <w:rFonts w:hint="default" w:ascii="Times New Roman" w:hAnsi="Times New Roman" w:eastAsia="宋体" w:cs="Times New Roman"/>
                <w:color w:val="auto"/>
                <w:kern w:val="0"/>
                <w:sz w:val="24"/>
                <w:szCs w:val="24"/>
                <w:highlight w:val="none"/>
                <w:lang w:val="en-US" w:eastAsia="zh-CN"/>
              </w:rPr>
              <w:t>2022</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65号</w:t>
            </w:r>
            <w:r>
              <w:rPr>
                <w:rFonts w:hint="default" w:ascii="Times New Roman" w:hAnsi="Times New Roman" w:eastAsia="宋体" w:cs="Times New Roman"/>
                <w:color w:val="auto"/>
                <w:kern w:val="0"/>
                <w:sz w:val="24"/>
                <w:szCs w:val="24"/>
                <w:highlight w:val="none"/>
                <w:lang w:eastAsia="zh-CN"/>
              </w:rPr>
              <w:t>）》要求：</w:t>
            </w:r>
            <w:r>
              <w:rPr>
                <w:rFonts w:hint="default" w:ascii="Times New Roman" w:hAnsi="Times New Roman" w:eastAsia="宋体" w:cs="Times New Roman"/>
                <w:color w:val="auto"/>
                <w:kern w:val="0"/>
                <w:sz w:val="24"/>
                <w:szCs w:val="24"/>
                <w:highlight w:val="none"/>
                <w:lang w:val="en-US" w:eastAsia="zh-CN"/>
              </w:rPr>
              <w:t>VOCs初始浓度在100mg/m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以下的活性炭填充量不少于0.5吨。</w:t>
            </w:r>
            <w:r>
              <w:rPr>
                <w:rFonts w:hint="default" w:ascii="Times New Roman" w:hAnsi="Times New Roman" w:eastAsia="宋体" w:cs="Times New Roman"/>
                <w:color w:val="auto"/>
                <w:kern w:val="0"/>
                <w:sz w:val="24"/>
                <w:szCs w:val="24"/>
                <w:highlight w:val="none"/>
                <w:lang w:eastAsia="zh-CN"/>
              </w:rPr>
              <w:t>活性炭</w:t>
            </w:r>
            <w:r>
              <w:rPr>
                <w:rFonts w:hint="default" w:ascii="Times New Roman" w:hAnsi="Times New Roman" w:eastAsia="宋体" w:cs="Times New Roman"/>
                <w:color w:val="auto"/>
                <w:kern w:val="0"/>
                <w:sz w:val="24"/>
                <w:szCs w:val="24"/>
                <w:highlight w:val="none"/>
                <w:lang w:val="en-US" w:eastAsia="zh-CN"/>
              </w:rPr>
              <w:t xml:space="preserve">累计运行500小时或3个月（从严执行）更换一次。环评要求企业有机废气处理时采用的活性炭碘值不低于800毫克/克，并按设计要求足量添加及时更换。 </w:t>
            </w:r>
          </w:p>
          <w:p>
            <w:pPr>
              <w:keepNext w:val="0"/>
              <w:keepLines w:val="0"/>
              <w:pageBreakBefore w:val="0"/>
              <w:numPr>
                <w:ilvl w:val="0"/>
                <w:numId w:val="0"/>
              </w:numPr>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color w:val="auto"/>
                <w:kern w:val="0"/>
                <w:sz w:val="24"/>
                <w:szCs w:val="24"/>
              </w:rPr>
              <w:t>项目危险废物产生情况见</w:t>
            </w:r>
            <w:r>
              <w:rPr>
                <w:rFonts w:hint="eastAsia" w:ascii="Times New Roman" w:hAnsi="Times New Roman" w:eastAsia="宋体" w:cs="Times New Roman"/>
                <w:color w:val="auto"/>
                <w:sz w:val="24"/>
                <w:szCs w:val="24"/>
                <w:lang w:val="en-US" w:eastAsia="zh-CN"/>
              </w:rPr>
              <w:t>下</w:t>
            </w: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kern w:val="0"/>
                <w:sz w:val="24"/>
                <w:szCs w:val="24"/>
              </w:rPr>
              <w:t>。</w:t>
            </w:r>
          </w:p>
          <w:p>
            <w:pPr>
              <w:keepNext w:val="0"/>
              <w:keepLines w:val="0"/>
              <w:pageBreakBefore w:val="0"/>
              <w:widowControl w:val="0"/>
              <w:kinsoku/>
              <w:wordWrap/>
              <w:overflowPunct/>
              <w:topLinePunct/>
              <w:autoSpaceDE/>
              <w:autoSpaceDN/>
              <w:bidi w:val="0"/>
              <w:snapToGrid w:val="0"/>
              <w:spacing w:line="360" w:lineRule="auto"/>
              <w:ind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w:t>
            </w:r>
            <w:r>
              <w:rPr>
                <w:rFonts w:hint="eastAsia" w:ascii="Times New Roman" w:hAnsi="Times New Roman" w:eastAsia="宋体" w:cs="Times New Roman"/>
                <w:b/>
                <w:bCs/>
                <w:color w:val="auto"/>
                <w:sz w:val="24"/>
                <w:szCs w:val="24"/>
                <w:lang w:val="en-US" w:eastAsia="zh-CN"/>
              </w:rPr>
              <w:t>-10</w:t>
            </w:r>
            <w:r>
              <w:rPr>
                <w:rFonts w:hint="default" w:ascii="Times New Roman" w:hAnsi="Times New Roman" w:eastAsia="宋体" w:cs="Times New Roman"/>
                <w:b/>
                <w:bCs/>
                <w:color w:val="auto"/>
                <w:sz w:val="24"/>
                <w:szCs w:val="24"/>
              </w:rPr>
              <w:t xml:space="preserve">  项目危险废物产生情况表</w:t>
            </w:r>
          </w:p>
          <w:tbl>
            <w:tblPr>
              <w:tblStyle w:val="34"/>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372"/>
              <w:gridCol w:w="972"/>
              <w:gridCol w:w="1084"/>
              <w:gridCol w:w="1224"/>
              <w:gridCol w:w="879"/>
              <w:gridCol w:w="975"/>
              <w:gridCol w:w="712"/>
              <w:gridCol w:w="714"/>
              <w:gridCol w:w="9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35"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序号</w:t>
                  </w:r>
                </w:p>
              </w:tc>
              <w:tc>
                <w:tcPr>
                  <w:tcW w:w="614"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危险废物名称</w:t>
                  </w:r>
                </w:p>
              </w:tc>
              <w:tc>
                <w:tcPr>
                  <w:tcW w:w="685"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危险废物类别</w:t>
                  </w:r>
                </w:p>
              </w:tc>
              <w:tc>
                <w:tcPr>
                  <w:tcW w:w="773"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危险废物代码</w:t>
                  </w:r>
                </w:p>
              </w:tc>
              <w:tc>
                <w:tcPr>
                  <w:tcW w:w="555"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产生量（t/a）</w:t>
                  </w:r>
                </w:p>
              </w:tc>
              <w:tc>
                <w:tcPr>
                  <w:tcW w:w="616"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产生工序及装置</w:t>
                  </w:r>
                </w:p>
              </w:tc>
              <w:tc>
                <w:tcPr>
                  <w:tcW w:w="450"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形态</w:t>
                  </w:r>
                </w:p>
              </w:tc>
              <w:tc>
                <w:tcPr>
                  <w:tcW w:w="451"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危险特性</w:t>
                  </w:r>
                </w:p>
              </w:tc>
              <w:tc>
                <w:tcPr>
                  <w:tcW w:w="616"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污染防治措施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35"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614"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废机油</w:t>
                  </w:r>
                </w:p>
              </w:tc>
              <w:tc>
                <w:tcPr>
                  <w:tcW w:w="685"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rPr>
                    <w:t>HW0</w:t>
                  </w:r>
                  <w:r>
                    <w:rPr>
                      <w:rFonts w:hint="default" w:ascii="Times New Roman" w:hAnsi="Times New Roman" w:eastAsia="宋体" w:cs="Times New Roman"/>
                      <w:snapToGrid w:val="0"/>
                      <w:color w:val="auto"/>
                      <w:kern w:val="0"/>
                      <w:sz w:val="21"/>
                      <w:szCs w:val="21"/>
                      <w:lang w:val="en-US" w:eastAsia="zh-CN"/>
                    </w:rPr>
                    <w:t>8</w:t>
                  </w:r>
                </w:p>
              </w:tc>
              <w:tc>
                <w:tcPr>
                  <w:tcW w:w="773"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snapToGrid w:val="0"/>
                      <w:color w:val="auto"/>
                      <w:kern w:val="0"/>
                      <w:sz w:val="21"/>
                      <w:szCs w:val="21"/>
                      <w:lang w:val="en-US"/>
                    </w:rPr>
                  </w:pPr>
                  <w:r>
                    <w:rPr>
                      <w:rFonts w:hint="default" w:ascii="Times New Roman" w:hAnsi="Times New Roman" w:eastAsia="宋体" w:cs="Times New Roman"/>
                      <w:snapToGrid w:val="0"/>
                      <w:color w:val="auto"/>
                      <w:kern w:val="0"/>
                      <w:sz w:val="21"/>
                      <w:szCs w:val="21"/>
                    </w:rPr>
                    <w:t>900-</w:t>
                  </w:r>
                  <w:r>
                    <w:rPr>
                      <w:rFonts w:hint="default" w:ascii="Times New Roman" w:hAnsi="Times New Roman" w:eastAsia="宋体" w:cs="Times New Roman"/>
                      <w:snapToGrid w:val="0"/>
                      <w:color w:val="auto"/>
                      <w:kern w:val="0"/>
                      <w:sz w:val="21"/>
                      <w:szCs w:val="21"/>
                      <w:lang w:val="en-US" w:eastAsia="zh-CN"/>
                    </w:rPr>
                    <w:t>249</w:t>
                  </w:r>
                  <w:r>
                    <w:rPr>
                      <w:rFonts w:hint="default" w:ascii="Times New Roman" w:hAnsi="Times New Roman" w:eastAsia="宋体" w:cs="Times New Roman"/>
                      <w:snapToGrid w:val="0"/>
                      <w:color w:val="auto"/>
                      <w:kern w:val="0"/>
                      <w:sz w:val="21"/>
                      <w:szCs w:val="21"/>
                    </w:rPr>
                    <w:t>-</w:t>
                  </w:r>
                  <w:r>
                    <w:rPr>
                      <w:rFonts w:hint="default" w:ascii="Times New Roman" w:hAnsi="Times New Roman" w:eastAsia="宋体" w:cs="Times New Roman"/>
                      <w:snapToGrid w:val="0"/>
                      <w:color w:val="auto"/>
                      <w:kern w:val="0"/>
                      <w:sz w:val="21"/>
                      <w:szCs w:val="21"/>
                      <w:lang w:val="en-US" w:eastAsia="zh-CN"/>
                    </w:rPr>
                    <w:t>08</w:t>
                  </w:r>
                </w:p>
              </w:tc>
              <w:tc>
                <w:tcPr>
                  <w:tcW w:w="555"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0.</w:t>
                  </w:r>
                  <w:r>
                    <w:rPr>
                      <w:rFonts w:hint="eastAsia" w:cs="Times New Roman"/>
                      <w:color w:val="auto"/>
                      <w:kern w:val="0"/>
                      <w:sz w:val="21"/>
                      <w:szCs w:val="21"/>
                      <w:lang w:val="en-US" w:eastAsia="zh-CN"/>
                    </w:rPr>
                    <w:t>10</w:t>
                  </w:r>
                </w:p>
              </w:tc>
              <w:tc>
                <w:tcPr>
                  <w:tcW w:w="616"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设备维修</w:t>
                  </w:r>
                </w:p>
              </w:tc>
              <w:tc>
                <w:tcPr>
                  <w:tcW w:w="450"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固态</w:t>
                  </w:r>
                </w:p>
              </w:tc>
              <w:tc>
                <w:tcPr>
                  <w:tcW w:w="451"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T，I</w:t>
                  </w:r>
                </w:p>
              </w:tc>
              <w:tc>
                <w:tcPr>
                  <w:tcW w:w="616" w:type="pct"/>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危废贮存库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35"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614"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废机油桶</w:t>
                  </w:r>
                </w:p>
              </w:tc>
              <w:tc>
                <w:tcPr>
                  <w:tcW w:w="685"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rPr>
                    <w:t>HW</w:t>
                  </w:r>
                  <w:r>
                    <w:rPr>
                      <w:rFonts w:hint="default" w:ascii="Times New Roman" w:hAnsi="Times New Roman" w:eastAsia="宋体" w:cs="Times New Roman"/>
                      <w:snapToGrid w:val="0"/>
                      <w:color w:val="auto"/>
                      <w:kern w:val="0"/>
                      <w:sz w:val="21"/>
                      <w:szCs w:val="21"/>
                      <w:lang w:val="en-US" w:eastAsia="zh-CN"/>
                    </w:rPr>
                    <w:t>49</w:t>
                  </w:r>
                </w:p>
              </w:tc>
              <w:tc>
                <w:tcPr>
                  <w:tcW w:w="773"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rPr>
                    <w:t>900</w:t>
                  </w:r>
                  <w:r>
                    <w:rPr>
                      <w:rFonts w:hint="default" w:ascii="Times New Roman" w:hAnsi="Times New Roman" w:eastAsia="宋体" w:cs="Times New Roman"/>
                      <w:snapToGrid w:val="0"/>
                      <w:color w:val="auto"/>
                      <w:kern w:val="0"/>
                      <w:sz w:val="21"/>
                      <w:szCs w:val="21"/>
                      <w:lang w:val="en-US" w:eastAsia="zh-CN"/>
                    </w:rPr>
                    <w:t>-041</w:t>
                  </w:r>
                  <w:r>
                    <w:rPr>
                      <w:rFonts w:hint="default" w:ascii="Times New Roman" w:hAnsi="Times New Roman" w:eastAsia="宋体" w:cs="Times New Roman"/>
                      <w:snapToGrid w:val="0"/>
                      <w:color w:val="auto"/>
                      <w:kern w:val="0"/>
                      <w:sz w:val="21"/>
                      <w:szCs w:val="21"/>
                    </w:rPr>
                    <w:t>-</w:t>
                  </w:r>
                  <w:r>
                    <w:rPr>
                      <w:rFonts w:hint="default" w:ascii="Times New Roman" w:hAnsi="Times New Roman" w:eastAsia="宋体" w:cs="Times New Roman"/>
                      <w:snapToGrid w:val="0"/>
                      <w:color w:val="auto"/>
                      <w:kern w:val="0"/>
                      <w:sz w:val="21"/>
                      <w:szCs w:val="21"/>
                      <w:lang w:val="en-US" w:eastAsia="zh-CN"/>
                    </w:rPr>
                    <w:t>49</w:t>
                  </w:r>
                </w:p>
              </w:tc>
              <w:tc>
                <w:tcPr>
                  <w:tcW w:w="555"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0.10</w:t>
                  </w:r>
                </w:p>
              </w:tc>
              <w:tc>
                <w:tcPr>
                  <w:tcW w:w="616"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设备维修</w:t>
                  </w:r>
                </w:p>
              </w:tc>
              <w:tc>
                <w:tcPr>
                  <w:tcW w:w="450"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lang w:val="en-US" w:eastAsia="zh-CN"/>
                    </w:rPr>
                    <w:t>固态</w:t>
                  </w:r>
                </w:p>
              </w:tc>
              <w:tc>
                <w:tcPr>
                  <w:tcW w:w="451"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T/In</w:t>
                  </w:r>
                </w:p>
              </w:tc>
              <w:tc>
                <w:tcPr>
                  <w:tcW w:w="616" w:type="pct"/>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35"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w:t>
                  </w:r>
                </w:p>
              </w:tc>
              <w:tc>
                <w:tcPr>
                  <w:tcW w:w="614"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废含油抹布及手套</w:t>
                  </w:r>
                </w:p>
              </w:tc>
              <w:tc>
                <w:tcPr>
                  <w:tcW w:w="685"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rPr>
                    <w:t>HW</w:t>
                  </w:r>
                  <w:r>
                    <w:rPr>
                      <w:rFonts w:hint="default" w:ascii="Times New Roman" w:hAnsi="Times New Roman" w:eastAsia="宋体" w:cs="Times New Roman"/>
                      <w:snapToGrid w:val="0"/>
                      <w:color w:val="auto"/>
                      <w:kern w:val="0"/>
                      <w:sz w:val="21"/>
                      <w:szCs w:val="21"/>
                      <w:lang w:val="en-US" w:eastAsia="zh-CN"/>
                    </w:rPr>
                    <w:t>49</w:t>
                  </w:r>
                </w:p>
              </w:tc>
              <w:tc>
                <w:tcPr>
                  <w:tcW w:w="773"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rPr>
                    <w:t>900</w:t>
                  </w:r>
                  <w:r>
                    <w:rPr>
                      <w:rFonts w:hint="default" w:ascii="Times New Roman" w:hAnsi="Times New Roman" w:eastAsia="宋体" w:cs="Times New Roman"/>
                      <w:snapToGrid w:val="0"/>
                      <w:color w:val="auto"/>
                      <w:kern w:val="0"/>
                      <w:sz w:val="21"/>
                      <w:szCs w:val="21"/>
                      <w:lang w:val="en-US" w:eastAsia="zh-CN"/>
                    </w:rPr>
                    <w:t>-041</w:t>
                  </w:r>
                  <w:r>
                    <w:rPr>
                      <w:rFonts w:hint="default" w:ascii="Times New Roman" w:hAnsi="Times New Roman" w:eastAsia="宋体" w:cs="Times New Roman"/>
                      <w:snapToGrid w:val="0"/>
                      <w:color w:val="auto"/>
                      <w:kern w:val="0"/>
                      <w:sz w:val="21"/>
                      <w:szCs w:val="21"/>
                    </w:rPr>
                    <w:t>-</w:t>
                  </w:r>
                  <w:r>
                    <w:rPr>
                      <w:rFonts w:hint="default" w:ascii="Times New Roman" w:hAnsi="Times New Roman" w:eastAsia="宋体" w:cs="Times New Roman"/>
                      <w:snapToGrid w:val="0"/>
                      <w:color w:val="auto"/>
                      <w:kern w:val="0"/>
                      <w:sz w:val="21"/>
                      <w:szCs w:val="21"/>
                      <w:lang w:val="en-US" w:eastAsia="zh-CN"/>
                    </w:rPr>
                    <w:t>49</w:t>
                  </w:r>
                </w:p>
              </w:tc>
              <w:tc>
                <w:tcPr>
                  <w:tcW w:w="555"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rPr>
                    <w:t>0.</w:t>
                  </w:r>
                  <w:r>
                    <w:rPr>
                      <w:rFonts w:hint="default" w:ascii="Times New Roman" w:hAnsi="Times New Roman" w:eastAsia="宋体" w:cs="Times New Roman"/>
                      <w:snapToGrid w:val="0"/>
                      <w:color w:val="auto"/>
                      <w:kern w:val="0"/>
                      <w:sz w:val="21"/>
                      <w:szCs w:val="21"/>
                      <w:lang w:val="en-US" w:eastAsia="zh-CN"/>
                    </w:rPr>
                    <w:t>02</w:t>
                  </w:r>
                </w:p>
              </w:tc>
              <w:tc>
                <w:tcPr>
                  <w:tcW w:w="616"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rPr>
                    <w:t>设备维修</w:t>
                  </w:r>
                </w:p>
              </w:tc>
              <w:tc>
                <w:tcPr>
                  <w:tcW w:w="450"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rPr>
                    <w:t>液态</w:t>
                  </w:r>
                </w:p>
              </w:tc>
              <w:tc>
                <w:tcPr>
                  <w:tcW w:w="451"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rPr>
                    <w:t>T/In</w:t>
                  </w:r>
                </w:p>
              </w:tc>
              <w:tc>
                <w:tcPr>
                  <w:tcW w:w="616" w:type="pct"/>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35"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w:t>
                  </w:r>
                </w:p>
              </w:tc>
              <w:tc>
                <w:tcPr>
                  <w:tcW w:w="614"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lang w:val="en-US" w:eastAsia="zh-CN"/>
                    </w:rPr>
                    <w:t>废胶</w:t>
                  </w:r>
                </w:p>
              </w:tc>
              <w:tc>
                <w:tcPr>
                  <w:tcW w:w="685"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lang w:val="en-US" w:eastAsia="zh-CN"/>
                    </w:rPr>
                    <w:t>HW13</w:t>
                  </w:r>
                </w:p>
              </w:tc>
              <w:tc>
                <w:tcPr>
                  <w:tcW w:w="773"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lang w:val="en-US" w:eastAsia="zh-CN"/>
                    </w:rPr>
                    <w:t>900-014-13</w:t>
                  </w:r>
                </w:p>
              </w:tc>
              <w:tc>
                <w:tcPr>
                  <w:tcW w:w="555"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snapToGrid w:val="0"/>
                      <w:color w:val="auto"/>
                      <w:kern w:val="0"/>
                      <w:sz w:val="21"/>
                      <w:szCs w:val="21"/>
                      <w:lang w:val="en-US" w:eastAsia="zh-CN"/>
                    </w:rPr>
                  </w:pPr>
                  <w:r>
                    <w:rPr>
                      <w:rFonts w:hint="eastAsia" w:ascii="Times New Roman" w:hAnsi="Times New Roman" w:eastAsia="宋体" w:cs="Times New Roman"/>
                      <w:snapToGrid w:val="0"/>
                      <w:color w:val="auto"/>
                      <w:kern w:val="0"/>
                      <w:sz w:val="21"/>
                      <w:szCs w:val="21"/>
                      <w:lang w:val="en-US" w:eastAsia="zh-CN"/>
                    </w:rPr>
                    <w:t>0.5</w:t>
                  </w:r>
                </w:p>
              </w:tc>
              <w:tc>
                <w:tcPr>
                  <w:tcW w:w="616"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snapToGrid w:val="0"/>
                      <w:color w:val="auto"/>
                      <w:kern w:val="0"/>
                      <w:sz w:val="21"/>
                      <w:szCs w:val="21"/>
                      <w:lang w:val="en-US" w:eastAsia="zh-CN"/>
                    </w:rPr>
                  </w:pPr>
                  <w:r>
                    <w:rPr>
                      <w:rFonts w:hint="eastAsia" w:ascii="Times New Roman" w:hAnsi="Times New Roman" w:eastAsia="宋体" w:cs="Times New Roman"/>
                      <w:snapToGrid w:val="0"/>
                      <w:color w:val="auto"/>
                      <w:kern w:val="0"/>
                      <w:sz w:val="21"/>
                      <w:szCs w:val="21"/>
                      <w:lang w:val="en-US" w:eastAsia="zh-CN"/>
                    </w:rPr>
                    <w:t>生产工序</w:t>
                  </w:r>
                </w:p>
              </w:tc>
              <w:tc>
                <w:tcPr>
                  <w:tcW w:w="450"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液态</w:t>
                  </w:r>
                </w:p>
              </w:tc>
              <w:tc>
                <w:tcPr>
                  <w:tcW w:w="451"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eastAsia" w:ascii="Times New Roman" w:hAnsi="Times New Roman" w:eastAsia="宋体" w:cs="Times New Roman"/>
                      <w:snapToGrid w:val="0"/>
                      <w:color w:val="auto"/>
                      <w:kern w:val="0"/>
                      <w:sz w:val="21"/>
                      <w:szCs w:val="21"/>
                      <w:lang w:val="en-US" w:eastAsia="zh-CN"/>
                    </w:rPr>
                  </w:pPr>
                  <w:r>
                    <w:rPr>
                      <w:rFonts w:hint="eastAsia" w:ascii="Times New Roman" w:hAnsi="Times New Roman" w:eastAsia="宋体" w:cs="Times New Roman"/>
                      <w:snapToGrid w:val="0"/>
                      <w:color w:val="auto"/>
                      <w:kern w:val="0"/>
                      <w:sz w:val="21"/>
                      <w:szCs w:val="21"/>
                      <w:lang w:val="en-US" w:eastAsia="zh-CN"/>
                    </w:rPr>
                    <w:t>T</w:t>
                  </w:r>
                </w:p>
              </w:tc>
              <w:tc>
                <w:tcPr>
                  <w:tcW w:w="616" w:type="pct"/>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35"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5</w:t>
                  </w:r>
                </w:p>
              </w:tc>
              <w:tc>
                <w:tcPr>
                  <w:tcW w:w="614"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rPr>
                    <w:t>废活性炭</w:t>
                  </w:r>
                </w:p>
              </w:tc>
              <w:tc>
                <w:tcPr>
                  <w:tcW w:w="685"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rPr>
                    <w:t>HW49</w:t>
                  </w:r>
                </w:p>
              </w:tc>
              <w:tc>
                <w:tcPr>
                  <w:tcW w:w="773"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rPr>
                    <w:t>900-039-49</w:t>
                  </w:r>
                </w:p>
              </w:tc>
              <w:tc>
                <w:tcPr>
                  <w:tcW w:w="555"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3.49</w:t>
                  </w:r>
                </w:p>
              </w:tc>
              <w:tc>
                <w:tcPr>
                  <w:tcW w:w="616"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rPr>
                    <w:t>废气处理</w:t>
                  </w:r>
                </w:p>
              </w:tc>
              <w:tc>
                <w:tcPr>
                  <w:tcW w:w="450"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rPr>
                    <w:t>固态</w:t>
                  </w:r>
                </w:p>
              </w:tc>
              <w:tc>
                <w:tcPr>
                  <w:tcW w:w="451" w:type="pct"/>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rPr>
                    <w:t>T</w:t>
                  </w:r>
                </w:p>
              </w:tc>
              <w:tc>
                <w:tcPr>
                  <w:tcW w:w="616" w:type="pct"/>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napToGrid w:val="0"/>
                    <w:spacing w:line="240" w:lineRule="auto"/>
                    <w:ind w:right="0" w:firstLine="0" w:firstLineChars="0"/>
                    <w:jc w:val="center"/>
                    <w:rPr>
                      <w:rFonts w:hint="default" w:ascii="Times New Roman" w:hAnsi="Times New Roman" w:eastAsia="宋体" w:cs="Times New Roman"/>
                      <w:color w:val="auto"/>
                      <w:kern w:val="0"/>
                      <w:sz w:val="21"/>
                      <w:szCs w:val="21"/>
                    </w:rPr>
                  </w:pPr>
                </w:p>
              </w:tc>
            </w:tr>
          </w:tbl>
          <w:p>
            <w:pPr>
              <w:autoSpaceDE w:val="0"/>
              <w:autoSpaceDN w:val="0"/>
              <w:spacing w:before="120" w:beforeLines="50"/>
              <w:ind w:firstLine="48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注：毒性（Toxicity,T）、腐蚀性（Corrosivity,C）、易燃性（Ignitability,I）、反应性（Reactivity,R）和感染性（Infectivity,In）。</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本项目固废产生情况详见</w:t>
            </w:r>
            <w:r>
              <w:rPr>
                <w:rFonts w:hint="eastAsia" w:ascii="Times New Roman" w:hAnsi="Times New Roman" w:eastAsia="宋体" w:cs="Times New Roman"/>
                <w:color w:val="auto"/>
                <w:sz w:val="24"/>
                <w:lang w:val="en-US" w:eastAsia="zh-CN"/>
              </w:rPr>
              <w:t>下</w:t>
            </w:r>
            <w:r>
              <w:rPr>
                <w:rFonts w:hint="default" w:ascii="Times New Roman" w:hAnsi="Times New Roman" w:eastAsia="宋体" w:cs="Times New Roman"/>
                <w:color w:val="auto"/>
                <w:sz w:val="24"/>
              </w:rPr>
              <w:t>表，项目运营期固废去向明确，不产生二次污染。</w:t>
            </w:r>
          </w:p>
          <w:p>
            <w:pPr>
              <w:keepNext w:val="0"/>
              <w:keepLines w:val="0"/>
              <w:pageBreakBefore w:val="0"/>
              <w:widowControl w:val="0"/>
              <w:kinsoku/>
              <w:wordWrap/>
              <w:overflowPunct/>
              <w:autoSpaceDE/>
              <w:autoSpaceDN/>
              <w:bidi w:val="0"/>
              <w:snapToGrid w:val="0"/>
              <w:spacing w:line="360" w:lineRule="auto"/>
              <w:ind w:firstLine="0" w:firstLineChars="0"/>
              <w:jc w:val="center"/>
              <w:textAlignment w:val="auto"/>
              <w:outlineLvl w:val="9"/>
              <w:rPr>
                <w:rFonts w:hint="default" w:ascii="Times New Roman" w:hAnsi="Times New Roman" w:eastAsia="宋体" w:cs="Times New Roman"/>
                <w:b/>
                <w:bCs/>
                <w:snapToGrid w:val="0"/>
                <w:color w:val="auto"/>
                <w:kern w:val="0"/>
                <w:sz w:val="24"/>
                <w:szCs w:val="24"/>
              </w:rPr>
            </w:pPr>
            <w:r>
              <w:rPr>
                <w:rFonts w:hint="default" w:ascii="Times New Roman" w:hAnsi="Times New Roman" w:eastAsia="宋体" w:cs="Times New Roman"/>
                <w:b/>
                <w:bCs/>
                <w:snapToGrid w:val="0"/>
                <w:color w:val="auto"/>
                <w:kern w:val="0"/>
                <w:sz w:val="24"/>
                <w:szCs w:val="24"/>
              </w:rPr>
              <w:t>表4-</w:t>
            </w:r>
            <w:r>
              <w:rPr>
                <w:rFonts w:hint="default" w:ascii="Times New Roman" w:hAnsi="Times New Roman" w:eastAsia="宋体" w:cs="Times New Roman"/>
                <w:b/>
                <w:bCs/>
                <w:snapToGrid w:val="0"/>
                <w:color w:val="auto"/>
                <w:kern w:val="0"/>
                <w:sz w:val="24"/>
                <w:szCs w:val="24"/>
                <w:lang w:val="en-US" w:eastAsia="zh-CN"/>
              </w:rPr>
              <w:t>1</w:t>
            </w:r>
            <w:r>
              <w:rPr>
                <w:rFonts w:hint="eastAsia" w:ascii="Times New Roman" w:hAnsi="Times New Roman" w:eastAsia="宋体" w:cs="Times New Roman"/>
                <w:b/>
                <w:bCs/>
                <w:snapToGrid w:val="0"/>
                <w:color w:val="auto"/>
                <w:kern w:val="0"/>
                <w:sz w:val="24"/>
                <w:szCs w:val="24"/>
                <w:lang w:val="en-US" w:eastAsia="zh-CN"/>
              </w:rPr>
              <w:t>1</w:t>
            </w:r>
            <w:r>
              <w:rPr>
                <w:rFonts w:hint="default" w:ascii="Times New Roman" w:hAnsi="Times New Roman" w:eastAsia="宋体" w:cs="Times New Roman"/>
                <w:b/>
                <w:bCs/>
                <w:snapToGrid w:val="0"/>
                <w:color w:val="auto"/>
                <w:kern w:val="0"/>
                <w:sz w:val="24"/>
                <w:szCs w:val="24"/>
                <w:lang w:val="en-US" w:eastAsia="zh-CN"/>
              </w:rPr>
              <w:t xml:space="preserve"> </w:t>
            </w:r>
            <w:r>
              <w:rPr>
                <w:rFonts w:hint="default" w:ascii="Times New Roman" w:hAnsi="Times New Roman" w:eastAsia="宋体" w:cs="Times New Roman"/>
                <w:b/>
                <w:bCs/>
                <w:snapToGrid w:val="0"/>
                <w:color w:val="auto"/>
                <w:kern w:val="0"/>
                <w:sz w:val="24"/>
                <w:szCs w:val="24"/>
              </w:rPr>
              <w:t xml:space="preserve"> 固体废弃物产排情况一览表</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52"/>
              <w:gridCol w:w="377"/>
              <w:gridCol w:w="1193"/>
              <w:gridCol w:w="786"/>
              <w:gridCol w:w="1601"/>
              <w:gridCol w:w="538"/>
              <w:gridCol w:w="862"/>
              <w:gridCol w:w="713"/>
              <w:gridCol w:w="12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9" w:hRule="atLeast"/>
                <w:jc w:val="center"/>
              </w:trPr>
              <w:tc>
                <w:tcPr>
                  <w:tcW w:w="3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产生环节</w:t>
                  </w:r>
                </w:p>
              </w:tc>
              <w:tc>
                <w:tcPr>
                  <w:tcW w:w="23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固废类别</w:t>
                  </w:r>
                </w:p>
              </w:tc>
              <w:tc>
                <w:tcPr>
                  <w:tcW w:w="75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名称</w:t>
                  </w:r>
                </w:p>
              </w:tc>
              <w:tc>
                <w:tcPr>
                  <w:tcW w:w="49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形态</w:t>
                  </w:r>
                </w:p>
              </w:tc>
              <w:tc>
                <w:tcPr>
                  <w:tcW w:w="101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属性及编码</w:t>
                  </w:r>
                </w:p>
              </w:tc>
              <w:tc>
                <w:tcPr>
                  <w:tcW w:w="33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危险特性</w:t>
                  </w:r>
                </w:p>
              </w:tc>
              <w:tc>
                <w:tcPr>
                  <w:tcW w:w="54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产生量</w:t>
                  </w:r>
                </w:p>
              </w:tc>
              <w:tc>
                <w:tcPr>
                  <w:tcW w:w="45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贮存方式</w:t>
                  </w:r>
                </w:p>
              </w:tc>
              <w:tc>
                <w:tcPr>
                  <w:tcW w:w="81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处理方式及去向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生活、办公</w:t>
                  </w:r>
                </w:p>
              </w:tc>
              <w:tc>
                <w:tcPr>
                  <w:tcW w:w="23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生活垃圾</w:t>
                  </w:r>
                </w:p>
              </w:tc>
              <w:tc>
                <w:tcPr>
                  <w:tcW w:w="75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生活垃圾</w:t>
                  </w:r>
                </w:p>
              </w:tc>
              <w:tc>
                <w:tcPr>
                  <w:tcW w:w="49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固态</w:t>
                  </w:r>
                </w:p>
              </w:tc>
              <w:tc>
                <w:tcPr>
                  <w:tcW w:w="1011" w:type="pct"/>
                  <w:tcBorders>
                    <w:tl2br w:val="nil"/>
                    <w:tr2bl w:val="nil"/>
                  </w:tcBorders>
                  <w:shd w:val="clear" w:color="auto" w:fill="auto"/>
                  <w:vAlign w:val="center"/>
                </w:tcPr>
                <w:p>
                  <w:pPr>
                    <w:keepNext w:val="0"/>
                    <w:keepLines w:val="0"/>
                    <w:widowControl/>
                    <w:suppressLineNumbers w:val="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color w:val="000000"/>
                      <w:kern w:val="0"/>
                      <w:sz w:val="21"/>
                      <w:szCs w:val="21"/>
                      <w:lang w:val="en-US" w:eastAsia="zh-CN" w:bidi="ar"/>
                    </w:rPr>
                    <w:t>900-099-S64</w:t>
                  </w:r>
                </w:p>
              </w:tc>
              <w:tc>
                <w:tcPr>
                  <w:tcW w:w="33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54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7.5t/a</w:t>
                  </w:r>
                </w:p>
              </w:tc>
              <w:tc>
                <w:tcPr>
                  <w:tcW w:w="45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垃圾桶</w:t>
                  </w:r>
                </w:p>
              </w:tc>
              <w:tc>
                <w:tcPr>
                  <w:tcW w:w="81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分类收集，交由环卫部门处理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食堂</w:t>
                  </w:r>
                </w:p>
              </w:tc>
              <w:tc>
                <w:tcPr>
                  <w:tcW w:w="23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食堂</w:t>
                  </w:r>
                </w:p>
              </w:tc>
              <w:tc>
                <w:tcPr>
                  <w:tcW w:w="753"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废油脂</w:t>
                  </w:r>
                </w:p>
              </w:tc>
              <w:tc>
                <w:tcPr>
                  <w:tcW w:w="49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固态</w:t>
                  </w:r>
                </w:p>
              </w:tc>
              <w:tc>
                <w:tcPr>
                  <w:tcW w:w="1011" w:type="pct"/>
                  <w:tcBorders>
                    <w:tl2br w:val="nil"/>
                    <w:tr2bl w:val="nil"/>
                  </w:tcBorders>
                  <w:shd w:val="clear" w:color="auto" w:fill="auto"/>
                  <w:noWrap/>
                  <w:vAlign w:val="center"/>
                </w:tcPr>
                <w:p>
                  <w:pPr>
                    <w:keepNext w:val="0"/>
                    <w:keepLines w:val="0"/>
                    <w:widowControl/>
                    <w:suppressLineNumbers w:val="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color w:val="000000"/>
                      <w:kern w:val="0"/>
                      <w:sz w:val="21"/>
                      <w:szCs w:val="21"/>
                      <w:lang w:val="en-US" w:eastAsia="zh-CN" w:bidi="ar"/>
                    </w:rPr>
                    <w:t>900-002-S61</w:t>
                  </w:r>
                </w:p>
              </w:tc>
              <w:tc>
                <w:tcPr>
                  <w:tcW w:w="33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54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1.5t/a</w:t>
                  </w:r>
                </w:p>
              </w:tc>
              <w:tc>
                <w:tcPr>
                  <w:tcW w:w="45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垃圾桶</w:t>
                  </w:r>
                </w:p>
              </w:tc>
              <w:tc>
                <w:tcPr>
                  <w:tcW w:w="817"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定期交有资质单位处置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8"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生产过程</w:t>
                  </w:r>
                </w:p>
              </w:tc>
              <w:tc>
                <w:tcPr>
                  <w:tcW w:w="238"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一般工业固废</w:t>
                  </w:r>
                </w:p>
              </w:tc>
              <w:tc>
                <w:tcPr>
                  <w:tcW w:w="753"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废包装材料</w:t>
                  </w:r>
                </w:p>
              </w:tc>
              <w:tc>
                <w:tcPr>
                  <w:tcW w:w="49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固态</w:t>
                  </w:r>
                </w:p>
              </w:tc>
              <w:tc>
                <w:tcPr>
                  <w:tcW w:w="1011"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color w:val="auto"/>
                      <w:kern w:val="0"/>
                      <w:sz w:val="21"/>
                      <w:szCs w:val="21"/>
                      <w:lang w:val="en-US" w:eastAsia="zh-CN" w:bidi="ar"/>
                    </w:rPr>
                    <w:t>900-003-S17</w:t>
                  </w:r>
                </w:p>
              </w:tc>
              <w:tc>
                <w:tcPr>
                  <w:tcW w:w="33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54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0.50t/a</w:t>
                  </w:r>
                </w:p>
              </w:tc>
              <w:tc>
                <w:tcPr>
                  <w:tcW w:w="450"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一般暂存间</w:t>
                  </w:r>
                </w:p>
              </w:tc>
              <w:tc>
                <w:tcPr>
                  <w:tcW w:w="817"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定期外售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8"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i w:val="0"/>
                      <w:iCs w:val="0"/>
                      <w:color w:val="auto"/>
                      <w:sz w:val="21"/>
                      <w:szCs w:val="21"/>
                      <w:u w:val="none"/>
                    </w:rPr>
                  </w:pPr>
                </w:p>
              </w:tc>
              <w:tc>
                <w:tcPr>
                  <w:tcW w:w="238"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i w:val="0"/>
                      <w:iCs w:val="0"/>
                      <w:color w:val="auto"/>
                      <w:sz w:val="21"/>
                      <w:szCs w:val="21"/>
                      <w:u w:val="none"/>
                    </w:rPr>
                  </w:pPr>
                </w:p>
              </w:tc>
              <w:tc>
                <w:tcPr>
                  <w:tcW w:w="753"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不合格品</w:t>
                  </w:r>
                </w:p>
              </w:tc>
              <w:tc>
                <w:tcPr>
                  <w:tcW w:w="49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固态</w:t>
                  </w:r>
                </w:p>
              </w:tc>
              <w:tc>
                <w:tcPr>
                  <w:tcW w:w="1011" w:type="pct"/>
                  <w:tcBorders>
                    <w:tl2br w:val="nil"/>
                    <w:tr2bl w:val="nil"/>
                  </w:tcBorders>
                  <w:shd w:val="clear" w:color="auto" w:fill="auto"/>
                  <w:noWrap/>
                  <w:vAlign w:val="center"/>
                </w:tcPr>
                <w:p>
                  <w:pPr>
                    <w:keepNext w:val="0"/>
                    <w:keepLines w:val="0"/>
                    <w:widowControl/>
                    <w:suppressLineNumbers w:val="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color w:val="000000"/>
                      <w:kern w:val="0"/>
                      <w:sz w:val="21"/>
                      <w:szCs w:val="21"/>
                      <w:lang w:val="en-US" w:eastAsia="zh-CN" w:bidi="ar"/>
                    </w:rPr>
                    <w:t>900-004-S17</w:t>
                  </w:r>
                </w:p>
              </w:tc>
              <w:tc>
                <w:tcPr>
                  <w:tcW w:w="33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54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100.0t/a</w:t>
                  </w:r>
                </w:p>
              </w:tc>
              <w:tc>
                <w:tcPr>
                  <w:tcW w:w="450"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i w:val="0"/>
                      <w:iCs w:val="0"/>
                      <w:color w:val="auto"/>
                      <w:sz w:val="21"/>
                      <w:szCs w:val="21"/>
                      <w:u w:val="none"/>
                    </w:rPr>
                  </w:pPr>
                </w:p>
              </w:tc>
              <w:tc>
                <w:tcPr>
                  <w:tcW w:w="817"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i w:val="0"/>
                      <w:iCs w:val="0"/>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8"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i w:val="0"/>
                      <w:iCs w:val="0"/>
                      <w:color w:val="auto"/>
                      <w:sz w:val="21"/>
                      <w:szCs w:val="21"/>
                      <w:u w:val="none"/>
                    </w:rPr>
                  </w:pPr>
                </w:p>
              </w:tc>
              <w:tc>
                <w:tcPr>
                  <w:tcW w:w="238"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i w:val="0"/>
                      <w:iCs w:val="0"/>
                      <w:color w:val="auto"/>
                      <w:sz w:val="21"/>
                      <w:szCs w:val="21"/>
                      <w:u w:val="none"/>
                    </w:rPr>
                  </w:pPr>
                </w:p>
              </w:tc>
              <w:tc>
                <w:tcPr>
                  <w:tcW w:w="753"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沉淀池沉渣</w:t>
                  </w:r>
                </w:p>
              </w:tc>
              <w:tc>
                <w:tcPr>
                  <w:tcW w:w="49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固态</w:t>
                  </w:r>
                </w:p>
              </w:tc>
              <w:tc>
                <w:tcPr>
                  <w:tcW w:w="1011" w:type="pct"/>
                  <w:tcBorders>
                    <w:tl2br w:val="nil"/>
                    <w:tr2bl w:val="nil"/>
                  </w:tcBorders>
                  <w:shd w:val="clear" w:color="auto" w:fill="auto"/>
                  <w:noWrap/>
                  <w:vAlign w:val="center"/>
                </w:tcPr>
                <w:p>
                  <w:pPr>
                    <w:keepNext w:val="0"/>
                    <w:keepLines w:val="0"/>
                    <w:widowControl/>
                    <w:suppressLineNumbers w:val="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color w:val="000000"/>
                      <w:kern w:val="0"/>
                      <w:sz w:val="21"/>
                      <w:szCs w:val="21"/>
                      <w:lang w:val="en-US" w:eastAsia="zh-CN" w:bidi="ar"/>
                    </w:rPr>
                    <w:t>900-004-S17</w:t>
                  </w:r>
                </w:p>
              </w:tc>
              <w:tc>
                <w:tcPr>
                  <w:tcW w:w="33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54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0.50t/a</w:t>
                  </w:r>
                </w:p>
              </w:tc>
              <w:tc>
                <w:tcPr>
                  <w:tcW w:w="450"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i w:val="0"/>
                      <w:iCs w:val="0"/>
                      <w:color w:val="auto"/>
                      <w:sz w:val="21"/>
                      <w:szCs w:val="21"/>
                      <w:u w:val="none"/>
                    </w:rPr>
                  </w:pPr>
                </w:p>
              </w:tc>
              <w:tc>
                <w:tcPr>
                  <w:tcW w:w="817"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i w:val="0"/>
                      <w:iCs w:val="0"/>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8"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i w:val="0"/>
                      <w:iCs w:val="0"/>
                      <w:color w:val="auto"/>
                      <w:sz w:val="21"/>
                      <w:szCs w:val="21"/>
                      <w:u w:val="none"/>
                    </w:rPr>
                  </w:pPr>
                </w:p>
              </w:tc>
              <w:tc>
                <w:tcPr>
                  <w:tcW w:w="238"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i w:val="0"/>
                      <w:iCs w:val="0"/>
                      <w:color w:val="auto"/>
                      <w:sz w:val="21"/>
                      <w:szCs w:val="21"/>
                      <w:u w:val="none"/>
                    </w:rPr>
                  </w:pPr>
                </w:p>
              </w:tc>
              <w:tc>
                <w:tcPr>
                  <w:tcW w:w="753"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废胶桶（不含胶）</w:t>
                  </w:r>
                </w:p>
              </w:tc>
              <w:tc>
                <w:tcPr>
                  <w:tcW w:w="49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固态</w:t>
                  </w:r>
                </w:p>
              </w:tc>
              <w:tc>
                <w:tcPr>
                  <w:tcW w:w="1011"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kern w:val="0"/>
                      <w:sz w:val="21"/>
                      <w:szCs w:val="21"/>
                      <w:lang w:val="en-US" w:eastAsia="zh-CN" w:bidi="ar"/>
                    </w:rPr>
                    <w:t>900-099-S59</w:t>
                  </w:r>
                </w:p>
              </w:tc>
              <w:tc>
                <w:tcPr>
                  <w:tcW w:w="33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54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0.5t/a</w:t>
                  </w:r>
                </w:p>
              </w:tc>
              <w:tc>
                <w:tcPr>
                  <w:tcW w:w="450"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i w:val="0"/>
                      <w:iCs w:val="0"/>
                      <w:color w:val="auto"/>
                      <w:sz w:val="21"/>
                      <w:szCs w:val="21"/>
                      <w:u w:val="none"/>
                    </w:rPr>
                  </w:pPr>
                </w:p>
              </w:tc>
              <w:tc>
                <w:tcPr>
                  <w:tcW w:w="817"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i w:val="0"/>
                      <w:iCs w:val="0"/>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8"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i w:val="0"/>
                      <w:iCs w:val="0"/>
                      <w:color w:val="auto"/>
                      <w:sz w:val="21"/>
                      <w:szCs w:val="21"/>
                      <w:u w:val="none"/>
                    </w:rPr>
                  </w:pPr>
                </w:p>
              </w:tc>
              <w:tc>
                <w:tcPr>
                  <w:tcW w:w="238"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i w:val="0"/>
                      <w:iCs w:val="0"/>
                      <w:color w:val="auto"/>
                      <w:sz w:val="21"/>
                      <w:szCs w:val="21"/>
                      <w:u w:val="none"/>
                    </w:rPr>
                  </w:pPr>
                </w:p>
              </w:tc>
              <w:tc>
                <w:tcPr>
                  <w:tcW w:w="753"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废滤料、废RO膜</w:t>
                  </w:r>
                </w:p>
              </w:tc>
              <w:tc>
                <w:tcPr>
                  <w:tcW w:w="49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固态</w:t>
                  </w:r>
                </w:p>
              </w:tc>
              <w:tc>
                <w:tcPr>
                  <w:tcW w:w="1011"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kern w:val="0"/>
                      <w:sz w:val="21"/>
                      <w:szCs w:val="21"/>
                      <w:lang w:val="en-US" w:eastAsia="zh-CN" w:bidi="ar"/>
                    </w:rPr>
                    <w:t>900-009-S59</w:t>
                  </w:r>
                </w:p>
              </w:tc>
              <w:tc>
                <w:tcPr>
                  <w:tcW w:w="33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54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0.2t/a</w:t>
                  </w:r>
                </w:p>
              </w:tc>
              <w:tc>
                <w:tcPr>
                  <w:tcW w:w="450"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i w:val="0"/>
                      <w:iCs w:val="0"/>
                      <w:color w:val="auto"/>
                      <w:sz w:val="21"/>
                      <w:szCs w:val="21"/>
                      <w:u w:val="none"/>
                    </w:rPr>
                  </w:pPr>
                </w:p>
              </w:tc>
              <w:tc>
                <w:tcPr>
                  <w:tcW w:w="817"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厂家回收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8"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i w:val="0"/>
                      <w:iCs w:val="0"/>
                      <w:color w:val="auto"/>
                      <w:sz w:val="21"/>
                      <w:szCs w:val="21"/>
                      <w:u w:val="none"/>
                    </w:rPr>
                  </w:pPr>
                </w:p>
              </w:tc>
              <w:tc>
                <w:tcPr>
                  <w:tcW w:w="238"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危险废物</w:t>
                  </w:r>
                </w:p>
              </w:tc>
              <w:tc>
                <w:tcPr>
                  <w:tcW w:w="753"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废机油</w:t>
                  </w:r>
                </w:p>
              </w:tc>
              <w:tc>
                <w:tcPr>
                  <w:tcW w:w="49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液态</w:t>
                  </w:r>
                </w:p>
              </w:tc>
              <w:tc>
                <w:tcPr>
                  <w:tcW w:w="101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HW08（900-249-08）</w:t>
                  </w:r>
                </w:p>
              </w:tc>
              <w:tc>
                <w:tcPr>
                  <w:tcW w:w="339" w:type="pct"/>
                  <w:tcBorders>
                    <w:tl2br w:val="nil"/>
                    <w:tr2bl w:val="nil"/>
                  </w:tcBorders>
                  <w:shd w:val="clear" w:color="auto" w:fill="auto"/>
                  <w:noWrap/>
                  <w:vAlign w:val="center"/>
                </w:tcPr>
                <w:p>
                  <w:pPr>
                    <w:keepNext w:val="0"/>
                    <w:keepLines w:val="0"/>
                    <w:pageBreakBefore w:val="0"/>
                    <w:kinsoku/>
                    <w:wordWrap/>
                    <w:overflowPunct/>
                    <w:topLinePunct w:val="0"/>
                    <w:autoSpaceDE w:val="0"/>
                    <w:autoSpaceDN w:val="0"/>
                    <w:bidi w:val="0"/>
                    <w:snapToGrid w:val="0"/>
                    <w:spacing w:line="240" w:lineRule="auto"/>
                    <w:ind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color w:val="auto"/>
                      <w:kern w:val="0"/>
                      <w:sz w:val="21"/>
                      <w:szCs w:val="21"/>
                      <w:lang w:val="en-US" w:eastAsia="zh-CN"/>
                    </w:rPr>
                    <w:t>T，I</w:t>
                  </w:r>
                </w:p>
              </w:tc>
              <w:tc>
                <w:tcPr>
                  <w:tcW w:w="54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0.10t/a</w:t>
                  </w:r>
                </w:p>
              </w:tc>
              <w:tc>
                <w:tcPr>
                  <w:tcW w:w="450"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危废贮存库</w:t>
                  </w:r>
                </w:p>
              </w:tc>
              <w:tc>
                <w:tcPr>
                  <w:tcW w:w="817"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定期交由有资质单位处置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8"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i w:val="0"/>
                      <w:iCs w:val="0"/>
                      <w:color w:val="auto"/>
                      <w:sz w:val="21"/>
                      <w:szCs w:val="21"/>
                      <w:u w:val="none"/>
                    </w:rPr>
                  </w:pPr>
                </w:p>
              </w:tc>
              <w:tc>
                <w:tcPr>
                  <w:tcW w:w="238"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i w:val="0"/>
                      <w:iCs w:val="0"/>
                      <w:color w:val="auto"/>
                      <w:sz w:val="21"/>
                      <w:szCs w:val="21"/>
                      <w:u w:val="none"/>
                    </w:rPr>
                  </w:pPr>
                </w:p>
              </w:tc>
              <w:tc>
                <w:tcPr>
                  <w:tcW w:w="753"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废机油桶</w:t>
                  </w:r>
                </w:p>
              </w:tc>
              <w:tc>
                <w:tcPr>
                  <w:tcW w:w="49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固态</w:t>
                  </w:r>
                </w:p>
              </w:tc>
              <w:tc>
                <w:tcPr>
                  <w:tcW w:w="101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HW49（900-041-49）</w:t>
                  </w:r>
                </w:p>
              </w:tc>
              <w:tc>
                <w:tcPr>
                  <w:tcW w:w="339" w:type="pct"/>
                  <w:tcBorders>
                    <w:tl2br w:val="nil"/>
                    <w:tr2bl w:val="nil"/>
                  </w:tcBorders>
                  <w:shd w:val="clear" w:color="auto" w:fill="auto"/>
                  <w:vAlign w:val="center"/>
                </w:tcPr>
                <w:p>
                  <w:pPr>
                    <w:keepNext w:val="0"/>
                    <w:keepLines w:val="0"/>
                    <w:pageBreakBefore w:val="0"/>
                    <w:kinsoku/>
                    <w:wordWrap/>
                    <w:overflowPunct/>
                    <w:topLinePunct w:val="0"/>
                    <w:autoSpaceDE w:val="0"/>
                    <w:autoSpaceDN w:val="0"/>
                    <w:bidi w:val="0"/>
                    <w:snapToGrid w:val="0"/>
                    <w:spacing w:line="240" w:lineRule="auto"/>
                    <w:ind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snapToGrid w:val="0"/>
                      <w:color w:val="auto"/>
                      <w:kern w:val="0"/>
                      <w:sz w:val="21"/>
                      <w:szCs w:val="21"/>
                    </w:rPr>
                    <w:t>T/In</w:t>
                  </w:r>
                </w:p>
              </w:tc>
              <w:tc>
                <w:tcPr>
                  <w:tcW w:w="54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0.1t/a</w:t>
                  </w:r>
                </w:p>
              </w:tc>
              <w:tc>
                <w:tcPr>
                  <w:tcW w:w="450"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i w:val="0"/>
                      <w:iCs w:val="0"/>
                      <w:color w:val="auto"/>
                      <w:sz w:val="21"/>
                      <w:szCs w:val="21"/>
                      <w:u w:val="none"/>
                    </w:rPr>
                  </w:pPr>
                </w:p>
              </w:tc>
              <w:tc>
                <w:tcPr>
                  <w:tcW w:w="817"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i w:val="0"/>
                      <w:iCs w:val="0"/>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8"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i w:val="0"/>
                      <w:iCs w:val="0"/>
                      <w:color w:val="auto"/>
                      <w:sz w:val="21"/>
                      <w:szCs w:val="21"/>
                      <w:u w:val="none"/>
                    </w:rPr>
                  </w:pPr>
                </w:p>
              </w:tc>
              <w:tc>
                <w:tcPr>
                  <w:tcW w:w="238"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i w:val="0"/>
                      <w:iCs w:val="0"/>
                      <w:color w:val="auto"/>
                      <w:sz w:val="21"/>
                      <w:szCs w:val="21"/>
                      <w:u w:val="none"/>
                    </w:rPr>
                  </w:pPr>
                </w:p>
              </w:tc>
              <w:tc>
                <w:tcPr>
                  <w:tcW w:w="75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废含油手套、抹布</w:t>
                  </w:r>
                </w:p>
              </w:tc>
              <w:tc>
                <w:tcPr>
                  <w:tcW w:w="49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固态</w:t>
                  </w:r>
                </w:p>
              </w:tc>
              <w:tc>
                <w:tcPr>
                  <w:tcW w:w="101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HW49（900-041-49）</w:t>
                  </w:r>
                </w:p>
              </w:tc>
              <w:tc>
                <w:tcPr>
                  <w:tcW w:w="339" w:type="pct"/>
                  <w:tcBorders>
                    <w:tl2br w:val="nil"/>
                    <w:tr2bl w:val="nil"/>
                  </w:tcBorders>
                  <w:shd w:val="clear" w:color="auto" w:fill="auto"/>
                  <w:noWrap/>
                  <w:vAlign w:val="center"/>
                </w:tcPr>
                <w:p>
                  <w:pPr>
                    <w:keepNext w:val="0"/>
                    <w:keepLines w:val="0"/>
                    <w:pageBreakBefore w:val="0"/>
                    <w:kinsoku/>
                    <w:wordWrap/>
                    <w:overflowPunct/>
                    <w:topLinePunct w:val="0"/>
                    <w:autoSpaceDE w:val="0"/>
                    <w:autoSpaceDN w:val="0"/>
                    <w:bidi w:val="0"/>
                    <w:snapToGrid w:val="0"/>
                    <w:spacing w:line="240" w:lineRule="auto"/>
                    <w:ind w:right="0" w:rightChars="0"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snapToGrid w:val="0"/>
                      <w:color w:val="auto"/>
                      <w:kern w:val="0"/>
                      <w:sz w:val="21"/>
                      <w:szCs w:val="21"/>
                    </w:rPr>
                    <w:t>T/In</w:t>
                  </w:r>
                </w:p>
              </w:tc>
              <w:tc>
                <w:tcPr>
                  <w:tcW w:w="54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0.02t/a</w:t>
                  </w:r>
                </w:p>
              </w:tc>
              <w:tc>
                <w:tcPr>
                  <w:tcW w:w="450"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i w:val="0"/>
                      <w:iCs w:val="0"/>
                      <w:color w:val="auto"/>
                      <w:sz w:val="21"/>
                      <w:szCs w:val="21"/>
                      <w:u w:val="none"/>
                    </w:rPr>
                  </w:pPr>
                </w:p>
              </w:tc>
              <w:tc>
                <w:tcPr>
                  <w:tcW w:w="817"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i w:val="0"/>
                      <w:iCs w:val="0"/>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8"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i w:val="0"/>
                      <w:iCs w:val="0"/>
                      <w:color w:val="auto"/>
                      <w:sz w:val="21"/>
                      <w:szCs w:val="21"/>
                      <w:u w:val="none"/>
                    </w:rPr>
                  </w:pPr>
                </w:p>
              </w:tc>
              <w:tc>
                <w:tcPr>
                  <w:tcW w:w="238"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i w:val="0"/>
                      <w:iCs w:val="0"/>
                      <w:color w:val="auto"/>
                      <w:sz w:val="21"/>
                      <w:szCs w:val="21"/>
                      <w:u w:val="none"/>
                    </w:rPr>
                  </w:pPr>
                </w:p>
              </w:tc>
              <w:tc>
                <w:tcPr>
                  <w:tcW w:w="75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snapToGrid w:val="0"/>
                      <w:color w:val="auto"/>
                      <w:kern w:val="0"/>
                      <w:sz w:val="21"/>
                      <w:szCs w:val="21"/>
                      <w:lang w:val="en-US" w:eastAsia="zh-CN"/>
                    </w:rPr>
                    <w:t>废胶</w:t>
                  </w:r>
                </w:p>
              </w:tc>
              <w:tc>
                <w:tcPr>
                  <w:tcW w:w="49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snapToGrid w:val="0"/>
                      <w:color w:val="auto"/>
                      <w:kern w:val="0"/>
                      <w:sz w:val="21"/>
                      <w:szCs w:val="21"/>
                    </w:rPr>
                    <w:t>液态</w:t>
                  </w:r>
                </w:p>
              </w:tc>
              <w:tc>
                <w:tcPr>
                  <w:tcW w:w="101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HW13</w:t>
                  </w:r>
                </w:p>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snapToGrid w:val="0"/>
                      <w:color w:val="auto"/>
                      <w:kern w:val="0"/>
                      <w:sz w:val="21"/>
                      <w:szCs w:val="21"/>
                      <w:lang w:val="en-US" w:eastAsia="zh-CN"/>
                    </w:rPr>
                    <w:t>(</w:t>
                  </w:r>
                  <w:r>
                    <w:rPr>
                      <w:rFonts w:hint="default" w:ascii="Times New Roman" w:hAnsi="Times New Roman" w:eastAsia="宋体" w:cs="Times New Roman"/>
                      <w:snapToGrid w:val="0"/>
                      <w:color w:val="auto"/>
                      <w:kern w:val="0"/>
                      <w:sz w:val="21"/>
                      <w:szCs w:val="21"/>
                      <w:lang w:val="en-US" w:eastAsia="zh-CN"/>
                    </w:rPr>
                    <w:t>900-014-13</w:t>
                  </w:r>
                  <w:r>
                    <w:rPr>
                      <w:rFonts w:hint="eastAsia" w:cs="Times New Roman"/>
                      <w:snapToGrid w:val="0"/>
                      <w:color w:val="auto"/>
                      <w:kern w:val="0"/>
                      <w:sz w:val="21"/>
                      <w:szCs w:val="21"/>
                      <w:lang w:val="en-US" w:eastAsia="zh-CN"/>
                    </w:rPr>
                    <w:t>)</w:t>
                  </w:r>
                </w:p>
              </w:tc>
              <w:tc>
                <w:tcPr>
                  <w:tcW w:w="339" w:type="pct"/>
                  <w:tcBorders>
                    <w:tl2br w:val="nil"/>
                    <w:tr2bl w:val="nil"/>
                  </w:tcBorders>
                  <w:shd w:val="clear" w:color="auto" w:fill="auto"/>
                  <w:noWrap/>
                  <w:vAlign w:val="center"/>
                </w:tcPr>
                <w:p>
                  <w:pPr>
                    <w:keepNext w:val="0"/>
                    <w:keepLines w:val="0"/>
                    <w:pageBreakBefore w:val="0"/>
                    <w:kinsoku/>
                    <w:wordWrap/>
                    <w:overflowPunct/>
                    <w:topLinePunct w:val="0"/>
                    <w:autoSpaceDE w:val="0"/>
                    <w:autoSpaceDN w:val="0"/>
                    <w:bidi w:val="0"/>
                    <w:snapToGrid w:val="0"/>
                    <w:spacing w:line="240" w:lineRule="auto"/>
                    <w:ind w:right="0" w:rightChars="0" w:firstLine="0" w:firstLineChars="0"/>
                    <w:jc w:val="center"/>
                    <w:rPr>
                      <w:rFonts w:hint="default" w:ascii="Times New Roman" w:hAnsi="Times New Roman" w:eastAsia="宋体" w:cs="Times New Roman"/>
                      <w:snapToGrid w:val="0"/>
                      <w:color w:val="auto"/>
                      <w:kern w:val="0"/>
                      <w:sz w:val="21"/>
                      <w:szCs w:val="21"/>
                    </w:rPr>
                  </w:pPr>
                  <w:r>
                    <w:rPr>
                      <w:rFonts w:hint="eastAsia" w:ascii="Times New Roman" w:hAnsi="Times New Roman" w:eastAsia="宋体" w:cs="Times New Roman"/>
                      <w:snapToGrid w:val="0"/>
                      <w:color w:val="auto"/>
                      <w:kern w:val="0"/>
                      <w:sz w:val="21"/>
                      <w:szCs w:val="21"/>
                      <w:lang w:val="en-US" w:eastAsia="zh-CN"/>
                    </w:rPr>
                    <w:t>T</w:t>
                  </w:r>
                </w:p>
              </w:tc>
              <w:tc>
                <w:tcPr>
                  <w:tcW w:w="54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snapToGrid w:val="0"/>
                      <w:color w:val="auto"/>
                      <w:kern w:val="0"/>
                      <w:sz w:val="21"/>
                      <w:szCs w:val="21"/>
                      <w:lang w:val="en-US" w:eastAsia="zh-CN"/>
                    </w:rPr>
                    <w:t>0.5</w:t>
                  </w:r>
                  <w:r>
                    <w:rPr>
                      <w:rFonts w:hint="default" w:ascii="Times New Roman" w:hAnsi="Times New Roman" w:eastAsia="宋体" w:cs="Times New Roman"/>
                      <w:i w:val="0"/>
                      <w:iCs w:val="0"/>
                      <w:color w:val="auto"/>
                      <w:kern w:val="0"/>
                      <w:sz w:val="21"/>
                      <w:szCs w:val="21"/>
                      <w:u w:val="none"/>
                      <w:lang w:val="en-US" w:eastAsia="zh-CN" w:bidi="ar"/>
                    </w:rPr>
                    <w:t>t/a</w:t>
                  </w:r>
                </w:p>
              </w:tc>
              <w:tc>
                <w:tcPr>
                  <w:tcW w:w="450"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i w:val="0"/>
                      <w:iCs w:val="0"/>
                      <w:color w:val="auto"/>
                      <w:sz w:val="21"/>
                      <w:szCs w:val="21"/>
                      <w:u w:val="none"/>
                    </w:rPr>
                  </w:pPr>
                </w:p>
              </w:tc>
              <w:tc>
                <w:tcPr>
                  <w:tcW w:w="817"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i w:val="0"/>
                      <w:iCs w:val="0"/>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8"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i w:val="0"/>
                      <w:iCs w:val="0"/>
                      <w:color w:val="auto"/>
                      <w:sz w:val="21"/>
                      <w:szCs w:val="21"/>
                      <w:u w:val="none"/>
                    </w:rPr>
                  </w:pPr>
                </w:p>
              </w:tc>
              <w:tc>
                <w:tcPr>
                  <w:tcW w:w="238"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i w:val="0"/>
                      <w:iCs w:val="0"/>
                      <w:color w:val="auto"/>
                      <w:sz w:val="21"/>
                      <w:szCs w:val="21"/>
                      <w:u w:val="none"/>
                    </w:rPr>
                  </w:pPr>
                </w:p>
              </w:tc>
              <w:tc>
                <w:tcPr>
                  <w:tcW w:w="753"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废活性炭</w:t>
                  </w:r>
                </w:p>
              </w:tc>
              <w:tc>
                <w:tcPr>
                  <w:tcW w:w="496"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固态</w:t>
                  </w:r>
                </w:p>
              </w:tc>
              <w:tc>
                <w:tcPr>
                  <w:tcW w:w="101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HW49（900-039-49）</w:t>
                  </w:r>
                </w:p>
              </w:tc>
              <w:tc>
                <w:tcPr>
                  <w:tcW w:w="339" w:type="pct"/>
                  <w:tcBorders>
                    <w:tl2br w:val="nil"/>
                    <w:tr2bl w:val="nil"/>
                  </w:tcBorders>
                  <w:shd w:val="clear" w:color="auto" w:fill="auto"/>
                  <w:noWrap/>
                  <w:vAlign w:val="center"/>
                </w:tcPr>
                <w:p>
                  <w:pPr>
                    <w:keepNext w:val="0"/>
                    <w:keepLines w:val="0"/>
                    <w:pageBreakBefore w:val="0"/>
                    <w:kinsoku/>
                    <w:wordWrap/>
                    <w:overflowPunct/>
                    <w:topLinePunct w:val="0"/>
                    <w:autoSpaceDE w:val="0"/>
                    <w:autoSpaceDN w:val="0"/>
                    <w:bidi w:val="0"/>
                    <w:snapToGrid w:val="0"/>
                    <w:spacing w:line="240" w:lineRule="auto"/>
                    <w:ind w:right="0" w:rightChars="0" w:firstLine="0" w:firstLineChars="0"/>
                    <w:jc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snapToGrid w:val="0"/>
                      <w:color w:val="auto"/>
                      <w:kern w:val="0"/>
                      <w:sz w:val="21"/>
                      <w:szCs w:val="21"/>
                      <w:lang w:val="en-US" w:eastAsia="zh-CN"/>
                    </w:rPr>
                    <w:t>T</w:t>
                  </w:r>
                </w:p>
              </w:tc>
              <w:tc>
                <w:tcPr>
                  <w:tcW w:w="54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3.49t/a</w:t>
                  </w:r>
                </w:p>
              </w:tc>
              <w:tc>
                <w:tcPr>
                  <w:tcW w:w="450"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i w:val="0"/>
                      <w:iCs w:val="0"/>
                      <w:color w:val="auto"/>
                      <w:sz w:val="21"/>
                      <w:szCs w:val="21"/>
                      <w:u w:val="none"/>
                    </w:rPr>
                  </w:pPr>
                </w:p>
              </w:tc>
              <w:tc>
                <w:tcPr>
                  <w:tcW w:w="817"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i w:val="0"/>
                      <w:iCs w:val="0"/>
                      <w:color w:val="auto"/>
                      <w:sz w:val="21"/>
                      <w:szCs w:val="21"/>
                      <w:u w:val="none"/>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szCs w:val="21"/>
              </w:rPr>
              <w:t>4、</w:t>
            </w:r>
            <w:r>
              <w:rPr>
                <w:rFonts w:hint="default" w:ascii="Times New Roman" w:hAnsi="Times New Roman" w:eastAsia="宋体" w:cs="Times New Roman"/>
                <w:b/>
                <w:color w:val="auto"/>
                <w:sz w:val="24"/>
              </w:rPr>
              <w:t>暂存设施可依托性分析</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lang w:eastAsia="zh-CN"/>
              </w:rPr>
              <w:t>（</w:t>
            </w:r>
            <w:r>
              <w:rPr>
                <w:rFonts w:hint="default" w:ascii="Times New Roman" w:hAnsi="Times New Roman" w:eastAsia="宋体" w:cs="Times New Roman"/>
                <w:color w:val="auto"/>
                <w:sz w:val="24"/>
                <w:szCs w:val="21"/>
                <w:lang w:val="en-US" w:eastAsia="zh-CN"/>
              </w:rPr>
              <w:t>1</w:t>
            </w:r>
            <w:r>
              <w:rPr>
                <w:rFonts w:hint="default" w:ascii="Times New Roman" w:hAnsi="Times New Roman" w:eastAsia="宋体" w:cs="Times New Roman"/>
                <w:color w:val="auto"/>
                <w:sz w:val="24"/>
                <w:szCs w:val="21"/>
                <w:lang w:eastAsia="zh-CN"/>
              </w:rPr>
              <w:t>）</w:t>
            </w:r>
            <w:r>
              <w:rPr>
                <w:rFonts w:hint="default" w:ascii="Times New Roman" w:hAnsi="Times New Roman" w:eastAsia="宋体" w:cs="Times New Roman"/>
                <w:color w:val="auto"/>
                <w:sz w:val="24"/>
                <w:szCs w:val="21"/>
              </w:rPr>
              <w:t>一般工业固体废物暂存区</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highlight w:val="none"/>
              </w:rPr>
              <w:t>根据现场调查</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snapToGrid w:val="0"/>
                <w:color w:val="auto"/>
                <w:kern w:val="0"/>
                <w:sz w:val="24"/>
                <w:szCs w:val="24"/>
                <w:highlight w:val="none"/>
                <w:lang w:val="en-US" w:eastAsia="zh-CN"/>
              </w:rPr>
              <w:t>高科建材南厂区一般固废暂存区总建筑面积30m</w:t>
            </w:r>
            <w:r>
              <w:rPr>
                <w:rFonts w:hint="default" w:ascii="Times New Roman" w:hAnsi="Times New Roman" w:eastAsia="宋体" w:cs="Times New Roman"/>
                <w:snapToGrid w:val="0"/>
                <w:color w:val="auto"/>
                <w:kern w:val="0"/>
                <w:sz w:val="24"/>
                <w:szCs w:val="24"/>
                <w:highlight w:val="none"/>
                <w:vertAlign w:val="superscript"/>
                <w:lang w:val="en-US" w:eastAsia="zh-CN"/>
              </w:rPr>
              <w:t>2</w:t>
            </w:r>
            <w:r>
              <w:rPr>
                <w:rFonts w:hint="default" w:ascii="Times New Roman" w:hAnsi="Times New Roman" w:eastAsia="宋体" w:cs="Times New Roman"/>
                <w:snapToGrid w:val="0"/>
                <w:color w:val="auto"/>
                <w:kern w:val="0"/>
                <w:sz w:val="24"/>
                <w:szCs w:val="24"/>
                <w:highlight w:val="none"/>
                <w:lang w:val="en-US" w:eastAsia="zh-CN"/>
              </w:rPr>
              <w:t>，目前已使用20m</w:t>
            </w:r>
            <w:r>
              <w:rPr>
                <w:rFonts w:hint="default" w:ascii="Times New Roman" w:hAnsi="Times New Roman" w:eastAsia="宋体" w:cs="Times New Roman"/>
                <w:snapToGrid w:val="0"/>
                <w:color w:val="auto"/>
                <w:kern w:val="0"/>
                <w:sz w:val="24"/>
                <w:szCs w:val="24"/>
                <w:highlight w:val="none"/>
                <w:vertAlign w:val="superscript"/>
                <w:lang w:val="en-US" w:eastAsia="zh-CN"/>
              </w:rPr>
              <w:t>2</w:t>
            </w:r>
            <w:r>
              <w:rPr>
                <w:rFonts w:hint="default" w:ascii="Times New Roman" w:hAnsi="Times New Roman" w:eastAsia="宋体" w:cs="Times New Roman"/>
                <w:snapToGrid w:val="0"/>
                <w:color w:val="auto"/>
                <w:kern w:val="0"/>
                <w:sz w:val="24"/>
                <w:szCs w:val="24"/>
                <w:highlight w:val="none"/>
                <w:lang w:val="en-US" w:eastAsia="zh-CN"/>
              </w:rPr>
              <w:t>，剩余10m</w:t>
            </w:r>
            <w:r>
              <w:rPr>
                <w:rFonts w:hint="default" w:ascii="Times New Roman" w:hAnsi="Times New Roman" w:eastAsia="宋体" w:cs="Times New Roman"/>
                <w:snapToGrid w:val="0"/>
                <w:color w:val="auto"/>
                <w:kern w:val="0"/>
                <w:sz w:val="24"/>
                <w:szCs w:val="24"/>
                <w:highlight w:val="none"/>
                <w:vertAlign w:val="superscript"/>
                <w:lang w:val="en-US" w:eastAsia="zh-CN"/>
              </w:rPr>
              <w:t>2</w:t>
            </w:r>
            <w:r>
              <w:rPr>
                <w:rFonts w:hint="default" w:ascii="Times New Roman" w:hAnsi="Times New Roman" w:eastAsia="宋体" w:cs="Times New Roman"/>
                <w:snapToGrid w:val="0"/>
                <w:color w:val="auto"/>
                <w:kern w:val="0"/>
                <w:sz w:val="24"/>
                <w:szCs w:val="24"/>
                <w:highlight w:val="none"/>
                <w:lang w:val="en-US" w:eastAsia="zh-CN"/>
              </w:rPr>
              <w:t>，本项目一般固体废弃物产生量7.5t/a，</w:t>
            </w:r>
            <w:r>
              <w:rPr>
                <w:rFonts w:hint="default" w:ascii="Times New Roman" w:hAnsi="Times New Roman" w:eastAsia="宋体" w:cs="Times New Roman"/>
                <w:snapToGrid w:val="0"/>
                <w:color w:val="auto"/>
                <w:kern w:val="0"/>
                <w:sz w:val="24"/>
                <w:szCs w:val="24"/>
                <w:highlight w:val="none"/>
              </w:rPr>
              <w:t>统一收集后</w:t>
            </w:r>
            <w:r>
              <w:rPr>
                <w:rFonts w:hint="default" w:ascii="Times New Roman" w:hAnsi="Times New Roman" w:eastAsia="宋体" w:cs="Times New Roman"/>
                <w:snapToGrid w:val="0"/>
                <w:color w:val="auto"/>
                <w:kern w:val="0"/>
                <w:sz w:val="24"/>
                <w:szCs w:val="24"/>
                <w:highlight w:val="none"/>
                <w:lang w:val="en-US" w:eastAsia="zh-CN"/>
              </w:rPr>
              <w:t>依托高科建材</w:t>
            </w:r>
            <w:r>
              <w:rPr>
                <w:rFonts w:hint="default" w:ascii="Times New Roman" w:hAnsi="Times New Roman" w:eastAsia="宋体" w:cs="Times New Roman"/>
                <w:snapToGrid w:val="0"/>
                <w:color w:val="auto"/>
                <w:kern w:val="0"/>
                <w:sz w:val="24"/>
                <w:szCs w:val="24"/>
                <w:highlight w:val="none"/>
                <w:lang w:eastAsia="zh-CN"/>
              </w:rPr>
              <w:t>一般固废暂存区</w:t>
            </w:r>
            <w:r>
              <w:rPr>
                <w:rFonts w:hint="default" w:ascii="Times New Roman" w:hAnsi="Times New Roman" w:eastAsia="宋体" w:cs="Times New Roman"/>
                <w:snapToGrid w:val="0"/>
                <w:color w:val="auto"/>
                <w:kern w:val="0"/>
                <w:sz w:val="24"/>
                <w:szCs w:val="24"/>
                <w:highlight w:val="none"/>
              </w:rPr>
              <w:t>定期外售</w:t>
            </w:r>
            <w:r>
              <w:rPr>
                <w:rFonts w:hint="default" w:ascii="Times New Roman" w:hAnsi="Times New Roman" w:eastAsia="宋体" w:cs="Times New Roman"/>
                <w:snapToGrid w:val="0"/>
                <w:color w:val="auto"/>
                <w:kern w:val="0"/>
                <w:sz w:val="24"/>
                <w:szCs w:val="24"/>
                <w:highlight w:val="none"/>
                <w:lang w:eastAsia="zh-CN"/>
              </w:rPr>
              <w:t>，</w:t>
            </w:r>
            <w:r>
              <w:rPr>
                <w:rFonts w:hint="default" w:ascii="Times New Roman" w:hAnsi="Times New Roman" w:eastAsia="宋体" w:cs="Times New Roman"/>
                <w:snapToGrid w:val="0"/>
                <w:color w:val="auto"/>
                <w:kern w:val="0"/>
                <w:sz w:val="24"/>
                <w:szCs w:val="24"/>
                <w:highlight w:val="none"/>
                <w:lang w:val="en-US" w:eastAsia="zh-CN"/>
              </w:rPr>
              <w:t>高科建材南厂区一般固废</w:t>
            </w:r>
            <w:r>
              <w:rPr>
                <w:rFonts w:hint="default" w:ascii="Times New Roman" w:hAnsi="Times New Roman" w:eastAsia="宋体" w:cs="Times New Roman"/>
                <w:color w:val="auto"/>
                <w:sz w:val="24"/>
                <w:szCs w:val="24"/>
                <w:highlight w:val="none"/>
              </w:rPr>
              <w:t>暂存区建设符合《一般工业固体废物贮存和填埋污染控制标准》（GB18599-2020）的相关规定，已建立进出库台账，并设置专人管理，可保证一般固体废物得到安全合理的处置，本项目一般工业固体废物暂存依托现有一般工业固体废物暂存区可行</w:t>
            </w:r>
            <w:r>
              <w:rPr>
                <w:rFonts w:hint="default" w:ascii="Times New Roman" w:hAnsi="Times New Roman" w:eastAsia="宋体" w:cs="Times New Roman"/>
                <w:color w:val="auto"/>
                <w:sz w:val="24"/>
                <w:szCs w:val="24"/>
                <w:highlight w:val="none"/>
                <w:lang w:eastAsia="zh-CN"/>
              </w:rPr>
              <w:t>。</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）危废贮存库</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highlight w:val="none"/>
              </w:rPr>
              <w:t>根据现场调查，</w:t>
            </w:r>
            <w:r>
              <w:rPr>
                <w:rFonts w:hint="default" w:ascii="Times New Roman" w:hAnsi="Times New Roman" w:eastAsia="宋体" w:cs="Times New Roman"/>
                <w:snapToGrid w:val="0"/>
                <w:color w:val="auto"/>
                <w:kern w:val="0"/>
                <w:sz w:val="24"/>
                <w:szCs w:val="24"/>
                <w:highlight w:val="none"/>
                <w:lang w:val="en-US" w:eastAsia="zh-CN"/>
              </w:rPr>
              <w:t>高科建材厂区危废贮存库位于南厂区东南角，总建筑面积18m</w:t>
            </w:r>
            <w:r>
              <w:rPr>
                <w:rFonts w:hint="default" w:ascii="Times New Roman" w:hAnsi="Times New Roman" w:eastAsia="宋体" w:cs="Times New Roman"/>
                <w:snapToGrid w:val="0"/>
                <w:color w:val="auto"/>
                <w:kern w:val="0"/>
                <w:sz w:val="24"/>
                <w:szCs w:val="24"/>
                <w:highlight w:val="none"/>
                <w:vertAlign w:val="superscript"/>
                <w:lang w:val="en-US" w:eastAsia="zh-CN"/>
              </w:rPr>
              <w:t>2</w:t>
            </w:r>
            <w:r>
              <w:rPr>
                <w:rFonts w:hint="default" w:ascii="Times New Roman" w:hAnsi="Times New Roman" w:eastAsia="宋体" w:cs="Times New Roman"/>
                <w:snapToGrid w:val="0"/>
                <w:color w:val="auto"/>
                <w:kern w:val="0"/>
                <w:sz w:val="24"/>
                <w:szCs w:val="24"/>
                <w:highlight w:val="none"/>
                <w:lang w:val="en-US" w:eastAsia="zh-CN"/>
              </w:rPr>
              <w:t>，目前已使用12m</w:t>
            </w:r>
            <w:r>
              <w:rPr>
                <w:rFonts w:hint="default" w:ascii="Times New Roman" w:hAnsi="Times New Roman" w:eastAsia="宋体" w:cs="Times New Roman"/>
                <w:snapToGrid w:val="0"/>
                <w:color w:val="auto"/>
                <w:kern w:val="0"/>
                <w:sz w:val="24"/>
                <w:szCs w:val="24"/>
                <w:highlight w:val="none"/>
                <w:vertAlign w:val="superscript"/>
                <w:lang w:val="en-US" w:eastAsia="zh-CN"/>
              </w:rPr>
              <w:t>2</w:t>
            </w:r>
            <w:r>
              <w:rPr>
                <w:rFonts w:hint="default" w:ascii="Times New Roman" w:hAnsi="Times New Roman" w:eastAsia="宋体" w:cs="Times New Roman"/>
                <w:snapToGrid w:val="0"/>
                <w:color w:val="auto"/>
                <w:kern w:val="0"/>
                <w:sz w:val="24"/>
                <w:szCs w:val="24"/>
                <w:highlight w:val="none"/>
                <w:lang w:val="en-US" w:eastAsia="zh-CN"/>
              </w:rPr>
              <w:t>，剩余6m</w:t>
            </w:r>
            <w:r>
              <w:rPr>
                <w:rFonts w:hint="default" w:ascii="Times New Roman" w:hAnsi="Times New Roman" w:eastAsia="宋体" w:cs="Times New Roman"/>
                <w:snapToGrid w:val="0"/>
                <w:color w:val="auto"/>
                <w:kern w:val="0"/>
                <w:sz w:val="24"/>
                <w:szCs w:val="24"/>
                <w:highlight w:val="none"/>
                <w:vertAlign w:val="superscript"/>
                <w:lang w:val="en-US" w:eastAsia="zh-CN"/>
              </w:rPr>
              <w:t>2</w:t>
            </w:r>
            <w:r>
              <w:rPr>
                <w:rFonts w:hint="default" w:ascii="Times New Roman" w:hAnsi="Times New Roman" w:eastAsia="宋体" w:cs="Times New Roman"/>
                <w:snapToGrid w:val="0"/>
                <w:color w:val="auto"/>
                <w:kern w:val="0"/>
                <w:sz w:val="24"/>
                <w:szCs w:val="24"/>
                <w:highlight w:val="none"/>
                <w:lang w:val="en-US" w:eastAsia="zh-CN"/>
              </w:rPr>
              <w:t>，经实地勘察，高科建材现有危废贮存库落实了相应的环保要求，符合《</w:t>
            </w:r>
            <w:r>
              <w:rPr>
                <w:rFonts w:hint="default" w:ascii="Times New Roman" w:hAnsi="Times New Roman" w:eastAsia="宋体" w:cs="Times New Roman"/>
                <w:snapToGrid w:val="0"/>
                <w:color w:val="auto"/>
                <w:kern w:val="0"/>
                <w:sz w:val="24"/>
                <w:szCs w:val="24"/>
                <w:highlight w:val="none"/>
                <w:lang w:val="en-US" w:eastAsia="zh-CN"/>
              </w:rPr>
              <w:fldChar w:fldCharType="begin"/>
            </w:r>
            <w:r>
              <w:rPr>
                <w:rFonts w:hint="default" w:ascii="Times New Roman" w:hAnsi="Times New Roman" w:eastAsia="宋体" w:cs="Times New Roman"/>
                <w:snapToGrid w:val="0"/>
                <w:color w:val="auto"/>
                <w:kern w:val="0"/>
                <w:sz w:val="24"/>
                <w:szCs w:val="24"/>
                <w:highlight w:val="none"/>
                <w:lang w:val="en-US" w:eastAsia="zh-CN"/>
              </w:rPr>
              <w:instrText xml:space="preserve"> HYPERLINK "https://mp.weixin.qq.com/s?__biz=MzIzMjIxNTc5Nw==&amp;mid=2247699730&amp;idx=1&amp;sn=ab3670459d06f3a4a4d9f279d4fdd7fd&amp;chksm=e895c888dfe2419ed4cd636eb273640cd73fb0e3ea1ebe138cdc40d013387a3990c01dbc89f8&amp;mpshare=1&amp;scene=1&amp;srcid=02280HkcTjHco5e58mza155F&amp;sharer_sharetime=1677635754318&amp;sharer_shareid=5ff6699fb854ae8148f035267ad8969e&amp;key=059af8dc50e178fb42ffe6d4a0d0a4f479bbd06d14870cb5ecfc959d3f9aa267e446cb99b04a1e3617c28cf841092496d8ca5ad5ab4e0ccdd8ea9a10a1394f592da73000f2a5cee92f9a24de92d32d784b9cccc8b19a28dd4847a989b45604df2a930a9911390b3df3099f8110f67fb1aa6158a56de55135bd64b14fba060e2e&amp;ascene=1&amp;uin=OTM3NzcyNjY0&amp;devicetype=Windows+7+x64&amp;version=6309001c&amp;lang=zh_CN&amp;countrycode=CN&amp;exportkey=n_ChQIAhIQOFce+R2cCoMuUaUdEgUrCxLyAQIE97dBBAEAAAAAAFIGDTScXfEAAAAOpnltbLcz9gKNyK89dVj0XKB22r+aeQsru5WXnPMqLlE1u2d1lfOmh3mmwGSEupODdJkzKrwqMkHSkmupyWapnxBCBk+Kl1GW/R+gHosY7XlncvlBH9L+p+ohBbhEPysNyXgeCSPmbtOe1l7YXCHgNF00md10Eur0Jgt5DhVbv/Nas4mGGpHXGbLz6rTjouGpvyxvj9Fj+RxKNpOorIPL+ggK8GOEVZNxhduTkGByvDW1YChsT9LFX8BW+M73yja3aGOvW7eAjCnOLIQOZOJZ8A2YOneQH4XuWlvo&amp;acctmode=0&amp;pass_ticket=ugy26zj9F9Qp06ILMasZaLQx9MwbOnn/rAUn1lHdd6ycKUN0/m1DRr8aSdyX2HBAOS9rZAKvXWq0t0KqHBERWw==&amp;wx_header=1&amp;fontgear=2" </w:instrText>
            </w:r>
            <w:r>
              <w:rPr>
                <w:rFonts w:hint="default" w:ascii="Times New Roman" w:hAnsi="Times New Roman" w:eastAsia="宋体" w:cs="Times New Roman"/>
                <w:snapToGrid w:val="0"/>
                <w:color w:val="auto"/>
                <w:kern w:val="0"/>
                <w:sz w:val="24"/>
                <w:szCs w:val="24"/>
                <w:highlight w:val="none"/>
                <w:lang w:val="en-US" w:eastAsia="zh-CN"/>
              </w:rPr>
              <w:fldChar w:fldCharType="separate"/>
            </w:r>
            <w:r>
              <w:rPr>
                <w:rFonts w:hint="default" w:ascii="Times New Roman" w:hAnsi="Times New Roman" w:eastAsia="宋体" w:cs="Times New Roman"/>
                <w:snapToGrid w:val="0"/>
                <w:color w:val="auto"/>
                <w:kern w:val="0"/>
                <w:sz w:val="24"/>
                <w:szCs w:val="24"/>
                <w:highlight w:val="none"/>
                <w:lang w:val="en-US" w:eastAsia="zh-CN"/>
              </w:rPr>
              <w:t>危险废物贮存污染控制标准</w:t>
            </w:r>
            <w:r>
              <w:rPr>
                <w:rFonts w:hint="default" w:ascii="Times New Roman" w:hAnsi="Times New Roman" w:eastAsia="宋体" w:cs="Times New Roman"/>
                <w:snapToGrid w:val="0"/>
                <w:color w:val="auto"/>
                <w:kern w:val="0"/>
                <w:sz w:val="24"/>
                <w:szCs w:val="24"/>
                <w:highlight w:val="none"/>
                <w:lang w:val="en-US" w:eastAsia="zh-CN"/>
              </w:rPr>
              <w:fldChar w:fldCharType="end"/>
            </w:r>
            <w:r>
              <w:rPr>
                <w:rFonts w:hint="default" w:ascii="Times New Roman" w:hAnsi="Times New Roman" w:eastAsia="宋体" w:cs="Times New Roman"/>
                <w:snapToGrid w:val="0"/>
                <w:color w:val="auto"/>
                <w:kern w:val="0"/>
                <w:sz w:val="24"/>
                <w:szCs w:val="24"/>
                <w:highlight w:val="none"/>
                <w:lang w:val="en-US" w:eastAsia="zh-CN"/>
              </w:rPr>
              <w:t>》（GB 18597-2023）中的相关要求。危废贮存库设有明显的危废标签和危废种类标志，地面已进行重点防渗，贮存库内已做明确分区，本项目</w:t>
            </w:r>
            <w:r>
              <w:rPr>
                <w:rFonts w:hint="default" w:ascii="Times New Roman" w:hAnsi="Times New Roman" w:eastAsia="宋体" w:cs="Times New Roman"/>
                <w:snapToGrid w:val="0"/>
                <w:color w:val="auto"/>
                <w:kern w:val="0"/>
                <w:sz w:val="24"/>
                <w:szCs w:val="24"/>
                <w:highlight w:val="none"/>
                <w:lang w:eastAsia="zh-CN"/>
              </w:rPr>
              <w:t>废机油</w:t>
            </w:r>
            <w:r>
              <w:rPr>
                <w:rFonts w:hint="default" w:ascii="Times New Roman" w:hAnsi="Times New Roman" w:eastAsia="宋体" w:cs="Times New Roman"/>
                <w:snapToGrid w:val="0"/>
                <w:color w:val="auto"/>
                <w:kern w:val="0"/>
                <w:sz w:val="24"/>
                <w:szCs w:val="24"/>
                <w:highlight w:val="none"/>
              </w:rPr>
              <w:t>、</w:t>
            </w:r>
            <w:r>
              <w:rPr>
                <w:rFonts w:hint="default" w:ascii="Times New Roman" w:hAnsi="Times New Roman" w:eastAsia="宋体" w:cs="Times New Roman"/>
                <w:snapToGrid w:val="0"/>
                <w:color w:val="auto"/>
                <w:kern w:val="0"/>
                <w:sz w:val="24"/>
                <w:szCs w:val="24"/>
                <w:highlight w:val="none"/>
                <w:lang w:val="en-US" w:eastAsia="zh-CN"/>
              </w:rPr>
              <w:t>废</w:t>
            </w:r>
            <w:r>
              <w:rPr>
                <w:rFonts w:hint="default" w:ascii="Times New Roman" w:hAnsi="Times New Roman" w:eastAsia="宋体" w:cs="Times New Roman"/>
                <w:snapToGrid w:val="0"/>
                <w:color w:val="auto"/>
                <w:kern w:val="0"/>
                <w:sz w:val="24"/>
                <w:szCs w:val="24"/>
                <w:highlight w:val="none"/>
                <w:lang w:eastAsia="zh-CN"/>
              </w:rPr>
              <w:t>机油</w:t>
            </w:r>
            <w:r>
              <w:rPr>
                <w:rFonts w:hint="default" w:ascii="Times New Roman" w:hAnsi="Times New Roman" w:eastAsia="宋体" w:cs="Times New Roman"/>
                <w:snapToGrid w:val="0"/>
                <w:color w:val="auto"/>
                <w:kern w:val="0"/>
                <w:sz w:val="24"/>
                <w:szCs w:val="24"/>
                <w:highlight w:val="none"/>
                <w:lang w:val="en-US" w:eastAsia="zh-CN"/>
              </w:rPr>
              <w:t>桶、废含油抹布及手套和</w:t>
            </w:r>
            <w:r>
              <w:rPr>
                <w:rFonts w:hint="default" w:ascii="Times New Roman" w:hAnsi="Times New Roman" w:eastAsia="宋体" w:cs="Times New Roman"/>
                <w:snapToGrid w:val="0"/>
                <w:color w:val="auto"/>
                <w:kern w:val="0"/>
                <w:sz w:val="24"/>
                <w:szCs w:val="24"/>
                <w:highlight w:val="none"/>
              </w:rPr>
              <w:t>废活性炭</w:t>
            </w:r>
            <w:r>
              <w:rPr>
                <w:rFonts w:hint="default" w:ascii="Times New Roman" w:hAnsi="Times New Roman" w:eastAsia="宋体" w:cs="Times New Roman"/>
                <w:snapToGrid w:val="0"/>
                <w:color w:val="auto"/>
                <w:kern w:val="0"/>
                <w:sz w:val="24"/>
                <w:szCs w:val="24"/>
                <w:highlight w:val="none"/>
                <w:lang w:val="en-US" w:eastAsia="zh-CN"/>
              </w:rPr>
              <w:t>等危险废物</w:t>
            </w:r>
            <w:r>
              <w:rPr>
                <w:rFonts w:hint="default" w:ascii="Times New Roman" w:hAnsi="Times New Roman" w:eastAsia="宋体" w:cs="Times New Roman"/>
                <w:snapToGrid w:val="0"/>
                <w:color w:val="auto"/>
                <w:kern w:val="0"/>
                <w:sz w:val="24"/>
                <w:szCs w:val="24"/>
                <w:highlight w:val="none"/>
              </w:rPr>
              <w:t>分类收集后</w:t>
            </w:r>
            <w:r>
              <w:rPr>
                <w:rFonts w:hint="default" w:ascii="Times New Roman" w:hAnsi="Times New Roman" w:eastAsia="宋体" w:cs="Times New Roman"/>
                <w:snapToGrid w:val="0"/>
                <w:color w:val="auto"/>
                <w:kern w:val="0"/>
                <w:sz w:val="24"/>
                <w:szCs w:val="24"/>
                <w:highlight w:val="none"/>
                <w:lang w:val="en-US" w:eastAsia="zh-CN"/>
              </w:rPr>
              <w:t>依托高科建材厂内</w:t>
            </w:r>
            <w:r>
              <w:rPr>
                <w:rFonts w:hint="default" w:ascii="Times New Roman" w:hAnsi="Times New Roman" w:eastAsia="宋体" w:cs="Times New Roman"/>
                <w:snapToGrid w:val="0"/>
                <w:color w:val="auto"/>
                <w:kern w:val="0"/>
                <w:sz w:val="24"/>
                <w:szCs w:val="24"/>
                <w:highlight w:val="none"/>
                <w:lang w:eastAsia="zh-CN"/>
              </w:rPr>
              <w:t>危废贮存库</w:t>
            </w:r>
            <w:r>
              <w:rPr>
                <w:rFonts w:hint="default" w:ascii="Times New Roman" w:hAnsi="Times New Roman" w:eastAsia="宋体" w:cs="Times New Roman"/>
                <w:snapToGrid w:val="0"/>
                <w:color w:val="auto"/>
                <w:kern w:val="0"/>
                <w:sz w:val="24"/>
                <w:szCs w:val="24"/>
                <w:highlight w:val="none"/>
              </w:rPr>
              <w:t>定期统一交由有资质单位处置</w:t>
            </w:r>
            <w:r>
              <w:rPr>
                <w:rFonts w:hint="default" w:ascii="Times New Roman" w:hAnsi="Times New Roman" w:eastAsia="宋体" w:cs="Times New Roman"/>
                <w:snapToGrid w:val="0"/>
                <w:color w:val="auto"/>
                <w:kern w:val="0"/>
                <w:sz w:val="24"/>
                <w:szCs w:val="24"/>
                <w:highlight w:val="none"/>
                <w:lang w:eastAsia="zh-CN"/>
              </w:rPr>
              <w:t>。</w:t>
            </w:r>
          </w:p>
          <w:p>
            <w:pPr>
              <w:pStyle w:val="68"/>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rPr>
              <w:t>本</w:t>
            </w:r>
            <w:r>
              <w:rPr>
                <w:rFonts w:hint="default" w:ascii="Times New Roman" w:hAnsi="Times New Roman" w:eastAsia="宋体" w:cs="Times New Roman"/>
                <w:color w:val="auto"/>
                <w:lang w:val="en-US" w:eastAsia="zh-CN"/>
              </w:rPr>
              <w:t>次环评要求危废</w:t>
            </w:r>
            <w:r>
              <w:rPr>
                <w:rFonts w:hint="default" w:ascii="Times New Roman" w:hAnsi="Times New Roman" w:eastAsia="宋体" w:cs="Times New Roman"/>
                <w:color w:val="auto"/>
              </w:rPr>
              <w:t>暂存场所应严格按照《危险废物贮存污染控制标准》（GB18597-20</w:t>
            </w:r>
            <w:r>
              <w:rPr>
                <w:rFonts w:hint="default" w:ascii="Times New Roman" w:hAnsi="Times New Roman" w:eastAsia="宋体" w:cs="Times New Roman"/>
                <w:color w:val="auto"/>
                <w:lang w:val="en-US" w:eastAsia="zh-CN"/>
              </w:rPr>
              <w:t>23</w:t>
            </w:r>
            <w:r>
              <w:rPr>
                <w:rFonts w:hint="default" w:ascii="Times New Roman" w:hAnsi="Times New Roman" w:eastAsia="宋体" w:cs="Times New Roman"/>
                <w:color w:val="auto"/>
              </w:rPr>
              <w:t>）的要求</w:t>
            </w:r>
            <w:r>
              <w:rPr>
                <w:rFonts w:hint="default" w:ascii="Times New Roman" w:hAnsi="Times New Roman" w:eastAsia="宋体" w:cs="Times New Roman"/>
                <w:color w:val="auto"/>
                <w:lang w:val="en-US" w:eastAsia="zh-CN"/>
              </w:rPr>
              <w:t>完善</w:t>
            </w:r>
            <w:r>
              <w:rPr>
                <w:rFonts w:hint="default" w:ascii="Times New Roman" w:hAnsi="Times New Roman" w:eastAsia="宋体" w:cs="Times New Roman"/>
                <w:color w:val="auto"/>
              </w:rPr>
              <w:t>和维护使用</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kern w:val="0"/>
                <w:sz w:val="24"/>
                <w:lang w:val="en-US" w:eastAsia="zh-CN"/>
              </w:rPr>
              <w:t>危废贮存库污染控制要求</w:t>
            </w:r>
            <w:r>
              <w:rPr>
                <w:rFonts w:hint="default" w:ascii="Times New Roman" w:hAnsi="Times New Roman" w:eastAsia="宋体" w:cs="Times New Roman"/>
                <w:color w:val="auto"/>
                <w:kern w:val="0"/>
                <w:sz w:val="24"/>
              </w:rPr>
              <w:t>符合以下规定：</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color w:val="auto"/>
                <w:sz w:val="24"/>
              </w:rPr>
              <w:t>危险废物的容器和包装物，以及收集、贮存、利用、处置危险废物的设施、场所使用的环境保护识别标志严格按照《危险废物贮存污染控制标准》（GB 18597-2023）（2023-07-01实施）、《危险废物识别标志设置技术规范》（HJ1276-2022）（2023-07-01实</w:t>
            </w:r>
            <w:r>
              <w:rPr>
                <w:rFonts w:hint="default" w:ascii="Times New Roman" w:hAnsi="Times New Roman" w:eastAsia="宋体" w:cs="Times New Roman"/>
                <w:b w:val="0"/>
                <w:bCs w:val="0"/>
                <w:color w:val="auto"/>
                <w:sz w:val="24"/>
              </w:rPr>
              <w:t>施）执行。</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危废贮存库</w:t>
            </w:r>
            <w:r>
              <w:rPr>
                <w:rFonts w:hint="default" w:ascii="Times New Roman" w:hAnsi="Times New Roman" w:eastAsia="宋体" w:cs="Times New Roman"/>
                <w:b w:val="0"/>
                <w:bCs w:val="0"/>
                <w:color w:val="auto"/>
                <w:sz w:val="24"/>
                <w:szCs w:val="24"/>
                <w:highlight w:val="none"/>
              </w:rPr>
              <w:t>危险废物标识要求如下图所示：</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b/>
                <w:bCs/>
                <w:snapToGrid w:val="0"/>
                <w:color w:val="auto"/>
                <w:sz w:val="24"/>
                <w:szCs w:val="24"/>
                <w:lang w:val="en-US" w:eastAsia="zh-CN"/>
              </w:rPr>
            </w:pPr>
            <w:r>
              <w:rPr>
                <w:rFonts w:hint="default" w:ascii="Times New Roman" w:hAnsi="Times New Roman" w:eastAsia="宋体" w:cs="Times New Roman"/>
                <w:b/>
                <w:bCs/>
                <w:color w:val="auto"/>
                <w:sz w:val="24"/>
                <w:szCs w:val="24"/>
                <w:highlight w:val="none"/>
              </w:rPr>
              <w:t>图4-</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 xml:space="preserve">  危险废物标识要求</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9"/>
              <w:gridCol w:w="3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0" w:hRule="atLeast"/>
                <w:jc w:val="center"/>
              </w:trPr>
              <w:tc>
                <w:tcPr>
                  <w:tcW w:w="7937" w:type="dxa"/>
                  <w:gridSpan w:val="2"/>
                  <w:noWrap w:val="0"/>
                  <w:vAlign w:val="top"/>
                </w:tcPr>
                <w:p>
                  <w:pPr>
                    <w:pStyle w:val="2"/>
                    <w:tabs>
                      <w:tab w:val="left" w:pos="8607"/>
                    </w:tabs>
                    <w:spacing w:after="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危险废物标识牌样式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3969" w:type="dxa"/>
                  <w:noWrap w:val="0"/>
                  <w:vAlign w:val="top"/>
                </w:tcPr>
                <w:p>
                  <w:pPr>
                    <w:pStyle w:val="2"/>
                    <w:tabs>
                      <w:tab w:val="left" w:pos="8607"/>
                    </w:tabs>
                    <w:spacing w:after="0"/>
                    <w:ind w:left="0" w:leftChars="0" w:firstLine="0" w:firstLineChars="0"/>
                    <w:jc w:val="both"/>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drawing>
                      <wp:inline distT="0" distB="0" distL="114300" distR="114300">
                        <wp:extent cx="2298065" cy="1496060"/>
                        <wp:effectExtent l="0" t="0" r="6985" b="8890"/>
                        <wp:docPr id="17" name="图片 1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8" descr="1"/>
                                <pic:cNvPicPr>
                                  <a:picLocks noChangeAspect="1"/>
                                </pic:cNvPicPr>
                              </pic:nvPicPr>
                              <pic:blipFill>
                                <a:blip r:embed="rId37"/>
                                <a:stretch>
                                  <a:fillRect/>
                                </a:stretch>
                              </pic:blipFill>
                              <pic:spPr>
                                <a:xfrm>
                                  <a:off x="0" y="0"/>
                                  <a:ext cx="2298065" cy="1496060"/>
                                </a:xfrm>
                                <a:prstGeom prst="rect">
                                  <a:avLst/>
                                </a:prstGeom>
                                <a:noFill/>
                                <a:ln>
                                  <a:noFill/>
                                </a:ln>
                              </pic:spPr>
                            </pic:pic>
                          </a:graphicData>
                        </a:graphic>
                      </wp:inline>
                    </w:drawing>
                  </w:r>
                </w:p>
              </w:tc>
              <w:tc>
                <w:tcPr>
                  <w:tcW w:w="3968" w:type="dxa"/>
                  <w:noWrap w:val="0"/>
                  <w:vAlign w:val="center"/>
                </w:tcPr>
                <w:p>
                  <w:pPr>
                    <w:spacing w:line="240" w:lineRule="auto"/>
                    <w:jc w:val="center"/>
                    <w:rPr>
                      <w:rStyle w:val="37"/>
                      <w:rFonts w:hint="default" w:ascii="Times New Roman" w:hAnsi="Times New Roman" w:eastAsia="宋体" w:cs="Times New Roman"/>
                      <w:b w:val="0"/>
                      <w:bCs w:val="0"/>
                      <w:i w:val="0"/>
                      <w:iCs w:val="0"/>
                      <w:caps w:val="0"/>
                      <w:color w:val="auto"/>
                      <w:spacing w:val="8"/>
                      <w:sz w:val="21"/>
                      <w:szCs w:val="21"/>
                      <w:lang w:eastAsia="zh-CN"/>
                    </w:rPr>
                  </w:pPr>
                  <w:r>
                    <w:rPr>
                      <w:rStyle w:val="37"/>
                      <w:rFonts w:hint="default" w:ascii="Times New Roman" w:hAnsi="Times New Roman" w:eastAsia="宋体" w:cs="Times New Roman"/>
                      <w:b w:val="0"/>
                      <w:bCs w:val="0"/>
                      <w:i w:val="0"/>
                      <w:iCs w:val="0"/>
                      <w:caps w:val="0"/>
                      <w:color w:val="auto"/>
                      <w:spacing w:val="8"/>
                      <w:sz w:val="21"/>
                      <w:szCs w:val="21"/>
                    </w:rPr>
                    <w:t>危废贮存、利用、处置设施的样式</w:t>
                  </w:r>
                  <w:r>
                    <w:rPr>
                      <w:rStyle w:val="37"/>
                      <w:rFonts w:hint="default" w:ascii="Times New Roman" w:hAnsi="Times New Roman" w:eastAsia="宋体" w:cs="Times New Roman"/>
                      <w:b w:val="0"/>
                      <w:bCs w:val="0"/>
                      <w:i w:val="0"/>
                      <w:iCs w:val="0"/>
                      <w:caps w:val="0"/>
                      <w:color w:val="auto"/>
                      <w:spacing w:val="8"/>
                      <w:sz w:val="21"/>
                      <w:szCs w:val="21"/>
                      <w:lang w:eastAsia="zh-CN"/>
                    </w:rPr>
                    <w:t>：</w:t>
                  </w:r>
                </w:p>
                <w:p>
                  <w:pPr>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highlight w:val="none"/>
                    </w:rPr>
                    <w:t>危险废物贮存、利用、处置设施标志可采用横版或竖版的形式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3969" w:type="dxa"/>
                  <w:noWrap w:val="0"/>
                  <w:vAlign w:val="top"/>
                </w:tcPr>
                <w:p>
                  <w:pPr>
                    <w:pStyle w:val="2"/>
                    <w:tabs>
                      <w:tab w:val="left" w:pos="8607"/>
                    </w:tabs>
                    <w:spacing w:after="0"/>
                    <w:ind w:left="0" w:leftChars="0" w:firstLine="0" w:firstLineChars="0"/>
                    <w:jc w:val="both"/>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color w:val="auto"/>
                    </w:rPr>
                    <w:drawing>
                      <wp:inline distT="0" distB="0" distL="114300" distR="114300">
                        <wp:extent cx="2372360" cy="1454785"/>
                        <wp:effectExtent l="0" t="0" r="8890" b="12065"/>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38"/>
                                <a:stretch>
                                  <a:fillRect/>
                                </a:stretch>
                              </pic:blipFill>
                              <pic:spPr>
                                <a:xfrm>
                                  <a:off x="0" y="0"/>
                                  <a:ext cx="2372360" cy="1454785"/>
                                </a:xfrm>
                                <a:prstGeom prst="rect">
                                  <a:avLst/>
                                </a:prstGeom>
                                <a:noFill/>
                                <a:ln>
                                  <a:noFill/>
                                </a:ln>
                              </pic:spPr>
                            </pic:pic>
                          </a:graphicData>
                        </a:graphic>
                      </wp:inline>
                    </w:drawing>
                  </w:r>
                </w:p>
              </w:tc>
              <w:tc>
                <w:tcPr>
                  <w:tcW w:w="3968" w:type="dxa"/>
                  <w:noWrap w:val="0"/>
                  <w:vAlign w:val="center"/>
                </w:tcPr>
                <w:p>
                  <w:pPr>
                    <w:spacing w:line="240" w:lineRule="auto"/>
                    <w:jc w:val="both"/>
                    <w:rPr>
                      <w:rFonts w:hint="default" w:ascii="Times New Roman" w:hAnsi="Times New Roman" w:eastAsia="宋体" w:cs="Times New Roman"/>
                      <w:b w:val="0"/>
                      <w:bCs w:val="0"/>
                      <w:color w:val="auto"/>
                      <w:sz w:val="21"/>
                      <w:szCs w:val="21"/>
                      <w:highlight w:val="none"/>
                      <w:lang w:eastAsia="zh-CN"/>
                    </w:rPr>
                  </w:pPr>
                  <w:r>
                    <w:rPr>
                      <w:rStyle w:val="37"/>
                      <w:rFonts w:hint="default" w:ascii="Times New Roman" w:hAnsi="Times New Roman" w:eastAsia="宋体" w:cs="Times New Roman"/>
                      <w:b w:val="0"/>
                      <w:bCs w:val="0"/>
                      <w:i w:val="0"/>
                      <w:iCs w:val="0"/>
                      <w:caps w:val="0"/>
                      <w:color w:val="auto"/>
                      <w:spacing w:val="8"/>
                      <w:sz w:val="21"/>
                      <w:szCs w:val="21"/>
                    </w:rPr>
                    <w:t>危废贮存分区标志的设置要求</w:t>
                  </w:r>
                  <w:r>
                    <w:rPr>
                      <w:rStyle w:val="37"/>
                      <w:rFonts w:hint="default" w:ascii="Times New Roman" w:hAnsi="Times New Roman" w:eastAsia="宋体" w:cs="Times New Roman"/>
                      <w:b w:val="0"/>
                      <w:bCs w:val="0"/>
                      <w:i w:val="0"/>
                      <w:iCs w:val="0"/>
                      <w:caps w:val="0"/>
                      <w:color w:val="auto"/>
                      <w:spacing w:val="8"/>
                      <w:sz w:val="21"/>
                      <w:szCs w:val="21"/>
                      <w:lang w:eastAsia="zh-CN"/>
                    </w:rPr>
                    <w:t>：</w:t>
                  </w:r>
                </w:p>
                <w:p>
                  <w:pPr>
                    <w:spacing w:line="240" w:lineRule="auto"/>
                    <w:jc w:val="center"/>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rPr>
                    <w:t>危险废物贮存分区标志可采用附着式（如钉挂、粘贴等）、悬挂式和柱式（固定于标志杆或支架等物体上）等固定形式。企业应当在危险废物贮存设施内的每一个贮存分区处，设置危险废物贮存分区标志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3969" w:type="dxa"/>
                  <w:noWrap w:val="0"/>
                  <w:vAlign w:val="top"/>
                </w:tcPr>
                <w:p>
                  <w:pPr>
                    <w:pStyle w:val="2"/>
                    <w:tabs>
                      <w:tab w:val="left" w:pos="8607"/>
                    </w:tabs>
                    <w:spacing w:after="0"/>
                    <w:ind w:left="0" w:leftChars="0" w:firstLine="0" w:firstLineChars="0"/>
                    <w:jc w:val="both"/>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drawing>
                      <wp:inline distT="0" distB="0" distL="114300" distR="114300">
                        <wp:extent cx="2364105" cy="1604010"/>
                        <wp:effectExtent l="0" t="0" r="17145" b="15240"/>
                        <wp:docPr id="19" name="图片 13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0" descr="3"/>
                                <pic:cNvPicPr>
                                  <a:picLocks noChangeAspect="1"/>
                                </pic:cNvPicPr>
                              </pic:nvPicPr>
                              <pic:blipFill>
                                <a:blip r:embed="rId39"/>
                                <a:stretch>
                                  <a:fillRect/>
                                </a:stretch>
                              </pic:blipFill>
                              <pic:spPr>
                                <a:xfrm>
                                  <a:off x="0" y="0"/>
                                  <a:ext cx="2364105" cy="1604010"/>
                                </a:xfrm>
                                <a:prstGeom prst="rect">
                                  <a:avLst/>
                                </a:prstGeom>
                                <a:noFill/>
                                <a:ln>
                                  <a:noFill/>
                                </a:ln>
                              </pic:spPr>
                            </pic:pic>
                          </a:graphicData>
                        </a:graphic>
                      </wp:inline>
                    </w:drawing>
                  </w:r>
                </w:p>
              </w:tc>
              <w:tc>
                <w:tcPr>
                  <w:tcW w:w="3968" w:type="dxa"/>
                  <w:noWrap w:val="0"/>
                  <w:vAlign w:val="top"/>
                </w:tcPr>
                <w:p>
                  <w:pPr>
                    <w:spacing w:line="240" w:lineRule="auto"/>
                    <w:jc w:val="both"/>
                    <w:rPr>
                      <w:rFonts w:hint="default" w:ascii="Times New Roman" w:hAnsi="Times New Roman" w:eastAsia="宋体" w:cs="Times New Roman"/>
                      <w:b w:val="0"/>
                      <w:bCs w:val="0"/>
                      <w:color w:val="auto"/>
                      <w:sz w:val="21"/>
                      <w:szCs w:val="21"/>
                      <w:highlight w:val="none"/>
                      <w:lang w:eastAsia="zh-CN"/>
                    </w:rPr>
                  </w:pPr>
                  <w:r>
                    <w:rPr>
                      <w:rStyle w:val="37"/>
                      <w:rFonts w:hint="default" w:ascii="Times New Roman" w:hAnsi="Times New Roman" w:eastAsia="宋体" w:cs="Times New Roman"/>
                      <w:b w:val="0"/>
                      <w:bCs w:val="0"/>
                      <w:i w:val="0"/>
                      <w:iCs w:val="0"/>
                      <w:caps w:val="0"/>
                      <w:color w:val="auto"/>
                      <w:spacing w:val="8"/>
                      <w:sz w:val="21"/>
                      <w:szCs w:val="21"/>
                    </w:rPr>
                    <w:t>危险废物标签的设置要求</w:t>
                  </w:r>
                  <w:r>
                    <w:rPr>
                      <w:rStyle w:val="37"/>
                      <w:rFonts w:hint="default" w:ascii="Times New Roman" w:hAnsi="Times New Roman" w:eastAsia="宋体" w:cs="Times New Roman"/>
                      <w:b w:val="0"/>
                      <w:bCs w:val="0"/>
                      <w:i w:val="0"/>
                      <w:iCs w:val="0"/>
                      <w:caps w:val="0"/>
                      <w:color w:val="auto"/>
                      <w:spacing w:val="8"/>
                      <w:sz w:val="21"/>
                      <w:szCs w:val="21"/>
                      <w:lang w:eastAsia="zh-CN"/>
                    </w:rPr>
                    <w:t>：</w:t>
                  </w:r>
                </w:p>
                <w:p>
                  <w:pPr>
                    <w:spacing w:line="240" w:lineRule="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危险废物标签的设置位置，应当明显可见并且易读，不应被容器、包装物自身的任何部分或其他标签遮挡。</w:t>
                  </w:r>
                </w:p>
                <w:p>
                  <w:pPr>
                    <w:spacing w:line="240" w:lineRule="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危险废物标签在各种包装上的粘贴位置分别为：</w:t>
                  </w:r>
                </w:p>
                <w:p>
                  <w:pPr>
                    <w:numPr>
                      <w:ilvl w:val="0"/>
                      <w:numId w:val="6"/>
                    </w:numPr>
                    <w:spacing w:line="240" w:lineRule="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箱类包装：位于包装端面或侧面</w:t>
                  </w:r>
                </w:p>
                <w:p>
                  <w:pPr>
                    <w:numPr>
                      <w:ilvl w:val="0"/>
                      <w:numId w:val="6"/>
                    </w:numPr>
                    <w:spacing w:line="240" w:lineRule="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rPr>
                    <w:t>袋类包装：位于包装明显处</w:t>
                  </w:r>
                </w:p>
                <w:p>
                  <w:pPr>
                    <w:numPr>
                      <w:ilvl w:val="0"/>
                      <w:numId w:val="6"/>
                    </w:numPr>
                    <w:spacing w:line="240" w:lineRule="auto"/>
                    <w:ind w:left="0" w:leftChars="0" w:firstLine="0" w:firstLineChars="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桶类包装：位于桶身或桶盖</w:t>
                  </w:r>
                </w:p>
                <w:p>
                  <w:pPr>
                    <w:numPr>
                      <w:ilvl w:val="0"/>
                      <w:numId w:val="0"/>
                    </w:numPr>
                    <w:spacing w:line="240" w:lineRule="auto"/>
                    <w:ind w:leftChars="0"/>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rPr>
                    <w:t>（4）其他包装：位于明显处</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根据《陕西省固体废物污染环境防治条例》（</w:t>
            </w:r>
            <w:r>
              <w:rPr>
                <w:rFonts w:hint="default" w:ascii="Times New Roman" w:hAnsi="Times New Roman" w:eastAsia="宋体" w:cs="Times New Roman"/>
                <w:color w:val="auto"/>
                <w:sz w:val="24"/>
                <w:szCs w:val="24"/>
                <w:highlight w:val="none"/>
                <w:lang w:val="en-US" w:eastAsia="zh-CN"/>
              </w:rPr>
              <w:t>2021年修订</w:t>
            </w:r>
            <w:r>
              <w:rPr>
                <w:rFonts w:hint="default" w:ascii="Times New Roman" w:hAnsi="Times New Roman" w:eastAsia="宋体" w:cs="Times New Roman"/>
                <w:color w:val="auto"/>
                <w:sz w:val="24"/>
                <w:szCs w:val="24"/>
                <w:highlight w:val="none"/>
                <w:lang w:eastAsia="zh-CN"/>
              </w:rPr>
              <w:t>），产生危险废物的单位应当按照危险废物产生、贮存、利用、处置管理流程建立台账，如实记载产生危险废物的种类、数量、流向、贮存、利用、处置等信息，并通过固体废物信息管理系统向所在地生态环境行政主管部门申报。危险废物台账应当至少保存十年。</w:t>
            </w:r>
            <w:r>
              <w:rPr>
                <w:rFonts w:hint="default" w:ascii="Times New Roman" w:hAnsi="Times New Roman" w:eastAsia="宋体" w:cs="Times New Roman"/>
                <w:color w:val="auto"/>
                <w:sz w:val="24"/>
                <w:szCs w:val="24"/>
                <w:highlight w:val="none"/>
              </w:rPr>
              <w:t>必须定期对所贮存的危险废物包装容器及贮存设施进行检查，发现破损，应及时采取措施清理更换。</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sz w:val="24"/>
              </w:rPr>
              <w:t>综上，</w:t>
            </w:r>
            <w:r>
              <w:rPr>
                <w:rFonts w:hint="default" w:ascii="Times New Roman" w:hAnsi="Times New Roman" w:eastAsia="宋体" w:cs="Times New Roman"/>
                <w:color w:val="auto"/>
                <w:kern w:val="0"/>
                <w:sz w:val="24"/>
              </w:rPr>
              <w:t>在严格落实营运期固废处理措施后，项目产生固废都能得到妥善处置，</w:t>
            </w:r>
            <w:r>
              <w:rPr>
                <w:rFonts w:hint="default" w:ascii="Times New Roman" w:hAnsi="Times New Roman" w:eastAsia="宋体" w:cs="Times New Roman"/>
                <w:color w:val="auto"/>
                <w:sz w:val="24"/>
                <w:lang w:val="en-US" w:eastAsia="zh-CN"/>
              </w:rPr>
              <w:t>不会对周围环境产生明显的影响</w:t>
            </w:r>
            <w:r>
              <w:rPr>
                <w:rFonts w:hint="default" w:ascii="Times New Roman" w:hAnsi="Times New Roman" w:eastAsia="宋体" w:cs="Times New Roman"/>
                <w:color w:val="auto"/>
                <w:kern w:val="0"/>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val="en-US" w:eastAsia="zh-CN"/>
              </w:rPr>
              <w:t>五</w:t>
            </w:r>
            <w:r>
              <w:rPr>
                <w:rFonts w:hint="default" w:ascii="Times New Roman" w:hAnsi="Times New Roman" w:eastAsia="宋体" w:cs="Times New Roman"/>
                <w:b/>
                <w:color w:val="auto"/>
                <w:sz w:val="24"/>
                <w:szCs w:val="24"/>
              </w:rPr>
              <w:t>、地下水和土壤</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本项目地下水和土壤主要污染源主要为</w:t>
            </w:r>
            <w:r>
              <w:rPr>
                <w:rFonts w:hint="default" w:ascii="Times New Roman" w:hAnsi="Times New Roman" w:eastAsia="宋体" w:cs="Times New Roman"/>
                <w:color w:val="auto"/>
                <w:kern w:val="0"/>
                <w:sz w:val="24"/>
                <w:szCs w:val="24"/>
                <w:lang w:val="en-US" w:eastAsia="zh-CN"/>
              </w:rPr>
              <w:t>危险废物</w:t>
            </w:r>
            <w:r>
              <w:rPr>
                <w:rFonts w:hint="default" w:ascii="Times New Roman" w:hAnsi="Times New Roman" w:eastAsia="宋体" w:cs="Times New Roman"/>
                <w:color w:val="auto"/>
                <w:kern w:val="0"/>
                <w:sz w:val="24"/>
                <w:szCs w:val="24"/>
              </w:rPr>
              <w:t>导致的污染，污染类型为持久性污染，污染途径为垂直入渗。项目</w:t>
            </w:r>
            <w:r>
              <w:rPr>
                <w:rFonts w:hint="default" w:ascii="Times New Roman" w:hAnsi="Times New Roman" w:eastAsia="宋体" w:cs="Times New Roman"/>
                <w:color w:val="auto"/>
                <w:kern w:val="0"/>
                <w:sz w:val="24"/>
                <w:szCs w:val="24"/>
                <w:lang w:val="en-US" w:eastAsia="zh-CN"/>
              </w:rPr>
              <w:t>为危险废物</w:t>
            </w:r>
            <w:r>
              <w:rPr>
                <w:rFonts w:hint="default" w:ascii="Times New Roman" w:hAnsi="Times New Roman" w:eastAsia="宋体" w:cs="Times New Roman"/>
                <w:color w:val="auto"/>
                <w:kern w:val="0"/>
                <w:sz w:val="24"/>
                <w:szCs w:val="24"/>
              </w:rPr>
              <w:t>暂存于</w:t>
            </w:r>
            <w:r>
              <w:rPr>
                <w:rFonts w:hint="default" w:ascii="Times New Roman" w:hAnsi="Times New Roman" w:eastAsia="宋体" w:cs="Times New Roman"/>
                <w:color w:val="auto"/>
                <w:kern w:val="0"/>
                <w:sz w:val="24"/>
                <w:szCs w:val="24"/>
                <w:lang w:val="en-US" w:eastAsia="zh-CN"/>
              </w:rPr>
              <w:t>危废贮存库</w:t>
            </w:r>
            <w:r>
              <w:rPr>
                <w:rFonts w:hint="default" w:ascii="Times New Roman" w:hAnsi="Times New Roman" w:eastAsia="宋体" w:cs="Times New Roman"/>
                <w:color w:val="auto"/>
                <w:kern w:val="0"/>
                <w:sz w:val="24"/>
                <w:szCs w:val="24"/>
              </w:rPr>
              <w:t>，对</w:t>
            </w:r>
            <w:r>
              <w:rPr>
                <w:rFonts w:hint="default" w:ascii="Times New Roman" w:hAnsi="Times New Roman" w:eastAsia="宋体" w:cs="Times New Roman"/>
                <w:color w:val="auto"/>
                <w:kern w:val="0"/>
                <w:sz w:val="24"/>
                <w:szCs w:val="24"/>
                <w:lang w:eastAsia="zh-CN"/>
              </w:rPr>
              <w:t>危废贮存库</w:t>
            </w:r>
            <w:r>
              <w:rPr>
                <w:rFonts w:hint="default" w:ascii="Times New Roman" w:hAnsi="Times New Roman" w:eastAsia="宋体" w:cs="Times New Roman"/>
                <w:color w:val="auto"/>
                <w:kern w:val="0"/>
                <w:sz w:val="24"/>
                <w:szCs w:val="24"/>
              </w:rPr>
              <w:t>进行重点防渗，地面涂装防腐、防漏、防渗性能的环氧地坪漆，还应设置防潮防水</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必须做好危险废物情况的记录，记录上须注明危险废物的名称、来源、数量、特性和包装容器的类别、入库时间、存放位置、转运时间等。同时危险废物转运前应按照电子转移联单管理办法进行操作</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有效黏土防渗层Mb≥6.0m，K≤1</w:t>
            </w:r>
            <w:r>
              <w:rPr>
                <w:rFonts w:hint="default" w:ascii="Times New Roman" w:hAnsi="Times New Roman" w:eastAsia="宋体" w:cs="Times New Roman"/>
                <w:color w:val="auto"/>
                <w:kern w:val="0"/>
                <w:sz w:val="24"/>
                <w:szCs w:val="24"/>
                <w:highlight w:val="none"/>
              </w:rPr>
              <w:t>×10</w:t>
            </w:r>
            <w:r>
              <w:rPr>
                <w:rFonts w:hint="default" w:ascii="Times New Roman" w:hAnsi="Times New Roman" w:eastAsia="宋体" w:cs="Times New Roman"/>
                <w:color w:val="auto"/>
                <w:kern w:val="0"/>
                <w:sz w:val="24"/>
                <w:szCs w:val="24"/>
                <w:highlight w:val="none"/>
                <w:vertAlign w:val="superscript"/>
              </w:rPr>
              <w:t>-7</w:t>
            </w:r>
            <w:r>
              <w:rPr>
                <w:rFonts w:hint="default" w:ascii="Times New Roman" w:hAnsi="Times New Roman" w:eastAsia="宋体" w:cs="Times New Roman"/>
                <w:color w:val="auto"/>
                <w:kern w:val="0"/>
                <w:sz w:val="24"/>
                <w:szCs w:val="24"/>
                <w:highlight w:val="none"/>
              </w:rPr>
              <w:t>c</w:t>
            </w:r>
            <w:r>
              <w:rPr>
                <w:rFonts w:hint="default" w:ascii="Times New Roman" w:hAnsi="Times New Roman" w:eastAsia="宋体" w:cs="Times New Roman"/>
                <w:color w:val="auto"/>
                <w:kern w:val="0"/>
                <w:sz w:val="24"/>
                <w:szCs w:val="24"/>
              </w:rPr>
              <w:t>m/s或参照GB18598执行。落实防渗措施后可有效防止对地下水和土壤的污染，对地下水和土壤环境影响较小。</w:t>
            </w:r>
          </w:p>
          <w:p>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val="en-US" w:eastAsia="zh-CN"/>
              </w:rPr>
              <w:t>六</w:t>
            </w:r>
            <w:r>
              <w:rPr>
                <w:rFonts w:hint="default" w:ascii="Times New Roman" w:hAnsi="Times New Roman" w:eastAsia="宋体" w:cs="Times New Roman"/>
                <w:b/>
                <w:color w:val="auto"/>
                <w:sz w:val="24"/>
                <w:szCs w:val="24"/>
              </w:rPr>
              <w:t>、环境风险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将风险可能性和危害程度降至最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风险</w:t>
            </w:r>
            <w:r>
              <w:rPr>
                <w:rFonts w:hint="default" w:ascii="Times New Roman" w:hAnsi="Times New Roman" w:eastAsia="宋体" w:cs="Times New Roman"/>
                <w:color w:val="auto"/>
                <w:sz w:val="24"/>
                <w:lang w:val="en-US" w:eastAsia="zh-CN"/>
              </w:rPr>
              <w:t>调查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按照《建设项目环境风险技术导则》（HJ 169-2018）附录中附录B，项目</w:t>
            </w:r>
            <w:r>
              <w:rPr>
                <w:rFonts w:hint="default" w:ascii="Times New Roman" w:hAnsi="Times New Roman" w:eastAsia="宋体" w:cs="Times New Roman"/>
                <w:color w:val="auto"/>
                <w:kern w:val="0"/>
                <w:sz w:val="24"/>
                <w:szCs w:val="24"/>
                <w:lang w:val="en-US" w:eastAsia="zh-CN"/>
              </w:rPr>
              <w:t>机油、废机油</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根据《建设项目环境风险评价技术导则》（HJ</w:t>
            </w:r>
            <w:r>
              <w:rPr>
                <w:rFonts w:hint="default" w:ascii="Times New Roman" w:hAnsi="Times New Roman" w:eastAsia="宋体" w:cs="Times New Roman"/>
                <w:color w:val="auto"/>
                <w:kern w:val="0"/>
                <w:sz w:val="24"/>
                <w:lang w:val="en-US" w:eastAsia="zh-CN"/>
              </w:rPr>
              <w:t xml:space="preserve"> </w:t>
            </w:r>
            <w:r>
              <w:rPr>
                <w:rFonts w:hint="default" w:ascii="Times New Roman" w:hAnsi="Times New Roman" w:eastAsia="宋体" w:cs="Times New Roman"/>
                <w:color w:val="auto"/>
                <w:kern w:val="0"/>
                <w:sz w:val="24"/>
              </w:rPr>
              <w:t>169-2018）附录C，</w:t>
            </w:r>
            <w:r>
              <w:rPr>
                <w:rFonts w:hint="default" w:ascii="Times New Roman" w:hAnsi="Times New Roman" w:eastAsia="宋体" w:cs="Times New Roman"/>
                <w:color w:val="auto"/>
                <w:kern w:val="0"/>
                <w:sz w:val="24"/>
                <w:lang w:val="en-US" w:eastAsia="zh-CN"/>
              </w:rPr>
              <w:t>当只涉及一种危险物质时，计算该物质的总量与其临界量比值，即为Q；</w:t>
            </w:r>
            <w:r>
              <w:rPr>
                <w:rFonts w:hint="default" w:ascii="Times New Roman" w:hAnsi="Times New Roman" w:eastAsia="宋体" w:cs="Times New Roman"/>
                <w:color w:val="auto"/>
                <w:kern w:val="0"/>
                <w:sz w:val="24"/>
              </w:rPr>
              <w:t>当存在多种危险物质时，按下式计算物质总量与其临界量的比值（Q）：</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rPr>
            </w:pPr>
            <m:oMathPara>
              <m:oMath>
                <m:r>
                  <m:rPr/>
                  <w:rPr>
                    <w:rFonts w:hint="default" w:ascii="Cambria Math" w:hAnsi="Cambria Math" w:eastAsia="宋体" w:cs="Times New Roman"/>
                    <w:color w:val="auto"/>
                  </w:rPr>
                  <m:t>Q=</m:t>
                </m:r>
                <m:f>
                  <m:fPr>
                    <m:ctrlPr>
                      <w:rPr>
                        <w:rFonts w:hint="default" w:ascii="Cambria Math" w:hAnsi="Cambria Math" w:eastAsia="宋体" w:cs="Times New Roman"/>
                        <w:i/>
                        <w:color w:val="auto"/>
                      </w:rPr>
                    </m:ctrlPr>
                  </m:fPr>
                  <m:num>
                    <m:sSub>
                      <m:sSubPr>
                        <m:ctrlPr>
                          <w:rPr>
                            <w:rFonts w:hint="default" w:ascii="Cambria Math" w:hAnsi="Cambria Math" w:eastAsia="宋体" w:cs="Times New Roman"/>
                            <w:i/>
                            <w:color w:val="auto"/>
                          </w:rPr>
                        </m:ctrlPr>
                      </m:sSubPr>
                      <m:e>
                        <m:r>
                          <m:rPr/>
                          <w:rPr>
                            <w:rFonts w:hint="default" w:ascii="Cambria Math" w:hAnsi="Cambria Math" w:eastAsia="宋体" w:cs="Times New Roman"/>
                            <w:color w:val="auto"/>
                          </w:rPr>
                          <m:t>q</m:t>
                        </m:r>
                        <m:ctrlPr>
                          <w:rPr>
                            <w:rFonts w:hint="default" w:ascii="Cambria Math" w:hAnsi="Cambria Math" w:eastAsia="宋体" w:cs="Times New Roman"/>
                            <w:color w:val="auto"/>
                          </w:rPr>
                        </m:ctrlPr>
                      </m:e>
                      <m:sub>
                        <m:r>
                          <m:rPr/>
                          <w:rPr>
                            <w:rFonts w:hint="default" w:ascii="Cambria Math" w:hAnsi="Cambria Math" w:eastAsia="宋体" w:cs="Times New Roman"/>
                            <w:color w:val="auto"/>
                          </w:rPr>
                          <m:t>1</m:t>
                        </m:r>
                        <m:ctrlPr>
                          <w:rPr>
                            <w:rFonts w:hint="default" w:ascii="Cambria Math" w:hAnsi="Cambria Math" w:eastAsia="宋体" w:cs="Times New Roman"/>
                            <w:color w:val="auto"/>
                          </w:rPr>
                        </m:ctrlPr>
                      </m:sub>
                    </m:sSub>
                    <m:ctrlPr>
                      <w:rPr>
                        <w:rFonts w:hint="default" w:ascii="Cambria Math" w:hAnsi="Cambria Math" w:eastAsia="宋体" w:cs="Times New Roman"/>
                        <w:i/>
                        <w:color w:val="auto"/>
                      </w:rPr>
                    </m:ctrlPr>
                  </m:num>
                  <m:den>
                    <m:sSub>
                      <m:sSubPr>
                        <m:ctrlPr>
                          <w:rPr>
                            <w:rFonts w:hint="default" w:ascii="Cambria Math" w:hAnsi="Cambria Math" w:eastAsia="宋体" w:cs="Times New Roman"/>
                            <w:i/>
                            <w:color w:val="auto"/>
                          </w:rPr>
                        </m:ctrlPr>
                      </m:sSubPr>
                      <m:e>
                        <m:r>
                          <m:rPr/>
                          <w:rPr>
                            <w:rFonts w:hint="default" w:ascii="Cambria Math" w:hAnsi="Cambria Math" w:eastAsia="宋体" w:cs="Times New Roman"/>
                            <w:color w:val="auto"/>
                          </w:rPr>
                          <m:t>Q</m:t>
                        </m:r>
                        <m:ctrlPr>
                          <w:rPr>
                            <w:rFonts w:hint="default" w:ascii="Cambria Math" w:hAnsi="Cambria Math" w:eastAsia="宋体" w:cs="Times New Roman"/>
                            <w:color w:val="auto"/>
                          </w:rPr>
                        </m:ctrlPr>
                      </m:e>
                      <m:sub>
                        <m:r>
                          <m:rPr/>
                          <w:rPr>
                            <w:rFonts w:hint="default" w:ascii="Cambria Math" w:hAnsi="Cambria Math" w:eastAsia="宋体" w:cs="Times New Roman"/>
                            <w:color w:val="auto"/>
                          </w:rPr>
                          <m:t>1</m:t>
                        </m:r>
                        <m:ctrlPr>
                          <w:rPr>
                            <w:rFonts w:hint="default" w:ascii="Cambria Math" w:hAnsi="Cambria Math" w:eastAsia="宋体" w:cs="Times New Roman"/>
                            <w:color w:val="auto"/>
                          </w:rPr>
                        </m:ctrlPr>
                      </m:sub>
                    </m:sSub>
                    <m:ctrlPr>
                      <w:rPr>
                        <w:rFonts w:hint="default" w:ascii="Cambria Math" w:hAnsi="Cambria Math" w:eastAsia="宋体" w:cs="Times New Roman"/>
                        <w:i/>
                        <w:color w:val="auto"/>
                      </w:rPr>
                    </m:ctrlPr>
                  </m:den>
                </m:f>
                <m:r>
                  <m:rPr/>
                  <w:rPr>
                    <w:rFonts w:hint="default" w:ascii="Cambria Math" w:hAnsi="Cambria Math" w:eastAsia="宋体" w:cs="Times New Roman"/>
                    <w:color w:val="auto"/>
                  </w:rPr>
                  <m:t>+</m:t>
                </m:r>
                <m:f>
                  <m:fPr>
                    <m:ctrlPr>
                      <w:rPr>
                        <w:rFonts w:hint="default" w:ascii="Cambria Math" w:hAnsi="Cambria Math" w:eastAsia="宋体" w:cs="Times New Roman"/>
                        <w:i/>
                        <w:color w:val="auto"/>
                      </w:rPr>
                    </m:ctrlPr>
                  </m:fPr>
                  <m:num>
                    <m:sSub>
                      <m:sSubPr>
                        <m:ctrlPr>
                          <w:rPr>
                            <w:rFonts w:hint="default" w:ascii="Cambria Math" w:hAnsi="Cambria Math" w:eastAsia="宋体" w:cs="Times New Roman"/>
                            <w:i/>
                            <w:color w:val="auto"/>
                          </w:rPr>
                        </m:ctrlPr>
                      </m:sSubPr>
                      <m:e>
                        <m:r>
                          <m:rPr/>
                          <w:rPr>
                            <w:rFonts w:hint="default" w:ascii="Cambria Math" w:hAnsi="Cambria Math" w:eastAsia="宋体" w:cs="Times New Roman"/>
                            <w:color w:val="auto"/>
                          </w:rPr>
                          <m:t>q</m:t>
                        </m:r>
                        <m:ctrlPr>
                          <w:rPr>
                            <w:rFonts w:hint="default" w:ascii="Cambria Math" w:hAnsi="Cambria Math" w:eastAsia="宋体" w:cs="Times New Roman"/>
                            <w:color w:val="auto"/>
                          </w:rPr>
                        </m:ctrlPr>
                      </m:e>
                      <m:sub>
                        <m:r>
                          <m:rPr/>
                          <w:rPr>
                            <w:rFonts w:hint="default" w:ascii="Cambria Math" w:hAnsi="Cambria Math" w:eastAsia="宋体" w:cs="Times New Roman"/>
                            <w:color w:val="auto"/>
                          </w:rPr>
                          <m:t>2</m:t>
                        </m:r>
                        <m:ctrlPr>
                          <w:rPr>
                            <w:rFonts w:hint="default" w:ascii="Cambria Math" w:hAnsi="Cambria Math" w:eastAsia="宋体" w:cs="Times New Roman"/>
                            <w:color w:val="auto"/>
                          </w:rPr>
                        </m:ctrlPr>
                      </m:sub>
                    </m:sSub>
                    <m:ctrlPr>
                      <w:rPr>
                        <w:rFonts w:hint="default" w:ascii="Cambria Math" w:hAnsi="Cambria Math" w:eastAsia="宋体" w:cs="Times New Roman"/>
                        <w:i/>
                        <w:color w:val="auto"/>
                      </w:rPr>
                    </m:ctrlPr>
                  </m:num>
                  <m:den>
                    <m:sSub>
                      <m:sSubPr>
                        <m:ctrlPr>
                          <w:rPr>
                            <w:rFonts w:hint="default" w:ascii="Cambria Math" w:hAnsi="Cambria Math" w:eastAsia="宋体" w:cs="Times New Roman"/>
                            <w:i/>
                            <w:color w:val="auto"/>
                          </w:rPr>
                        </m:ctrlPr>
                      </m:sSubPr>
                      <m:e>
                        <m:r>
                          <m:rPr/>
                          <w:rPr>
                            <w:rFonts w:hint="default" w:ascii="Cambria Math" w:hAnsi="Cambria Math" w:eastAsia="宋体" w:cs="Times New Roman"/>
                            <w:color w:val="auto"/>
                          </w:rPr>
                          <m:t>Q</m:t>
                        </m:r>
                        <m:ctrlPr>
                          <w:rPr>
                            <w:rFonts w:hint="default" w:ascii="Cambria Math" w:hAnsi="Cambria Math" w:eastAsia="宋体" w:cs="Times New Roman"/>
                            <w:color w:val="auto"/>
                          </w:rPr>
                        </m:ctrlPr>
                      </m:e>
                      <m:sub>
                        <m:r>
                          <m:rPr/>
                          <w:rPr>
                            <w:rFonts w:hint="default" w:ascii="Cambria Math" w:hAnsi="Cambria Math" w:eastAsia="宋体" w:cs="Times New Roman"/>
                            <w:color w:val="auto"/>
                          </w:rPr>
                          <m:t>2</m:t>
                        </m:r>
                        <m:ctrlPr>
                          <w:rPr>
                            <w:rFonts w:hint="default" w:ascii="Cambria Math" w:hAnsi="Cambria Math" w:eastAsia="宋体" w:cs="Times New Roman"/>
                            <w:color w:val="auto"/>
                          </w:rPr>
                        </m:ctrlPr>
                      </m:sub>
                    </m:sSub>
                    <m:ctrlPr>
                      <w:rPr>
                        <w:rFonts w:hint="default" w:ascii="Cambria Math" w:hAnsi="Cambria Math" w:eastAsia="宋体" w:cs="Times New Roman"/>
                        <w:i/>
                        <w:color w:val="auto"/>
                      </w:rPr>
                    </m:ctrlPr>
                  </m:den>
                </m:f>
                <m:r>
                  <m:rPr/>
                  <w:rPr>
                    <w:rFonts w:hint="default" w:ascii="Cambria Math" w:hAnsi="Cambria Math" w:eastAsia="宋体" w:cs="Times New Roman"/>
                    <w:color w:val="auto"/>
                  </w:rPr>
                  <m:t>+⋯</m:t>
                </m:r>
                <m:f>
                  <m:fPr>
                    <m:ctrlPr>
                      <w:rPr>
                        <w:rFonts w:hint="default" w:ascii="Cambria Math" w:hAnsi="Cambria Math" w:eastAsia="宋体" w:cs="Times New Roman"/>
                        <w:i/>
                        <w:color w:val="auto"/>
                      </w:rPr>
                    </m:ctrlPr>
                  </m:fPr>
                  <m:num>
                    <m:sSub>
                      <m:sSubPr>
                        <m:ctrlPr>
                          <w:rPr>
                            <w:rFonts w:hint="default" w:ascii="Cambria Math" w:hAnsi="Cambria Math" w:eastAsia="宋体" w:cs="Times New Roman"/>
                            <w:i/>
                            <w:color w:val="auto"/>
                          </w:rPr>
                        </m:ctrlPr>
                      </m:sSubPr>
                      <m:e>
                        <m:r>
                          <m:rPr/>
                          <w:rPr>
                            <w:rFonts w:hint="default" w:ascii="Cambria Math" w:hAnsi="Cambria Math" w:eastAsia="宋体" w:cs="Times New Roman"/>
                            <w:color w:val="auto"/>
                          </w:rPr>
                          <m:t>q</m:t>
                        </m:r>
                        <m:ctrlPr>
                          <w:rPr>
                            <w:rFonts w:hint="default" w:ascii="Cambria Math" w:hAnsi="Cambria Math" w:eastAsia="宋体" w:cs="Times New Roman"/>
                            <w:color w:val="auto"/>
                          </w:rPr>
                        </m:ctrlPr>
                      </m:e>
                      <m:sub>
                        <m:r>
                          <m:rPr/>
                          <w:rPr>
                            <w:rFonts w:hint="default" w:ascii="Cambria Math" w:hAnsi="Cambria Math" w:eastAsia="宋体" w:cs="Times New Roman"/>
                            <w:color w:val="auto"/>
                          </w:rPr>
                          <m:t>n</m:t>
                        </m:r>
                        <m:ctrlPr>
                          <w:rPr>
                            <w:rFonts w:hint="default" w:ascii="Cambria Math" w:hAnsi="Cambria Math" w:eastAsia="宋体" w:cs="Times New Roman"/>
                            <w:color w:val="auto"/>
                          </w:rPr>
                        </m:ctrlPr>
                      </m:sub>
                    </m:sSub>
                    <m:ctrlPr>
                      <w:rPr>
                        <w:rFonts w:hint="default" w:ascii="Cambria Math" w:hAnsi="Cambria Math" w:eastAsia="宋体" w:cs="Times New Roman"/>
                        <w:i/>
                        <w:color w:val="auto"/>
                      </w:rPr>
                    </m:ctrlPr>
                  </m:num>
                  <m:den>
                    <m:sSub>
                      <m:sSubPr>
                        <m:ctrlPr>
                          <w:rPr>
                            <w:rFonts w:hint="default" w:ascii="Cambria Math" w:hAnsi="Cambria Math" w:eastAsia="宋体" w:cs="Times New Roman"/>
                            <w:i/>
                            <w:color w:val="auto"/>
                          </w:rPr>
                        </m:ctrlPr>
                      </m:sSubPr>
                      <m:e>
                        <m:r>
                          <m:rPr/>
                          <w:rPr>
                            <w:rFonts w:hint="default" w:ascii="Cambria Math" w:hAnsi="Cambria Math" w:eastAsia="宋体" w:cs="Times New Roman"/>
                            <w:color w:val="auto"/>
                          </w:rPr>
                          <m:t>Q</m:t>
                        </m:r>
                        <m:ctrlPr>
                          <w:rPr>
                            <w:rFonts w:hint="default" w:ascii="Cambria Math" w:hAnsi="Cambria Math" w:eastAsia="宋体" w:cs="Times New Roman"/>
                            <w:color w:val="auto"/>
                          </w:rPr>
                        </m:ctrlPr>
                      </m:e>
                      <m:sub>
                        <m:r>
                          <m:rPr/>
                          <w:rPr>
                            <w:rFonts w:hint="default" w:ascii="Cambria Math" w:hAnsi="Cambria Math" w:eastAsia="宋体" w:cs="Times New Roman"/>
                            <w:color w:val="auto"/>
                          </w:rPr>
                          <m:t>n</m:t>
                        </m:r>
                        <m:ctrlPr>
                          <w:rPr>
                            <w:rFonts w:hint="default" w:ascii="Cambria Math" w:hAnsi="Cambria Math" w:eastAsia="宋体" w:cs="Times New Roman"/>
                            <w:color w:val="auto"/>
                          </w:rPr>
                        </m:ctrlPr>
                      </m:sub>
                    </m:sSub>
                    <m:ctrlPr>
                      <w:rPr>
                        <w:rFonts w:hint="default" w:ascii="Cambria Math" w:hAnsi="Cambria Math" w:eastAsia="宋体" w:cs="Times New Roman"/>
                        <w:i/>
                        <w:color w:val="auto"/>
                      </w:rPr>
                    </m:ctrlPr>
                  </m:den>
                </m:f>
              </m:oMath>
            </m:oMathPara>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w:t>
            </w:r>
            <w:r>
              <w:rPr>
                <w:rFonts w:hint="default" w:ascii="Times New Roman" w:hAnsi="Times New Roman" w:eastAsia="宋体" w:cs="Times New Roman"/>
                <w:i/>
                <w:color w:val="auto"/>
                <w:sz w:val="24"/>
              </w:rPr>
              <w:t>q</w:t>
            </w:r>
            <w:r>
              <w:rPr>
                <w:rFonts w:hint="default" w:ascii="Times New Roman" w:hAnsi="Times New Roman" w:eastAsia="宋体" w:cs="Times New Roman"/>
                <w:i/>
                <w:color w:val="auto"/>
                <w:sz w:val="24"/>
                <w:vertAlign w:val="subscript"/>
              </w:rPr>
              <w:t>1</w:t>
            </w:r>
            <w:r>
              <w:rPr>
                <w:rFonts w:hint="default" w:ascii="Times New Roman" w:hAnsi="Times New Roman" w:eastAsia="宋体" w:cs="Times New Roman"/>
                <w:i/>
                <w:color w:val="auto"/>
                <w:sz w:val="24"/>
              </w:rPr>
              <w:t>,q</w:t>
            </w:r>
            <w:r>
              <w:rPr>
                <w:rFonts w:hint="default" w:ascii="Times New Roman" w:hAnsi="Times New Roman" w:eastAsia="宋体" w:cs="Times New Roman"/>
                <w:i/>
                <w:color w:val="auto"/>
                <w:sz w:val="24"/>
                <w:vertAlign w:val="subscript"/>
              </w:rPr>
              <w:t>2</w:t>
            </w:r>
            <w:r>
              <w:rPr>
                <w:rFonts w:hint="default" w:ascii="Times New Roman" w:hAnsi="Times New Roman" w:eastAsia="宋体" w:cs="Times New Roman"/>
                <w:i/>
                <w:color w:val="auto"/>
                <w:sz w:val="24"/>
              </w:rPr>
              <w:t>,…q</w:t>
            </w:r>
            <w:r>
              <w:rPr>
                <w:rFonts w:hint="default" w:ascii="Times New Roman" w:hAnsi="Times New Roman" w:eastAsia="宋体" w:cs="Times New Roman"/>
                <w:i/>
                <w:color w:val="auto"/>
                <w:sz w:val="24"/>
                <w:vertAlign w:val="subscript"/>
              </w:rPr>
              <w:t>n</w:t>
            </w:r>
            <w:r>
              <w:rPr>
                <w:rFonts w:hint="default" w:ascii="Times New Roman" w:hAnsi="Times New Roman" w:eastAsia="宋体" w:cs="Times New Roman"/>
                <w:color w:val="auto"/>
                <w:sz w:val="24"/>
              </w:rPr>
              <w:t>—每种危险物质的最大存在量，t；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i/>
                <w:color w:val="auto"/>
                <w:sz w:val="24"/>
              </w:rPr>
              <w:t>Q</w:t>
            </w:r>
            <w:r>
              <w:rPr>
                <w:rFonts w:hint="default" w:ascii="Times New Roman" w:hAnsi="Times New Roman" w:eastAsia="宋体" w:cs="Times New Roman"/>
                <w:i/>
                <w:color w:val="auto"/>
                <w:sz w:val="24"/>
                <w:vertAlign w:val="subscript"/>
              </w:rPr>
              <w:t>1</w:t>
            </w:r>
            <w:r>
              <w:rPr>
                <w:rFonts w:hint="default" w:ascii="Times New Roman" w:hAnsi="Times New Roman" w:eastAsia="宋体" w:cs="Times New Roman"/>
                <w:i/>
                <w:color w:val="auto"/>
                <w:sz w:val="24"/>
              </w:rPr>
              <w:t>,Q</w:t>
            </w:r>
            <w:r>
              <w:rPr>
                <w:rFonts w:hint="default" w:ascii="Times New Roman" w:hAnsi="Times New Roman" w:eastAsia="宋体" w:cs="Times New Roman"/>
                <w:i/>
                <w:color w:val="auto"/>
                <w:sz w:val="24"/>
                <w:vertAlign w:val="subscript"/>
              </w:rPr>
              <w:t>2</w:t>
            </w:r>
            <w:r>
              <w:rPr>
                <w:rFonts w:hint="default" w:ascii="Times New Roman" w:hAnsi="Times New Roman" w:eastAsia="宋体" w:cs="Times New Roman"/>
                <w:i/>
                <w:color w:val="auto"/>
                <w:sz w:val="24"/>
              </w:rPr>
              <w:t>,…Q</w:t>
            </w:r>
            <w:r>
              <w:rPr>
                <w:rFonts w:hint="default" w:ascii="Times New Roman" w:hAnsi="Times New Roman" w:eastAsia="宋体" w:cs="Times New Roman"/>
                <w:i/>
                <w:color w:val="auto"/>
                <w:sz w:val="24"/>
                <w:vertAlign w:val="subscript"/>
              </w:rPr>
              <w:t>n</w:t>
            </w:r>
            <w:r>
              <w:rPr>
                <w:rFonts w:hint="default" w:ascii="Times New Roman" w:hAnsi="Times New Roman" w:eastAsia="宋体" w:cs="Times New Roman"/>
                <w:color w:val="auto"/>
                <w:sz w:val="24"/>
              </w:rPr>
              <w:t>—每种危险物质的临界量，t。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当Q＜1时，该项目环境风险潜势为Ⅰ。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当Q≥1时，将Q值划分为：1≤Q＜10；10≤Q＜100；Q≥100。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环境风险判别结果见</w:t>
            </w:r>
            <w:r>
              <w:rPr>
                <w:rFonts w:hint="eastAsia" w:ascii="Times New Roman" w:hAnsi="Times New Roman" w:eastAsia="宋体" w:cs="Times New Roman"/>
                <w:color w:val="auto"/>
                <w:sz w:val="24"/>
                <w:szCs w:val="24"/>
                <w:lang w:val="en-US" w:eastAsia="zh-CN"/>
              </w:rPr>
              <w:t>下</w:t>
            </w: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4-1</w:t>
            </w: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环境风险判别结果表</w:t>
            </w:r>
          </w:p>
          <w:tbl>
            <w:tblPr>
              <w:tblStyle w:val="3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66"/>
              <w:gridCol w:w="2362"/>
              <w:gridCol w:w="1761"/>
              <w:gridCol w:w="12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621" w:type="pct"/>
                  <w:tcBorders>
                    <w:tl2br w:val="nil"/>
                    <w:tr2bl w:val="nil"/>
                  </w:tcBorders>
                  <w:noWrap w:val="0"/>
                  <w:vAlign w:val="center"/>
                </w:tcPr>
                <w:p>
                  <w:pPr>
                    <w:pStyle w:val="60"/>
                    <w:keepNext w:val="0"/>
                    <w:keepLines w:val="0"/>
                    <w:pageBreakBefore w:val="0"/>
                    <w:widowControl/>
                    <w:kinsoku/>
                    <w:wordWrap/>
                    <w:overflowPunct/>
                    <w:topLinePunct w:val="0"/>
                    <w:autoSpaceDE w:val="0"/>
                    <w:autoSpaceDN w:val="0"/>
                    <w:bidi w:val="0"/>
                    <w:adjustRightInd w:val="0"/>
                    <w:snapToGrid/>
                    <w:spacing w:before="0" w:beforeLines="0" w:after="0" w:afterLines="0" w:line="240" w:lineRule="auto"/>
                    <w:ind w:right="0"/>
                    <w:jc w:val="center"/>
                    <w:textAlignment w:val="bottom"/>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风险物质名称</w:t>
                  </w:r>
                </w:p>
              </w:tc>
              <w:tc>
                <w:tcPr>
                  <w:tcW w:w="1492" w:type="pct"/>
                  <w:tcBorders>
                    <w:tl2br w:val="nil"/>
                    <w:tr2bl w:val="nil"/>
                  </w:tcBorders>
                  <w:noWrap w:val="0"/>
                  <w:vAlign w:val="center"/>
                </w:tcPr>
                <w:p>
                  <w:pPr>
                    <w:pStyle w:val="60"/>
                    <w:keepNext w:val="0"/>
                    <w:keepLines w:val="0"/>
                    <w:pageBreakBefore w:val="0"/>
                    <w:widowControl/>
                    <w:kinsoku/>
                    <w:wordWrap/>
                    <w:overflowPunct/>
                    <w:topLinePunct w:val="0"/>
                    <w:autoSpaceDE w:val="0"/>
                    <w:autoSpaceDN w:val="0"/>
                    <w:bidi w:val="0"/>
                    <w:adjustRightInd w:val="0"/>
                    <w:snapToGrid/>
                    <w:spacing w:before="0" w:beforeLines="0" w:after="0" w:afterLines="0" w:line="240" w:lineRule="auto"/>
                    <w:ind w:right="0"/>
                    <w:jc w:val="center"/>
                    <w:textAlignment w:val="bottom"/>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厂内最大储存量q（t）</w:t>
                  </w:r>
                </w:p>
              </w:tc>
              <w:tc>
                <w:tcPr>
                  <w:tcW w:w="1112" w:type="pct"/>
                  <w:tcBorders>
                    <w:tl2br w:val="nil"/>
                    <w:tr2bl w:val="nil"/>
                  </w:tcBorders>
                  <w:noWrap w:val="0"/>
                  <w:vAlign w:val="center"/>
                </w:tcPr>
                <w:p>
                  <w:pPr>
                    <w:pStyle w:val="60"/>
                    <w:keepNext w:val="0"/>
                    <w:keepLines w:val="0"/>
                    <w:pageBreakBefore w:val="0"/>
                    <w:widowControl/>
                    <w:kinsoku/>
                    <w:wordWrap/>
                    <w:overflowPunct/>
                    <w:topLinePunct w:val="0"/>
                    <w:autoSpaceDE w:val="0"/>
                    <w:autoSpaceDN w:val="0"/>
                    <w:bidi w:val="0"/>
                    <w:adjustRightInd w:val="0"/>
                    <w:snapToGrid/>
                    <w:spacing w:before="0" w:beforeLines="0" w:after="0" w:afterLines="0" w:line="240" w:lineRule="auto"/>
                    <w:ind w:right="0"/>
                    <w:jc w:val="center"/>
                    <w:textAlignment w:val="bottom"/>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临界量Q（t）</w:t>
                  </w:r>
                </w:p>
              </w:tc>
              <w:tc>
                <w:tcPr>
                  <w:tcW w:w="773" w:type="pct"/>
                  <w:tcBorders>
                    <w:tl2br w:val="nil"/>
                    <w:tr2bl w:val="nil"/>
                  </w:tcBorders>
                  <w:noWrap w:val="0"/>
                  <w:vAlign w:val="center"/>
                </w:tcPr>
                <w:p>
                  <w:pPr>
                    <w:pStyle w:val="60"/>
                    <w:keepNext w:val="0"/>
                    <w:keepLines w:val="0"/>
                    <w:pageBreakBefore w:val="0"/>
                    <w:widowControl/>
                    <w:kinsoku/>
                    <w:wordWrap/>
                    <w:overflowPunct/>
                    <w:topLinePunct w:val="0"/>
                    <w:autoSpaceDE w:val="0"/>
                    <w:autoSpaceDN w:val="0"/>
                    <w:bidi w:val="0"/>
                    <w:adjustRightInd w:val="0"/>
                    <w:snapToGrid/>
                    <w:spacing w:before="0" w:beforeLines="0" w:after="0" w:afterLines="0" w:line="240" w:lineRule="auto"/>
                    <w:ind w:right="0"/>
                    <w:jc w:val="center"/>
                    <w:textAlignment w:val="bottom"/>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q/Q</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621"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snapToGrid/>
                    <w:spacing w:line="240" w:lineRule="auto"/>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机油</w:t>
                  </w:r>
                </w:p>
              </w:tc>
              <w:tc>
                <w:tcPr>
                  <w:tcW w:w="1492"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snapToGrid/>
                    <w:spacing w:line="240" w:lineRule="auto"/>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0.05</w:t>
                  </w:r>
                </w:p>
              </w:tc>
              <w:tc>
                <w:tcPr>
                  <w:tcW w:w="1112"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snapToGrid/>
                    <w:spacing w:line="240" w:lineRule="auto"/>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2500</w:t>
                  </w:r>
                </w:p>
              </w:tc>
              <w:tc>
                <w:tcPr>
                  <w:tcW w:w="773"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621"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snapToGrid/>
                    <w:spacing w:line="240" w:lineRule="auto"/>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废机油</w:t>
                  </w:r>
                </w:p>
              </w:tc>
              <w:tc>
                <w:tcPr>
                  <w:tcW w:w="1492"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snapToGrid/>
                    <w:spacing w:line="240" w:lineRule="auto"/>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w:t>
                  </w:r>
                </w:p>
              </w:tc>
              <w:tc>
                <w:tcPr>
                  <w:tcW w:w="1112"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snapToGrid/>
                    <w:spacing w:line="240" w:lineRule="auto"/>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50</w:t>
                  </w:r>
                </w:p>
              </w:tc>
              <w:tc>
                <w:tcPr>
                  <w:tcW w:w="773"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0.0002</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根据《建设项目环境风险评价技术导则》（HJ169-2018）附录C，当Q＜1时，该项目环境风险潜势为</w:t>
            </w: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1 \* ROMAN \* MERGEFORMAT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I</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eastAsia="zh-CN"/>
              </w:rPr>
              <w:t>评价等级划分依据见</w:t>
            </w:r>
            <w:r>
              <w:rPr>
                <w:rFonts w:hint="default" w:ascii="Times New Roman" w:hAnsi="Times New Roman" w:eastAsia="宋体" w:cs="Times New Roman"/>
                <w:color w:val="auto"/>
                <w:sz w:val="24"/>
                <w:lang w:val="en-US" w:eastAsia="zh-CN"/>
              </w:rPr>
              <w:t>下</w:t>
            </w:r>
            <w:r>
              <w:rPr>
                <w:rFonts w:hint="default" w:ascii="Times New Roman" w:hAnsi="Times New Roman" w:eastAsia="宋体" w:cs="Times New Roman"/>
                <w:color w:val="auto"/>
                <w:sz w:val="24"/>
                <w:lang w:eastAsia="zh-CN"/>
              </w:rPr>
              <w:t>表</w:t>
            </w:r>
            <w:r>
              <w:rPr>
                <w:rFonts w:hint="default" w:ascii="Times New Roman" w:hAnsi="Times New Roman" w:eastAsia="宋体" w:cs="Times New Roman"/>
                <w:color w:val="auto"/>
                <w:sz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4-1</w:t>
            </w:r>
            <w:r>
              <w:rPr>
                <w:rFonts w:hint="eastAsia"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eastAsia="zh-CN"/>
              </w:rPr>
              <w:t>评价等级划分</w:t>
            </w:r>
          </w:p>
          <w:tbl>
            <w:tblPr>
              <w:tblStyle w:val="3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1622"/>
              <w:gridCol w:w="1579"/>
              <w:gridCol w:w="1581"/>
              <w:gridCol w:w="15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75" w:type="pct"/>
                  <w:tcBorders>
                    <w:tl2br w:val="nil"/>
                    <w:tr2bl w:val="nil"/>
                  </w:tcBorders>
                  <w:noWrap w:val="0"/>
                  <w:vAlign w:val="center"/>
                </w:tcPr>
                <w:p>
                  <w:pPr>
                    <w:pStyle w:val="60"/>
                    <w:keepNext w:val="0"/>
                    <w:keepLines w:val="0"/>
                    <w:pageBreakBefore w:val="0"/>
                    <w:widowControl/>
                    <w:kinsoku/>
                    <w:wordWrap/>
                    <w:overflowPunct/>
                    <w:topLinePunct w:val="0"/>
                    <w:autoSpaceDE w:val="0"/>
                    <w:autoSpaceDN w:val="0"/>
                    <w:bidi w:val="0"/>
                    <w:adjustRightInd w:val="0"/>
                    <w:snapToGrid/>
                    <w:spacing w:before="0" w:beforeLines="0" w:after="0" w:afterLines="0" w:line="240" w:lineRule="auto"/>
                    <w:ind w:right="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环境风险潜势</w:t>
                  </w:r>
                </w:p>
              </w:tc>
              <w:tc>
                <w:tcPr>
                  <w:tcW w:w="1025" w:type="pct"/>
                  <w:tcBorders>
                    <w:tl2br w:val="nil"/>
                    <w:tr2bl w:val="nil"/>
                  </w:tcBorders>
                  <w:noWrap w:val="0"/>
                  <w:vAlign w:val="center"/>
                </w:tcPr>
                <w:p>
                  <w:pPr>
                    <w:pStyle w:val="60"/>
                    <w:keepNext w:val="0"/>
                    <w:keepLines w:val="0"/>
                    <w:pageBreakBefore w:val="0"/>
                    <w:widowControl/>
                    <w:kinsoku/>
                    <w:wordWrap/>
                    <w:overflowPunct/>
                    <w:topLinePunct w:val="0"/>
                    <w:autoSpaceDE w:val="0"/>
                    <w:autoSpaceDN w:val="0"/>
                    <w:bidi w:val="0"/>
                    <w:adjustRightInd w:val="0"/>
                    <w:snapToGrid/>
                    <w:spacing w:before="0" w:beforeLines="0" w:after="0" w:afterLines="0" w:line="240" w:lineRule="auto"/>
                    <w:ind w:right="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4 \* ROMAN</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IV</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4 \* ROMAN</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IV</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vertAlign w:val="superscript"/>
                    </w:rPr>
                    <w:t>+</w:t>
                  </w:r>
                </w:p>
              </w:tc>
              <w:tc>
                <w:tcPr>
                  <w:tcW w:w="998" w:type="pct"/>
                  <w:tcBorders>
                    <w:tl2br w:val="nil"/>
                    <w:tr2bl w:val="nil"/>
                  </w:tcBorders>
                  <w:noWrap w:val="0"/>
                  <w:vAlign w:val="center"/>
                </w:tcPr>
                <w:p>
                  <w:pPr>
                    <w:pStyle w:val="60"/>
                    <w:keepNext w:val="0"/>
                    <w:keepLines w:val="0"/>
                    <w:pageBreakBefore w:val="0"/>
                    <w:widowControl/>
                    <w:kinsoku/>
                    <w:wordWrap/>
                    <w:overflowPunct/>
                    <w:topLinePunct w:val="0"/>
                    <w:autoSpaceDE w:val="0"/>
                    <w:autoSpaceDN w:val="0"/>
                    <w:bidi w:val="0"/>
                    <w:adjustRightInd w:val="0"/>
                    <w:snapToGrid/>
                    <w:spacing w:before="0" w:beforeLines="0" w:after="0" w:afterLines="0" w:line="240" w:lineRule="auto"/>
                    <w:ind w:right="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3 \* ROMAN</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III</w:t>
                  </w:r>
                  <w:r>
                    <w:rPr>
                      <w:rFonts w:hint="default" w:ascii="Times New Roman" w:hAnsi="Times New Roman" w:eastAsia="宋体" w:cs="Times New Roman"/>
                      <w:color w:val="auto"/>
                      <w:sz w:val="21"/>
                      <w:szCs w:val="21"/>
                    </w:rPr>
                    <w:fldChar w:fldCharType="end"/>
                  </w:r>
                </w:p>
              </w:tc>
              <w:tc>
                <w:tcPr>
                  <w:tcW w:w="999" w:type="pct"/>
                  <w:tcBorders>
                    <w:tl2br w:val="nil"/>
                    <w:tr2bl w:val="nil"/>
                  </w:tcBorders>
                  <w:noWrap w:val="0"/>
                  <w:vAlign w:val="center"/>
                </w:tcPr>
                <w:p>
                  <w:pPr>
                    <w:pStyle w:val="60"/>
                    <w:keepNext w:val="0"/>
                    <w:keepLines w:val="0"/>
                    <w:pageBreakBefore w:val="0"/>
                    <w:widowControl/>
                    <w:kinsoku/>
                    <w:wordWrap/>
                    <w:overflowPunct/>
                    <w:topLinePunct w:val="0"/>
                    <w:autoSpaceDE w:val="0"/>
                    <w:autoSpaceDN w:val="0"/>
                    <w:bidi w:val="0"/>
                    <w:adjustRightInd w:val="0"/>
                    <w:snapToGrid/>
                    <w:spacing w:before="0" w:beforeLines="0" w:after="0" w:afterLines="0" w:line="240" w:lineRule="auto"/>
                    <w:ind w:right="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2 \* ROMAN</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II</w:t>
                  </w:r>
                  <w:r>
                    <w:rPr>
                      <w:rFonts w:hint="default" w:ascii="Times New Roman" w:hAnsi="Times New Roman" w:eastAsia="宋体" w:cs="Times New Roman"/>
                      <w:color w:val="auto"/>
                      <w:sz w:val="21"/>
                      <w:szCs w:val="21"/>
                    </w:rPr>
                    <w:fldChar w:fldCharType="end"/>
                  </w:r>
                </w:p>
              </w:tc>
              <w:tc>
                <w:tcPr>
                  <w:tcW w:w="1000" w:type="pct"/>
                  <w:tcBorders>
                    <w:tl2br w:val="nil"/>
                    <w:tr2bl w:val="nil"/>
                  </w:tcBorders>
                  <w:noWrap w:val="0"/>
                  <w:vAlign w:val="center"/>
                </w:tcPr>
                <w:p>
                  <w:pPr>
                    <w:pStyle w:val="60"/>
                    <w:keepNext w:val="0"/>
                    <w:keepLines w:val="0"/>
                    <w:pageBreakBefore w:val="0"/>
                    <w:widowControl/>
                    <w:kinsoku/>
                    <w:wordWrap/>
                    <w:overflowPunct/>
                    <w:topLinePunct w:val="0"/>
                    <w:autoSpaceDE w:val="0"/>
                    <w:autoSpaceDN w:val="0"/>
                    <w:bidi w:val="0"/>
                    <w:adjustRightInd w:val="0"/>
                    <w:snapToGrid/>
                    <w:spacing w:before="0" w:beforeLines="0" w:after="0" w:afterLines="0" w:line="240" w:lineRule="auto"/>
                    <w:ind w:right="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1 \* ROMAN</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I</w:t>
                  </w:r>
                  <w:r>
                    <w:rPr>
                      <w:rFonts w:hint="default" w:ascii="Times New Roman" w:hAnsi="Times New Roman" w:eastAsia="宋体" w:cs="Times New Roman"/>
                      <w:color w:val="auto"/>
                      <w:sz w:val="21"/>
                      <w:szCs w:val="21"/>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75" w:type="pct"/>
                  <w:tcBorders>
                    <w:tl2br w:val="nil"/>
                    <w:tr2bl w:val="nil"/>
                  </w:tcBorders>
                  <w:noWrap w:val="0"/>
                  <w:vAlign w:val="center"/>
                </w:tcPr>
                <w:p>
                  <w:pPr>
                    <w:pStyle w:val="60"/>
                    <w:keepNext w:val="0"/>
                    <w:keepLines w:val="0"/>
                    <w:pageBreakBefore w:val="0"/>
                    <w:widowControl/>
                    <w:kinsoku/>
                    <w:wordWrap/>
                    <w:overflowPunct/>
                    <w:topLinePunct w:val="0"/>
                    <w:autoSpaceDE w:val="0"/>
                    <w:autoSpaceDN w:val="0"/>
                    <w:bidi w:val="0"/>
                    <w:adjustRightInd w:val="0"/>
                    <w:snapToGrid/>
                    <w:spacing w:before="0" w:beforeLines="0" w:after="0" w:afterLines="0" w:line="240" w:lineRule="auto"/>
                    <w:ind w:right="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评价工作等级</w:t>
                  </w:r>
                </w:p>
              </w:tc>
              <w:tc>
                <w:tcPr>
                  <w:tcW w:w="1025" w:type="pct"/>
                  <w:tcBorders>
                    <w:tl2br w:val="nil"/>
                    <w:tr2bl w:val="nil"/>
                  </w:tcBorders>
                  <w:noWrap w:val="0"/>
                  <w:vAlign w:val="center"/>
                </w:tcPr>
                <w:p>
                  <w:pPr>
                    <w:pStyle w:val="60"/>
                    <w:keepNext w:val="0"/>
                    <w:keepLines w:val="0"/>
                    <w:pageBreakBefore w:val="0"/>
                    <w:widowControl/>
                    <w:kinsoku/>
                    <w:wordWrap/>
                    <w:overflowPunct/>
                    <w:topLinePunct w:val="0"/>
                    <w:autoSpaceDE w:val="0"/>
                    <w:autoSpaceDN w:val="0"/>
                    <w:bidi w:val="0"/>
                    <w:adjustRightInd w:val="0"/>
                    <w:snapToGrid/>
                    <w:spacing w:before="0" w:beforeLines="0" w:after="0" w:afterLines="0" w:line="240" w:lineRule="auto"/>
                    <w:ind w:right="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w:t>
                  </w:r>
                </w:p>
              </w:tc>
              <w:tc>
                <w:tcPr>
                  <w:tcW w:w="998" w:type="pct"/>
                  <w:tcBorders>
                    <w:tl2br w:val="nil"/>
                    <w:tr2bl w:val="nil"/>
                  </w:tcBorders>
                  <w:noWrap w:val="0"/>
                  <w:vAlign w:val="center"/>
                </w:tcPr>
                <w:p>
                  <w:pPr>
                    <w:pStyle w:val="60"/>
                    <w:keepNext w:val="0"/>
                    <w:keepLines w:val="0"/>
                    <w:pageBreakBefore w:val="0"/>
                    <w:widowControl/>
                    <w:kinsoku/>
                    <w:wordWrap/>
                    <w:overflowPunct/>
                    <w:topLinePunct w:val="0"/>
                    <w:autoSpaceDE w:val="0"/>
                    <w:autoSpaceDN w:val="0"/>
                    <w:bidi w:val="0"/>
                    <w:adjustRightInd w:val="0"/>
                    <w:snapToGrid/>
                    <w:spacing w:before="0" w:beforeLines="0" w:after="0" w:afterLines="0" w:line="240" w:lineRule="auto"/>
                    <w:ind w:right="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w:t>
                  </w:r>
                </w:p>
              </w:tc>
              <w:tc>
                <w:tcPr>
                  <w:tcW w:w="999" w:type="pct"/>
                  <w:tcBorders>
                    <w:tl2br w:val="nil"/>
                    <w:tr2bl w:val="nil"/>
                  </w:tcBorders>
                  <w:noWrap w:val="0"/>
                  <w:vAlign w:val="center"/>
                </w:tcPr>
                <w:p>
                  <w:pPr>
                    <w:pStyle w:val="60"/>
                    <w:keepNext w:val="0"/>
                    <w:keepLines w:val="0"/>
                    <w:pageBreakBefore w:val="0"/>
                    <w:widowControl/>
                    <w:kinsoku/>
                    <w:wordWrap/>
                    <w:overflowPunct/>
                    <w:topLinePunct w:val="0"/>
                    <w:autoSpaceDE w:val="0"/>
                    <w:autoSpaceDN w:val="0"/>
                    <w:bidi w:val="0"/>
                    <w:adjustRightInd w:val="0"/>
                    <w:snapToGrid/>
                    <w:spacing w:before="0" w:beforeLines="0" w:after="0" w:afterLines="0" w:line="240" w:lineRule="auto"/>
                    <w:ind w:right="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w:t>
                  </w:r>
                </w:p>
              </w:tc>
              <w:tc>
                <w:tcPr>
                  <w:tcW w:w="1000" w:type="pct"/>
                  <w:tcBorders>
                    <w:tl2br w:val="nil"/>
                    <w:tr2bl w:val="nil"/>
                  </w:tcBorders>
                  <w:noWrap w:val="0"/>
                  <w:vAlign w:val="center"/>
                </w:tcPr>
                <w:p>
                  <w:pPr>
                    <w:pStyle w:val="60"/>
                    <w:keepNext w:val="0"/>
                    <w:keepLines w:val="0"/>
                    <w:pageBreakBefore w:val="0"/>
                    <w:widowControl/>
                    <w:kinsoku/>
                    <w:wordWrap/>
                    <w:overflowPunct/>
                    <w:topLinePunct w:val="0"/>
                    <w:autoSpaceDE w:val="0"/>
                    <w:autoSpaceDN w:val="0"/>
                    <w:bidi w:val="0"/>
                    <w:adjustRightInd w:val="0"/>
                    <w:snapToGrid/>
                    <w:spacing w:before="0" w:beforeLines="0" w:after="0" w:afterLines="0" w:line="240" w:lineRule="auto"/>
                    <w:ind w:right="0"/>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简单分析</w:t>
                  </w:r>
                  <w:r>
                    <w:rPr>
                      <w:rFonts w:hint="default" w:ascii="Times New Roman" w:hAnsi="Times New Roman" w:eastAsia="宋体" w:cs="Times New Roman"/>
                      <w:color w:val="auto"/>
                      <w:sz w:val="21"/>
                      <w:szCs w:val="21"/>
                      <w:vertAlign w:val="superscript"/>
                      <w:lang w:val="en-US" w:eastAsia="zh-CN"/>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5000" w:type="pct"/>
                  <w:gridSpan w:val="5"/>
                  <w:tcBorders>
                    <w:tl2br w:val="nil"/>
                    <w:tr2bl w:val="nil"/>
                  </w:tcBorders>
                  <w:noWrap w:val="0"/>
                  <w:vAlign w:val="center"/>
                </w:tcPr>
                <w:p>
                  <w:pPr>
                    <w:pStyle w:val="60"/>
                    <w:keepNext w:val="0"/>
                    <w:keepLines w:val="0"/>
                    <w:pageBreakBefore w:val="0"/>
                    <w:widowControl/>
                    <w:kinsoku/>
                    <w:wordWrap/>
                    <w:overflowPunct/>
                    <w:topLinePunct w:val="0"/>
                    <w:autoSpaceDE w:val="0"/>
                    <w:autoSpaceDN w:val="0"/>
                    <w:bidi w:val="0"/>
                    <w:adjustRightInd w:val="0"/>
                    <w:snapToGrid/>
                    <w:spacing w:before="0" w:beforeLines="0" w:after="0" w:afterLines="0" w:line="240" w:lineRule="auto"/>
                    <w:ind w:right="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superscript"/>
                      <w:lang w:val="en-US" w:eastAsia="zh-CN"/>
                    </w:rPr>
                    <w:t>a</w:t>
                  </w:r>
                  <w:r>
                    <w:rPr>
                      <w:rFonts w:hint="default" w:ascii="Times New Roman" w:hAnsi="Times New Roman" w:eastAsia="宋体" w:cs="Times New Roman"/>
                      <w:color w:val="auto"/>
                      <w:sz w:val="21"/>
                      <w:szCs w:val="21"/>
                      <w:lang w:val="en-US" w:eastAsia="zh-CN"/>
                    </w:rPr>
                    <w:t>是相对于详细评价工作内容而言，在描述危险物质、环境影响途径、环境危害后果、风险防范措施等方面给出定性的说明。</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根据《建设项目环境风险评价技术导则》（HJ169-2018）中4.3评价工作等级划分，环境风险潜势为I时，按照附录A环境风险仅需进行简单分析即可。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风险事故分析</w:t>
            </w:r>
          </w:p>
          <w:p>
            <w:pPr>
              <w:pStyle w:val="147"/>
              <w:keepNext w:val="0"/>
              <w:keepLines w:val="0"/>
              <w:pageBreakBefore w:val="0"/>
              <w:widowControl w:val="0"/>
              <w:kinsoku/>
              <w:wordWrap/>
              <w:overflowPunct/>
              <w:topLinePunct w:val="0"/>
              <w:autoSpaceDE/>
              <w:autoSpaceDN/>
              <w:bidi w:val="0"/>
              <w:ind w:firstLine="48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本项目建成可能影响环境的途径包括以下几个方面：</w:t>
            </w:r>
          </w:p>
          <w:p>
            <w:pPr>
              <w:pStyle w:val="147"/>
              <w:keepNext w:val="0"/>
              <w:keepLines w:val="0"/>
              <w:pageBreakBefore w:val="0"/>
              <w:widowControl w:val="0"/>
              <w:kinsoku/>
              <w:wordWrap/>
              <w:overflowPunct/>
              <w:topLinePunct w:val="0"/>
              <w:autoSpaceDE/>
              <w:autoSpaceDN/>
              <w:bidi w:val="0"/>
              <w:ind w:firstLine="48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①贮存区因人力因素或包装容器老化等，发生破损泄漏，废</w:t>
            </w:r>
            <w:r>
              <w:rPr>
                <w:rFonts w:hint="default" w:ascii="Times New Roman" w:hAnsi="Times New Roman" w:eastAsia="宋体" w:cs="Times New Roman"/>
                <w:color w:val="auto"/>
                <w:sz w:val="24"/>
                <w:szCs w:val="24"/>
                <w:lang w:val="en-US" w:eastAsia="zh-CN"/>
              </w:rPr>
              <w:t>水</w:t>
            </w:r>
            <w:r>
              <w:rPr>
                <w:rFonts w:hint="default" w:ascii="Times New Roman" w:hAnsi="Times New Roman" w:eastAsia="宋体" w:cs="Times New Roman"/>
                <w:color w:val="auto"/>
                <w:sz w:val="24"/>
                <w:szCs w:val="24"/>
              </w:rPr>
              <w:t>会泄漏到地</w:t>
            </w:r>
            <w:r>
              <w:rPr>
                <w:rFonts w:hint="default" w:ascii="Times New Roman" w:hAnsi="Times New Roman" w:eastAsia="宋体" w:cs="Times New Roman"/>
                <w:color w:val="auto"/>
                <w:sz w:val="24"/>
                <w:szCs w:val="24"/>
                <w:lang w:val="en-US" w:eastAsia="zh-CN"/>
              </w:rPr>
              <w:t>下</w:t>
            </w:r>
            <w:r>
              <w:rPr>
                <w:rFonts w:hint="default" w:ascii="Times New Roman" w:hAnsi="Times New Roman" w:eastAsia="宋体" w:cs="Times New Roman"/>
                <w:color w:val="auto"/>
                <w:sz w:val="24"/>
                <w:szCs w:val="24"/>
              </w:rPr>
              <w:t>，此时若车间地面建设达不到重点防渗标准的要求，有可能渗入地下，污染地下水和土壤。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风险事故防范措施</w:t>
            </w:r>
            <w:r>
              <w:rPr>
                <w:rFonts w:hint="default" w:ascii="Times New Roman" w:hAnsi="Times New Roman" w:eastAsia="宋体" w:cs="Times New Roman"/>
                <w:color w:val="auto"/>
                <w:sz w:val="24"/>
                <w:szCs w:val="24"/>
                <w:lang w:val="en-US" w:eastAsia="zh-CN"/>
              </w:rPr>
              <w:t>及应急要求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危废贮存库保证不相容的危险废物分区暂存，各区域互不干扰，不相容的危废禁止混合堆存，便于管理。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其中固态类危险废物除废含油手套采用箱装，包装容器的收集、储存，存储区设有围堰（裙角），并有防腐、防渗、硬化处理。针对危险废物的特性、数量，严格按照《危险废物贮存污染控制标准》（GB18597-2023）和《危险废物收集、贮存、运输技术规范》（HJ2025-2012）要求，做好暂存区风险事故防范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①存储区与裙角采取防渗、防腐、硬化措施，防渗层采用采用三布五油玻璃钢防腐，即三层玻璃纤维布、五遍树脂（环氧树脂等）复合而成的玻璃钢防腐衬层。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②存放液态危废的存放区设置有导流槽，连接收集池。发生泄漏时，收集池能够容纳泄漏液体。围堰、收集池、导流槽均采取防渗、防腐措施。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color w:val="auto"/>
                <w:sz w:val="24"/>
                <w:szCs w:val="24"/>
                <w:lang w:val="en-US" w:eastAsia="zh-CN"/>
              </w:rPr>
              <w:t>③贮存车间应远离火种、热源，</w:t>
            </w:r>
            <w:r>
              <w:rPr>
                <w:rFonts w:hint="default" w:ascii="Times New Roman" w:hAnsi="Times New Roman" w:eastAsia="宋体" w:cs="Times New Roman"/>
                <w:bCs/>
                <w:color w:val="auto"/>
                <w:kern w:val="0"/>
                <w:sz w:val="24"/>
                <w:szCs w:val="24"/>
              </w:rPr>
              <w:t>配备干粉灭火器、消防砂、消防铲、消防栓等消防设施。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④危险废物发生泄漏等异常情况时，岗位操作人员应及时向负责人汇报，相关负责人到场，并组成临时指挥组和抢险指挥组，指挥抢险工作。及时向有关部门汇报。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⑤对事故隐患存在点要进行定期的检查，及时排除，避免发生。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⑥各种固废在场内按指定区域分别堆存，并做好标识，洒落的固体危险废物及时回收，并清扫干净。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⑦各种危险废物均不得和能与其化学反应的物品混存共运。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⑧库房配备必要的消防、通风、降温、防潮、防雷等安全设备。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⑨发生次/伴生污染事故时事故救援过程中产生的消防废水应引入事故池暂时收集，在分批送至有相应资质的单位处置；其他废灭火剂、拦截、堵漏材料等在事故排放后统一收集，并根据性质作为本项目危险废物暂存或送有相应资质单位进行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szCs w:val="24"/>
                <w:lang w:val="en-US" w:eastAsia="zh-CN"/>
              </w:rPr>
              <w:t>⑩</w:t>
            </w:r>
            <w:r>
              <w:rPr>
                <w:rFonts w:hint="default" w:ascii="Times New Roman" w:hAnsi="Times New Roman" w:eastAsia="宋体" w:cs="Times New Roman"/>
                <w:bCs/>
                <w:color w:val="auto"/>
                <w:sz w:val="24"/>
                <w:szCs w:val="24"/>
                <w:lang w:val="en-US" w:eastAsia="zh-CN"/>
              </w:rPr>
              <w:t>针对项目可能造成环境风险事故，本次评价建议企业编制突发环境事件应急预案，保证企业做好事故防范措施和处置预案，将事故时对环境的污染程度减小到最低。</w:t>
            </w:r>
          </w:p>
        </w:tc>
      </w:tr>
    </w:tbl>
    <w:p>
      <w:pPr>
        <w:adjustRightInd w:val="0"/>
        <w:snapToGrid w:val="0"/>
        <w:spacing w:line="360" w:lineRule="auto"/>
        <w:rPr>
          <w:rFonts w:hint="default" w:ascii="Times New Roman" w:hAnsi="Times New Roman" w:eastAsia="宋体" w:cs="Times New Roman"/>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30"/>
        <w:keepNext w:val="0"/>
        <w:keepLines w:val="0"/>
        <w:pageBreakBefore w:val="0"/>
        <w:widowControl/>
        <w:kinsoku/>
        <w:wordWrap/>
        <w:overflowPunct/>
        <w:topLinePunct w:val="0"/>
        <w:autoSpaceDE/>
        <w:autoSpaceDN/>
        <w:bidi w:val="0"/>
        <w:spacing w:before="0" w:beforeAutospacing="0" w:after="0" w:afterAutospacing="0" w:line="360" w:lineRule="auto"/>
        <w:jc w:val="center"/>
        <w:textAlignment w:val="auto"/>
        <w:outlineLvl w:val="0"/>
        <w:rPr>
          <w:rFonts w:hint="default" w:ascii="Times New Roman" w:hAnsi="Times New Roman" w:eastAsia="宋体" w:cs="Times New Roman"/>
          <w:b/>
          <w:bCs/>
          <w:snapToGrid w:val="0"/>
          <w:color w:val="auto"/>
          <w:sz w:val="30"/>
          <w:szCs w:val="30"/>
        </w:rPr>
      </w:pPr>
      <w:r>
        <w:rPr>
          <w:rFonts w:hint="default" w:ascii="Times New Roman" w:hAnsi="Times New Roman" w:eastAsia="宋体" w:cs="Times New Roman"/>
          <w:b/>
          <w:bCs/>
          <w:snapToGrid w:val="0"/>
          <w:color w:val="auto"/>
          <w:sz w:val="30"/>
          <w:szCs w:val="30"/>
        </w:rPr>
        <w:t>五、</w:t>
      </w:r>
      <w:bookmarkStart w:id="3" w:name="_Hlk54167917"/>
      <w:r>
        <w:rPr>
          <w:rFonts w:hint="default" w:ascii="Times New Roman" w:hAnsi="Times New Roman" w:eastAsia="宋体" w:cs="Times New Roman"/>
          <w:b/>
          <w:bCs/>
          <w:snapToGrid w:val="0"/>
          <w:color w:val="auto"/>
          <w:sz w:val="30"/>
          <w:szCs w:val="30"/>
        </w:rPr>
        <w:t>环境保护措施监督检查清单</w:t>
      </w:r>
      <w:bookmarkEnd w:id="3"/>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1337"/>
        <w:gridCol w:w="1578"/>
        <w:gridCol w:w="2119"/>
        <w:gridCol w:w="2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8" w:type="dxa"/>
            <w:tcBorders>
              <w:tl2br w:val="single" w:color="auto" w:sz="4" w:space="0"/>
            </w:tcBorders>
            <w:noWrap w:val="0"/>
            <w:vAlign w:val="top"/>
          </w:tcPr>
          <w:p>
            <w:pPr>
              <w:adjustRightInd w:val="0"/>
              <w:snapToGrid w:val="0"/>
              <w:jc w:val="righ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内容</w:t>
            </w:r>
          </w:p>
          <w:p>
            <w:pPr>
              <w:adjustRightInd w:val="0"/>
              <w:snapToGrid w:val="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要素</w:t>
            </w:r>
          </w:p>
        </w:tc>
        <w:tc>
          <w:tcPr>
            <w:tcW w:w="1337" w:type="dxa"/>
            <w:noWrap w:val="0"/>
            <w:vAlign w:val="center"/>
          </w:tcPr>
          <w:p>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排放口</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编号、名称</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/污染源</w:t>
            </w:r>
          </w:p>
        </w:tc>
        <w:tc>
          <w:tcPr>
            <w:tcW w:w="1578" w:type="dxa"/>
            <w:noWrap w:val="0"/>
            <w:vAlign w:val="center"/>
          </w:tcPr>
          <w:p>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污染物项目</w:t>
            </w:r>
          </w:p>
        </w:tc>
        <w:tc>
          <w:tcPr>
            <w:tcW w:w="2119" w:type="dxa"/>
            <w:noWrap w:val="0"/>
            <w:vAlign w:val="center"/>
          </w:tcPr>
          <w:p>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环境保护措施</w:t>
            </w:r>
          </w:p>
        </w:tc>
        <w:tc>
          <w:tcPr>
            <w:tcW w:w="2518" w:type="dxa"/>
            <w:noWrap w:val="0"/>
            <w:vAlign w:val="center"/>
          </w:tcPr>
          <w:p>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8" w:type="dxa"/>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大气环境</w:t>
            </w:r>
          </w:p>
        </w:tc>
        <w:tc>
          <w:tcPr>
            <w:tcW w:w="1337" w:type="dxa"/>
            <w:noWrap w:val="0"/>
            <w:vAlign w:val="center"/>
          </w:tcPr>
          <w:p>
            <w:pPr>
              <w:jc w:val="center"/>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val="0"/>
                <w:bCs/>
                <w:color w:val="auto"/>
                <w:sz w:val="24"/>
                <w:szCs w:val="24"/>
                <w:lang w:val="en-US" w:eastAsia="zh-CN"/>
              </w:rPr>
              <w:t>涂胶废气排气筒（DA001）</w:t>
            </w:r>
          </w:p>
        </w:tc>
        <w:tc>
          <w:tcPr>
            <w:tcW w:w="1578" w:type="dxa"/>
            <w:noWrap w:val="0"/>
            <w:vAlign w:val="center"/>
          </w:tcPr>
          <w:p>
            <w:pPr>
              <w:snapToGrid w:val="0"/>
              <w:spacing w:line="240" w:lineRule="auto"/>
              <w:jc w:val="center"/>
              <w:rPr>
                <w:rFonts w:hint="default" w:ascii="Times New Roman" w:hAnsi="Times New Roman" w:eastAsia="宋体" w:cs="Times New Roman"/>
                <w:snapToGrid w:val="0"/>
                <w:color w:val="auto"/>
                <w:kern w:val="2"/>
                <w:sz w:val="24"/>
                <w:szCs w:val="24"/>
                <w:highlight w:val="none"/>
                <w:lang w:val="en-US" w:eastAsia="zh-CN" w:bidi="ar-SA"/>
              </w:rPr>
            </w:pPr>
            <w:r>
              <w:rPr>
                <w:rFonts w:hint="default" w:ascii="Times New Roman" w:hAnsi="Times New Roman" w:eastAsia="宋体" w:cs="Times New Roman"/>
                <w:snapToGrid w:val="0"/>
                <w:color w:val="auto"/>
                <w:sz w:val="24"/>
                <w:szCs w:val="24"/>
                <w:highlight w:val="none"/>
                <w:lang w:val="en-US" w:eastAsia="zh-CN"/>
              </w:rPr>
              <w:t>非甲烷总烃</w:t>
            </w:r>
          </w:p>
        </w:tc>
        <w:tc>
          <w:tcPr>
            <w:tcW w:w="2119" w:type="dxa"/>
            <w:noWrap w:val="0"/>
            <w:vAlign w:val="center"/>
          </w:tcPr>
          <w:p>
            <w:pPr>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b w:val="0"/>
                <w:bCs/>
                <w:color w:val="auto"/>
                <w:sz w:val="24"/>
                <w:szCs w:val="24"/>
                <w:highlight w:val="none"/>
                <w:lang w:val="en-US" w:eastAsia="zh-CN"/>
              </w:rPr>
              <w:t>二级</w:t>
            </w:r>
            <w:r>
              <w:rPr>
                <w:rFonts w:hint="default" w:ascii="Times New Roman" w:hAnsi="Times New Roman" w:eastAsia="宋体" w:cs="Times New Roman"/>
                <w:b w:val="0"/>
                <w:bCs/>
                <w:color w:val="auto"/>
                <w:sz w:val="24"/>
                <w:szCs w:val="24"/>
                <w:highlight w:val="none"/>
              </w:rPr>
              <w:t>活性炭吸附装置+1根15m高排气筒</w:t>
            </w:r>
          </w:p>
        </w:tc>
        <w:tc>
          <w:tcPr>
            <w:tcW w:w="2518" w:type="dxa"/>
            <w:noWrap w:val="0"/>
            <w:vAlign w:val="center"/>
          </w:tcPr>
          <w:p>
            <w:pP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大气污染物综合排放标准》(GB16297-1996)表2中二级排放标准及无组织排放标准要求、</w:t>
            </w:r>
            <w:r>
              <w:rPr>
                <w:rFonts w:hint="default" w:ascii="Times New Roman" w:hAnsi="Times New Roman" w:eastAsia="宋体" w:cs="Times New Roman"/>
                <w:bCs/>
                <w:color w:val="auto"/>
                <w:spacing w:val="-6"/>
                <w:sz w:val="24"/>
                <w:szCs w:val="24"/>
              </w:rPr>
              <w:t>《挥发性有机物无组织排放控制标准》（GB37822-2019）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8" w:hRule="atLeast"/>
          <w:jc w:val="center"/>
        </w:trPr>
        <w:tc>
          <w:tcPr>
            <w:tcW w:w="1248" w:type="dxa"/>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地表水环境</w:t>
            </w:r>
          </w:p>
        </w:tc>
        <w:tc>
          <w:tcPr>
            <w:tcW w:w="1337" w:type="dxa"/>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生活污水</w:t>
            </w:r>
          </w:p>
        </w:tc>
        <w:tc>
          <w:tcPr>
            <w:tcW w:w="1578" w:type="dxa"/>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pH、COD、</w:t>
            </w:r>
            <w:r>
              <w:rPr>
                <w:rFonts w:hint="default" w:ascii="Times New Roman" w:hAnsi="Times New Roman" w:eastAsia="宋体" w:cs="Times New Roman"/>
                <w:color w:val="auto"/>
                <w:sz w:val="24"/>
                <w:szCs w:val="24"/>
              </w:rPr>
              <w:t>BOD</w:t>
            </w:r>
            <w:r>
              <w:rPr>
                <w:rFonts w:hint="default" w:ascii="Times New Roman" w:hAnsi="Times New Roman" w:eastAsia="宋体" w:cs="Times New Roman"/>
                <w:color w:val="auto"/>
                <w:sz w:val="24"/>
                <w:szCs w:val="24"/>
                <w:vertAlign w:val="subscript"/>
              </w:rPr>
              <w:t>5</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氨氮、</w:t>
            </w:r>
            <w:r>
              <w:rPr>
                <w:rFonts w:hint="default" w:ascii="Times New Roman" w:hAnsi="Times New Roman" w:eastAsia="宋体" w:cs="Times New Roman"/>
                <w:color w:val="auto"/>
                <w:sz w:val="24"/>
                <w:szCs w:val="24"/>
              </w:rPr>
              <w:t>SS</w:t>
            </w:r>
            <w:r>
              <w:rPr>
                <w:rFonts w:hint="default" w:ascii="Times New Roman" w:hAnsi="Times New Roman" w:eastAsia="宋体" w:cs="Times New Roman"/>
                <w:color w:val="auto"/>
                <w:sz w:val="24"/>
                <w:szCs w:val="24"/>
                <w:lang w:eastAsia="zh-CN"/>
              </w:rPr>
              <w:t>、动植物油</w:t>
            </w:r>
            <w:r>
              <w:rPr>
                <w:rFonts w:hint="default" w:ascii="Times New Roman" w:hAnsi="Times New Roman" w:eastAsia="宋体" w:cs="Times New Roman"/>
                <w:color w:val="auto"/>
                <w:sz w:val="24"/>
                <w:szCs w:val="24"/>
              </w:rPr>
              <w:t>等</w:t>
            </w:r>
          </w:p>
        </w:tc>
        <w:tc>
          <w:tcPr>
            <w:tcW w:w="2119" w:type="dxa"/>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项目食堂废水经油水分离器处理后与办公废水一同经化粪池处理后通过市政管网排至集贤产业园污水处理厂。</w:t>
            </w:r>
          </w:p>
        </w:tc>
        <w:tc>
          <w:tcPr>
            <w:tcW w:w="2518" w:type="dxa"/>
            <w:noWrap w:val="0"/>
            <w:vAlign w:val="center"/>
          </w:tcPr>
          <w:p>
            <w:pPr>
              <w:kinsoku w:val="0"/>
              <w:snapToGrid w:val="0"/>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Cs/>
                <w:color w:val="auto"/>
                <w:sz w:val="24"/>
                <w:szCs w:val="24"/>
              </w:rPr>
              <w:t>《污水综合排放标准》（GB8978-1996）三级标准及《污水排入城镇下水道水质标准》（GB/T31962-2015）中的B等级标准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8" w:type="dxa"/>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声环境</w:t>
            </w:r>
          </w:p>
        </w:tc>
        <w:tc>
          <w:tcPr>
            <w:tcW w:w="1337" w:type="dxa"/>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设备</w:t>
            </w:r>
            <w:r>
              <w:rPr>
                <w:rFonts w:hint="default" w:ascii="Times New Roman" w:hAnsi="Times New Roman" w:eastAsia="宋体" w:cs="Times New Roman"/>
                <w:color w:val="auto"/>
                <w:sz w:val="24"/>
                <w:szCs w:val="24"/>
              </w:rPr>
              <w:t>噪声</w:t>
            </w:r>
          </w:p>
        </w:tc>
        <w:tc>
          <w:tcPr>
            <w:tcW w:w="1578" w:type="dxa"/>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连续等效A</w:t>
            </w: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声级</w:t>
            </w:r>
          </w:p>
        </w:tc>
        <w:tc>
          <w:tcPr>
            <w:tcW w:w="2119" w:type="dxa"/>
            <w:noWrap w:val="0"/>
            <w:vAlign w:val="center"/>
          </w:tcPr>
          <w:p>
            <w:pPr>
              <w:pStyle w:val="33"/>
              <w:widowControl w:val="0"/>
              <w:spacing w:after="0"/>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选用低噪声设备，厂房隔声，并进行基础减振，进出口采用软管接头等措施</w:t>
            </w:r>
          </w:p>
        </w:tc>
        <w:tc>
          <w:tcPr>
            <w:tcW w:w="2518" w:type="dxa"/>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《工业企业厂界环境噪声排放标准》（GB12348-2008）</w:t>
            </w:r>
            <w:r>
              <w:rPr>
                <w:rFonts w:hint="default" w:ascii="Times New Roman" w:hAnsi="Times New Roman" w:eastAsia="宋体" w:cs="Times New Roman"/>
                <w:color w:val="auto"/>
                <w:sz w:val="24"/>
                <w:szCs w:val="24"/>
                <w:lang w:val="en-US" w:eastAsia="zh-CN"/>
              </w:rPr>
              <w:t>3类</w:t>
            </w:r>
            <w:r>
              <w:rPr>
                <w:rFonts w:hint="default" w:ascii="Times New Roman" w:hAnsi="Times New Roman" w:eastAsia="宋体" w:cs="Times New Roman"/>
                <w:color w:val="auto"/>
                <w:sz w:val="24"/>
                <w:szCs w:val="24"/>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48" w:type="dxa"/>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电磁辐射</w:t>
            </w:r>
          </w:p>
        </w:tc>
        <w:tc>
          <w:tcPr>
            <w:tcW w:w="1337" w:type="dxa"/>
            <w:noWrap w:val="0"/>
            <w:vAlign w:val="center"/>
          </w:tcPr>
          <w:p>
            <w:pPr>
              <w:adjustRightInd w:val="0"/>
              <w:snapToGrid w:val="0"/>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w:t>
            </w:r>
          </w:p>
        </w:tc>
        <w:tc>
          <w:tcPr>
            <w:tcW w:w="1578" w:type="dxa"/>
            <w:noWrap w:val="0"/>
            <w:vAlign w:val="center"/>
          </w:tcPr>
          <w:p>
            <w:pPr>
              <w:adjustRightInd w:val="0"/>
              <w:snapToGrid w:val="0"/>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w:t>
            </w:r>
          </w:p>
        </w:tc>
        <w:tc>
          <w:tcPr>
            <w:tcW w:w="2119" w:type="dxa"/>
            <w:noWrap w:val="0"/>
            <w:vAlign w:val="center"/>
          </w:tcPr>
          <w:p>
            <w:pPr>
              <w:adjustRightInd w:val="0"/>
              <w:snapToGrid w:val="0"/>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w:t>
            </w:r>
          </w:p>
        </w:tc>
        <w:tc>
          <w:tcPr>
            <w:tcW w:w="2518" w:type="dxa"/>
            <w:noWrap w:val="0"/>
            <w:vAlign w:val="center"/>
          </w:tcPr>
          <w:p>
            <w:pPr>
              <w:adjustRightInd w:val="0"/>
              <w:snapToGrid w:val="0"/>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248" w:type="dxa"/>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固体废物</w:t>
            </w:r>
          </w:p>
        </w:tc>
        <w:tc>
          <w:tcPr>
            <w:tcW w:w="7552"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kern w:val="2"/>
                <w:sz w:val="24"/>
                <w:szCs w:val="24"/>
                <w:highlight w:val="green"/>
                <w:lang w:val="en-US" w:eastAsia="zh-CN" w:bidi="ar-SA"/>
              </w:rPr>
            </w:pPr>
            <w:r>
              <w:rPr>
                <w:rFonts w:hint="default" w:ascii="Times New Roman" w:hAnsi="Times New Roman" w:eastAsia="宋体" w:cs="Times New Roman"/>
                <w:b w:val="0"/>
                <w:bCs w:val="0"/>
                <w:color w:val="auto"/>
                <w:sz w:val="24"/>
                <w:szCs w:val="24"/>
              </w:rPr>
              <w:t>生活垃圾分类收集后暂存垃圾桶由环卫部门统一清运处置；废油脂</w:t>
            </w:r>
            <w:r>
              <w:rPr>
                <w:rFonts w:hint="default" w:ascii="Times New Roman" w:hAnsi="Times New Roman" w:eastAsia="宋体" w:cs="Times New Roman"/>
                <w:b w:val="0"/>
                <w:bCs w:val="0"/>
                <w:color w:val="auto"/>
                <w:sz w:val="24"/>
                <w:szCs w:val="24"/>
                <w:lang w:eastAsia="zh-CN"/>
              </w:rPr>
              <w:t>专用桶</w:t>
            </w:r>
            <w:r>
              <w:rPr>
                <w:rFonts w:hint="default" w:ascii="Times New Roman" w:hAnsi="Times New Roman" w:eastAsia="宋体" w:cs="Times New Roman"/>
                <w:b w:val="0"/>
                <w:bCs w:val="0"/>
                <w:color w:val="auto"/>
                <w:sz w:val="24"/>
                <w:szCs w:val="24"/>
              </w:rPr>
              <w:t>收集后交</w:t>
            </w:r>
            <w:r>
              <w:rPr>
                <w:rFonts w:hint="default" w:ascii="Times New Roman" w:hAnsi="Times New Roman" w:eastAsia="宋体" w:cs="Times New Roman"/>
                <w:b w:val="0"/>
                <w:bCs w:val="0"/>
                <w:color w:val="auto"/>
                <w:sz w:val="24"/>
                <w:szCs w:val="24"/>
                <w:lang w:val="en-US" w:eastAsia="zh-CN"/>
              </w:rPr>
              <w:t>有资质单位</w:t>
            </w:r>
            <w:r>
              <w:rPr>
                <w:rFonts w:hint="default" w:ascii="Times New Roman" w:hAnsi="Times New Roman" w:eastAsia="宋体" w:cs="Times New Roman"/>
                <w:b w:val="0"/>
                <w:bCs w:val="0"/>
                <w:color w:val="auto"/>
                <w:sz w:val="24"/>
                <w:szCs w:val="24"/>
              </w:rPr>
              <w:t>处置</w:t>
            </w:r>
            <w:r>
              <w:rPr>
                <w:rFonts w:hint="default" w:ascii="Times New Roman" w:hAnsi="Times New Roman" w:eastAsia="宋体" w:cs="Times New Roman"/>
                <w:b w:val="0"/>
                <w:bCs w:val="0"/>
                <w:color w:val="auto"/>
                <w:sz w:val="24"/>
                <w:szCs w:val="24"/>
                <w:lang w:eastAsia="zh-CN"/>
              </w:rPr>
              <w:t>；废包装材料、沉淀池沉渣、废胶桶（不含胶）</w:t>
            </w:r>
            <w:r>
              <w:rPr>
                <w:rFonts w:hint="default" w:ascii="Times New Roman" w:hAnsi="Times New Roman" w:eastAsia="宋体" w:cs="Times New Roman"/>
                <w:b w:val="0"/>
                <w:bCs w:val="0"/>
                <w:color w:val="auto"/>
                <w:sz w:val="24"/>
                <w:szCs w:val="24"/>
                <w:lang w:val="en-US" w:eastAsia="zh-CN"/>
              </w:rPr>
              <w:t>依托高科建材</w:t>
            </w:r>
            <w:r>
              <w:rPr>
                <w:rFonts w:hint="default" w:ascii="Times New Roman" w:hAnsi="Times New Roman" w:eastAsia="宋体" w:cs="Times New Roman"/>
                <w:b w:val="0"/>
                <w:bCs w:val="0"/>
                <w:color w:val="auto"/>
                <w:sz w:val="24"/>
                <w:szCs w:val="24"/>
              </w:rPr>
              <w:t>一般固废暂存区</w:t>
            </w:r>
            <w:r>
              <w:rPr>
                <w:rFonts w:hint="default" w:ascii="Times New Roman" w:hAnsi="Times New Roman" w:eastAsia="宋体" w:cs="Times New Roman"/>
                <w:b w:val="0"/>
                <w:bCs w:val="0"/>
                <w:color w:val="auto"/>
                <w:sz w:val="24"/>
                <w:szCs w:val="24"/>
                <w:lang w:val="en-US" w:eastAsia="zh-CN"/>
              </w:rPr>
              <w:t>暂存，</w:t>
            </w:r>
            <w:r>
              <w:rPr>
                <w:rFonts w:hint="default" w:ascii="Times New Roman" w:hAnsi="Times New Roman" w:eastAsia="宋体" w:cs="Times New Roman"/>
                <w:b w:val="0"/>
                <w:bCs w:val="0"/>
                <w:color w:val="auto"/>
                <w:sz w:val="24"/>
                <w:szCs w:val="24"/>
              </w:rPr>
              <w:t>定期外售；废滤料、废RO膜</w:t>
            </w:r>
            <w:r>
              <w:rPr>
                <w:rFonts w:hint="default" w:ascii="Times New Roman" w:hAnsi="Times New Roman" w:eastAsia="宋体" w:cs="Times New Roman"/>
                <w:b w:val="0"/>
                <w:bCs w:val="0"/>
                <w:color w:val="auto"/>
                <w:sz w:val="24"/>
                <w:szCs w:val="24"/>
                <w:lang w:val="en-US" w:eastAsia="zh-CN"/>
              </w:rPr>
              <w:t>由厂家回收；</w:t>
            </w:r>
            <w:r>
              <w:rPr>
                <w:rFonts w:hint="default" w:ascii="Times New Roman" w:hAnsi="Times New Roman" w:eastAsia="宋体" w:cs="Times New Roman"/>
                <w:b w:val="0"/>
                <w:bCs w:val="0"/>
                <w:color w:val="auto"/>
                <w:sz w:val="24"/>
                <w:szCs w:val="24"/>
              </w:rPr>
              <w:t>危险</w:t>
            </w:r>
            <w:r>
              <w:rPr>
                <w:rFonts w:hint="default" w:ascii="Times New Roman" w:hAnsi="Times New Roman" w:eastAsia="宋体" w:cs="Times New Roman"/>
                <w:b w:val="0"/>
                <w:bCs w:val="0"/>
                <w:color w:val="auto"/>
                <w:sz w:val="24"/>
                <w:szCs w:val="24"/>
                <w:lang w:val="en-US" w:eastAsia="zh-CN"/>
              </w:rPr>
              <w:t>废物依托高科建材</w:t>
            </w:r>
            <w:r>
              <w:rPr>
                <w:rFonts w:hint="default" w:ascii="Times New Roman" w:hAnsi="Times New Roman" w:eastAsia="宋体" w:cs="Times New Roman"/>
                <w:b w:val="0"/>
                <w:bCs w:val="0"/>
                <w:color w:val="auto"/>
                <w:sz w:val="24"/>
                <w:szCs w:val="24"/>
                <w:lang w:eastAsia="zh-CN"/>
              </w:rPr>
              <w:t>危废贮存库</w:t>
            </w:r>
            <w:r>
              <w:rPr>
                <w:rFonts w:hint="default" w:ascii="Times New Roman" w:hAnsi="Times New Roman" w:eastAsia="宋体" w:cs="Times New Roman"/>
                <w:b w:val="0"/>
                <w:bCs w:val="0"/>
                <w:color w:val="auto"/>
                <w:sz w:val="24"/>
                <w:szCs w:val="24"/>
                <w:lang w:val="en-US" w:eastAsia="zh-CN"/>
              </w:rPr>
              <w:t>分区暂存，</w:t>
            </w:r>
            <w:r>
              <w:rPr>
                <w:rFonts w:hint="default" w:ascii="Times New Roman" w:hAnsi="Times New Roman" w:eastAsia="宋体" w:cs="Times New Roman"/>
                <w:b w:val="0"/>
                <w:bCs w:val="0"/>
                <w:color w:val="auto"/>
                <w:sz w:val="24"/>
                <w:szCs w:val="24"/>
              </w:rPr>
              <w:t>定</w:t>
            </w:r>
            <w:r>
              <w:rPr>
                <w:rFonts w:hint="default" w:ascii="Times New Roman" w:hAnsi="Times New Roman" w:eastAsia="宋体" w:cs="Times New Roman"/>
                <w:color w:val="auto"/>
                <w:sz w:val="24"/>
                <w:szCs w:val="24"/>
              </w:rPr>
              <w:t>期交由有资质单位处置。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248" w:type="dxa"/>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土壤及地下水污染防治措施</w:t>
            </w:r>
          </w:p>
        </w:tc>
        <w:tc>
          <w:tcPr>
            <w:tcW w:w="7552" w:type="dxa"/>
            <w:gridSpan w:val="4"/>
            <w:noWrap w:val="0"/>
            <w:vAlign w:val="center"/>
          </w:tcPr>
          <w:p>
            <w:pPr>
              <w:adjustRightInd w:val="0"/>
              <w:snapToGrid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项目固废贮存应防风防雨，避免雨水淋漓，一般固废设置定点收集区域，危险废物用专用容器贮存后暂存在</w:t>
            </w:r>
            <w:r>
              <w:rPr>
                <w:rFonts w:hint="default" w:ascii="Times New Roman" w:hAnsi="Times New Roman" w:eastAsia="宋体" w:cs="Times New Roman"/>
                <w:color w:val="auto"/>
                <w:sz w:val="24"/>
                <w:szCs w:val="24"/>
                <w:lang w:eastAsia="zh-CN"/>
              </w:rPr>
              <w:t>危废贮存库</w:t>
            </w:r>
            <w:r>
              <w:rPr>
                <w:rFonts w:hint="default" w:ascii="Times New Roman" w:hAnsi="Times New Roman" w:eastAsia="宋体" w:cs="Times New Roman"/>
                <w:color w:val="auto"/>
                <w:sz w:val="24"/>
                <w:szCs w:val="24"/>
              </w:rPr>
              <w:t>内，</w:t>
            </w:r>
            <w:r>
              <w:rPr>
                <w:rFonts w:hint="default" w:ascii="Times New Roman" w:hAnsi="Times New Roman" w:eastAsia="宋体" w:cs="Times New Roman"/>
                <w:color w:val="auto"/>
                <w:sz w:val="24"/>
                <w:szCs w:val="24"/>
                <w:lang w:eastAsia="zh-CN"/>
              </w:rPr>
              <w:t>危废贮存库</w:t>
            </w:r>
            <w:r>
              <w:rPr>
                <w:rFonts w:hint="default" w:ascii="Times New Roman" w:hAnsi="Times New Roman" w:eastAsia="宋体" w:cs="Times New Roman"/>
                <w:color w:val="auto"/>
                <w:sz w:val="24"/>
                <w:szCs w:val="24"/>
                <w:lang w:val="en-US" w:eastAsia="zh-CN"/>
              </w:rPr>
              <w:t>已</w:t>
            </w:r>
            <w:r>
              <w:rPr>
                <w:rFonts w:hint="default" w:ascii="Times New Roman" w:hAnsi="Times New Roman" w:eastAsia="宋体" w:cs="Times New Roman"/>
                <w:color w:val="auto"/>
                <w:sz w:val="24"/>
                <w:szCs w:val="24"/>
              </w:rPr>
              <w:t>按照重点防渗区要求进行防渗，生产车间按照普通防渗区要求进行防渗，避免发生垂直入渗。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1248" w:type="dxa"/>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生态保护措施</w:t>
            </w:r>
          </w:p>
        </w:tc>
        <w:tc>
          <w:tcPr>
            <w:tcW w:w="7552" w:type="dxa"/>
            <w:gridSpan w:val="4"/>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248" w:type="dxa"/>
            <w:noWrap w:val="0"/>
            <w:vAlign w:val="center"/>
          </w:tcPr>
          <w:p>
            <w:pPr>
              <w:adjustRightInd w:val="0"/>
              <w:snapToGrid w:val="0"/>
              <w:jc w:val="center"/>
              <w:rPr>
                <w:rFonts w:hint="default" w:ascii="Times New Roman" w:hAnsi="Times New Roman" w:eastAsia="宋体" w:cs="Times New Roman"/>
                <w:color w:val="auto"/>
                <w:spacing w:val="-8"/>
                <w:sz w:val="24"/>
                <w:szCs w:val="24"/>
              </w:rPr>
            </w:pPr>
            <w:r>
              <w:rPr>
                <w:rFonts w:hint="default" w:ascii="Times New Roman" w:hAnsi="Times New Roman" w:eastAsia="宋体" w:cs="Times New Roman"/>
                <w:color w:val="auto"/>
                <w:spacing w:val="-8"/>
                <w:sz w:val="24"/>
                <w:szCs w:val="24"/>
              </w:rPr>
              <w:t>环境风险</w:t>
            </w:r>
          </w:p>
          <w:p>
            <w:pPr>
              <w:adjustRightInd w:val="0"/>
              <w:snapToGrid w:val="0"/>
              <w:jc w:val="center"/>
              <w:rPr>
                <w:rFonts w:hint="default" w:ascii="Times New Roman" w:hAnsi="Times New Roman" w:eastAsia="宋体" w:cs="Times New Roman"/>
                <w:color w:val="auto"/>
                <w:spacing w:val="-8"/>
                <w:sz w:val="24"/>
                <w:szCs w:val="24"/>
              </w:rPr>
            </w:pPr>
            <w:r>
              <w:rPr>
                <w:rFonts w:hint="default" w:ascii="Times New Roman" w:hAnsi="Times New Roman" w:eastAsia="宋体" w:cs="Times New Roman"/>
                <w:color w:val="auto"/>
                <w:spacing w:val="-8"/>
                <w:sz w:val="24"/>
                <w:szCs w:val="24"/>
              </w:rPr>
              <w:t>防范措施</w:t>
            </w:r>
          </w:p>
        </w:tc>
        <w:tc>
          <w:tcPr>
            <w:tcW w:w="7552" w:type="dxa"/>
            <w:gridSpan w:val="4"/>
            <w:noWrap w:val="0"/>
            <w:vAlign w:val="center"/>
          </w:tcPr>
          <w:p>
            <w:pPr>
              <w:adjustRightInd w:val="0"/>
              <w:snapToGrid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加强操作管理，确保处理设备正常稳定运行，</w:t>
            </w:r>
            <w:r>
              <w:rPr>
                <w:rFonts w:hint="default" w:ascii="Times New Roman" w:hAnsi="Times New Roman" w:eastAsia="宋体" w:cs="Times New Roman"/>
                <w:color w:val="auto"/>
                <w:sz w:val="24"/>
                <w:szCs w:val="24"/>
                <w:lang w:val="en-US" w:eastAsia="zh-CN"/>
              </w:rPr>
              <w:t>编制</w:t>
            </w:r>
            <w:r>
              <w:rPr>
                <w:rFonts w:hint="default" w:ascii="Times New Roman" w:hAnsi="Times New Roman" w:eastAsia="宋体" w:cs="Times New Roman"/>
                <w:color w:val="auto"/>
                <w:sz w:val="24"/>
                <w:szCs w:val="24"/>
              </w:rPr>
              <w:t>突发环境事件应急预案，储备应急物资，定期进行应急演练。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248" w:type="dxa"/>
            <w:noWrap w:val="0"/>
            <w:vAlign w:val="center"/>
          </w:tcPr>
          <w:p>
            <w:pPr>
              <w:adjustRightInd w:val="0"/>
              <w:snapToGrid w:val="0"/>
              <w:spacing w:line="360" w:lineRule="auto"/>
              <w:jc w:val="center"/>
              <w:rPr>
                <w:rFonts w:hint="default" w:ascii="Times New Roman" w:hAnsi="Times New Roman" w:eastAsia="宋体" w:cs="Times New Roman"/>
                <w:color w:val="auto"/>
                <w:spacing w:val="-8"/>
                <w:sz w:val="24"/>
                <w:szCs w:val="24"/>
              </w:rPr>
            </w:pPr>
            <w:r>
              <w:rPr>
                <w:rFonts w:hint="default" w:ascii="Times New Roman" w:hAnsi="Times New Roman" w:eastAsia="宋体" w:cs="Times New Roman"/>
                <w:color w:val="auto"/>
                <w:spacing w:val="-8"/>
                <w:sz w:val="24"/>
                <w:szCs w:val="24"/>
              </w:rPr>
              <w:t>其他环境</w:t>
            </w:r>
          </w:p>
          <w:p>
            <w:pPr>
              <w:adjustRightInd w:val="0"/>
              <w:snapToGrid w:val="0"/>
              <w:spacing w:line="360" w:lineRule="auto"/>
              <w:jc w:val="center"/>
              <w:rPr>
                <w:rFonts w:hint="default" w:ascii="Times New Roman" w:hAnsi="Times New Roman" w:eastAsia="宋体" w:cs="Times New Roman"/>
                <w:color w:val="auto"/>
                <w:spacing w:val="-8"/>
                <w:sz w:val="24"/>
                <w:szCs w:val="24"/>
              </w:rPr>
            </w:pPr>
            <w:r>
              <w:rPr>
                <w:rFonts w:hint="default" w:ascii="Times New Roman" w:hAnsi="Times New Roman" w:eastAsia="宋体" w:cs="Times New Roman"/>
                <w:color w:val="auto"/>
                <w:spacing w:val="-8"/>
                <w:sz w:val="24"/>
                <w:szCs w:val="24"/>
              </w:rPr>
              <w:t>管理要求</w:t>
            </w:r>
          </w:p>
        </w:tc>
        <w:tc>
          <w:tcPr>
            <w:tcW w:w="7552" w:type="dxa"/>
            <w:gridSpan w:val="4"/>
            <w:noWrap w:val="0"/>
            <w:vAlign w:val="center"/>
          </w:tcPr>
          <w:p>
            <w:pPr>
              <w:keepNext w:val="0"/>
              <w:keepLines w:val="0"/>
              <w:pageBreakBefore w:val="0"/>
              <w:widowControl/>
              <w:numPr>
                <w:ilvl w:val="0"/>
                <w:numId w:val="7"/>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建设项目三同时制度</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切实落实项目的各项污染防治措施，建设项目中防治污染的设施，应当与主体工程同时设计、同时施工、同时投产使用，并在使用过程中加强管理，确保环保设施的运行率和净化效率，定期维护环保设施，保持其正常、稳定、有效运行。防治污染的设施应当符合经批准的环境影响评价文件的要求，不得擅自拆除或者闲置。</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2、环境管理制度</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（1）贯彻执行国家和地方各项环保方针、政策和法规，将环境指标纳入生产计划指标，制定与其相适应的管理规章制度及细则；</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（2）加强环保设施的管理，应建立污染防治专管部门，负责落实废气、</w:t>
            </w:r>
            <w:r>
              <w:rPr>
                <w:rFonts w:hint="eastAsia" w:cs="Times New Roman"/>
                <w:color w:val="auto"/>
                <w:sz w:val="24"/>
                <w:lang w:val="en-US" w:eastAsia="zh-CN"/>
              </w:rPr>
              <w:t>废水、</w:t>
            </w:r>
            <w:r>
              <w:rPr>
                <w:rFonts w:hint="default" w:ascii="Times New Roman" w:hAnsi="Times New Roman" w:eastAsia="宋体" w:cs="Times New Roman"/>
                <w:color w:val="auto"/>
                <w:sz w:val="24"/>
              </w:rPr>
              <w:t>固废、噪声等的治理，定期检查各设备运行情况，杜绝事故发生；</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（3）建立岗位责任制和环保工作台账制度，配备专职环保人员，对污染防治情况进行定时监测，及时掌握污染治理设施的运行情况，做好各项污染物的达标排放工作；</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（4）对固废进行分类收集，及时清理；</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（5）加强对生产人员的环保教育培训，包括业务能力、操作技术、环保管理知识的教育，以增强员工的环保意识，提高管理水平。</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3、排污许可证制度</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单位在排污前，可依据《排污许可管理条例》（2021.3.1施行）通过全国排污许可证管理信息平台申办、获取排污许可证，并按照要求上报排污许可执行报告。当污染物排放种类或排放量发生变化时，及时变更排污许可证填报内容，及时对即将到期证书进行延期申报。</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4、突发环境事件应急制度</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企业应依据《突发环境事件应急预案管理暂行办法》（环发〔2010〕113号）</w:t>
            </w:r>
            <w:r>
              <w:rPr>
                <w:rFonts w:hint="eastAsia" w:cs="Times New Roman"/>
                <w:color w:val="auto"/>
                <w:sz w:val="24"/>
                <w:lang w:val="en-US" w:eastAsia="zh-CN"/>
              </w:rPr>
              <w:t>对</w:t>
            </w:r>
            <w:r>
              <w:rPr>
                <w:rFonts w:hint="default" w:ascii="Times New Roman" w:hAnsi="Times New Roman" w:eastAsia="宋体" w:cs="Times New Roman"/>
                <w:color w:val="auto"/>
                <w:sz w:val="24"/>
              </w:rPr>
              <w:t>企业突发环境事件应急预案</w:t>
            </w:r>
            <w:r>
              <w:rPr>
                <w:rFonts w:hint="eastAsia" w:cs="Times New Roman"/>
                <w:color w:val="auto"/>
                <w:sz w:val="24"/>
                <w:lang w:val="en-US" w:eastAsia="zh-CN"/>
              </w:rPr>
              <w:t>做变更</w:t>
            </w:r>
            <w:r>
              <w:rPr>
                <w:rFonts w:hint="default" w:ascii="Times New Roman" w:hAnsi="Times New Roman" w:eastAsia="宋体" w:cs="Times New Roman"/>
                <w:color w:val="auto"/>
                <w:sz w:val="24"/>
              </w:rPr>
              <w:t>，其内容必须涵盖管理暂行办法要求的内容，并在规定时间内将应急预案报所在地环境保护主管部门备案。从而确保发生突发环境事件时，企业员工能够及时有效应对处置，防止对外环境的影响。</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5、排污口规范技术要求</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（1）设置规范的排污口以及监测采样平台，排污口应便于采样与计量监测，便于日常现场监督检查；</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（2）按《排污口规范化整治技术要求》（环监（1996）470号）文件要求进行规范化管理；</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（3）按照《环境保护图形标志—排放口（源）》（GB15562.1-1995）和《环境保护图形标志—固体废物贮存（处置）场》（GB15562.2-1995）的规定，张贴标识牌，并加强日常维护。标识牌设置情况见表5-1。</w:t>
            </w:r>
          </w:p>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表5-1  排污口场所标志牌</w:t>
            </w:r>
          </w:p>
          <w:tbl>
            <w:tblPr>
              <w:tblStyle w:val="35"/>
              <w:tblW w:w="0" w:type="auto"/>
              <w:tblInd w:w="-1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30"/>
              <w:gridCol w:w="1961"/>
              <w:gridCol w:w="1961"/>
              <w:gridCol w:w="178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430" w:type="dxa"/>
                  <w:tcBorders>
                    <w:tl2br w:val="nil"/>
                    <w:tr2bl w:val="nil"/>
                  </w:tcBorders>
                  <w:vAlign w:val="center"/>
                </w:tcPr>
                <w:p>
                  <w:pPr>
                    <w:keepNext w:val="0"/>
                    <w:keepLines w:val="0"/>
                    <w:pageBreakBefore w:val="0"/>
                    <w:kinsoku/>
                    <w:wordWrap/>
                    <w:overflowPunct/>
                    <w:topLinePunct w:val="0"/>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类别</w:t>
                  </w:r>
                </w:p>
              </w:tc>
              <w:tc>
                <w:tcPr>
                  <w:tcW w:w="1961" w:type="dxa"/>
                  <w:tcBorders>
                    <w:tl2br w:val="nil"/>
                    <w:tr2bl w:val="nil"/>
                  </w:tcBorders>
                  <w:vAlign w:val="center"/>
                </w:tcPr>
                <w:p>
                  <w:pPr>
                    <w:keepNext w:val="0"/>
                    <w:keepLines w:val="0"/>
                    <w:pageBreakBefore w:val="0"/>
                    <w:kinsoku/>
                    <w:wordWrap/>
                    <w:overflowPunct/>
                    <w:topLinePunct w:val="0"/>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提示标识</w:t>
                  </w:r>
                </w:p>
              </w:tc>
              <w:tc>
                <w:tcPr>
                  <w:tcW w:w="1961" w:type="dxa"/>
                  <w:tcBorders>
                    <w:tl2br w:val="nil"/>
                    <w:tr2bl w:val="nil"/>
                  </w:tcBorders>
                  <w:vAlign w:val="center"/>
                </w:tcPr>
                <w:p>
                  <w:pPr>
                    <w:keepNext w:val="0"/>
                    <w:keepLines w:val="0"/>
                    <w:pageBreakBefore w:val="0"/>
                    <w:kinsoku/>
                    <w:wordWrap/>
                    <w:overflowPunct/>
                    <w:topLinePunct w:val="0"/>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警告标识</w:t>
                  </w:r>
                </w:p>
              </w:tc>
              <w:tc>
                <w:tcPr>
                  <w:tcW w:w="1786" w:type="dxa"/>
                  <w:tcBorders>
                    <w:tl2br w:val="nil"/>
                    <w:tr2bl w:val="nil"/>
                  </w:tcBorders>
                  <w:vAlign w:val="center"/>
                </w:tcPr>
                <w:p>
                  <w:pPr>
                    <w:keepNext w:val="0"/>
                    <w:keepLines w:val="0"/>
                    <w:pageBreakBefore w:val="0"/>
                    <w:kinsoku/>
                    <w:wordWrap/>
                    <w:overflowPunct/>
                    <w:topLinePunct w:val="0"/>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功能说明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430" w:type="dxa"/>
                  <w:tcBorders>
                    <w:tl2br w:val="nil"/>
                    <w:tr2bl w:val="nil"/>
                  </w:tcBorders>
                  <w:vAlign w:val="center"/>
                </w:tcPr>
                <w:p>
                  <w:pPr>
                    <w:keepNext w:val="0"/>
                    <w:keepLines w:val="0"/>
                    <w:pageBreakBefore w:val="0"/>
                    <w:kinsoku/>
                    <w:wordWrap/>
                    <w:overflowPunct/>
                    <w:topLinePunct w:val="0"/>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废气排放口</w:t>
                  </w:r>
                </w:p>
              </w:tc>
              <w:tc>
                <w:tcPr>
                  <w:tcW w:w="1961" w:type="dxa"/>
                  <w:tcBorders>
                    <w:tl2br w:val="nil"/>
                    <w:tr2bl w:val="nil"/>
                  </w:tcBorders>
                  <w:vAlign w:val="center"/>
                </w:tcPr>
                <w:p>
                  <w:pPr>
                    <w:keepNext w:val="0"/>
                    <w:keepLines w:val="0"/>
                    <w:pageBreakBefore w:val="0"/>
                    <w:kinsoku/>
                    <w:wordWrap/>
                    <w:overflowPunct/>
                    <w:topLinePunct w:val="0"/>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1082040" cy="873125"/>
                        <wp:effectExtent l="0" t="0" r="10160" b="3175"/>
                        <wp:docPr id="2" name="图片 1" descr="废气排放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废气排放口"/>
                                <pic:cNvPicPr>
                                  <a:picLocks noChangeAspect="1"/>
                                </pic:cNvPicPr>
                              </pic:nvPicPr>
                              <pic:blipFill>
                                <a:blip r:embed="rId40"/>
                                <a:stretch>
                                  <a:fillRect/>
                                </a:stretch>
                              </pic:blipFill>
                              <pic:spPr>
                                <a:xfrm>
                                  <a:off x="0" y="0"/>
                                  <a:ext cx="1082040" cy="873125"/>
                                </a:xfrm>
                                <a:prstGeom prst="rect">
                                  <a:avLst/>
                                </a:prstGeom>
                                <a:noFill/>
                                <a:ln>
                                  <a:noFill/>
                                </a:ln>
                              </pic:spPr>
                            </pic:pic>
                          </a:graphicData>
                        </a:graphic>
                      </wp:inline>
                    </w:drawing>
                  </w:r>
                </w:p>
              </w:tc>
              <w:tc>
                <w:tcPr>
                  <w:tcW w:w="1961" w:type="dxa"/>
                  <w:tcBorders>
                    <w:tl2br w:val="nil"/>
                    <w:tr2bl w:val="nil"/>
                  </w:tcBorders>
                  <w:vAlign w:val="center"/>
                </w:tcPr>
                <w:p>
                  <w:pPr>
                    <w:keepNext w:val="0"/>
                    <w:keepLines w:val="0"/>
                    <w:pageBreakBefore w:val="0"/>
                    <w:kinsoku/>
                    <w:wordWrap/>
                    <w:overflowPunct/>
                    <w:topLinePunct w:val="0"/>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981710" cy="875030"/>
                        <wp:effectExtent l="0" t="0" r="8890" b="1270"/>
                        <wp:docPr id="3" name="图片 2" descr="废气向大气环境排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废气向大气环境排放"/>
                                <pic:cNvPicPr>
                                  <a:picLocks noChangeAspect="1"/>
                                </pic:cNvPicPr>
                              </pic:nvPicPr>
                              <pic:blipFill>
                                <a:blip r:embed="rId41"/>
                                <a:stretch>
                                  <a:fillRect/>
                                </a:stretch>
                              </pic:blipFill>
                              <pic:spPr>
                                <a:xfrm>
                                  <a:off x="0" y="0"/>
                                  <a:ext cx="981710" cy="875030"/>
                                </a:xfrm>
                                <a:prstGeom prst="rect">
                                  <a:avLst/>
                                </a:prstGeom>
                                <a:noFill/>
                                <a:ln>
                                  <a:noFill/>
                                </a:ln>
                              </pic:spPr>
                            </pic:pic>
                          </a:graphicData>
                        </a:graphic>
                      </wp:inline>
                    </w:drawing>
                  </w:r>
                </w:p>
              </w:tc>
              <w:tc>
                <w:tcPr>
                  <w:tcW w:w="1786" w:type="dxa"/>
                  <w:tcBorders>
                    <w:tl2br w:val="nil"/>
                    <w:tr2bl w:val="nil"/>
                  </w:tcBorders>
                  <w:vAlign w:val="center"/>
                </w:tcPr>
                <w:p>
                  <w:pPr>
                    <w:keepNext w:val="0"/>
                    <w:keepLines w:val="0"/>
                    <w:pageBreakBefore w:val="0"/>
                    <w:kinsoku/>
                    <w:wordWrap/>
                    <w:overflowPunct/>
                    <w:topLinePunct w:val="0"/>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表示废气向大气环境排放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34" w:hRule="atLeast"/>
              </w:trPr>
              <w:tc>
                <w:tcPr>
                  <w:tcW w:w="1430" w:type="dxa"/>
                  <w:tcBorders>
                    <w:tl2br w:val="nil"/>
                    <w:tr2bl w:val="nil"/>
                  </w:tcBorders>
                  <w:vAlign w:val="center"/>
                </w:tcPr>
                <w:p>
                  <w:pPr>
                    <w:keepNext w:val="0"/>
                    <w:keepLines w:val="0"/>
                    <w:pageBreakBefore w:val="0"/>
                    <w:kinsoku/>
                    <w:wordWrap/>
                    <w:overflowPunct/>
                    <w:topLinePunct w:val="0"/>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废水排放口</w:t>
                  </w:r>
                </w:p>
              </w:tc>
              <w:tc>
                <w:tcPr>
                  <w:tcW w:w="1961" w:type="dxa"/>
                  <w:tcBorders>
                    <w:tl2br w:val="nil"/>
                    <w:tr2bl w:val="nil"/>
                  </w:tcBorders>
                  <w:vAlign w:val="center"/>
                </w:tcPr>
                <w:p>
                  <w:pPr>
                    <w:keepNext w:val="0"/>
                    <w:keepLines w:val="0"/>
                    <w:pageBreakBefore w:val="0"/>
                    <w:kinsoku/>
                    <w:wordWrap/>
                    <w:overflowPunct/>
                    <w:topLinePunct w:val="0"/>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1123315" cy="791845"/>
                        <wp:effectExtent l="0" t="0" r="6985" b="825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2"/>
                                <a:stretch>
                                  <a:fillRect/>
                                </a:stretch>
                              </pic:blipFill>
                              <pic:spPr>
                                <a:xfrm>
                                  <a:off x="0" y="0"/>
                                  <a:ext cx="1123315" cy="791845"/>
                                </a:xfrm>
                                <a:prstGeom prst="rect">
                                  <a:avLst/>
                                </a:prstGeom>
                                <a:noFill/>
                                <a:ln>
                                  <a:noFill/>
                                </a:ln>
                              </pic:spPr>
                            </pic:pic>
                          </a:graphicData>
                        </a:graphic>
                      </wp:inline>
                    </w:drawing>
                  </w:r>
                </w:p>
              </w:tc>
              <w:tc>
                <w:tcPr>
                  <w:tcW w:w="1961" w:type="dxa"/>
                  <w:tcBorders>
                    <w:tl2br w:val="nil"/>
                    <w:tr2bl w:val="nil"/>
                  </w:tcBorders>
                  <w:vAlign w:val="center"/>
                </w:tcPr>
                <w:p>
                  <w:pPr>
                    <w:keepNext w:val="0"/>
                    <w:keepLines w:val="0"/>
                    <w:pageBreakBefore w:val="0"/>
                    <w:kinsoku/>
                    <w:wordWrap/>
                    <w:overflowPunct/>
                    <w:topLinePunct w:val="0"/>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86" w:type="dxa"/>
                  <w:tcBorders>
                    <w:tl2br w:val="nil"/>
                    <w:tr2bl w:val="nil"/>
                  </w:tcBorders>
                  <w:vAlign w:val="center"/>
                </w:tcPr>
                <w:p>
                  <w:pPr>
                    <w:keepNext w:val="0"/>
                    <w:keepLines w:val="0"/>
                    <w:pageBreakBefore w:val="0"/>
                    <w:kinsoku/>
                    <w:wordWrap/>
                    <w:overflowPunct/>
                    <w:topLinePunct w:val="0"/>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表示废水向水环境排放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34" w:hRule="atLeast"/>
              </w:trPr>
              <w:tc>
                <w:tcPr>
                  <w:tcW w:w="1430" w:type="dxa"/>
                  <w:tcBorders>
                    <w:tl2br w:val="nil"/>
                    <w:tr2bl w:val="nil"/>
                  </w:tcBorders>
                  <w:vAlign w:val="center"/>
                </w:tcPr>
                <w:p>
                  <w:pPr>
                    <w:keepNext w:val="0"/>
                    <w:keepLines w:val="0"/>
                    <w:pageBreakBefore w:val="0"/>
                    <w:kinsoku/>
                    <w:wordWrap/>
                    <w:overflowPunct/>
                    <w:topLinePunct w:val="0"/>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一般固废暂存间</w:t>
                  </w:r>
                </w:p>
              </w:tc>
              <w:tc>
                <w:tcPr>
                  <w:tcW w:w="1961" w:type="dxa"/>
                  <w:tcBorders>
                    <w:tl2br w:val="nil"/>
                    <w:tr2bl w:val="nil"/>
                  </w:tcBorders>
                  <w:vAlign w:val="center"/>
                </w:tcPr>
                <w:p>
                  <w:pPr>
                    <w:keepNext w:val="0"/>
                    <w:keepLines w:val="0"/>
                    <w:pageBreakBefore w:val="0"/>
                    <w:kinsoku/>
                    <w:wordWrap/>
                    <w:overflowPunct/>
                    <w:topLinePunct w:val="0"/>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1124585" cy="828040"/>
                        <wp:effectExtent l="0" t="0" r="5715" b="10160"/>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43"/>
                                <a:stretch>
                                  <a:fillRect/>
                                </a:stretch>
                              </pic:blipFill>
                              <pic:spPr>
                                <a:xfrm>
                                  <a:off x="0" y="0"/>
                                  <a:ext cx="1124585" cy="828040"/>
                                </a:xfrm>
                                <a:prstGeom prst="rect">
                                  <a:avLst/>
                                </a:prstGeom>
                                <a:noFill/>
                                <a:ln>
                                  <a:noFill/>
                                </a:ln>
                              </pic:spPr>
                            </pic:pic>
                          </a:graphicData>
                        </a:graphic>
                      </wp:inline>
                    </w:drawing>
                  </w:r>
                </w:p>
              </w:tc>
              <w:tc>
                <w:tcPr>
                  <w:tcW w:w="1961" w:type="dxa"/>
                  <w:tcBorders>
                    <w:tl2br w:val="nil"/>
                    <w:tr2bl w:val="nil"/>
                  </w:tcBorders>
                  <w:vAlign w:val="center"/>
                </w:tcPr>
                <w:p>
                  <w:pPr>
                    <w:keepNext w:val="0"/>
                    <w:keepLines w:val="0"/>
                    <w:pageBreakBefore w:val="0"/>
                    <w:kinsoku/>
                    <w:wordWrap/>
                    <w:overflowPunct/>
                    <w:topLinePunct w:val="0"/>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1006475" cy="875030"/>
                        <wp:effectExtent l="0" t="0" r="9525" b="127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44"/>
                                <a:stretch>
                                  <a:fillRect/>
                                </a:stretch>
                              </pic:blipFill>
                              <pic:spPr>
                                <a:xfrm>
                                  <a:off x="0" y="0"/>
                                  <a:ext cx="1006475" cy="875030"/>
                                </a:xfrm>
                                <a:prstGeom prst="rect">
                                  <a:avLst/>
                                </a:prstGeom>
                                <a:noFill/>
                                <a:ln>
                                  <a:noFill/>
                                </a:ln>
                              </pic:spPr>
                            </pic:pic>
                          </a:graphicData>
                        </a:graphic>
                      </wp:inline>
                    </w:drawing>
                  </w:r>
                </w:p>
              </w:tc>
              <w:tc>
                <w:tcPr>
                  <w:tcW w:w="1786" w:type="dxa"/>
                  <w:tcBorders>
                    <w:tl2br w:val="nil"/>
                    <w:tr2bl w:val="nil"/>
                  </w:tcBorders>
                  <w:vAlign w:val="center"/>
                </w:tcPr>
                <w:p>
                  <w:pPr>
                    <w:keepNext w:val="0"/>
                    <w:keepLines w:val="0"/>
                    <w:pageBreakBefore w:val="0"/>
                    <w:kinsoku/>
                    <w:wordWrap/>
                    <w:overflowPunct/>
                    <w:topLinePunct w:val="0"/>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表示一般固体废物贮存、处置场</w:t>
                  </w:r>
                </w:p>
              </w:tc>
            </w:tr>
          </w:tbl>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7、日常监测计划</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建立自行监测制度和监测计划，根据监测计划定期开展自行监测，确保污染物稳定达标排放。自行监测计划应包含：监测内容、监监测因子、监测频次等内容，见表5-2。</w:t>
            </w:r>
          </w:p>
          <w:p>
            <w:pPr>
              <w:pStyle w:val="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表5-2  项目</w:t>
            </w:r>
            <w:r>
              <w:rPr>
                <w:rFonts w:hint="eastAsia" w:cs="Times New Roman"/>
                <w:b/>
                <w:bCs/>
                <w:color w:val="auto"/>
                <w:szCs w:val="21"/>
                <w:lang w:val="en-US" w:eastAsia="zh-CN"/>
              </w:rPr>
              <w:t>全厂</w:t>
            </w:r>
            <w:r>
              <w:rPr>
                <w:rFonts w:hint="default" w:ascii="Times New Roman" w:hAnsi="Times New Roman" w:eastAsia="宋体" w:cs="Times New Roman"/>
                <w:b/>
                <w:bCs/>
                <w:color w:val="auto"/>
                <w:szCs w:val="21"/>
              </w:rPr>
              <w:t>日常监测计划汇总表</w:t>
            </w:r>
          </w:p>
          <w:tbl>
            <w:tblPr>
              <w:tblStyle w:val="3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83"/>
              <w:gridCol w:w="820"/>
              <w:gridCol w:w="639"/>
              <w:gridCol w:w="1329"/>
              <w:gridCol w:w="901"/>
              <w:gridCol w:w="920"/>
              <w:gridCol w:w="23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23" w:type="pct"/>
                  <w:gridSpan w:val="2"/>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污染源名称</w:t>
                  </w:r>
                </w:p>
              </w:tc>
              <w:tc>
                <w:tcPr>
                  <w:tcW w:w="437"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监测项目</w:t>
                  </w:r>
                </w:p>
              </w:tc>
              <w:tc>
                <w:tcPr>
                  <w:tcW w:w="909"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监测点位置</w:t>
                  </w:r>
                </w:p>
              </w:tc>
              <w:tc>
                <w:tcPr>
                  <w:tcW w:w="616"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w:t>
                  </w:r>
                </w:p>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点数</w:t>
                  </w:r>
                </w:p>
              </w:tc>
              <w:tc>
                <w:tcPr>
                  <w:tcW w:w="629"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w:t>
                  </w:r>
                </w:p>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频率</w:t>
                  </w:r>
                </w:p>
              </w:tc>
              <w:tc>
                <w:tcPr>
                  <w:tcW w:w="1582"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控制指标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2" w:type="pct"/>
                  <w:vMerge w:val="restar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561" w:type="pct"/>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DA001</w:t>
                  </w:r>
                </w:p>
              </w:tc>
              <w:tc>
                <w:tcPr>
                  <w:tcW w:w="437" w:type="pct"/>
                  <w:vMerge w:val="restart"/>
                  <w:tcBorders>
                    <w:tl2br w:val="nil"/>
                    <w:tr2bl w:val="nil"/>
                  </w:tcBorders>
                  <w:noWrap w:val="0"/>
                  <w:vAlign w:val="center"/>
                </w:tcPr>
                <w:p>
                  <w:pPr>
                    <w:pStyle w:val="97"/>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非甲烷总烃</w:t>
                  </w:r>
                </w:p>
              </w:tc>
              <w:tc>
                <w:tcPr>
                  <w:tcW w:w="909"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排气筒出口</w:t>
                  </w:r>
                </w:p>
              </w:tc>
              <w:tc>
                <w:tcPr>
                  <w:tcW w:w="616"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29"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1次/年</w:t>
                  </w:r>
                </w:p>
              </w:tc>
              <w:tc>
                <w:tcPr>
                  <w:tcW w:w="1582" w:type="pct"/>
                  <w:vMerge w:val="restar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 xml:space="preserve">《大气污染物综合排放标准》 (GB16297-1996)表2中二级标准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561"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厂界</w:t>
                  </w:r>
                </w:p>
              </w:tc>
              <w:tc>
                <w:tcPr>
                  <w:tcW w:w="43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909"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上风向一个、下风向三个</w:t>
                  </w:r>
                </w:p>
              </w:tc>
              <w:tc>
                <w:tcPr>
                  <w:tcW w:w="616"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w:t>
                  </w:r>
                </w:p>
              </w:tc>
              <w:tc>
                <w:tcPr>
                  <w:tcW w:w="629"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1次/年</w:t>
                  </w:r>
                </w:p>
              </w:tc>
              <w:tc>
                <w:tcPr>
                  <w:tcW w:w="1582"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561"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车间外</w:t>
                  </w:r>
                </w:p>
              </w:tc>
              <w:tc>
                <w:tcPr>
                  <w:tcW w:w="43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909"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车间门窗处</w:t>
                  </w:r>
                </w:p>
              </w:tc>
              <w:tc>
                <w:tcPr>
                  <w:tcW w:w="616"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629"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1次/年</w:t>
                  </w:r>
                </w:p>
              </w:tc>
              <w:tc>
                <w:tcPr>
                  <w:tcW w:w="15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《挥发性有机物无组织排放控制标准》（GB37822-2019）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23" w:type="pct"/>
                  <w:gridSpan w:val="2"/>
                  <w:tcBorders>
                    <w:tl2br w:val="nil"/>
                    <w:tr2bl w:val="nil"/>
                  </w:tcBorders>
                  <w:noWrap w:val="0"/>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Cs/>
                      <w:color w:val="auto"/>
                      <w:kern w:val="21"/>
                      <w:sz w:val="21"/>
                      <w:szCs w:val="21"/>
                      <w:lang w:val="en-US" w:eastAsia="zh-CN" w:bidi="ar-SA"/>
                    </w:rPr>
                  </w:pPr>
                  <w:r>
                    <w:rPr>
                      <w:rFonts w:hint="default" w:ascii="Times New Roman" w:hAnsi="Times New Roman" w:eastAsia="宋体" w:cs="Times New Roman"/>
                      <w:color w:val="auto"/>
                      <w:sz w:val="21"/>
                      <w:szCs w:val="21"/>
                    </w:rPr>
                    <w:t>噪声</w:t>
                  </w:r>
                </w:p>
              </w:tc>
              <w:tc>
                <w:tcPr>
                  <w:tcW w:w="437" w:type="pct"/>
                  <w:tcBorders>
                    <w:tl2br w:val="nil"/>
                    <w:tr2bl w:val="nil"/>
                  </w:tcBorders>
                  <w:noWrap w:val="0"/>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Cs/>
                      <w:color w:val="auto"/>
                      <w:kern w:val="21"/>
                      <w:sz w:val="21"/>
                      <w:szCs w:val="21"/>
                      <w:lang w:val="en-US" w:eastAsia="zh-CN" w:bidi="ar-SA"/>
                    </w:rPr>
                  </w:pPr>
                  <w:r>
                    <w:rPr>
                      <w:rFonts w:hint="default" w:ascii="Times New Roman" w:hAnsi="Times New Roman" w:eastAsia="宋体" w:cs="Times New Roman"/>
                      <w:color w:val="auto"/>
                      <w:sz w:val="21"/>
                      <w:szCs w:val="21"/>
                    </w:rPr>
                    <w:t>等效声级L</w:t>
                  </w:r>
                  <w:r>
                    <w:rPr>
                      <w:rFonts w:hint="default" w:ascii="Times New Roman" w:hAnsi="Times New Roman" w:eastAsia="宋体" w:cs="Times New Roman"/>
                      <w:color w:val="auto"/>
                      <w:sz w:val="21"/>
                      <w:szCs w:val="21"/>
                      <w:vertAlign w:val="subscript"/>
                    </w:rPr>
                    <w:t>Aeq</w:t>
                  </w:r>
                </w:p>
              </w:tc>
              <w:tc>
                <w:tcPr>
                  <w:tcW w:w="909" w:type="pct"/>
                  <w:tcBorders>
                    <w:tl2br w:val="nil"/>
                    <w:tr2bl w:val="nil"/>
                  </w:tcBorders>
                  <w:noWrap w:val="0"/>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Cs/>
                      <w:color w:val="auto"/>
                      <w:kern w:val="21"/>
                      <w:sz w:val="21"/>
                      <w:szCs w:val="21"/>
                      <w:lang w:val="en-US" w:eastAsia="zh-CN" w:bidi="ar-SA"/>
                    </w:rPr>
                  </w:pPr>
                  <w:r>
                    <w:rPr>
                      <w:rFonts w:hint="default" w:ascii="Times New Roman" w:hAnsi="Times New Roman" w:eastAsia="宋体" w:cs="Times New Roman"/>
                      <w:color w:val="auto"/>
                      <w:sz w:val="21"/>
                      <w:szCs w:val="21"/>
                    </w:rPr>
                    <w:t>厂界四周外1m</w:t>
                  </w:r>
                </w:p>
              </w:tc>
              <w:tc>
                <w:tcPr>
                  <w:tcW w:w="616" w:type="pct"/>
                  <w:tcBorders>
                    <w:tl2br w:val="nil"/>
                    <w:tr2bl w:val="nil"/>
                  </w:tcBorders>
                  <w:noWrap w:val="0"/>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Cs/>
                      <w:color w:val="auto"/>
                      <w:kern w:val="21"/>
                      <w:sz w:val="21"/>
                      <w:szCs w:val="21"/>
                      <w:lang w:val="en-US" w:eastAsia="zh-CN" w:bidi="ar-SA"/>
                    </w:rPr>
                  </w:pPr>
                  <w:r>
                    <w:rPr>
                      <w:rFonts w:hint="eastAsia" w:eastAsia="宋体" w:cs="Times New Roman"/>
                      <w:bCs/>
                      <w:color w:val="auto"/>
                      <w:kern w:val="21"/>
                      <w:sz w:val="21"/>
                      <w:szCs w:val="21"/>
                      <w:lang w:val="en-US" w:eastAsia="zh-CN" w:bidi="ar-SA"/>
                    </w:rPr>
                    <w:t>4</w:t>
                  </w:r>
                </w:p>
              </w:tc>
              <w:tc>
                <w:tcPr>
                  <w:tcW w:w="629" w:type="pct"/>
                  <w:tcBorders>
                    <w:tl2br w:val="nil"/>
                    <w:tr2bl w:val="nil"/>
                  </w:tcBorders>
                  <w:noWrap w:val="0"/>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1次/季度</w:t>
                  </w:r>
                </w:p>
              </w:tc>
              <w:tc>
                <w:tcPr>
                  <w:tcW w:w="1582" w:type="pct"/>
                  <w:tcBorders>
                    <w:tl2br w:val="nil"/>
                    <w:tr2bl w:val="nil"/>
                  </w:tcBorders>
                  <w:noWrap w:val="0"/>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《工业企业厂界环境噪声排放标准》（GB12348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-2008）</w:t>
                  </w:r>
                  <w:r>
                    <w:rPr>
                      <w:rFonts w:hint="eastAsia" w:eastAsia="宋体" w:cs="Times New Roman"/>
                      <w:color w:val="auto"/>
                      <w:sz w:val="21"/>
                      <w:szCs w:val="21"/>
                      <w:lang w:val="en-US" w:eastAsia="zh-CN"/>
                    </w:rPr>
                    <w:t>3</w:t>
                  </w:r>
                  <w:r>
                    <w:rPr>
                      <w:rFonts w:hint="default" w:ascii="Times New Roman" w:hAnsi="Times New Roman" w:eastAsia="宋体" w:cs="Times New Roman"/>
                      <w:color w:val="auto"/>
                      <w:sz w:val="21"/>
                      <w:szCs w:val="21"/>
                    </w:rPr>
                    <w:t>类标准</w:t>
                  </w:r>
                </w:p>
              </w:tc>
            </w:tr>
          </w:tbl>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7、建设项目竣工验收制度</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（1）对建设项目配套建设的环境保护设施进行调试，调试前公开生产调试日期；</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（2）根据《建设项目竣工环境保护验收暂行办法》（国环规环评[2017]4号）中的相关规定，建设单位应进行自行验收，验收合格后，方可投入生产或者使用。</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8、建设项目信息公开制度</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企业事业单位环境信息公开办法》（环保部令第31号）的规定，并结合当地生态环境部门要求，应及时、如实地公开其环境信息，应当在单位内部建立环境信息公开制度，制定专门机构负责环境信息公开的日常工作。</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9、竣工验收程序</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Autospacing="0" w:afterAutospacing="0" w:line="360" w:lineRule="auto"/>
              <w:ind w:leftChars="0"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rPr>
              <w:t>环评编制-----取得环评批复文件（或者完成登记表备案）-----申请排污许可证-----编制突发环境事件应急预案-----试运行-----开展竣工验收-----完成自主验收-----正式投产运行。</w:t>
            </w:r>
          </w:p>
        </w:tc>
      </w:tr>
    </w:tbl>
    <w:p>
      <w:pPr>
        <w:pStyle w:val="30"/>
        <w:keepNext w:val="0"/>
        <w:keepLines w:val="0"/>
        <w:pageBreakBefore w:val="0"/>
        <w:widowControl/>
        <w:kinsoku/>
        <w:wordWrap/>
        <w:overflowPunct/>
        <w:topLinePunct w:val="0"/>
        <w:autoSpaceDE/>
        <w:autoSpaceDN/>
        <w:bidi w:val="0"/>
        <w:spacing w:before="0" w:beforeAutospacing="0" w:after="0" w:afterAutospacing="0" w:line="360" w:lineRule="auto"/>
        <w:jc w:val="center"/>
        <w:textAlignment w:val="auto"/>
        <w:outlineLvl w:val="0"/>
        <w:rPr>
          <w:rFonts w:hint="default" w:ascii="Times New Roman" w:hAnsi="Times New Roman" w:eastAsia="宋体" w:cs="Times New Roman"/>
          <w:b/>
          <w:bCs/>
          <w:snapToGrid w:val="0"/>
          <w:color w:val="auto"/>
          <w:sz w:val="30"/>
          <w:szCs w:val="30"/>
        </w:rPr>
      </w:pPr>
      <w:r>
        <w:rPr>
          <w:rFonts w:hint="default" w:ascii="Times New Roman" w:hAnsi="Times New Roman" w:eastAsia="宋体" w:cs="Times New Roman"/>
          <w:snapToGrid w:val="0"/>
          <w:color w:val="auto"/>
        </w:rPr>
        <w:br w:type="page"/>
      </w:r>
      <w:r>
        <w:rPr>
          <w:rFonts w:hint="default" w:ascii="Times New Roman" w:hAnsi="Times New Roman" w:eastAsia="宋体" w:cs="Times New Roman"/>
          <w:b/>
          <w:bCs/>
          <w:snapToGrid w:val="0"/>
          <w:color w:val="auto"/>
          <w:sz w:val="30"/>
          <w:szCs w:val="30"/>
        </w:rPr>
        <w:t>六、结论</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lang w:val="en-US" w:eastAsia="zh-CN"/>
              </w:rPr>
              <w:t>本项目符合国家和当地产业政策，选址合理，项目在切实执行“三同时”制度，认真落实本报告提出的各项环保措施和风险防范措施的前提下，污染物能做到达标排放，固废均能妥善处置，环境风险可接受，不会对周围环境质量产生明显不良影响，从环境保护角度分析，项目环境影响可行。</w:t>
            </w:r>
          </w:p>
        </w:tc>
      </w:tr>
    </w:tbl>
    <w:p>
      <w:pPr>
        <w:rPr>
          <w:rFonts w:hint="default" w:ascii="Times New Roman" w:hAnsi="Times New Roman" w:eastAsia="宋体" w:cs="Times New Roman"/>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textAlignment w:val="auto"/>
        <w:outlineLvl w:val="9"/>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sz w:val="30"/>
          <w:szCs w:val="30"/>
        </w:rPr>
        <w:t>附表</w:t>
      </w:r>
    </w:p>
    <w:p>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9"/>
        <w:rPr>
          <w:rFonts w:hint="default" w:ascii="Times New Roman" w:hAnsi="Times New Roman" w:eastAsia="宋体" w:cs="Times New Roman"/>
          <w:b/>
          <w:bCs/>
          <w:snapToGrid w:val="0"/>
          <w:color w:val="auto"/>
          <w:sz w:val="30"/>
          <w:szCs w:val="30"/>
        </w:rPr>
      </w:pPr>
      <w:r>
        <w:rPr>
          <w:rFonts w:hint="default" w:ascii="Times New Roman" w:hAnsi="Times New Roman" w:eastAsia="宋体" w:cs="Times New Roman"/>
          <w:b/>
          <w:bCs/>
          <w:snapToGrid w:val="0"/>
          <w:color w:val="auto"/>
          <w:sz w:val="30"/>
          <w:szCs w:val="30"/>
        </w:rPr>
        <w:t>建设项目污染物排放量汇总表</w:t>
      </w:r>
    </w:p>
    <w:tbl>
      <w:tblPr>
        <w:tblStyle w:val="34"/>
        <w:tblW w:w="1389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2422"/>
        <w:gridCol w:w="1705"/>
        <w:gridCol w:w="1191"/>
        <w:gridCol w:w="1759"/>
        <w:gridCol w:w="1498"/>
        <w:gridCol w:w="1157"/>
        <w:gridCol w:w="1419"/>
        <w:gridCol w:w="15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1207" w:type="dxa"/>
            <w:tcBorders>
              <w:tl2br w:val="nil"/>
              <w:tr2bl w:val="nil"/>
            </w:tcBorders>
            <w:noWrap w:val="0"/>
            <w:tcMar>
              <w:left w:w="28" w:type="dxa"/>
              <w:right w:w="28" w:type="dxa"/>
            </w:tcMar>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jc w:val="center"/>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项目</w:t>
            </w:r>
          </w:p>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jc w:val="center"/>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分类</w:t>
            </w:r>
          </w:p>
        </w:tc>
        <w:tc>
          <w:tcPr>
            <w:tcW w:w="2422" w:type="dxa"/>
            <w:tcBorders>
              <w:tl2br w:val="nil"/>
              <w:tr2bl w:val="nil"/>
            </w:tcBorders>
            <w:noWrap w:val="0"/>
            <w:tcMar>
              <w:left w:w="28" w:type="dxa"/>
              <w:right w:w="28" w:type="dxa"/>
            </w:tcMar>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jc w:val="center"/>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污染物名称</w:t>
            </w:r>
          </w:p>
        </w:tc>
        <w:tc>
          <w:tcPr>
            <w:tcW w:w="1705" w:type="dxa"/>
            <w:tcBorders>
              <w:tl2br w:val="nil"/>
              <w:tr2bl w:val="nil"/>
            </w:tcBorders>
            <w:noWrap w:val="0"/>
            <w:tcMar>
              <w:left w:w="28" w:type="dxa"/>
              <w:right w:w="28" w:type="dxa"/>
            </w:tcMar>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jc w:val="center"/>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现有工程排放量（固体废物产生量）</w:t>
            </w:r>
            <w:r>
              <w:rPr>
                <w:rFonts w:hint="default" w:ascii="Times New Roman" w:hAnsi="Times New Roman" w:eastAsia="宋体" w:cs="Times New Roman"/>
                <w:b/>
                <w:bCs/>
                <w:snapToGrid w:val="0"/>
                <w:color w:val="auto"/>
                <w:spacing w:val="-6"/>
                <w:kern w:val="21"/>
                <w:sz w:val="21"/>
                <w:szCs w:val="21"/>
              </w:rPr>
              <w:fldChar w:fldCharType="begin"/>
            </w:r>
            <w:r>
              <w:rPr>
                <w:rFonts w:hint="default" w:ascii="Times New Roman" w:hAnsi="Times New Roman" w:eastAsia="宋体" w:cs="Times New Roman"/>
                <w:b/>
                <w:bCs/>
                <w:snapToGrid w:val="0"/>
                <w:color w:val="auto"/>
                <w:spacing w:val="-6"/>
                <w:kern w:val="21"/>
                <w:sz w:val="21"/>
                <w:szCs w:val="21"/>
              </w:rPr>
              <w:instrText xml:space="preserve"> = 1 \* GB3 \* MERGEFORMAT </w:instrText>
            </w:r>
            <w:r>
              <w:rPr>
                <w:rFonts w:hint="default" w:ascii="Times New Roman" w:hAnsi="Times New Roman" w:eastAsia="宋体" w:cs="Times New Roman"/>
                <w:b/>
                <w:bCs/>
                <w:snapToGrid w:val="0"/>
                <w:color w:val="auto"/>
                <w:spacing w:val="-6"/>
                <w:kern w:val="21"/>
                <w:sz w:val="21"/>
                <w:szCs w:val="21"/>
              </w:rPr>
              <w:fldChar w:fldCharType="separate"/>
            </w:r>
            <w:r>
              <w:rPr>
                <w:rFonts w:hint="default" w:ascii="Times New Roman" w:hAnsi="Times New Roman" w:eastAsia="宋体" w:cs="Times New Roman"/>
                <w:b/>
                <w:bCs/>
                <w:color w:val="auto"/>
                <w:kern w:val="2"/>
                <w:sz w:val="21"/>
                <w:szCs w:val="21"/>
              </w:rPr>
              <w:t>①</w:t>
            </w:r>
            <w:r>
              <w:rPr>
                <w:rFonts w:hint="default" w:ascii="Times New Roman" w:hAnsi="Times New Roman" w:eastAsia="宋体" w:cs="Times New Roman"/>
                <w:b/>
                <w:bCs/>
                <w:snapToGrid w:val="0"/>
                <w:color w:val="auto"/>
                <w:spacing w:val="-6"/>
                <w:kern w:val="21"/>
                <w:sz w:val="21"/>
                <w:szCs w:val="21"/>
              </w:rPr>
              <w:fldChar w:fldCharType="end"/>
            </w:r>
          </w:p>
        </w:tc>
        <w:tc>
          <w:tcPr>
            <w:tcW w:w="1191" w:type="dxa"/>
            <w:tcBorders>
              <w:tl2br w:val="nil"/>
              <w:tr2bl w:val="nil"/>
            </w:tcBorders>
            <w:noWrap w:val="0"/>
            <w:tcMar>
              <w:left w:w="28" w:type="dxa"/>
              <w:right w:w="28" w:type="dxa"/>
            </w:tcMar>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jc w:val="center"/>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现有工程许可排放量</w:t>
            </w:r>
            <w:r>
              <w:rPr>
                <w:rFonts w:hint="default" w:ascii="Times New Roman" w:hAnsi="Times New Roman" w:eastAsia="宋体" w:cs="Times New Roman"/>
                <w:b/>
                <w:bCs/>
                <w:snapToGrid w:val="0"/>
                <w:color w:val="auto"/>
                <w:spacing w:val="-6"/>
                <w:kern w:val="21"/>
                <w:sz w:val="21"/>
                <w:szCs w:val="21"/>
              </w:rPr>
              <w:fldChar w:fldCharType="begin"/>
            </w:r>
            <w:r>
              <w:rPr>
                <w:rFonts w:hint="default" w:ascii="Times New Roman" w:hAnsi="Times New Roman" w:eastAsia="宋体" w:cs="Times New Roman"/>
                <w:b/>
                <w:bCs/>
                <w:snapToGrid w:val="0"/>
                <w:color w:val="auto"/>
                <w:spacing w:val="-6"/>
                <w:kern w:val="21"/>
                <w:sz w:val="21"/>
                <w:szCs w:val="21"/>
              </w:rPr>
              <w:instrText xml:space="preserve"> = 2 \* GB3 \* MERGEFORMAT </w:instrText>
            </w:r>
            <w:r>
              <w:rPr>
                <w:rFonts w:hint="default" w:ascii="Times New Roman" w:hAnsi="Times New Roman" w:eastAsia="宋体" w:cs="Times New Roman"/>
                <w:b/>
                <w:bCs/>
                <w:snapToGrid w:val="0"/>
                <w:color w:val="auto"/>
                <w:spacing w:val="-6"/>
                <w:kern w:val="21"/>
                <w:sz w:val="21"/>
                <w:szCs w:val="21"/>
              </w:rPr>
              <w:fldChar w:fldCharType="separate"/>
            </w:r>
            <w:r>
              <w:rPr>
                <w:rFonts w:hint="default" w:ascii="Times New Roman" w:hAnsi="Times New Roman" w:eastAsia="宋体" w:cs="Times New Roman"/>
                <w:b/>
                <w:bCs/>
                <w:snapToGrid w:val="0"/>
                <w:color w:val="auto"/>
                <w:spacing w:val="-6"/>
                <w:kern w:val="21"/>
                <w:sz w:val="21"/>
                <w:szCs w:val="21"/>
              </w:rPr>
              <w:t>②</w:t>
            </w:r>
            <w:r>
              <w:rPr>
                <w:rFonts w:hint="default" w:ascii="Times New Roman" w:hAnsi="Times New Roman" w:eastAsia="宋体" w:cs="Times New Roman"/>
                <w:b/>
                <w:bCs/>
                <w:snapToGrid w:val="0"/>
                <w:color w:val="auto"/>
                <w:spacing w:val="-6"/>
                <w:kern w:val="21"/>
                <w:sz w:val="21"/>
                <w:szCs w:val="21"/>
              </w:rPr>
              <w:fldChar w:fldCharType="end"/>
            </w:r>
          </w:p>
        </w:tc>
        <w:tc>
          <w:tcPr>
            <w:tcW w:w="1759" w:type="dxa"/>
            <w:tcBorders>
              <w:tl2br w:val="nil"/>
              <w:tr2bl w:val="nil"/>
            </w:tcBorders>
            <w:noWrap w:val="0"/>
            <w:tcMar>
              <w:left w:w="28" w:type="dxa"/>
              <w:right w:w="28" w:type="dxa"/>
            </w:tcMar>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jc w:val="center"/>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在建工程排放量（固体废物产生量）</w:t>
            </w:r>
            <w:r>
              <w:rPr>
                <w:rFonts w:hint="default" w:ascii="Times New Roman" w:hAnsi="Times New Roman" w:eastAsia="宋体" w:cs="Times New Roman"/>
                <w:b/>
                <w:bCs/>
                <w:snapToGrid w:val="0"/>
                <w:color w:val="auto"/>
                <w:spacing w:val="-6"/>
                <w:kern w:val="21"/>
                <w:sz w:val="21"/>
                <w:szCs w:val="21"/>
              </w:rPr>
              <w:fldChar w:fldCharType="begin"/>
            </w:r>
            <w:r>
              <w:rPr>
                <w:rFonts w:hint="default" w:ascii="Times New Roman" w:hAnsi="Times New Roman" w:eastAsia="宋体" w:cs="Times New Roman"/>
                <w:b/>
                <w:bCs/>
                <w:snapToGrid w:val="0"/>
                <w:color w:val="auto"/>
                <w:spacing w:val="-6"/>
                <w:kern w:val="21"/>
                <w:sz w:val="21"/>
                <w:szCs w:val="21"/>
              </w:rPr>
              <w:instrText xml:space="preserve"> = 3 \* GB3 \* MERGEFORMAT </w:instrText>
            </w:r>
            <w:r>
              <w:rPr>
                <w:rFonts w:hint="default" w:ascii="Times New Roman" w:hAnsi="Times New Roman" w:eastAsia="宋体" w:cs="Times New Roman"/>
                <w:b/>
                <w:bCs/>
                <w:snapToGrid w:val="0"/>
                <w:color w:val="auto"/>
                <w:spacing w:val="-6"/>
                <w:kern w:val="21"/>
                <w:sz w:val="21"/>
                <w:szCs w:val="21"/>
              </w:rPr>
              <w:fldChar w:fldCharType="separate"/>
            </w:r>
            <w:r>
              <w:rPr>
                <w:rFonts w:hint="default" w:ascii="Times New Roman" w:hAnsi="Times New Roman" w:eastAsia="宋体" w:cs="Times New Roman"/>
                <w:b/>
                <w:bCs/>
                <w:color w:val="auto"/>
                <w:kern w:val="2"/>
                <w:sz w:val="21"/>
                <w:szCs w:val="21"/>
              </w:rPr>
              <w:t>③</w:t>
            </w:r>
            <w:r>
              <w:rPr>
                <w:rFonts w:hint="default" w:ascii="Times New Roman" w:hAnsi="Times New Roman" w:eastAsia="宋体" w:cs="Times New Roman"/>
                <w:b/>
                <w:bCs/>
                <w:snapToGrid w:val="0"/>
                <w:color w:val="auto"/>
                <w:spacing w:val="-6"/>
                <w:kern w:val="21"/>
                <w:sz w:val="21"/>
                <w:szCs w:val="21"/>
              </w:rPr>
              <w:fldChar w:fldCharType="end"/>
            </w:r>
          </w:p>
        </w:tc>
        <w:tc>
          <w:tcPr>
            <w:tcW w:w="1498" w:type="dxa"/>
            <w:tcBorders>
              <w:tl2br w:val="nil"/>
              <w:tr2bl w:val="nil"/>
            </w:tcBorders>
            <w:noWrap w:val="0"/>
            <w:tcMar>
              <w:left w:w="28" w:type="dxa"/>
              <w:right w:w="28" w:type="dxa"/>
            </w:tcMar>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jc w:val="center"/>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本项目排放量（固体废物产生量）</w:t>
            </w:r>
            <w:r>
              <w:rPr>
                <w:rFonts w:hint="default" w:ascii="Times New Roman" w:hAnsi="Times New Roman" w:eastAsia="宋体" w:cs="Times New Roman"/>
                <w:b/>
                <w:bCs/>
                <w:snapToGrid w:val="0"/>
                <w:color w:val="auto"/>
                <w:spacing w:val="-6"/>
                <w:kern w:val="21"/>
                <w:sz w:val="21"/>
                <w:szCs w:val="21"/>
              </w:rPr>
              <w:fldChar w:fldCharType="begin"/>
            </w:r>
            <w:r>
              <w:rPr>
                <w:rFonts w:hint="default" w:ascii="Times New Roman" w:hAnsi="Times New Roman" w:eastAsia="宋体" w:cs="Times New Roman"/>
                <w:b/>
                <w:bCs/>
                <w:snapToGrid w:val="0"/>
                <w:color w:val="auto"/>
                <w:spacing w:val="-6"/>
                <w:kern w:val="21"/>
                <w:sz w:val="21"/>
                <w:szCs w:val="21"/>
              </w:rPr>
              <w:instrText xml:space="preserve"> = 4 \* GB3 \* MERGEFORMAT </w:instrText>
            </w:r>
            <w:r>
              <w:rPr>
                <w:rFonts w:hint="default" w:ascii="Times New Roman" w:hAnsi="Times New Roman" w:eastAsia="宋体" w:cs="Times New Roman"/>
                <w:b/>
                <w:bCs/>
                <w:snapToGrid w:val="0"/>
                <w:color w:val="auto"/>
                <w:spacing w:val="-6"/>
                <w:kern w:val="21"/>
                <w:sz w:val="21"/>
                <w:szCs w:val="21"/>
              </w:rPr>
              <w:fldChar w:fldCharType="separate"/>
            </w:r>
            <w:r>
              <w:rPr>
                <w:rFonts w:hint="default" w:ascii="Times New Roman" w:hAnsi="Times New Roman" w:eastAsia="宋体" w:cs="Times New Roman"/>
                <w:b/>
                <w:bCs/>
                <w:color w:val="auto"/>
                <w:kern w:val="2"/>
                <w:sz w:val="21"/>
                <w:szCs w:val="21"/>
              </w:rPr>
              <w:t>④</w:t>
            </w:r>
            <w:r>
              <w:rPr>
                <w:rFonts w:hint="default" w:ascii="Times New Roman" w:hAnsi="Times New Roman" w:eastAsia="宋体" w:cs="Times New Roman"/>
                <w:b/>
                <w:bCs/>
                <w:snapToGrid w:val="0"/>
                <w:color w:val="auto"/>
                <w:spacing w:val="-6"/>
                <w:kern w:val="21"/>
                <w:sz w:val="21"/>
                <w:szCs w:val="21"/>
              </w:rPr>
              <w:fldChar w:fldCharType="end"/>
            </w:r>
          </w:p>
        </w:tc>
        <w:tc>
          <w:tcPr>
            <w:tcW w:w="1157" w:type="dxa"/>
            <w:tcBorders>
              <w:tl2br w:val="nil"/>
              <w:tr2bl w:val="nil"/>
            </w:tcBorders>
            <w:noWrap w:val="0"/>
            <w:tcMar>
              <w:left w:w="28" w:type="dxa"/>
              <w:right w:w="28" w:type="dxa"/>
            </w:tcMar>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jc w:val="center"/>
              <w:rPr>
                <w:rFonts w:hint="default" w:ascii="Times New Roman" w:hAnsi="Times New Roman" w:eastAsia="宋体" w:cs="Times New Roman"/>
                <w:b/>
                <w:bCs/>
                <w:snapToGrid w:val="0"/>
                <w:color w:val="auto"/>
                <w:spacing w:val="-16"/>
                <w:kern w:val="21"/>
                <w:sz w:val="21"/>
                <w:szCs w:val="21"/>
              </w:rPr>
            </w:pPr>
            <w:r>
              <w:rPr>
                <w:rFonts w:hint="default" w:ascii="Times New Roman" w:hAnsi="Times New Roman" w:eastAsia="宋体" w:cs="Times New Roman"/>
                <w:b/>
                <w:bCs/>
                <w:snapToGrid w:val="0"/>
                <w:color w:val="auto"/>
                <w:spacing w:val="-16"/>
                <w:kern w:val="21"/>
                <w:sz w:val="21"/>
                <w:szCs w:val="21"/>
              </w:rPr>
              <w:t>以新带老削减量（新建项目不填）</w:t>
            </w:r>
            <w:r>
              <w:rPr>
                <w:rFonts w:hint="default" w:ascii="Times New Roman" w:hAnsi="Times New Roman" w:eastAsia="宋体" w:cs="Times New Roman"/>
                <w:b/>
                <w:bCs/>
                <w:snapToGrid w:val="0"/>
                <w:color w:val="auto"/>
                <w:spacing w:val="-16"/>
                <w:kern w:val="21"/>
                <w:sz w:val="21"/>
                <w:szCs w:val="21"/>
              </w:rPr>
              <w:fldChar w:fldCharType="begin"/>
            </w:r>
            <w:r>
              <w:rPr>
                <w:rFonts w:hint="default" w:ascii="Times New Roman" w:hAnsi="Times New Roman" w:eastAsia="宋体" w:cs="Times New Roman"/>
                <w:b/>
                <w:bCs/>
                <w:snapToGrid w:val="0"/>
                <w:color w:val="auto"/>
                <w:spacing w:val="-16"/>
                <w:kern w:val="21"/>
                <w:sz w:val="21"/>
                <w:szCs w:val="21"/>
              </w:rPr>
              <w:instrText xml:space="preserve"> = 5 \* GB3 \* MERGEFORMAT </w:instrText>
            </w:r>
            <w:r>
              <w:rPr>
                <w:rFonts w:hint="default" w:ascii="Times New Roman" w:hAnsi="Times New Roman" w:eastAsia="宋体" w:cs="Times New Roman"/>
                <w:b/>
                <w:bCs/>
                <w:snapToGrid w:val="0"/>
                <w:color w:val="auto"/>
                <w:spacing w:val="-16"/>
                <w:kern w:val="21"/>
                <w:sz w:val="21"/>
                <w:szCs w:val="21"/>
              </w:rPr>
              <w:fldChar w:fldCharType="separate"/>
            </w:r>
            <w:r>
              <w:rPr>
                <w:rFonts w:hint="default" w:ascii="Times New Roman" w:hAnsi="Times New Roman" w:eastAsia="宋体" w:cs="Times New Roman"/>
                <w:b/>
                <w:bCs/>
                <w:color w:val="auto"/>
                <w:kern w:val="2"/>
                <w:sz w:val="21"/>
                <w:szCs w:val="21"/>
              </w:rPr>
              <w:t>⑤</w:t>
            </w:r>
            <w:r>
              <w:rPr>
                <w:rFonts w:hint="default" w:ascii="Times New Roman" w:hAnsi="Times New Roman" w:eastAsia="宋体" w:cs="Times New Roman"/>
                <w:b/>
                <w:bCs/>
                <w:snapToGrid w:val="0"/>
                <w:color w:val="auto"/>
                <w:spacing w:val="-16"/>
                <w:kern w:val="21"/>
                <w:sz w:val="21"/>
                <w:szCs w:val="21"/>
              </w:rPr>
              <w:fldChar w:fldCharType="end"/>
            </w:r>
          </w:p>
        </w:tc>
        <w:tc>
          <w:tcPr>
            <w:tcW w:w="1419" w:type="dxa"/>
            <w:tcBorders>
              <w:tl2br w:val="nil"/>
              <w:tr2bl w:val="nil"/>
            </w:tcBorders>
            <w:noWrap w:val="0"/>
            <w:tcMar>
              <w:left w:w="28" w:type="dxa"/>
              <w:right w:w="28" w:type="dxa"/>
            </w:tcMar>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jc w:val="center"/>
              <w:rPr>
                <w:rFonts w:hint="default" w:ascii="Times New Roman" w:hAnsi="Times New Roman" w:eastAsia="宋体" w:cs="Times New Roman"/>
                <w:b/>
                <w:bCs/>
                <w:snapToGrid w:val="0"/>
                <w:color w:val="auto"/>
                <w:spacing w:val="-16"/>
                <w:kern w:val="21"/>
                <w:sz w:val="21"/>
                <w:szCs w:val="21"/>
              </w:rPr>
            </w:pPr>
            <w:r>
              <w:rPr>
                <w:rFonts w:hint="default" w:ascii="Times New Roman" w:hAnsi="Times New Roman" w:eastAsia="宋体" w:cs="Times New Roman"/>
                <w:b/>
                <w:bCs/>
                <w:snapToGrid w:val="0"/>
                <w:color w:val="auto"/>
                <w:spacing w:val="-16"/>
                <w:kern w:val="21"/>
                <w:sz w:val="21"/>
                <w:szCs w:val="21"/>
              </w:rPr>
              <w:t>本项目建成后全厂排放量（固体废物产生量）</w:t>
            </w:r>
            <w:r>
              <w:rPr>
                <w:rFonts w:hint="default" w:ascii="Times New Roman" w:hAnsi="Times New Roman" w:eastAsia="宋体" w:cs="Times New Roman"/>
                <w:b/>
                <w:bCs/>
                <w:snapToGrid w:val="0"/>
                <w:color w:val="auto"/>
                <w:spacing w:val="-16"/>
                <w:kern w:val="21"/>
                <w:sz w:val="21"/>
                <w:szCs w:val="21"/>
              </w:rPr>
              <w:fldChar w:fldCharType="begin"/>
            </w:r>
            <w:r>
              <w:rPr>
                <w:rFonts w:hint="default" w:ascii="Times New Roman" w:hAnsi="Times New Roman" w:eastAsia="宋体" w:cs="Times New Roman"/>
                <w:b/>
                <w:bCs/>
                <w:snapToGrid w:val="0"/>
                <w:color w:val="auto"/>
                <w:spacing w:val="-16"/>
                <w:kern w:val="21"/>
                <w:sz w:val="21"/>
                <w:szCs w:val="21"/>
              </w:rPr>
              <w:instrText xml:space="preserve"> = 6 \* GB3 \* MERGEFORMAT </w:instrText>
            </w:r>
            <w:r>
              <w:rPr>
                <w:rFonts w:hint="default" w:ascii="Times New Roman" w:hAnsi="Times New Roman" w:eastAsia="宋体" w:cs="Times New Roman"/>
                <w:b/>
                <w:bCs/>
                <w:snapToGrid w:val="0"/>
                <w:color w:val="auto"/>
                <w:spacing w:val="-16"/>
                <w:kern w:val="21"/>
                <w:sz w:val="21"/>
                <w:szCs w:val="21"/>
              </w:rPr>
              <w:fldChar w:fldCharType="separate"/>
            </w:r>
            <w:r>
              <w:rPr>
                <w:rFonts w:hint="default" w:ascii="Times New Roman" w:hAnsi="Times New Roman" w:eastAsia="宋体" w:cs="Times New Roman"/>
                <w:b/>
                <w:bCs/>
                <w:color w:val="auto"/>
                <w:kern w:val="2"/>
                <w:sz w:val="21"/>
                <w:szCs w:val="21"/>
              </w:rPr>
              <w:t>⑥</w:t>
            </w:r>
            <w:r>
              <w:rPr>
                <w:rFonts w:hint="default" w:ascii="Times New Roman" w:hAnsi="Times New Roman" w:eastAsia="宋体" w:cs="Times New Roman"/>
                <w:b/>
                <w:bCs/>
                <w:snapToGrid w:val="0"/>
                <w:color w:val="auto"/>
                <w:spacing w:val="-16"/>
                <w:kern w:val="21"/>
                <w:sz w:val="21"/>
                <w:szCs w:val="21"/>
              </w:rPr>
              <w:fldChar w:fldCharType="end"/>
            </w:r>
          </w:p>
        </w:tc>
        <w:tc>
          <w:tcPr>
            <w:tcW w:w="1538" w:type="dxa"/>
            <w:tcBorders>
              <w:tl2br w:val="nil"/>
              <w:tr2bl w:val="nil"/>
            </w:tcBorders>
            <w:noWrap w:val="0"/>
            <w:tcMar>
              <w:left w:w="28" w:type="dxa"/>
              <w:right w:w="28" w:type="dxa"/>
            </w:tcMar>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jc w:val="center"/>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变化量</w:t>
            </w:r>
          </w:p>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jc w:val="center"/>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fldChar w:fldCharType="begin"/>
            </w:r>
            <w:r>
              <w:rPr>
                <w:rFonts w:hint="default" w:ascii="Times New Roman" w:hAnsi="Times New Roman" w:eastAsia="宋体" w:cs="Times New Roman"/>
                <w:b/>
                <w:bCs/>
                <w:snapToGrid w:val="0"/>
                <w:color w:val="auto"/>
                <w:spacing w:val="-6"/>
                <w:kern w:val="21"/>
                <w:sz w:val="21"/>
                <w:szCs w:val="21"/>
              </w:rPr>
              <w:instrText xml:space="preserve"> = 7 \* GB3 \* MERGEFORMAT </w:instrText>
            </w:r>
            <w:r>
              <w:rPr>
                <w:rFonts w:hint="default" w:ascii="Times New Roman" w:hAnsi="Times New Roman" w:eastAsia="宋体" w:cs="Times New Roman"/>
                <w:b/>
                <w:bCs/>
                <w:snapToGrid w:val="0"/>
                <w:color w:val="auto"/>
                <w:spacing w:val="-6"/>
                <w:kern w:val="21"/>
                <w:sz w:val="21"/>
                <w:szCs w:val="21"/>
              </w:rPr>
              <w:fldChar w:fldCharType="separate"/>
            </w:r>
            <w:r>
              <w:rPr>
                <w:rFonts w:hint="default" w:ascii="Times New Roman" w:hAnsi="Times New Roman" w:eastAsia="宋体" w:cs="Times New Roman"/>
                <w:b/>
                <w:bCs/>
                <w:color w:val="auto"/>
                <w:kern w:val="2"/>
                <w:sz w:val="21"/>
                <w:szCs w:val="21"/>
              </w:rPr>
              <w:t>⑦</w:t>
            </w:r>
            <w:r>
              <w:rPr>
                <w:rFonts w:hint="default" w:ascii="Times New Roman" w:hAnsi="Times New Roman" w:eastAsia="宋体" w:cs="Times New Roman"/>
                <w:b/>
                <w:bCs/>
                <w:snapToGrid w:val="0"/>
                <w:color w:val="auto"/>
                <w:spacing w:val="-6"/>
                <w:kern w:val="21"/>
                <w:sz w:val="21"/>
                <w:szCs w:val="21"/>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207"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废气</w:t>
            </w:r>
          </w:p>
        </w:tc>
        <w:tc>
          <w:tcPr>
            <w:tcW w:w="24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非甲烷总烃</w:t>
            </w:r>
          </w:p>
        </w:tc>
        <w:tc>
          <w:tcPr>
            <w:tcW w:w="1705"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napToGrid w:val="0"/>
                <w:color w:val="auto"/>
                <w:kern w:val="21"/>
                <w:sz w:val="21"/>
                <w:szCs w:val="21"/>
              </w:rPr>
              <w:t>0</w:t>
            </w:r>
          </w:p>
        </w:tc>
        <w:tc>
          <w:tcPr>
            <w:tcW w:w="1191"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napToGrid w:val="0"/>
                <w:color w:val="auto"/>
                <w:kern w:val="21"/>
                <w:sz w:val="21"/>
                <w:szCs w:val="21"/>
              </w:rPr>
              <w:t>0</w:t>
            </w:r>
          </w:p>
        </w:tc>
        <w:tc>
          <w:tcPr>
            <w:tcW w:w="1759"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right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4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0.670</w:t>
            </w:r>
            <w:r>
              <w:rPr>
                <w:rFonts w:hint="default" w:ascii="Times New Roman" w:hAnsi="Times New Roman" w:eastAsia="宋体" w:cs="Times New Roman"/>
                <w:i w:val="0"/>
                <w:iCs w:val="0"/>
                <w:color w:val="auto"/>
                <w:kern w:val="0"/>
                <w:sz w:val="21"/>
                <w:szCs w:val="21"/>
                <w:u w:val="none"/>
                <w:lang w:val="en-US" w:eastAsia="zh-CN" w:bidi="ar"/>
              </w:rPr>
              <w:t>t/a</w:t>
            </w:r>
          </w:p>
        </w:tc>
        <w:tc>
          <w:tcPr>
            <w:tcW w:w="1157"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4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0.670</w:t>
            </w:r>
            <w:r>
              <w:rPr>
                <w:rFonts w:hint="default" w:ascii="Times New Roman" w:hAnsi="Times New Roman" w:eastAsia="宋体" w:cs="Times New Roman"/>
                <w:i w:val="0"/>
                <w:iCs w:val="0"/>
                <w:color w:val="auto"/>
                <w:kern w:val="0"/>
                <w:sz w:val="21"/>
                <w:szCs w:val="21"/>
                <w:u w:val="none"/>
                <w:lang w:val="en-US" w:eastAsia="zh-CN" w:bidi="ar"/>
              </w:rPr>
              <w:t>t/a</w:t>
            </w:r>
          </w:p>
        </w:tc>
        <w:tc>
          <w:tcPr>
            <w:tcW w:w="1538"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napToGrid w:val="0"/>
                <w:color w:val="auto"/>
                <w:kern w:val="2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207" w:type="dxa"/>
            <w:vMerge w:val="restar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废水</w:t>
            </w:r>
          </w:p>
        </w:tc>
        <w:tc>
          <w:tcPr>
            <w:tcW w:w="24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c>
          <w:tcPr>
            <w:tcW w:w="11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c>
          <w:tcPr>
            <w:tcW w:w="17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c>
          <w:tcPr>
            <w:tcW w:w="14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0.518t/a</w:t>
            </w:r>
          </w:p>
        </w:tc>
        <w:tc>
          <w:tcPr>
            <w:tcW w:w="11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0.518t/a</w:t>
            </w:r>
          </w:p>
        </w:tc>
        <w:tc>
          <w:tcPr>
            <w:tcW w:w="15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207" w:type="dxa"/>
            <w:vMerge w:val="continue"/>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jc w:val="center"/>
              <w:rPr>
                <w:rFonts w:hint="default" w:ascii="Times New Roman" w:hAnsi="Times New Roman" w:eastAsia="宋体" w:cs="Times New Roman"/>
                <w:snapToGrid w:val="0"/>
                <w:color w:val="auto"/>
                <w:kern w:val="21"/>
                <w:sz w:val="21"/>
                <w:szCs w:val="21"/>
              </w:rPr>
            </w:pPr>
          </w:p>
        </w:tc>
        <w:tc>
          <w:tcPr>
            <w:tcW w:w="24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1705"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napToGrid w:val="0"/>
                <w:color w:val="auto"/>
                <w:kern w:val="21"/>
                <w:sz w:val="21"/>
                <w:szCs w:val="21"/>
              </w:rPr>
              <w:t>0</w:t>
            </w:r>
          </w:p>
        </w:tc>
        <w:tc>
          <w:tcPr>
            <w:tcW w:w="1191"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napToGrid w:val="0"/>
                <w:color w:val="auto"/>
                <w:kern w:val="21"/>
                <w:sz w:val="21"/>
                <w:szCs w:val="21"/>
              </w:rPr>
              <w:t>0</w:t>
            </w:r>
          </w:p>
        </w:tc>
        <w:tc>
          <w:tcPr>
            <w:tcW w:w="1759"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rightChars="0"/>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snapToGrid w:val="0"/>
                <w:color w:val="auto"/>
                <w:kern w:val="21"/>
                <w:sz w:val="21"/>
                <w:szCs w:val="21"/>
              </w:rPr>
              <w:t>0</w:t>
            </w:r>
          </w:p>
        </w:tc>
        <w:tc>
          <w:tcPr>
            <w:tcW w:w="14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0.318t/a</w:t>
            </w:r>
          </w:p>
        </w:tc>
        <w:tc>
          <w:tcPr>
            <w:tcW w:w="1157"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rightChars="0"/>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snapToGrid w:val="0"/>
                <w:color w:val="auto"/>
                <w:kern w:val="21"/>
                <w:sz w:val="21"/>
                <w:szCs w:val="21"/>
              </w:rPr>
              <w:t>0</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0.318t/a</w:t>
            </w:r>
          </w:p>
        </w:tc>
        <w:tc>
          <w:tcPr>
            <w:tcW w:w="1538"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napToGrid w:val="0"/>
                <w:color w:val="auto"/>
                <w:kern w:val="2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207" w:type="dxa"/>
            <w:vMerge w:val="continue"/>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jc w:val="center"/>
              <w:rPr>
                <w:rFonts w:hint="default" w:ascii="Times New Roman" w:hAnsi="Times New Roman" w:eastAsia="宋体" w:cs="Times New Roman"/>
                <w:snapToGrid w:val="0"/>
                <w:color w:val="auto"/>
                <w:kern w:val="21"/>
                <w:sz w:val="21"/>
                <w:szCs w:val="21"/>
              </w:rPr>
            </w:pPr>
          </w:p>
        </w:tc>
        <w:tc>
          <w:tcPr>
            <w:tcW w:w="24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c>
          <w:tcPr>
            <w:tcW w:w="11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c>
          <w:tcPr>
            <w:tcW w:w="17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c>
          <w:tcPr>
            <w:tcW w:w="14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0.311t/a</w:t>
            </w:r>
          </w:p>
        </w:tc>
        <w:tc>
          <w:tcPr>
            <w:tcW w:w="11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0.311t/a</w:t>
            </w:r>
          </w:p>
        </w:tc>
        <w:tc>
          <w:tcPr>
            <w:tcW w:w="15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207" w:type="dxa"/>
            <w:vMerge w:val="continue"/>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jc w:val="center"/>
              <w:rPr>
                <w:rFonts w:hint="default" w:ascii="Times New Roman" w:hAnsi="Times New Roman" w:eastAsia="宋体" w:cs="Times New Roman"/>
                <w:snapToGrid w:val="0"/>
                <w:color w:val="auto"/>
                <w:kern w:val="21"/>
                <w:sz w:val="21"/>
                <w:szCs w:val="21"/>
              </w:rPr>
            </w:pPr>
          </w:p>
        </w:tc>
        <w:tc>
          <w:tcPr>
            <w:tcW w:w="24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氨氮</w:t>
            </w:r>
          </w:p>
        </w:tc>
        <w:tc>
          <w:tcPr>
            <w:tcW w:w="1705"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napToGrid w:val="0"/>
                <w:color w:val="auto"/>
                <w:kern w:val="21"/>
                <w:sz w:val="21"/>
                <w:szCs w:val="21"/>
              </w:rPr>
              <w:t>0</w:t>
            </w:r>
          </w:p>
        </w:tc>
        <w:tc>
          <w:tcPr>
            <w:tcW w:w="1191"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napToGrid w:val="0"/>
                <w:color w:val="auto"/>
                <w:kern w:val="21"/>
                <w:sz w:val="21"/>
                <w:szCs w:val="21"/>
              </w:rPr>
              <w:t>0</w:t>
            </w:r>
          </w:p>
        </w:tc>
        <w:tc>
          <w:tcPr>
            <w:tcW w:w="1759"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rightChars="0"/>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snapToGrid w:val="0"/>
                <w:color w:val="auto"/>
                <w:kern w:val="21"/>
                <w:sz w:val="21"/>
                <w:szCs w:val="21"/>
              </w:rPr>
              <w:t>0</w:t>
            </w:r>
          </w:p>
        </w:tc>
        <w:tc>
          <w:tcPr>
            <w:tcW w:w="14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0.058t/a</w:t>
            </w:r>
          </w:p>
        </w:tc>
        <w:tc>
          <w:tcPr>
            <w:tcW w:w="1157"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rightChars="0"/>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snapToGrid w:val="0"/>
                <w:color w:val="auto"/>
                <w:kern w:val="21"/>
                <w:sz w:val="21"/>
                <w:szCs w:val="21"/>
              </w:rPr>
              <w:t>0</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0.058t/a</w:t>
            </w:r>
          </w:p>
        </w:tc>
        <w:tc>
          <w:tcPr>
            <w:tcW w:w="1538"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napToGrid w:val="0"/>
                <w:color w:val="auto"/>
                <w:kern w:val="2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207" w:type="dxa"/>
            <w:vMerge w:val="continue"/>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jc w:val="center"/>
              <w:rPr>
                <w:rFonts w:hint="default" w:ascii="Times New Roman" w:hAnsi="Times New Roman" w:eastAsia="宋体" w:cs="Times New Roman"/>
                <w:snapToGrid w:val="0"/>
                <w:color w:val="auto"/>
                <w:kern w:val="21"/>
                <w:sz w:val="21"/>
                <w:szCs w:val="21"/>
              </w:rPr>
            </w:pPr>
          </w:p>
        </w:tc>
        <w:tc>
          <w:tcPr>
            <w:tcW w:w="24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动植物油</w:t>
            </w:r>
          </w:p>
        </w:tc>
        <w:tc>
          <w:tcPr>
            <w:tcW w:w="1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c>
          <w:tcPr>
            <w:tcW w:w="11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c>
          <w:tcPr>
            <w:tcW w:w="17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c>
          <w:tcPr>
            <w:tcW w:w="14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0.046t/a</w:t>
            </w:r>
          </w:p>
        </w:tc>
        <w:tc>
          <w:tcPr>
            <w:tcW w:w="11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0.046t/a</w:t>
            </w:r>
          </w:p>
        </w:tc>
        <w:tc>
          <w:tcPr>
            <w:tcW w:w="15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207" w:type="dxa"/>
            <w:vMerge w:val="restar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一般工业</w:t>
            </w:r>
          </w:p>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highlight w:val="none"/>
                <w:lang w:val="en-US" w:eastAsia="zh-CN"/>
              </w:rPr>
              <w:t>固体废物</w:t>
            </w:r>
          </w:p>
        </w:tc>
        <w:tc>
          <w:tcPr>
            <w:tcW w:w="24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2"/>
                <w:sz w:val="21"/>
                <w:szCs w:val="21"/>
                <w:lang w:val="zh-TW" w:eastAsia="zh-TW" w:bidi="ar-SA"/>
              </w:rPr>
            </w:pPr>
            <w:r>
              <w:rPr>
                <w:rFonts w:hint="default" w:ascii="Times New Roman" w:hAnsi="Times New Roman" w:eastAsia="宋体" w:cs="Times New Roman"/>
                <w:i w:val="0"/>
                <w:iCs w:val="0"/>
                <w:color w:val="auto"/>
                <w:kern w:val="0"/>
                <w:sz w:val="21"/>
                <w:szCs w:val="21"/>
                <w:u w:val="none"/>
                <w:lang w:val="en-US" w:eastAsia="zh-CN" w:bidi="ar"/>
              </w:rPr>
              <w:t>废包装材料</w:t>
            </w:r>
          </w:p>
        </w:tc>
        <w:tc>
          <w:tcPr>
            <w:tcW w:w="1705"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rPr>
              <w:t>0</w:t>
            </w:r>
          </w:p>
        </w:tc>
        <w:tc>
          <w:tcPr>
            <w:tcW w:w="1191"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right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21"/>
                <w:sz w:val="21"/>
                <w:szCs w:val="21"/>
              </w:rPr>
              <w:t>0</w:t>
            </w:r>
          </w:p>
        </w:tc>
        <w:tc>
          <w:tcPr>
            <w:tcW w:w="1759"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right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4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0.50t/a</w:t>
            </w:r>
          </w:p>
        </w:tc>
        <w:tc>
          <w:tcPr>
            <w:tcW w:w="1157"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right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0.50t/a</w:t>
            </w:r>
          </w:p>
        </w:tc>
        <w:tc>
          <w:tcPr>
            <w:tcW w:w="1538"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207" w:type="dxa"/>
            <w:vMerge w:val="continue"/>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jc w:val="center"/>
              <w:rPr>
                <w:rFonts w:hint="default" w:ascii="Times New Roman" w:hAnsi="Times New Roman" w:eastAsia="宋体" w:cs="Times New Roman"/>
                <w:color w:val="auto"/>
                <w:sz w:val="21"/>
                <w:szCs w:val="21"/>
                <w:highlight w:val="none"/>
                <w:lang w:val="en-US" w:eastAsia="zh-CN"/>
              </w:rPr>
            </w:pPr>
          </w:p>
        </w:tc>
        <w:tc>
          <w:tcPr>
            <w:tcW w:w="24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不合格品</w:t>
            </w:r>
          </w:p>
        </w:tc>
        <w:tc>
          <w:tcPr>
            <w:tcW w:w="1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c>
          <w:tcPr>
            <w:tcW w:w="11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c>
          <w:tcPr>
            <w:tcW w:w="17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c>
          <w:tcPr>
            <w:tcW w:w="14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snapToGrid w:val="0"/>
                <w:color w:val="auto"/>
                <w:kern w:val="0"/>
                <w:sz w:val="21"/>
                <w:szCs w:val="21"/>
                <w:lang w:val="en-US" w:eastAsia="zh-CN"/>
              </w:rPr>
            </w:pPr>
            <w:r>
              <w:rPr>
                <w:rFonts w:hint="eastAsia" w:cs="Times New Roman"/>
                <w:i w:val="0"/>
                <w:iCs w:val="0"/>
                <w:color w:val="auto"/>
                <w:kern w:val="0"/>
                <w:sz w:val="21"/>
                <w:szCs w:val="21"/>
                <w:u w:val="none"/>
                <w:lang w:val="en-US" w:eastAsia="zh-CN" w:bidi="ar"/>
              </w:rPr>
              <w:t>100</w:t>
            </w:r>
            <w:r>
              <w:rPr>
                <w:rFonts w:hint="default" w:ascii="Times New Roman" w:hAnsi="Times New Roman" w:eastAsia="宋体" w:cs="Times New Roman"/>
                <w:i w:val="0"/>
                <w:iCs w:val="0"/>
                <w:color w:val="auto"/>
                <w:kern w:val="0"/>
                <w:sz w:val="21"/>
                <w:szCs w:val="21"/>
                <w:u w:val="none"/>
                <w:lang w:val="en-US" w:eastAsia="zh-CN" w:bidi="ar"/>
              </w:rPr>
              <w:t>.0t/a</w:t>
            </w:r>
          </w:p>
        </w:tc>
        <w:tc>
          <w:tcPr>
            <w:tcW w:w="11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i w:val="0"/>
                <w:iCs w:val="0"/>
                <w:color w:val="auto"/>
                <w:kern w:val="0"/>
                <w:sz w:val="21"/>
                <w:szCs w:val="21"/>
                <w:u w:val="none"/>
                <w:lang w:val="en-US" w:eastAsia="zh-CN" w:bidi="ar"/>
              </w:rPr>
              <w:t>100</w:t>
            </w:r>
            <w:r>
              <w:rPr>
                <w:rFonts w:hint="default" w:ascii="Times New Roman" w:hAnsi="Times New Roman" w:eastAsia="宋体" w:cs="Times New Roman"/>
                <w:i w:val="0"/>
                <w:iCs w:val="0"/>
                <w:color w:val="auto"/>
                <w:kern w:val="0"/>
                <w:sz w:val="21"/>
                <w:szCs w:val="21"/>
                <w:u w:val="none"/>
                <w:lang w:val="en-US" w:eastAsia="zh-CN" w:bidi="ar"/>
              </w:rPr>
              <w:t>.0t/a</w:t>
            </w:r>
          </w:p>
        </w:tc>
        <w:tc>
          <w:tcPr>
            <w:tcW w:w="15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207" w:type="dxa"/>
            <w:vMerge w:val="continue"/>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jc w:val="center"/>
              <w:rPr>
                <w:rFonts w:hint="default" w:ascii="Times New Roman" w:hAnsi="Times New Roman" w:eastAsia="宋体" w:cs="Times New Roman"/>
                <w:color w:val="auto"/>
                <w:sz w:val="21"/>
                <w:szCs w:val="21"/>
                <w:highlight w:val="none"/>
                <w:lang w:val="en-US" w:eastAsia="zh-CN"/>
              </w:rPr>
            </w:pPr>
          </w:p>
        </w:tc>
        <w:tc>
          <w:tcPr>
            <w:tcW w:w="24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沉淀池沉渣</w:t>
            </w:r>
          </w:p>
        </w:tc>
        <w:tc>
          <w:tcPr>
            <w:tcW w:w="1705"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napToGrid w:val="0"/>
                <w:color w:val="auto"/>
                <w:kern w:val="21"/>
                <w:sz w:val="21"/>
                <w:szCs w:val="21"/>
              </w:rPr>
              <w:t>0</w:t>
            </w:r>
          </w:p>
        </w:tc>
        <w:tc>
          <w:tcPr>
            <w:tcW w:w="1191"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napToGrid w:val="0"/>
                <w:color w:val="auto"/>
                <w:kern w:val="21"/>
                <w:sz w:val="21"/>
                <w:szCs w:val="21"/>
              </w:rPr>
              <w:t>0</w:t>
            </w:r>
          </w:p>
        </w:tc>
        <w:tc>
          <w:tcPr>
            <w:tcW w:w="1759"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right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4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0.50t/a</w:t>
            </w:r>
          </w:p>
        </w:tc>
        <w:tc>
          <w:tcPr>
            <w:tcW w:w="1157"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right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0.50t/a</w:t>
            </w:r>
          </w:p>
        </w:tc>
        <w:tc>
          <w:tcPr>
            <w:tcW w:w="1538"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napToGrid w:val="0"/>
                <w:color w:val="auto"/>
                <w:kern w:val="2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207" w:type="dxa"/>
            <w:vMerge w:val="continue"/>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jc w:val="center"/>
              <w:rPr>
                <w:rFonts w:hint="default" w:ascii="Times New Roman" w:hAnsi="Times New Roman" w:eastAsia="宋体" w:cs="Times New Roman"/>
                <w:color w:val="auto"/>
                <w:sz w:val="21"/>
                <w:szCs w:val="21"/>
                <w:highlight w:val="none"/>
                <w:lang w:val="en-US" w:eastAsia="zh-CN"/>
              </w:rPr>
            </w:pPr>
          </w:p>
        </w:tc>
        <w:tc>
          <w:tcPr>
            <w:tcW w:w="24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废滤料、废RO膜</w:t>
            </w:r>
          </w:p>
        </w:tc>
        <w:tc>
          <w:tcPr>
            <w:tcW w:w="1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c>
          <w:tcPr>
            <w:tcW w:w="11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c>
          <w:tcPr>
            <w:tcW w:w="17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c>
          <w:tcPr>
            <w:tcW w:w="14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0.2t/a</w:t>
            </w:r>
          </w:p>
        </w:tc>
        <w:tc>
          <w:tcPr>
            <w:tcW w:w="11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0.2t/a</w:t>
            </w:r>
          </w:p>
        </w:tc>
        <w:tc>
          <w:tcPr>
            <w:tcW w:w="15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207" w:type="dxa"/>
            <w:vMerge w:val="continue"/>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jc w:val="center"/>
              <w:rPr>
                <w:rFonts w:hint="default" w:ascii="Times New Roman" w:hAnsi="Times New Roman" w:eastAsia="宋体" w:cs="Times New Roman"/>
                <w:color w:val="auto"/>
                <w:sz w:val="21"/>
                <w:szCs w:val="21"/>
                <w:highlight w:val="none"/>
                <w:lang w:val="en-US" w:eastAsia="zh-CN"/>
              </w:rPr>
            </w:pPr>
          </w:p>
        </w:tc>
        <w:tc>
          <w:tcPr>
            <w:tcW w:w="24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废胶桶（不含胶）</w:t>
            </w:r>
          </w:p>
        </w:tc>
        <w:tc>
          <w:tcPr>
            <w:tcW w:w="1705"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napToGrid w:val="0"/>
                <w:color w:val="auto"/>
                <w:kern w:val="21"/>
                <w:sz w:val="21"/>
                <w:szCs w:val="21"/>
              </w:rPr>
              <w:t>0</w:t>
            </w:r>
          </w:p>
        </w:tc>
        <w:tc>
          <w:tcPr>
            <w:tcW w:w="1191"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napToGrid w:val="0"/>
                <w:color w:val="auto"/>
                <w:kern w:val="21"/>
                <w:sz w:val="21"/>
                <w:szCs w:val="21"/>
              </w:rPr>
              <w:t>0</w:t>
            </w:r>
          </w:p>
        </w:tc>
        <w:tc>
          <w:tcPr>
            <w:tcW w:w="1759"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right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4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0.5t/a</w:t>
            </w:r>
          </w:p>
        </w:tc>
        <w:tc>
          <w:tcPr>
            <w:tcW w:w="1157"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right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0.5t/a</w:t>
            </w:r>
          </w:p>
        </w:tc>
        <w:tc>
          <w:tcPr>
            <w:tcW w:w="1538"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napToGrid w:val="0"/>
                <w:color w:val="auto"/>
                <w:kern w:val="2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207" w:type="dxa"/>
            <w:vMerge w:val="restar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危险废物</w:t>
            </w:r>
          </w:p>
        </w:tc>
        <w:tc>
          <w:tcPr>
            <w:tcW w:w="24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废机油</w:t>
            </w:r>
          </w:p>
        </w:tc>
        <w:tc>
          <w:tcPr>
            <w:tcW w:w="1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c>
          <w:tcPr>
            <w:tcW w:w="11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c>
          <w:tcPr>
            <w:tcW w:w="17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c>
          <w:tcPr>
            <w:tcW w:w="14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w:t>
            </w:r>
            <w:r>
              <w:rPr>
                <w:rFonts w:hint="default" w:ascii="Times New Roman" w:hAnsi="Times New Roman" w:eastAsia="宋体" w:cs="Times New Roman"/>
                <w:i w:val="0"/>
                <w:iCs w:val="0"/>
                <w:color w:val="auto"/>
                <w:kern w:val="0"/>
                <w:sz w:val="21"/>
                <w:szCs w:val="21"/>
                <w:u w:val="none"/>
                <w:lang w:val="en-US" w:eastAsia="zh-CN" w:bidi="ar"/>
              </w:rPr>
              <w:t>0t/a</w:t>
            </w:r>
          </w:p>
        </w:tc>
        <w:tc>
          <w:tcPr>
            <w:tcW w:w="11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w:t>
            </w:r>
            <w:r>
              <w:rPr>
                <w:rFonts w:hint="default" w:ascii="Times New Roman" w:hAnsi="Times New Roman" w:eastAsia="宋体" w:cs="Times New Roman"/>
                <w:i w:val="0"/>
                <w:iCs w:val="0"/>
                <w:color w:val="auto"/>
                <w:kern w:val="0"/>
                <w:sz w:val="21"/>
                <w:szCs w:val="21"/>
                <w:u w:val="none"/>
                <w:lang w:val="en-US" w:eastAsia="zh-CN" w:bidi="ar"/>
              </w:rPr>
              <w:t>0t/a</w:t>
            </w:r>
          </w:p>
        </w:tc>
        <w:tc>
          <w:tcPr>
            <w:tcW w:w="15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207" w:type="dxa"/>
            <w:vMerge w:val="continue"/>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jc w:val="center"/>
              <w:rPr>
                <w:rFonts w:hint="default" w:ascii="Times New Roman" w:hAnsi="Times New Roman" w:eastAsia="宋体" w:cs="Times New Roman"/>
                <w:snapToGrid w:val="0"/>
                <w:color w:val="auto"/>
                <w:kern w:val="21"/>
                <w:sz w:val="21"/>
                <w:szCs w:val="21"/>
                <w:lang w:val="en-US" w:eastAsia="zh-CN"/>
              </w:rPr>
            </w:pPr>
          </w:p>
        </w:tc>
        <w:tc>
          <w:tcPr>
            <w:tcW w:w="24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废机油桶</w:t>
            </w:r>
          </w:p>
        </w:tc>
        <w:tc>
          <w:tcPr>
            <w:tcW w:w="1705"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napToGrid w:val="0"/>
                <w:color w:val="auto"/>
                <w:kern w:val="21"/>
                <w:sz w:val="21"/>
                <w:szCs w:val="21"/>
              </w:rPr>
              <w:t>0</w:t>
            </w:r>
          </w:p>
        </w:tc>
        <w:tc>
          <w:tcPr>
            <w:tcW w:w="1191"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napToGrid w:val="0"/>
                <w:color w:val="auto"/>
                <w:kern w:val="21"/>
                <w:sz w:val="21"/>
                <w:szCs w:val="21"/>
              </w:rPr>
              <w:t>0</w:t>
            </w:r>
          </w:p>
        </w:tc>
        <w:tc>
          <w:tcPr>
            <w:tcW w:w="1759"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right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4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0.1t/a</w:t>
            </w:r>
          </w:p>
        </w:tc>
        <w:tc>
          <w:tcPr>
            <w:tcW w:w="1157"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right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0.1t/a</w:t>
            </w:r>
          </w:p>
        </w:tc>
        <w:tc>
          <w:tcPr>
            <w:tcW w:w="1538"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napToGrid w:val="0"/>
                <w:color w:val="auto"/>
                <w:kern w:val="2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207" w:type="dxa"/>
            <w:vMerge w:val="continue"/>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jc w:val="center"/>
              <w:rPr>
                <w:rFonts w:hint="default" w:ascii="Times New Roman" w:hAnsi="Times New Roman" w:eastAsia="宋体" w:cs="Times New Roman"/>
                <w:snapToGrid w:val="0"/>
                <w:color w:val="auto"/>
                <w:kern w:val="21"/>
                <w:sz w:val="21"/>
                <w:szCs w:val="21"/>
                <w:lang w:val="en-US" w:eastAsia="zh-CN"/>
              </w:rPr>
            </w:pPr>
          </w:p>
        </w:tc>
        <w:tc>
          <w:tcPr>
            <w:tcW w:w="24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废含油手套、抹布</w:t>
            </w:r>
          </w:p>
        </w:tc>
        <w:tc>
          <w:tcPr>
            <w:tcW w:w="1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c>
          <w:tcPr>
            <w:tcW w:w="11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c>
          <w:tcPr>
            <w:tcW w:w="17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c>
          <w:tcPr>
            <w:tcW w:w="14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0.02t/a</w:t>
            </w:r>
          </w:p>
        </w:tc>
        <w:tc>
          <w:tcPr>
            <w:tcW w:w="11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0.02t/a</w:t>
            </w:r>
          </w:p>
        </w:tc>
        <w:tc>
          <w:tcPr>
            <w:tcW w:w="15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207" w:type="dxa"/>
            <w:vMerge w:val="continue"/>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jc w:val="center"/>
              <w:rPr>
                <w:rFonts w:hint="default" w:ascii="Times New Roman" w:hAnsi="Times New Roman" w:eastAsia="宋体" w:cs="Times New Roman"/>
                <w:snapToGrid w:val="0"/>
                <w:color w:val="auto"/>
                <w:kern w:val="21"/>
                <w:sz w:val="21"/>
                <w:szCs w:val="21"/>
                <w:lang w:val="en-US" w:eastAsia="zh-CN"/>
              </w:rPr>
            </w:pPr>
          </w:p>
        </w:tc>
        <w:tc>
          <w:tcPr>
            <w:tcW w:w="24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废胶</w:t>
            </w:r>
          </w:p>
        </w:tc>
        <w:tc>
          <w:tcPr>
            <w:tcW w:w="1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c>
          <w:tcPr>
            <w:tcW w:w="11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c>
          <w:tcPr>
            <w:tcW w:w="17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c>
          <w:tcPr>
            <w:tcW w:w="14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0.5t/a</w:t>
            </w:r>
          </w:p>
        </w:tc>
        <w:tc>
          <w:tcPr>
            <w:tcW w:w="1157"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rightChars="0"/>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snapToGrid w:val="0"/>
                <w:color w:val="auto"/>
                <w:kern w:val="21"/>
                <w:sz w:val="21"/>
                <w:szCs w:val="21"/>
              </w:rPr>
              <w:t>0</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0.5t/a</w:t>
            </w:r>
          </w:p>
        </w:tc>
        <w:tc>
          <w:tcPr>
            <w:tcW w:w="15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207" w:type="dxa"/>
            <w:vMerge w:val="continue"/>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jc w:val="center"/>
              <w:rPr>
                <w:rFonts w:hint="default" w:ascii="Times New Roman" w:hAnsi="Times New Roman" w:eastAsia="宋体" w:cs="Times New Roman"/>
                <w:snapToGrid w:val="0"/>
                <w:color w:val="auto"/>
                <w:kern w:val="21"/>
                <w:sz w:val="21"/>
                <w:szCs w:val="21"/>
                <w:lang w:val="en-US" w:eastAsia="zh-CN"/>
              </w:rPr>
            </w:pPr>
          </w:p>
        </w:tc>
        <w:tc>
          <w:tcPr>
            <w:tcW w:w="24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废活性炭</w:t>
            </w:r>
          </w:p>
        </w:tc>
        <w:tc>
          <w:tcPr>
            <w:tcW w:w="1705"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rPr>
              <w:t>0</w:t>
            </w:r>
          </w:p>
        </w:tc>
        <w:tc>
          <w:tcPr>
            <w:tcW w:w="1191"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rPr>
              <w:t>0</w:t>
            </w:r>
          </w:p>
        </w:tc>
        <w:tc>
          <w:tcPr>
            <w:tcW w:w="1759"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rightChars="0"/>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rPr>
              <w:t>0</w:t>
            </w:r>
          </w:p>
        </w:tc>
        <w:tc>
          <w:tcPr>
            <w:tcW w:w="14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3.49t/a</w:t>
            </w:r>
          </w:p>
        </w:tc>
        <w:tc>
          <w:tcPr>
            <w:tcW w:w="1157"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rightChars="0"/>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rPr>
              <w:t>0</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3.49t/a</w:t>
            </w:r>
          </w:p>
        </w:tc>
        <w:tc>
          <w:tcPr>
            <w:tcW w:w="1538"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207" w:type="dxa"/>
            <w:vMerge w:val="restar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生活垃圾</w:t>
            </w:r>
          </w:p>
        </w:tc>
        <w:tc>
          <w:tcPr>
            <w:tcW w:w="24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生活垃圾</w:t>
            </w:r>
          </w:p>
        </w:tc>
        <w:tc>
          <w:tcPr>
            <w:tcW w:w="1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c>
          <w:tcPr>
            <w:tcW w:w="11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c>
          <w:tcPr>
            <w:tcW w:w="17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c>
          <w:tcPr>
            <w:tcW w:w="14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7.5t/a</w:t>
            </w:r>
          </w:p>
        </w:tc>
        <w:tc>
          <w:tcPr>
            <w:tcW w:w="11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7.5t/a</w:t>
            </w:r>
          </w:p>
        </w:tc>
        <w:tc>
          <w:tcPr>
            <w:tcW w:w="15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207" w:type="dxa"/>
            <w:vMerge w:val="continue"/>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jc w:val="center"/>
              <w:rPr>
                <w:rFonts w:hint="default" w:ascii="Times New Roman" w:hAnsi="Times New Roman" w:eastAsia="宋体" w:cs="Times New Roman"/>
                <w:snapToGrid w:val="0"/>
                <w:color w:val="auto"/>
                <w:kern w:val="21"/>
                <w:sz w:val="21"/>
                <w:szCs w:val="21"/>
                <w:lang w:val="en-US" w:eastAsia="zh-CN"/>
              </w:rPr>
            </w:pPr>
          </w:p>
        </w:tc>
        <w:tc>
          <w:tcPr>
            <w:tcW w:w="2422" w:type="dxa"/>
            <w:tcBorders>
              <w:tl2br w:val="nil"/>
              <w:tr2bl w:val="nil"/>
            </w:tcBorders>
            <w:noWrap w:val="0"/>
            <w:vAlign w:val="center"/>
          </w:tcPr>
          <w:p>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废油脂</w:t>
            </w:r>
          </w:p>
        </w:tc>
        <w:tc>
          <w:tcPr>
            <w:tcW w:w="1705"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napToGrid w:val="0"/>
                <w:color w:val="auto"/>
                <w:kern w:val="21"/>
                <w:sz w:val="21"/>
                <w:szCs w:val="21"/>
              </w:rPr>
              <w:t>0</w:t>
            </w:r>
          </w:p>
        </w:tc>
        <w:tc>
          <w:tcPr>
            <w:tcW w:w="1191"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napToGrid w:val="0"/>
                <w:color w:val="auto"/>
                <w:kern w:val="21"/>
                <w:sz w:val="21"/>
                <w:szCs w:val="21"/>
              </w:rPr>
              <w:t>0</w:t>
            </w:r>
          </w:p>
        </w:tc>
        <w:tc>
          <w:tcPr>
            <w:tcW w:w="1759"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right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4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1.5t/a</w:t>
            </w:r>
          </w:p>
        </w:tc>
        <w:tc>
          <w:tcPr>
            <w:tcW w:w="1157"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rightChars="0"/>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rPr>
              <w:t>0</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1.5t/a</w:t>
            </w:r>
          </w:p>
        </w:tc>
        <w:tc>
          <w:tcPr>
            <w:tcW w:w="1538"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napToGrid w:val="0"/>
                <w:color w:val="auto"/>
                <w:kern w:val="21"/>
                <w:sz w:val="21"/>
                <w:szCs w:val="21"/>
              </w:rPr>
              <w:t>0</w:t>
            </w:r>
          </w:p>
        </w:tc>
      </w:tr>
    </w:tbl>
    <w:p>
      <w:pPr>
        <w:pStyle w:val="60"/>
        <w:spacing w:before="192" w:beforeLines="80" w:after="24"/>
        <w:jc w:val="left"/>
        <w:rPr>
          <w:rFonts w:hint="default" w:ascii="Times New Roman" w:hAnsi="Times New Roman" w:eastAsia="宋体" w:cs="Times New Roman"/>
          <w:color w:val="auto"/>
        </w:rPr>
      </w:pPr>
      <w:r>
        <w:rPr>
          <w:rFonts w:hint="default" w:ascii="Times New Roman" w:hAnsi="Times New Roman" w:eastAsia="宋体" w:cs="Times New Roman"/>
          <w:snapToGrid w:val="0"/>
          <w:color w:val="auto"/>
          <w:kern w:val="21"/>
          <w:szCs w:val="21"/>
        </w:rPr>
        <w:t>注：</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6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1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3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③</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4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④</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5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⑤</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7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⑦</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6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1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snapToGrid w:val="0"/>
          <w:color w:val="auto"/>
          <w:spacing w:val="-6"/>
          <w:kern w:val="21"/>
          <w:szCs w:val="21"/>
        </w:rPr>
        <w:fldChar w:fldCharType="end"/>
      </w:r>
    </w:p>
    <w:sectPr>
      <w:footerReference r:id="rId6"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华文行楷">
    <w:panose1 w:val="02010800040101010101"/>
    <w:charset w:val="86"/>
    <w:family w:val="auto"/>
    <w:pitch w:val="default"/>
    <w:sig w:usb0="00000001" w:usb1="080F0000" w:usb2="00000000" w:usb3="00000000" w:csb0="00040000"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Arial Unicode MS">
    <w:panose1 w:val="020B0604020202020204"/>
    <w:charset w:val="86"/>
    <w:family w:val="auto"/>
    <w:pitch w:val="default"/>
    <w:sig w:usb0="FFFFFFFF" w:usb1="E9FFFFFF" w:usb2="0000003F" w:usb3="00000000" w:csb0="603F01FF" w:csb1="FFFF0000"/>
  </w:font>
  <w:font w:name="楷体_GB2312">
    <w:altName w:val="楷体"/>
    <w:panose1 w:val="00000000000000000000"/>
    <w:charset w:val="86"/>
    <w:family w:val="modern"/>
    <w:pitch w:val="default"/>
    <w:sig w:usb0="00000000" w:usb1="00000000" w:usb2="00000010" w:usb3="00000000" w:csb0="00040000" w:csb1="00000000"/>
  </w:font>
  <w:font w:name="Wingdings 2">
    <w:panose1 w:val="05020102010507070707"/>
    <w:charset w:val="02"/>
    <w:family w:val="auto"/>
    <w:pitch w:val="default"/>
    <w:sig w:usb0="00000000" w:usb1="00000000" w:usb2="00000000" w:usb3="00000000" w:csb0="80000000" w:csb1="00000000"/>
  </w:font>
  <w:font w:name="Cambria Math">
    <w:panose1 w:val="02040503050406030204"/>
    <w:charset w:val="00"/>
    <w:family w:val="auto"/>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8"/>
      </w:rPr>
    </w:pPr>
    <w:r>
      <w:fldChar w:fldCharType="begin"/>
    </w:r>
    <w:r>
      <w:rPr>
        <w:rStyle w:val="38"/>
      </w:rPr>
      <w:instrText xml:space="preserve">PAGE  </w:instrText>
    </w:r>
    <w:r>
      <w:fldChar w:fldCharType="end"/>
    </w:r>
  </w:p>
  <w:p>
    <w:pPr>
      <w:pStyle w:val="2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0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1"/>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205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dPrdLLAQAAnQMAAA4AAAAAAAAAAQAgAAAAHgEAAGRycy9lMm9E&#10;b2MueG1sUEsFBgAAAAAGAAYAWQEAAFsFAAAAAA==&#10;">
              <v:fill on="f" focussize="0,0"/>
              <v:stroke on="f"/>
              <v:imagedata o:title=""/>
              <o:lock v:ext="edit" aspectratio="f"/>
              <v:textbox inset="0mm,0mm,0mm,0mm" style="mso-fit-shape-to-text:t;">
                <w:txbxContent>
                  <w:p>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0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1"/>
                            <w:rPr>
                              <w:rFonts w:hint="eastAsia"/>
                            </w:rPr>
                          </w:pPr>
                          <w:r>
                            <w:rPr>
                              <w:rFonts w:hint="eastAsia"/>
                            </w:rPr>
                            <w:fldChar w:fldCharType="begin"/>
                          </w:r>
                          <w:r>
                            <w:rPr>
                              <w:rFonts w:hint="eastAsia"/>
                            </w:rPr>
                            <w:instrText xml:space="preserve"> PAGE  \* MERGEFORMAT </w:instrText>
                          </w:r>
                          <w:r>
                            <w:rPr>
                              <w:rFonts w:hint="eastAsia"/>
                            </w:rPr>
                            <w:fldChar w:fldCharType="separate"/>
                          </w:r>
                          <w:r>
                            <w:t>52</w:t>
                          </w:r>
                          <w:r>
                            <w:rPr>
                              <w:rFonts w:hint="eastAsia"/>
                            </w:rPr>
                            <w:fldChar w:fldCharType="end"/>
                          </w:r>
                        </w:p>
                      </w:txbxContent>
                    </wps:txbx>
                    <wps:bodyPr wrap="none" lIns="0" tIns="0" rIns="0" bIns="0" upright="0">
                      <a:spAutoFit/>
                    </wps:bodyPr>
                  </wps:wsp>
                </a:graphicData>
              </a:graphic>
            </wp:anchor>
          </w:drawing>
        </mc:Choice>
        <mc:Fallback>
          <w:pict>
            <v:shape id="文本框 205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q1dfkzAEAAJ0DAAAOAAAAAAAAAAEAIAAAAB4BAABkcnMvZTJv&#10;RG9jLnhtbFBLBQYAAAAABgAGAFkBAABcBQAAAAA=&#10;">
              <v:fill on="f" focussize="0,0"/>
              <v:stroke on="f"/>
              <v:imagedata o:title=""/>
              <o:lock v:ext="edit" aspectratio="f"/>
              <v:textbox inset="0mm,0mm,0mm,0mm" style="mso-fit-shape-to-text:t;">
                <w:txbxContent>
                  <w:p>
                    <w:pPr>
                      <w:pStyle w:val="21"/>
                      <w:rPr>
                        <w:rFonts w:hint="eastAsia"/>
                      </w:rPr>
                    </w:pPr>
                    <w:r>
                      <w:rPr>
                        <w:rFonts w:hint="eastAsia"/>
                      </w:rPr>
                      <w:fldChar w:fldCharType="begin"/>
                    </w:r>
                    <w:r>
                      <w:rPr>
                        <w:rFonts w:hint="eastAsia"/>
                      </w:rPr>
                      <w:instrText xml:space="preserve"> PAGE  \* MERGEFORMAT </w:instrText>
                    </w:r>
                    <w:r>
                      <w:rPr>
                        <w:rFonts w:hint="eastAsia"/>
                      </w:rPr>
                      <w:fldChar w:fldCharType="separate"/>
                    </w:r>
                    <w:r>
                      <w:t>52</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261F892"/>
    <w:multiLevelType w:val="singleLevel"/>
    <w:tmpl w:val="E261F892"/>
    <w:lvl w:ilvl="0" w:tentative="0">
      <w:start w:val="1"/>
      <w:numFmt w:val="bullet"/>
      <w:pStyle w:val="13"/>
      <w:lvlText w:val=""/>
      <w:lvlJc w:val="left"/>
      <w:pPr>
        <w:tabs>
          <w:tab w:val="left" w:pos="2040"/>
        </w:tabs>
        <w:ind w:left="2040" w:hanging="360"/>
      </w:pPr>
      <w:rPr>
        <w:rFonts w:hint="default" w:ascii="Wingdings" w:hAnsi="Wingdings"/>
      </w:rPr>
    </w:lvl>
  </w:abstractNum>
  <w:abstractNum w:abstractNumId="1">
    <w:nsid w:val="EC1B5EE5"/>
    <w:multiLevelType w:val="singleLevel"/>
    <w:tmpl w:val="EC1B5EE5"/>
    <w:lvl w:ilvl="0" w:tentative="0">
      <w:start w:val="1"/>
      <w:numFmt w:val="decimal"/>
      <w:suff w:val="nothing"/>
      <w:lvlText w:val="%1、"/>
      <w:lvlJc w:val="left"/>
    </w:lvl>
  </w:abstractNum>
  <w:abstractNum w:abstractNumId="2">
    <w:nsid w:val="2DC74B00"/>
    <w:multiLevelType w:val="singleLevel"/>
    <w:tmpl w:val="2DC74B00"/>
    <w:lvl w:ilvl="0" w:tentative="0">
      <w:start w:val="1"/>
      <w:numFmt w:val="decimal"/>
      <w:suff w:val="nothing"/>
      <w:lvlText w:val="%1、"/>
      <w:lvlJc w:val="left"/>
    </w:lvl>
  </w:abstractNum>
  <w:abstractNum w:abstractNumId="3">
    <w:nsid w:val="339DDA9A"/>
    <w:multiLevelType w:val="singleLevel"/>
    <w:tmpl w:val="339DDA9A"/>
    <w:lvl w:ilvl="0" w:tentative="0">
      <w:start w:val="1"/>
      <w:numFmt w:val="decimal"/>
      <w:suff w:val="nothing"/>
      <w:lvlText w:val="%1、"/>
      <w:lvlJc w:val="left"/>
    </w:lvl>
  </w:abstractNum>
  <w:abstractNum w:abstractNumId="4">
    <w:nsid w:val="379119E5"/>
    <w:multiLevelType w:val="singleLevel"/>
    <w:tmpl w:val="379119E5"/>
    <w:lvl w:ilvl="0" w:tentative="0">
      <w:start w:val="2"/>
      <w:numFmt w:val="decimal"/>
      <w:suff w:val="nothing"/>
      <w:lvlText w:val="（%1）"/>
      <w:lvlJc w:val="left"/>
    </w:lvl>
  </w:abstractNum>
  <w:abstractNum w:abstractNumId="5">
    <w:nsid w:val="4A36CBB0"/>
    <w:multiLevelType w:val="singleLevel"/>
    <w:tmpl w:val="4A36CBB0"/>
    <w:lvl w:ilvl="0" w:tentative="0">
      <w:start w:val="5"/>
      <w:numFmt w:val="decimal"/>
      <w:suff w:val="nothing"/>
      <w:lvlText w:val="%1、"/>
      <w:lvlJc w:val="left"/>
    </w:lvl>
  </w:abstractNum>
  <w:abstractNum w:abstractNumId="6">
    <w:nsid w:val="515FF7A0"/>
    <w:multiLevelType w:val="singleLevel"/>
    <w:tmpl w:val="515FF7A0"/>
    <w:lvl w:ilvl="0" w:tentative="0">
      <w:start w:val="1"/>
      <w:numFmt w:val="decimal"/>
      <w:suff w:val="nothing"/>
      <w:lvlText w:val="（%1）"/>
      <w:lvlJc w:val="left"/>
    </w:lvl>
  </w:abstractNum>
  <w:num w:numId="1">
    <w:abstractNumId w:val="0"/>
  </w:num>
  <w:num w:numId="2">
    <w:abstractNumId w:val="3"/>
  </w:num>
  <w:num w:numId="3">
    <w:abstractNumId w:val="5"/>
  </w:num>
  <w:num w:numId="4">
    <w:abstractNumId w:val="1"/>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I4MWEzOTc1N2U2NmM3NDZiM2ZjNzIxZDdjZjAzMDYifQ=="/>
    <w:docVar w:name="KSO_WPS_MARK_KEY" w:val="8c261ae6-2ba7-49ae-bb63-f05423b17ad0"/>
  </w:docVars>
  <w:rsids>
    <w:rsidRoot w:val="00172A27"/>
    <w:rsid w:val="000037F9"/>
    <w:rsid w:val="00004E8C"/>
    <w:rsid w:val="000060B3"/>
    <w:rsid w:val="0004364B"/>
    <w:rsid w:val="00061B1F"/>
    <w:rsid w:val="00061E89"/>
    <w:rsid w:val="00062DE2"/>
    <w:rsid w:val="000733C4"/>
    <w:rsid w:val="00073499"/>
    <w:rsid w:val="00074783"/>
    <w:rsid w:val="0008070B"/>
    <w:rsid w:val="000810AC"/>
    <w:rsid w:val="00081A02"/>
    <w:rsid w:val="00082231"/>
    <w:rsid w:val="00082EE1"/>
    <w:rsid w:val="00092D38"/>
    <w:rsid w:val="0009377B"/>
    <w:rsid w:val="000A20C9"/>
    <w:rsid w:val="000B058F"/>
    <w:rsid w:val="000B4467"/>
    <w:rsid w:val="000B4DB9"/>
    <w:rsid w:val="000B64D8"/>
    <w:rsid w:val="000C09AC"/>
    <w:rsid w:val="000C4C73"/>
    <w:rsid w:val="000C767F"/>
    <w:rsid w:val="000D5A44"/>
    <w:rsid w:val="000E31FA"/>
    <w:rsid w:val="000E3ED2"/>
    <w:rsid w:val="001023C3"/>
    <w:rsid w:val="001130D6"/>
    <w:rsid w:val="00131F42"/>
    <w:rsid w:val="001357F1"/>
    <w:rsid w:val="00140FA8"/>
    <w:rsid w:val="00142FEB"/>
    <w:rsid w:val="00143A2D"/>
    <w:rsid w:val="00145A41"/>
    <w:rsid w:val="001502DF"/>
    <w:rsid w:val="00151675"/>
    <w:rsid w:val="00157435"/>
    <w:rsid w:val="0017504D"/>
    <w:rsid w:val="0017622F"/>
    <w:rsid w:val="0017671A"/>
    <w:rsid w:val="00177422"/>
    <w:rsid w:val="00184590"/>
    <w:rsid w:val="00184D49"/>
    <w:rsid w:val="001870D1"/>
    <w:rsid w:val="0018781E"/>
    <w:rsid w:val="0019262D"/>
    <w:rsid w:val="001A1B35"/>
    <w:rsid w:val="001A48A2"/>
    <w:rsid w:val="001A64C3"/>
    <w:rsid w:val="001A6F61"/>
    <w:rsid w:val="001A7CCD"/>
    <w:rsid w:val="001B72B8"/>
    <w:rsid w:val="001C69B3"/>
    <w:rsid w:val="001D5595"/>
    <w:rsid w:val="001D7874"/>
    <w:rsid w:val="001D7F22"/>
    <w:rsid w:val="001E53A3"/>
    <w:rsid w:val="001F0F17"/>
    <w:rsid w:val="001F2AE9"/>
    <w:rsid w:val="001F3347"/>
    <w:rsid w:val="001F69E4"/>
    <w:rsid w:val="002047FE"/>
    <w:rsid w:val="002123C1"/>
    <w:rsid w:val="002125B4"/>
    <w:rsid w:val="002155B8"/>
    <w:rsid w:val="00224839"/>
    <w:rsid w:val="002249B2"/>
    <w:rsid w:val="00226574"/>
    <w:rsid w:val="002278EC"/>
    <w:rsid w:val="00227D48"/>
    <w:rsid w:val="0023280E"/>
    <w:rsid w:val="002377D1"/>
    <w:rsid w:val="0024624C"/>
    <w:rsid w:val="002506BC"/>
    <w:rsid w:val="00254345"/>
    <w:rsid w:val="00264557"/>
    <w:rsid w:val="00265ED9"/>
    <w:rsid w:val="00277F56"/>
    <w:rsid w:val="002805AB"/>
    <w:rsid w:val="00284204"/>
    <w:rsid w:val="00291773"/>
    <w:rsid w:val="002A168C"/>
    <w:rsid w:val="002A3DC7"/>
    <w:rsid w:val="002B49E2"/>
    <w:rsid w:val="002B7B00"/>
    <w:rsid w:val="002B7C44"/>
    <w:rsid w:val="002C0AFE"/>
    <w:rsid w:val="002C2B17"/>
    <w:rsid w:val="002D3DD0"/>
    <w:rsid w:val="002E1F3A"/>
    <w:rsid w:val="002E298A"/>
    <w:rsid w:val="002F53A1"/>
    <w:rsid w:val="002F75EF"/>
    <w:rsid w:val="00301978"/>
    <w:rsid w:val="0030332C"/>
    <w:rsid w:val="003051C2"/>
    <w:rsid w:val="00312296"/>
    <w:rsid w:val="00314F0E"/>
    <w:rsid w:val="00316AA1"/>
    <w:rsid w:val="00321D8E"/>
    <w:rsid w:val="00325928"/>
    <w:rsid w:val="00332863"/>
    <w:rsid w:val="0033684D"/>
    <w:rsid w:val="00337B42"/>
    <w:rsid w:val="003414CD"/>
    <w:rsid w:val="00341B42"/>
    <w:rsid w:val="003430A7"/>
    <w:rsid w:val="0034348F"/>
    <w:rsid w:val="00356653"/>
    <w:rsid w:val="0035743F"/>
    <w:rsid w:val="00357BE2"/>
    <w:rsid w:val="0036170C"/>
    <w:rsid w:val="003632D3"/>
    <w:rsid w:val="00366E0F"/>
    <w:rsid w:val="00371ED7"/>
    <w:rsid w:val="00381A72"/>
    <w:rsid w:val="00384676"/>
    <w:rsid w:val="00390288"/>
    <w:rsid w:val="00390857"/>
    <w:rsid w:val="003961E1"/>
    <w:rsid w:val="003A4BF3"/>
    <w:rsid w:val="003B420D"/>
    <w:rsid w:val="003C36EF"/>
    <w:rsid w:val="003C6C16"/>
    <w:rsid w:val="003D34F8"/>
    <w:rsid w:val="003D5FBF"/>
    <w:rsid w:val="003D794D"/>
    <w:rsid w:val="003E3058"/>
    <w:rsid w:val="003E76A9"/>
    <w:rsid w:val="003F0809"/>
    <w:rsid w:val="003F6A8C"/>
    <w:rsid w:val="003F755C"/>
    <w:rsid w:val="00405C26"/>
    <w:rsid w:val="00406F01"/>
    <w:rsid w:val="00416D50"/>
    <w:rsid w:val="00416FD5"/>
    <w:rsid w:val="00417772"/>
    <w:rsid w:val="00420E6A"/>
    <w:rsid w:val="00425A9E"/>
    <w:rsid w:val="00426D6B"/>
    <w:rsid w:val="00431E6C"/>
    <w:rsid w:val="00433CE7"/>
    <w:rsid w:val="0043414C"/>
    <w:rsid w:val="00452738"/>
    <w:rsid w:val="00456091"/>
    <w:rsid w:val="004606F5"/>
    <w:rsid w:val="00466321"/>
    <w:rsid w:val="0047348F"/>
    <w:rsid w:val="00484B9B"/>
    <w:rsid w:val="004855F6"/>
    <w:rsid w:val="0048661E"/>
    <w:rsid w:val="00486C2F"/>
    <w:rsid w:val="00494670"/>
    <w:rsid w:val="004A3823"/>
    <w:rsid w:val="004B09C3"/>
    <w:rsid w:val="004B1D77"/>
    <w:rsid w:val="004D720D"/>
    <w:rsid w:val="004E6946"/>
    <w:rsid w:val="004F1AD8"/>
    <w:rsid w:val="004F46E2"/>
    <w:rsid w:val="004F490E"/>
    <w:rsid w:val="004F5780"/>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7703D"/>
    <w:rsid w:val="00594D77"/>
    <w:rsid w:val="005969E4"/>
    <w:rsid w:val="005A06B7"/>
    <w:rsid w:val="005A1759"/>
    <w:rsid w:val="005A68A7"/>
    <w:rsid w:val="005C1A26"/>
    <w:rsid w:val="005D36AB"/>
    <w:rsid w:val="005D74A7"/>
    <w:rsid w:val="006165EA"/>
    <w:rsid w:val="00617CC3"/>
    <w:rsid w:val="0062124F"/>
    <w:rsid w:val="006236B8"/>
    <w:rsid w:val="006377A6"/>
    <w:rsid w:val="00637A3D"/>
    <w:rsid w:val="006411EF"/>
    <w:rsid w:val="00657473"/>
    <w:rsid w:val="006748B8"/>
    <w:rsid w:val="006775C3"/>
    <w:rsid w:val="0069290A"/>
    <w:rsid w:val="0069293B"/>
    <w:rsid w:val="0069775A"/>
    <w:rsid w:val="00697813"/>
    <w:rsid w:val="006A3EE8"/>
    <w:rsid w:val="006A72BF"/>
    <w:rsid w:val="006B03F2"/>
    <w:rsid w:val="006B37DC"/>
    <w:rsid w:val="006B38FC"/>
    <w:rsid w:val="006B4F68"/>
    <w:rsid w:val="006C0592"/>
    <w:rsid w:val="006C272E"/>
    <w:rsid w:val="006C5479"/>
    <w:rsid w:val="006D13B5"/>
    <w:rsid w:val="006D5562"/>
    <w:rsid w:val="006E12FF"/>
    <w:rsid w:val="006E607E"/>
    <w:rsid w:val="00706C5D"/>
    <w:rsid w:val="007255D9"/>
    <w:rsid w:val="00732922"/>
    <w:rsid w:val="0075162E"/>
    <w:rsid w:val="00754034"/>
    <w:rsid w:val="00756556"/>
    <w:rsid w:val="007618C4"/>
    <w:rsid w:val="00767980"/>
    <w:rsid w:val="00770B19"/>
    <w:rsid w:val="0077156D"/>
    <w:rsid w:val="0077463F"/>
    <w:rsid w:val="007836EA"/>
    <w:rsid w:val="00784CDA"/>
    <w:rsid w:val="007906C4"/>
    <w:rsid w:val="007940EA"/>
    <w:rsid w:val="007967E8"/>
    <w:rsid w:val="007A2170"/>
    <w:rsid w:val="007A22BF"/>
    <w:rsid w:val="007A3323"/>
    <w:rsid w:val="007B72B8"/>
    <w:rsid w:val="007B7A58"/>
    <w:rsid w:val="007C21B5"/>
    <w:rsid w:val="007D2E43"/>
    <w:rsid w:val="007E4BD2"/>
    <w:rsid w:val="007F7209"/>
    <w:rsid w:val="00801393"/>
    <w:rsid w:val="00802F88"/>
    <w:rsid w:val="0081293E"/>
    <w:rsid w:val="00815465"/>
    <w:rsid w:val="00817E9A"/>
    <w:rsid w:val="00824D97"/>
    <w:rsid w:val="008306BD"/>
    <w:rsid w:val="00831A80"/>
    <w:rsid w:val="00833743"/>
    <w:rsid w:val="008340A4"/>
    <w:rsid w:val="0085363C"/>
    <w:rsid w:val="008674F7"/>
    <w:rsid w:val="0087135F"/>
    <w:rsid w:val="0087226D"/>
    <w:rsid w:val="00872D94"/>
    <w:rsid w:val="00880364"/>
    <w:rsid w:val="00891592"/>
    <w:rsid w:val="00891E9E"/>
    <w:rsid w:val="008A2F68"/>
    <w:rsid w:val="008A5637"/>
    <w:rsid w:val="008B4FA6"/>
    <w:rsid w:val="008B5282"/>
    <w:rsid w:val="008B7C17"/>
    <w:rsid w:val="008C1B3A"/>
    <w:rsid w:val="008C2D01"/>
    <w:rsid w:val="008C40E6"/>
    <w:rsid w:val="008D0F7A"/>
    <w:rsid w:val="008D68E4"/>
    <w:rsid w:val="008E0506"/>
    <w:rsid w:val="008E0CFF"/>
    <w:rsid w:val="008E4BF3"/>
    <w:rsid w:val="008E5D6B"/>
    <w:rsid w:val="008E76F0"/>
    <w:rsid w:val="008F15FE"/>
    <w:rsid w:val="008F2D29"/>
    <w:rsid w:val="008F5187"/>
    <w:rsid w:val="008F60D8"/>
    <w:rsid w:val="0090115B"/>
    <w:rsid w:val="00902727"/>
    <w:rsid w:val="0090312B"/>
    <w:rsid w:val="00903351"/>
    <w:rsid w:val="0091736D"/>
    <w:rsid w:val="0092107C"/>
    <w:rsid w:val="009211DA"/>
    <w:rsid w:val="00925F13"/>
    <w:rsid w:val="0093037A"/>
    <w:rsid w:val="0094154D"/>
    <w:rsid w:val="0095155F"/>
    <w:rsid w:val="00954429"/>
    <w:rsid w:val="009563CE"/>
    <w:rsid w:val="00975A7C"/>
    <w:rsid w:val="00976328"/>
    <w:rsid w:val="0097680D"/>
    <w:rsid w:val="00982438"/>
    <w:rsid w:val="0098404C"/>
    <w:rsid w:val="00985283"/>
    <w:rsid w:val="00995992"/>
    <w:rsid w:val="009A03E5"/>
    <w:rsid w:val="009A0F3B"/>
    <w:rsid w:val="009A1BB4"/>
    <w:rsid w:val="009A2628"/>
    <w:rsid w:val="009A3200"/>
    <w:rsid w:val="009A63C1"/>
    <w:rsid w:val="009B0897"/>
    <w:rsid w:val="009B7BD9"/>
    <w:rsid w:val="009C2BEF"/>
    <w:rsid w:val="009C7DD5"/>
    <w:rsid w:val="009E227D"/>
    <w:rsid w:val="009E5019"/>
    <w:rsid w:val="00A00814"/>
    <w:rsid w:val="00A0331A"/>
    <w:rsid w:val="00A04F1B"/>
    <w:rsid w:val="00A0501B"/>
    <w:rsid w:val="00A14947"/>
    <w:rsid w:val="00A2227A"/>
    <w:rsid w:val="00A22D3C"/>
    <w:rsid w:val="00A26DCF"/>
    <w:rsid w:val="00A276E6"/>
    <w:rsid w:val="00A32A83"/>
    <w:rsid w:val="00A368DB"/>
    <w:rsid w:val="00A3695A"/>
    <w:rsid w:val="00A36E5C"/>
    <w:rsid w:val="00A423AA"/>
    <w:rsid w:val="00A43752"/>
    <w:rsid w:val="00A530F0"/>
    <w:rsid w:val="00A53EC6"/>
    <w:rsid w:val="00A55C0F"/>
    <w:rsid w:val="00A6531D"/>
    <w:rsid w:val="00A76CD6"/>
    <w:rsid w:val="00A8713F"/>
    <w:rsid w:val="00A90BA1"/>
    <w:rsid w:val="00A97A9A"/>
    <w:rsid w:val="00AA0671"/>
    <w:rsid w:val="00AA2531"/>
    <w:rsid w:val="00AB1E09"/>
    <w:rsid w:val="00AB5330"/>
    <w:rsid w:val="00AB7747"/>
    <w:rsid w:val="00AC14CE"/>
    <w:rsid w:val="00AC2531"/>
    <w:rsid w:val="00AC2A56"/>
    <w:rsid w:val="00AD055E"/>
    <w:rsid w:val="00AD47A7"/>
    <w:rsid w:val="00AE5D7C"/>
    <w:rsid w:val="00AF0CBF"/>
    <w:rsid w:val="00AF134A"/>
    <w:rsid w:val="00AF257F"/>
    <w:rsid w:val="00AF33CF"/>
    <w:rsid w:val="00AF4D50"/>
    <w:rsid w:val="00AF6179"/>
    <w:rsid w:val="00B1295A"/>
    <w:rsid w:val="00B204E2"/>
    <w:rsid w:val="00B20A45"/>
    <w:rsid w:val="00B22C5C"/>
    <w:rsid w:val="00B24F30"/>
    <w:rsid w:val="00B279D2"/>
    <w:rsid w:val="00B31ABF"/>
    <w:rsid w:val="00B33BE3"/>
    <w:rsid w:val="00B53B5D"/>
    <w:rsid w:val="00B6055E"/>
    <w:rsid w:val="00B6317D"/>
    <w:rsid w:val="00B72B05"/>
    <w:rsid w:val="00B7723F"/>
    <w:rsid w:val="00B80534"/>
    <w:rsid w:val="00B83998"/>
    <w:rsid w:val="00B83CC1"/>
    <w:rsid w:val="00B8433C"/>
    <w:rsid w:val="00B87491"/>
    <w:rsid w:val="00BA29E9"/>
    <w:rsid w:val="00BA7142"/>
    <w:rsid w:val="00BB237C"/>
    <w:rsid w:val="00BB41A3"/>
    <w:rsid w:val="00BC078D"/>
    <w:rsid w:val="00BC32DC"/>
    <w:rsid w:val="00BC35B6"/>
    <w:rsid w:val="00BC640A"/>
    <w:rsid w:val="00BD1B51"/>
    <w:rsid w:val="00BD4078"/>
    <w:rsid w:val="00BD4596"/>
    <w:rsid w:val="00BE1405"/>
    <w:rsid w:val="00BE312D"/>
    <w:rsid w:val="00BF1C20"/>
    <w:rsid w:val="00C033BE"/>
    <w:rsid w:val="00C10578"/>
    <w:rsid w:val="00C135BC"/>
    <w:rsid w:val="00C15C95"/>
    <w:rsid w:val="00C20832"/>
    <w:rsid w:val="00C2374D"/>
    <w:rsid w:val="00C2596A"/>
    <w:rsid w:val="00C27537"/>
    <w:rsid w:val="00C328FE"/>
    <w:rsid w:val="00C33507"/>
    <w:rsid w:val="00C33EA9"/>
    <w:rsid w:val="00C43E92"/>
    <w:rsid w:val="00C4409D"/>
    <w:rsid w:val="00C44E72"/>
    <w:rsid w:val="00C45A06"/>
    <w:rsid w:val="00C47E5B"/>
    <w:rsid w:val="00C53E5E"/>
    <w:rsid w:val="00C61E4B"/>
    <w:rsid w:val="00C64BFF"/>
    <w:rsid w:val="00C704E9"/>
    <w:rsid w:val="00C763C9"/>
    <w:rsid w:val="00C80057"/>
    <w:rsid w:val="00C82232"/>
    <w:rsid w:val="00C82913"/>
    <w:rsid w:val="00C972B1"/>
    <w:rsid w:val="00CA28AC"/>
    <w:rsid w:val="00CA2CCE"/>
    <w:rsid w:val="00CA43FD"/>
    <w:rsid w:val="00CA7EF8"/>
    <w:rsid w:val="00CB1890"/>
    <w:rsid w:val="00CC489B"/>
    <w:rsid w:val="00CD2BCD"/>
    <w:rsid w:val="00CD3A4C"/>
    <w:rsid w:val="00CD6320"/>
    <w:rsid w:val="00CE048F"/>
    <w:rsid w:val="00CE10E9"/>
    <w:rsid w:val="00CE2910"/>
    <w:rsid w:val="00CE5393"/>
    <w:rsid w:val="00CF36BE"/>
    <w:rsid w:val="00CF6000"/>
    <w:rsid w:val="00D003F3"/>
    <w:rsid w:val="00D0364F"/>
    <w:rsid w:val="00D05915"/>
    <w:rsid w:val="00D06834"/>
    <w:rsid w:val="00D24CDF"/>
    <w:rsid w:val="00D308ED"/>
    <w:rsid w:val="00D34368"/>
    <w:rsid w:val="00D36D86"/>
    <w:rsid w:val="00D412D8"/>
    <w:rsid w:val="00D428AA"/>
    <w:rsid w:val="00D50A34"/>
    <w:rsid w:val="00D53EFA"/>
    <w:rsid w:val="00D92263"/>
    <w:rsid w:val="00D93738"/>
    <w:rsid w:val="00D94A7C"/>
    <w:rsid w:val="00D95896"/>
    <w:rsid w:val="00DA37B6"/>
    <w:rsid w:val="00DB2983"/>
    <w:rsid w:val="00DB6CCF"/>
    <w:rsid w:val="00DC1257"/>
    <w:rsid w:val="00DC3DC0"/>
    <w:rsid w:val="00DC4929"/>
    <w:rsid w:val="00DC5778"/>
    <w:rsid w:val="00DC5B2B"/>
    <w:rsid w:val="00DD318D"/>
    <w:rsid w:val="00DF1897"/>
    <w:rsid w:val="00DF2E12"/>
    <w:rsid w:val="00DF514A"/>
    <w:rsid w:val="00DF6690"/>
    <w:rsid w:val="00DF6746"/>
    <w:rsid w:val="00DF6804"/>
    <w:rsid w:val="00E0358D"/>
    <w:rsid w:val="00E04323"/>
    <w:rsid w:val="00E070A2"/>
    <w:rsid w:val="00E077ED"/>
    <w:rsid w:val="00E11EBA"/>
    <w:rsid w:val="00E2656A"/>
    <w:rsid w:val="00E32BCC"/>
    <w:rsid w:val="00E412D0"/>
    <w:rsid w:val="00E52CBB"/>
    <w:rsid w:val="00E56322"/>
    <w:rsid w:val="00E60982"/>
    <w:rsid w:val="00E61DC5"/>
    <w:rsid w:val="00E62C62"/>
    <w:rsid w:val="00E654C1"/>
    <w:rsid w:val="00E65D97"/>
    <w:rsid w:val="00E72A5A"/>
    <w:rsid w:val="00E73354"/>
    <w:rsid w:val="00E7402E"/>
    <w:rsid w:val="00E76648"/>
    <w:rsid w:val="00E9242D"/>
    <w:rsid w:val="00EA5B16"/>
    <w:rsid w:val="00EB4230"/>
    <w:rsid w:val="00EB5255"/>
    <w:rsid w:val="00EB5C47"/>
    <w:rsid w:val="00EB743F"/>
    <w:rsid w:val="00EC1592"/>
    <w:rsid w:val="00EC43D0"/>
    <w:rsid w:val="00EC78D4"/>
    <w:rsid w:val="00ED0639"/>
    <w:rsid w:val="00ED272E"/>
    <w:rsid w:val="00ED556B"/>
    <w:rsid w:val="00EE0EE3"/>
    <w:rsid w:val="00EE0F95"/>
    <w:rsid w:val="00EF4755"/>
    <w:rsid w:val="00EF7135"/>
    <w:rsid w:val="00F027DB"/>
    <w:rsid w:val="00F14A7A"/>
    <w:rsid w:val="00F22985"/>
    <w:rsid w:val="00F3383E"/>
    <w:rsid w:val="00F465A7"/>
    <w:rsid w:val="00F50977"/>
    <w:rsid w:val="00F50B7C"/>
    <w:rsid w:val="00F550E6"/>
    <w:rsid w:val="00F64721"/>
    <w:rsid w:val="00F74345"/>
    <w:rsid w:val="00F80A0A"/>
    <w:rsid w:val="00F82B19"/>
    <w:rsid w:val="00F9212D"/>
    <w:rsid w:val="00F965DA"/>
    <w:rsid w:val="00FA406A"/>
    <w:rsid w:val="00FA4940"/>
    <w:rsid w:val="00FB503A"/>
    <w:rsid w:val="00FB516C"/>
    <w:rsid w:val="00FD0236"/>
    <w:rsid w:val="00FD18F4"/>
    <w:rsid w:val="00FD4161"/>
    <w:rsid w:val="00FD54DB"/>
    <w:rsid w:val="00FD619F"/>
    <w:rsid w:val="00FD6CEB"/>
    <w:rsid w:val="01027C35"/>
    <w:rsid w:val="010569BB"/>
    <w:rsid w:val="010D467E"/>
    <w:rsid w:val="01194037"/>
    <w:rsid w:val="01195A68"/>
    <w:rsid w:val="011D3C00"/>
    <w:rsid w:val="01204FE7"/>
    <w:rsid w:val="01251DFC"/>
    <w:rsid w:val="01290F7E"/>
    <w:rsid w:val="012B5558"/>
    <w:rsid w:val="014231C9"/>
    <w:rsid w:val="014C5AA8"/>
    <w:rsid w:val="01510984"/>
    <w:rsid w:val="01511903"/>
    <w:rsid w:val="015D1E09"/>
    <w:rsid w:val="0164073F"/>
    <w:rsid w:val="01653BA4"/>
    <w:rsid w:val="01657CDA"/>
    <w:rsid w:val="0170784A"/>
    <w:rsid w:val="01757C75"/>
    <w:rsid w:val="01807AD8"/>
    <w:rsid w:val="01821808"/>
    <w:rsid w:val="018C1643"/>
    <w:rsid w:val="018D1EF6"/>
    <w:rsid w:val="019A3CC7"/>
    <w:rsid w:val="01AA2ABD"/>
    <w:rsid w:val="01AF7682"/>
    <w:rsid w:val="01B17D2B"/>
    <w:rsid w:val="01E054E5"/>
    <w:rsid w:val="020411C5"/>
    <w:rsid w:val="02116D77"/>
    <w:rsid w:val="021D0344"/>
    <w:rsid w:val="02231B70"/>
    <w:rsid w:val="02235CD5"/>
    <w:rsid w:val="023000C2"/>
    <w:rsid w:val="02342895"/>
    <w:rsid w:val="02343ED6"/>
    <w:rsid w:val="023625B0"/>
    <w:rsid w:val="023A6292"/>
    <w:rsid w:val="023C5046"/>
    <w:rsid w:val="023D0387"/>
    <w:rsid w:val="023D1721"/>
    <w:rsid w:val="023F1572"/>
    <w:rsid w:val="02466FC8"/>
    <w:rsid w:val="025A09FE"/>
    <w:rsid w:val="025D214D"/>
    <w:rsid w:val="026376AB"/>
    <w:rsid w:val="02641DFB"/>
    <w:rsid w:val="02676F00"/>
    <w:rsid w:val="02697903"/>
    <w:rsid w:val="026D7ECF"/>
    <w:rsid w:val="027225A7"/>
    <w:rsid w:val="027254F0"/>
    <w:rsid w:val="02766FED"/>
    <w:rsid w:val="02773CE6"/>
    <w:rsid w:val="028579AC"/>
    <w:rsid w:val="028F06C1"/>
    <w:rsid w:val="029055E4"/>
    <w:rsid w:val="029329C9"/>
    <w:rsid w:val="02A331D2"/>
    <w:rsid w:val="02C01C86"/>
    <w:rsid w:val="02C22194"/>
    <w:rsid w:val="02C60B85"/>
    <w:rsid w:val="02CA179F"/>
    <w:rsid w:val="02DD0325"/>
    <w:rsid w:val="02E177B1"/>
    <w:rsid w:val="02E57A06"/>
    <w:rsid w:val="02E803F0"/>
    <w:rsid w:val="02F900F0"/>
    <w:rsid w:val="02F96569"/>
    <w:rsid w:val="02FD2E8A"/>
    <w:rsid w:val="03054C34"/>
    <w:rsid w:val="03067406"/>
    <w:rsid w:val="030C130F"/>
    <w:rsid w:val="03125B78"/>
    <w:rsid w:val="03193B74"/>
    <w:rsid w:val="031A3015"/>
    <w:rsid w:val="03207D50"/>
    <w:rsid w:val="0328212A"/>
    <w:rsid w:val="032B6F6C"/>
    <w:rsid w:val="033F21DB"/>
    <w:rsid w:val="034B0441"/>
    <w:rsid w:val="034B4A17"/>
    <w:rsid w:val="034D2459"/>
    <w:rsid w:val="0359140E"/>
    <w:rsid w:val="036316B1"/>
    <w:rsid w:val="036E5B3E"/>
    <w:rsid w:val="03702F5F"/>
    <w:rsid w:val="038A574B"/>
    <w:rsid w:val="0390654B"/>
    <w:rsid w:val="039257E8"/>
    <w:rsid w:val="03B556BC"/>
    <w:rsid w:val="03B968B7"/>
    <w:rsid w:val="03C04A21"/>
    <w:rsid w:val="03D71629"/>
    <w:rsid w:val="03E11863"/>
    <w:rsid w:val="03E2394F"/>
    <w:rsid w:val="03E34F0C"/>
    <w:rsid w:val="03E72D34"/>
    <w:rsid w:val="03E7552B"/>
    <w:rsid w:val="03EA7B21"/>
    <w:rsid w:val="03F84410"/>
    <w:rsid w:val="040B3430"/>
    <w:rsid w:val="040F7EA6"/>
    <w:rsid w:val="04163446"/>
    <w:rsid w:val="04214388"/>
    <w:rsid w:val="04280DAD"/>
    <w:rsid w:val="0429117D"/>
    <w:rsid w:val="04503ECB"/>
    <w:rsid w:val="04521626"/>
    <w:rsid w:val="04581CB1"/>
    <w:rsid w:val="04647AA5"/>
    <w:rsid w:val="046E6DDE"/>
    <w:rsid w:val="046F3AEF"/>
    <w:rsid w:val="04727719"/>
    <w:rsid w:val="047451AB"/>
    <w:rsid w:val="047E3EA3"/>
    <w:rsid w:val="04852DEA"/>
    <w:rsid w:val="04A25BC6"/>
    <w:rsid w:val="04AD4FF8"/>
    <w:rsid w:val="04AD7231"/>
    <w:rsid w:val="04C32CE8"/>
    <w:rsid w:val="04DE60CE"/>
    <w:rsid w:val="04EC5FA1"/>
    <w:rsid w:val="04EE0850"/>
    <w:rsid w:val="04F0022B"/>
    <w:rsid w:val="04F74332"/>
    <w:rsid w:val="04FC07BA"/>
    <w:rsid w:val="05004784"/>
    <w:rsid w:val="050B0C29"/>
    <w:rsid w:val="051A2A86"/>
    <w:rsid w:val="05241B5F"/>
    <w:rsid w:val="052D04B0"/>
    <w:rsid w:val="053A3B22"/>
    <w:rsid w:val="05410AF7"/>
    <w:rsid w:val="05692F73"/>
    <w:rsid w:val="056F0AF9"/>
    <w:rsid w:val="057B373C"/>
    <w:rsid w:val="057C6BAA"/>
    <w:rsid w:val="057D6BA7"/>
    <w:rsid w:val="05810CCF"/>
    <w:rsid w:val="05814297"/>
    <w:rsid w:val="05855651"/>
    <w:rsid w:val="058979DF"/>
    <w:rsid w:val="058A75FA"/>
    <w:rsid w:val="05930385"/>
    <w:rsid w:val="05970CF4"/>
    <w:rsid w:val="05AF1EC7"/>
    <w:rsid w:val="05B165F7"/>
    <w:rsid w:val="05B24665"/>
    <w:rsid w:val="05B6346C"/>
    <w:rsid w:val="05C70589"/>
    <w:rsid w:val="05D07C63"/>
    <w:rsid w:val="05DB0344"/>
    <w:rsid w:val="05DD073C"/>
    <w:rsid w:val="05E330A7"/>
    <w:rsid w:val="05F83EAE"/>
    <w:rsid w:val="05F97F11"/>
    <w:rsid w:val="05FC2CBE"/>
    <w:rsid w:val="0609131F"/>
    <w:rsid w:val="06120580"/>
    <w:rsid w:val="0629321E"/>
    <w:rsid w:val="062E199A"/>
    <w:rsid w:val="06316639"/>
    <w:rsid w:val="06332C38"/>
    <w:rsid w:val="063E15DE"/>
    <w:rsid w:val="063E7D85"/>
    <w:rsid w:val="06410E51"/>
    <w:rsid w:val="064C4C64"/>
    <w:rsid w:val="065C2397"/>
    <w:rsid w:val="06634A27"/>
    <w:rsid w:val="066466EB"/>
    <w:rsid w:val="06665FDC"/>
    <w:rsid w:val="066D7685"/>
    <w:rsid w:val="06721621"/>
    <w:rsid w:val="06830C73"/>
    <w:rsid w:val="068376C5"/>
    <w:rsid w:val="06840641"/>
    <w:rsid w:val="068723D9"/>
    <w:rsid w:val="068973BA"/>
    <w:rsid w:val="068E16E7"/>
    <w:rsid w:val="06945789"/>
    <w:rsid w:val="06990B59"/>
    <w:rsid w:val="069A5FF4"/>
    <w:rsid w:val="069E3612"/>
    <w:rsid w:val="06A37B23"/>
    <w:rsid w:val="06A46F75"/>
    <w:rsid w:val="06AA4FFE"/>
    <w:rsid w:val="06AD1B15"/>
    <w:rsid w:val="06B4338F"/>
    <w:rsid w:val="06B83457"/>
    <w:rsid w:val="06B93C3B"/>
    <w:rsid w:val="06C02BEC"/>
    <w:rsid w:val="06C53FA7"/>
    <w:rsid w:val="06D56F83"/>
    <w:rsid w:val="06DD4128"/>
    <w:rsid w:val="06E222F3"/>
    <w:rsid w:val="06EB19A0"/>
    <w:rsid w:val="06EB7C22"/>
    <w:rsid w:val="06EE0D64"/>
    <w:rsid w:val="06F05772"/>
    <w:rsid w:val="06F60C52"/>
    <w:rsid w:val="06F93E43"/>
    <w:rsid w:val="07004C15"/>
    <w:rsid w:val="07026CEE"/>
    <w:rsid w:val="07034156"/>
    <w:rsid w:val="070A037D"/>
    <w:rsid w:val="070E2F88"/>
    <w:rsid w:val="07142A58"/>
    <w:rsid w:val="071F13E8"/>
    <w:rsid w:val="07231295"/>
    <w:rsid w:val="0726695F"/>
    <w:rsid w:val="07270CD7"/>
    <w:rsid w:val="072815FA"/>
    <w:rsid w:val="07293586"/>
    <w:rsid w:val="07295285"/>
    <w:rsid w:val="072A2FCD"/>
    <w:rsid w:val="072B25F3"/>
    <w:rsid w:val="07371601"/>
    <w:rsid w:val="0747037F"/>
    <w:rsid w:val="07475A7C"/>
    <w:rsid w:val="07490D2F"/>
    <w:rsid w:val="07526921"/>
    <w:rsid w:val="07636392"/>
    <w:rsid w:val="076808B4"/>
    <w:rsid w:val="076D586F"/>
    <w:rsid w:val="07770C56"/>
    <w:rsid w:val="077C516D"/>
    <w:rsid w:val="07986E84"/>
    <w:rsid w:val="079E5177"/>
    <w:rsid w:val="07A0163F"/>
    <w:rsid w:val="07A170B5"/>
    <w:rsid w:val="07A51B4E"/>
    <w:rsid w:val="07A6619A"/>
    <w:rsid w:val="07A92999"/>
    <w:rsid w:val="07B40FAC"/>
    <w:rsid w:val="07B41543"/>
    <w:rsid w:val="07B57490"/>
    <w:rsid w:val="07BA6213"/>
    <w:rsid w:val="07C22B6F"/>
    <w:rsid w:val="07C8448E"/>
    <w:rsid w:val="07C93498"/>
    <w:rsid w:val="07D96C51"/>
    <w:rsid w:val="07DE2D8B"/>
    <w:rsid w:val="07EF4010"/>
    <w:rsid w:val="08026841"/>
    <w:rsid w:val="08051A37"/>
    <w:rsid w:val="080949B6"/>
    <w:rsid w:val="080E48C5"/>
    <w:rsid w:val="08132196"/>
    <w:rsid w:val="08153D42"/>
    <w:rsid w:val="08180A58"/>
    <w:rsid w:val="081852D1"/>
    <w:rsid w:val="08277BA9"/>
    <w:rsid w:val="082F774E"/>
    <w:rsid w:val="08332FE9"/>
    <w:rsid w:val="08366AA8"/>
    <w:rsid w:val="0849387C"/>
    <w:rsid w:val="0849622B"/>
    <w:rsid w:val="085140B5"/>
    <w:rsid w:val="08523B41"/>
    <w:rsid w:val="08535DDE"/>
    <w:rsid w:val="085F43DC"/>
    <w:rsid w:val="0860304A"/>
    <w:rsid w:val="087A2460"/>
    <w:rsid w:val="08896193"/>
    <w:rsid w:val="088A45C3"/>
    <w:rsid w:val="08921563"/>
    <w:rsid w:val="08A22BBA"/>
    <w:rsid w:val="08B7505D"/>
    <w:rsid w:val="08BF6183"/>
    <w:rsid w:val="08C64AF3"/>
    <w:rsid w:val="08D1309F"/>
    <w:rsid w:val="08D70704"/>
    <w:rsid w:val="08D7596A"/>
    <w:rsid w:val="08E65E7D"/>
    <w:rsid w:val="08EF4AC9"/>
    <w:rsid w:val="08F065F5"/>
    <w:rsid w:val="08FE1A27"/>
    <w:rsid w:val="08FF1C4F"/>
    <w:rsid w:val="08FF5C80"/>
    <w:rsid w:val="09015B07"/>
    <w:rsid w:val="090556D8"/>
    <w:rsid w:val="09072AAD"/>
    <w:rsid w:val="09154028"/>
    <w:rsid w:val="092217DD"/>
    <w:rsid w:val="09251D71"/>
    <w:rsid w:val="092D0A55"/>
    <w:rsid w:val="092D606A"/>
    <w:rsid w:val="092F499C"/>
    <w:rsid w:val="092F6369"/>
    <w:rsid w:val="09352F00"/>
    <w:rsid w:val="093A7294"/>
    <w:rsid w:val="09506FDF"/>
    <w:rsid w:val="095161D6"/>
    <w:rsid w:val="09520D04"/>
    <w:rsid w:val="09674903"/>
    <w:rsid w:val="09840403"/>
    <w:rsid w:val="0985152C"/>
    <w:rsid w:val="09862E2D"/>
    <w:rsid w:val="099260DC"/>
    <w:rsid w:val="09965041"/>
    <w:rsid w:val="09A06D3E"/>
    <w:rsid w:val="09AB1982"/>
    <w:rsid w:val="09B0123B"/>
    <w:rsid w:val="09B21C10"/>
    <w:rsid w:val="09B22F39"/>
    <w:rsid w:val="09BC362F"/>
    <w:rsid w:val="09BE1BC6"/>
    <w:rsid w:val="09D27A29"/>
    <w:rsid w:val="09D409AD"/>
    <w:rsid w:val="09D473EA"/>
    <w:rsid w:val="09D92A9C"/>
    <w:rsid w:val="09D9302B"/>
    <w:rsid w:val="09DC5DBA"/>
    <w:rsid w:val="09DD5B19"/>
    <w:rsid w:val="09F337E1"/>
    <w:rsid w:val="0A0259AD"/>
    <w:rsid w:val="0A0D47DC"/>
    <w:rsid w:val="0A173C58"/>
    <w:rsid w:val="0A1A32D6"/>
    <w:rsid w:val="0A202D0D"/>
    <w:rsid w:val="0A23652E"/>
    <w:rsid w:val="0A263993"/>
    <w:rsid w:val="0A2777E4"/>
    <w:rsid w:val="0A295EB9"/>
    <w:rsid w:val="0A2B13BC"/>
    <w:rsid w:val="0A2D3AC2"/>
    <w:rsid w:val="0A305844"/>
    <w:rsid w:val="0A540824"/>
    <w:rsid w:val="0A546CFD"/>
    <w:rsid w:val="0A5F6393"/>
    <w:rsid w:val="0A6E6631"/>
    <w:rsid w:val="0A702E51"/>
    <w:rsid w:val="0A8411E4"/>
    <w:rsid w:val="0A854492"/>
    <w:rsid w:val="0A8836C4"/>
    <w:rsid w:val="0A8E79B3"/>
    <w:rsid w:val="0AA55986"/>
    <w:rsid w:val="0AA755DF"/>
    <w:rsid w:val="0AA873BD"/>
    <w:rsid w:val="0AA95618"/>
    <w:rsid w:val="0AAD7188"/>
    <w:rsid w:val="0AB45767"/>
    <w:rsid w:val="0AB63833"/>
    <w:rsid w:val="0ABF444C"/>
    <w:rsid w:val="0AC12D3E"/>
    <w:rsid w:val="0ACD0A9E"/>
    <w:rsid w:val="0ACF1ECA"/>
    <w:rsid w:val="0AD308D0"/>
    <w:rsid w:val="0AE036C8"/>
    <w:rsid w:val="0AE36A61"/>
    <w:rsid w:val="0AE772EC"/>
    <w:rsid w:val="0AF24147"/>
    <w:rsid w:val="0B036EA1"/>
    <w:rsid w:val="0B0A2AB4"/>
    <w:rsid w:val="0B120D44"/>
    <w:rsid w:val="0B1636EB"/>
    <w:rsid w:val="0B16599D"/>
    <w:rsid w:val="0B225B1C"/>
    <w:rsid w:val="0B260147"/>
    <w:rsid w:val="0B2C4A1D"/>
    <w:rsid w:val="0B39126D"/>
    <w:rsid w:val="0B3B6FFB"/>
    <w:rsid w:val="0B447466"/>
    <w:rsid w:val="0B5224A3"/>
    <w:rsid w:val="0B542E7B"/>
    <w:rsid w:val="0B5617B6"/>
    <w:rsid w:val="0B5856FC"/>
    <w:rsid w:val="0B5F5F36"/>
    <w:rsid w:val="0B5F63E8"/>
    <w:rsid w:val="0B624CBC"/>
    <w:rsid w:val="0B6369EB"/>
    <w:rsid w:val="0B6C304D"/>
    <w:rsid w:val="0B6F074F"/>
    <w:rsid w:val="0B7D1878"/>
    <w:rsid w:val="0B887C8F"/>
    <w:rsid w:val="0B8F3202"/>
    <w:rsid w:val="0B9167D1"/>
    <w:rsid w:val="0B941024"/>
    <w:rsid w:val="0B94146F"/>
    <w:rsid w:val="0B942F0D"/>
    <w:rsid w:val="0B94510B"/>
    <w:rsid w:val="0B9744F7"/>
    <w:rsid w:val="0BA211C0"/>
    <w:rsid w:val="0BA7743F"/>
    <w:rsid w:val="0BB05110"/>
    <w:rsid w:val="0BB66944"/>
    <w:rsid w:val="0BB85DCC"/>
    <w:rsid w:val="0BC744C8"/>
    <w:rsid w:val="0BCB62E6"/>
    <w:rsid w:val="0BCB720C"/>
    <w:rsid w:val="0BCE25BE"/>
    <w:rsid w:val="0BD27BF6"/>
    <w:rsid w:val="0BE21287"/>
    <w:rsid w:val="0BE8794D"/>
    <w:rsid w:val="0BF82748"/>
    <w:rsid w:val="0C01233A"/>
    <w:rsid w:val="0C03214B"/>
    <w:rsid w:val="0C04484A"/>
    <w:rsid w:val="0C062FCD"/>
    <w:rsid w:val="0C0842CA"/>
    <w:rsid w:val="0C190BE7"/>
    <w:rsid w:val="0C1E5272"/>
    <w:rsid w:val="0C212141"/>
    <w:rsid w:val="0C391C75"/>
    <w:rsid w:val="0C396F1E"/>
    <w:rsid w:val="0C3B3C7D"/>
    <w:rsid w:val="0C415076"/>
    <w:rsid w:val="0C480432"/>
    <w:rsid w:val="0C4F01D2"/>
    <w:rsid w:val="0C53373B"/>
    <w:rsid w:val="0C5411A6"/>
    <w:rsid w:val="0C6F2B19"/>
    <w:rsid w:val="0C721C76"/>
    <w:rsid w:val="0C7C1C96"/>
    <w:rsid w:val="0C8D4D99"/>
    <w:rsid w:val="0C8F6628"/>
    <w:rsid w:val="0CA40895"/>
    <w:rsid w:val="0CA77331"/>
    <w:rsid w:val="0CAB2EAE"/>
    <w:rsid w:val="0CBB296F"/>
    <w:rsid w:val="0CBE64A8"/>
    <w:rsid w:val="0CBF4051"/>
    <w:rsid w:val="0CC335FF"/>
    <w:rsid w:val="0CC43E4B"/>
    <w:rsid w:val="0CCB7FFA"/>
    <w:rsid w:val="0CCE65CF"/>
    <w:rsid w:val="0CD957A2"/>
    <w:rsid w:val="0CDA7707"/>
    <w:rsid w:val="0CE65565"/>
    <w:rsid w:val="0CEB4555"/>
    <w:rsid w:val="0CF573F8"/>
    <w:rsid w:val="0CFA2AF5"/>
    <w:rsid w:val="0CFF7D31"/>
    <w:rsid w:val="0D010932"/>
    <w:rsid w:val="0D080315"/>
    <w:rsid w:val="0D0845C2"/>
    <w:rsid w:val="0D0931FB"/>
    <w:rsid w:val="0D180B21"/>
    <w:rsid w:val="0D22141A"/>
    <w:rsid w:val="0D2E784C"/>
    <w:rsid w:val="0D4829AA"/>
    <w:rsid w:val="0D4E1C3C"/>
    <w:rsid w:val="0D511F69"/>
    <w:rsid w:val="0D5450EC"/>
    <w:rsid w:val="0D5605EF"/>
    <w:rsid w:val="0D5B02FA"/>
    <w:rsid w:val="0D5D380E"/>
    <w:rsid w:val="0D621C7D"/>
    <w:rsid w:val="0D6E3086"/>
    <w:rsid w:val="0D7511DD"/>
    <w:rsid w:val="0D7524D0"/>
    <w:rsid w:val="0D877769"/>
    <w:rsid w:val="0D915C46"/>
    <w:rsid w:val="0D924AED"/>
    <w:rsid w:val="0D9543FB"/>
    <w:rsid w:val="0D973FA6"/>
    <w:rsid w:val="0D9765DF"/>
    <w:rsid w:val="0D9D6573"/>
    <w:rsid w:val="0DA02EFC"/>
    <w:rsid w:val="0DAD17DE"/>
    <w:rsid w:val="0DB46587"/>
    <w:rsid w:val="0DEA55DF"/>
    <w:rsid w:val="0DEF26E8"/>
    <w:rsid w:val="0DEF6094"/>
    <w:rsid w:val="0DEF6465"/>
    <w:rsid w:val="0DF500CB"/>
    <w:rsid w:val="0E1163D7"/>
    <w:rsid w:val="0E1249C0"/>
    <w:rsid w:val="0E1343AF"/>
    <w:rsid w:val="0E16178E"/>
    <w:rsid w:val="0E1919B2"/>
    <w:rsid w:val="0E1A369E"/>
    <w:rsid w:val="0E1E7760"/>
    <w:rsid w:val="0E2010C7"/>
    <w:rsid w:val="0E2526A6"/>
    <w:rsid w:val="0E2553F7"/>
    <w:rsid w:val="0E2D406B"/>
    <w:rsid w:val="0E3604D5"/>
    <w:rsid w:val="0E4A2181"/>
    <w:rsid w:val="0E58199F"/>
    <w:rsid w:val="0E5873D9"/>
    <w:rsid w:val="0E5E5390"/>
    <w:rsid w:val="0E630A97"/>
    <w:rsid w:val="0E6A2D0C"/>
    <w:rsid w:val="0E6D66F5"/>
    <w:rsid w:val="0E73034D"/>
    <w:rsid w:val="0E846627"/>
    <w:rsid w:val="0E871B7E"/>
    <w:rsid w:val="0EA21DA1"/>
    <w:rsid w:val="0EA657BA"/>
    <w:rsid w:val="0EA97F9C"/>
    <w:rsid w:val="0EB01B25"/>
    <w:rsid w:val="0EBC7884"/>
    <w:rsid w:val="0EBD6B10"/>
    <w:rsid w:val="0EBE4BB8"/>
    <w:rsid w:val="0EC30B46"/>
    <w:rsid w:val="0EC87DFA"/>
    <w:rsid w:val="0EDC7736"/>
    <w:rsid w:val="0EDD498B"/>
    <w:rsid w:val="0EF02269"/>
    <w:rsid w:val="0EF64D43"/>
    <w:rsid w:val="0EFB5712"/>
    <w:rsid w:val="0F002BA9"/>
    <w:rsid w:val="0F0E2D91"/>
    <w:rsid w:val="0F0F60B0"/>
    <w:rsid w:val="0F13775A"/>
    <w:rsid w:val="0F214B60"/>
    <w:rsid w:val="0F27086A"/>
    <w:rsid w:val="0F2F44C8"/>
    <w:rsid w:val="0F463194"/>
    <w:rsid w:val="0F4739EF"/>
    <w:rsid w:val="0F5F45FE"/>
    <w:rsid w:val="0F63379C"/>
    <w:rsid w:val="0F74096A"/>
    <w:rsid w:val="0F7450E6"/>
    <w:rsid w:val="0F7A3967"/>
    <w:rsid w:val="0F8231CA"/>
    <w:rsid w:val="0F873CFF"/>
    <w:rsid w:val="0F93599B"/>
    <w:rsid w:val="0F965856"/>
    <w:rsid w:val="0F9A112B"/>
    <w:rsid w:val="0FAC16C3"/>
    <w:rsid w:val="0FB30FDA"/>
    <w:rsid w:val="0FB71BB5"/>
    <w:rsid w:val="0FBA44BD"/>
    <w:rsid w:val="0FBA5958"/>
    <w:rsid w:val="0FBF1CE2"/>
    <w:rsid w:val="0FC36EFC"/>
    <w:rsid w:val="0FC615B0"/>
    <w:rsid w:val="0FCB2DE2"/>
    <w:rsid w:val="0FCD487B"/>
    <w:rsid w:val="0FD8068E"/>
    <w:rsid w:val="0FE46009"/>
    <w:rsid w:val="0FE82EA7"/>
    <w:rsid w:val="0FEB2D35"/>
    <w:rsid w:val="0FEC0F77"/>
    <w:rsid w:val="0FF878BE"/>
    <w:rsid w:val="100216BC"/>
    <w:rsid w:val="1010629D"/>
    <w:rsid w:val="10335C41"/>
    <w:rsid w:val="10383D27"/>
    <w:rsid w:val="10387117"/>
    <w:rsid w:val="10387DA1"/>
    <w:rsid w:val="10410A6C"/>
    <w:rsid w:val="10434E04"/>
    <w:rsid w:val="104C73CC"/>
    <w:rsid w:val="10545A59"/>
    <w:rsid w:val="105732F4"/>
    <w:rsid w:val="105D3B36"/>
    <w:rsid w:val="106D2F64"/>
    <w:rsid w:val="107005D3"/>
    <w:rsid w:val="107233DC"/>
    <w:rsid w:val="10795BCA"/>
    <w:rsid w:val="107C0DBA"/>
    <w:rsid w:val="107C5919"/>
    <w:rsid w:val="10892331"/>
    <w:rsid w:val="108C0733"/>
    <w:rsid w:val="10925A8F"/>
    <w:rsid w:val="10973B61"/>
    <w:rsid w:val="10A5228D"/>
    <w:rsid w:val="10AD3516"/>
    <w:rsid w:val="10B05659"/>
    <w:rsid w:val="10B63710"/>
    <w:rsid w:val="10B661D1"/>
    <w:rsid w:val="10B752A3"/>
    <w:rsid w:val="10B9577E"/>
    <w:rsid w:val="10C26BD1"/>
    <w:rsid w:val="10C71C75"/>
    <w:rsid w:val="10C91012"/>
    <w:rsid w:val="10D25F0A"/>
    <w:rsid w:val="10D316BB"/>
    <w:rsid w:val="10D33DA9"/>
    <w:rsid w:val="10DC6C37"/>
    <w:rsid w:val="10E01CB0"/>
    <w:rsid w:val="10E048E1"/>
    <w:rsid w:val="10E77DBD"/>
    <w:rsid w:val="10EB7A95"/>
    <w:rsid w:val="10F10820"/>
    <w:rsid w:val="10F1115B"/>
    <w:rsid w:val="10F82CE4"/>
    <w:rsid w:val="110235F3"/>
    <w:rsid w:val="110F618C"/>
    <w:rsid w:val="111C2F7A"/>
    <w:rsid w:val="112245F9"/>
    <w:rsid w:val="112C7BEA"/>
    <w:rsid w:val="112D07CA"/>
    <w:rsid w:val="1136155C"/>
    <w:rsid w:val="11501174"/>
    <w:rsid w:val="11516BF6"/>
    <w:rsid w:val="115E4E42"/>
    <w:rsid w:val="11600E38"/>
    <w:rsid w:val="116518B4"/>
    <w:rsid w:val="11665CA1"/>
    <w:rsid w:val="11727009"/>
    <w:rsid w:val="117D2D9B"/>
    <w:rsid w:val="117E00E4"/>
    <w:rsid w:val="117E749E"/>
    <w:rsid w:val="117F43B2"/>
    <w:rsid w:val="1182036D"/>
    <w:rsid w:val="118865E2"/>
    <w:rsid w:val="118B2E3C"/>
    <w:rsid w:val="118D64C9"/>
    <w:rsid w:val="118F063B"/>
    <w:rsid w:val="118F66DA"/>
    <w:rsid w:val="11953E67"/>
    <w:rsid w:val="119B31DD"/>
    <w:rsid w:val="11AC32CF"/>
    <w:rsid w:val="11B22234"/>
    <w:rsid w:val="11B5691A"/>
    <w:rsid w:val="11BF2AAD"/>
    <w:rsid w:val="11BF2B05"/>
    <w:rsid w:val="11D755F1"/>
    <w:rsid w:val="11E33BD4"/>
    <w:rsid w:val="11E825EC"/>
    <w:rsid w:val="11F408B0"/>
    <w:rsid w:val="11F47704"/>
    <w:rsid w:val="11FA446E"/>
    <w:rsid w:val="11FB3D44"/>
    <w:rsid w:val="11FC4D5D"/>
    <w:rsid w:val="12011C07"/>
    <w:rsid w:val="12065E12"/>
    <w:rsid w:val="120F0AF8"/>
    <w:rsid w:val="121C45C0"/>
    <w:rsid w:val="122B630F"/>
    <w:rsid w:val="12347438"/>
    <w:rsid w:val="12380C9E"/>
    <w:rsid w:val="12411FD6"/>
    <w:rsid w:val="12527349"/>
    <w:rsid w:val="125C25AB"/>
    <w:rsid w:val="12680A71"/>
    <w:rsid w:val="12684809"/>
    <w:rsid w:val="12691A62"/>
    <w:rsid w:val="126C03DF"/>
    <w:rsid w:val="127129F5"/>
    <w:rsid w:val="12735080"/>
    <w:rsid w:val="127432EB"/>
    <w:rsid w:val="1277445A"/>
    <w:rsid w:val="127A5769"/>
    <w:rsid w:val="127B2E60"/>
    <w:rsid w:val="12801264"/>
    <w:rsid w:val="128105EC"/>
    <w:rsid w:val="12843C71"/>
    <w:rsid w:val="12866948"/>
    <w:rsid w:val="12876C72"/>
    <w:rsid w:val="129056B5"/>
    <w:rsid w:val="129A3C11"/>
    <w:rsid w:val="12AE605E"/>
    <w:rsid w:val="12B81741"/>
    <w:rsid w:val="12BD03DB"/>
    <w:rsid w:val="12CA23ED"/>
    <w:rsid w:val="12CD2621"/>
    <w:rsid w:val="12D31C39"/>
    <w:rsid w:val="12D368DA"/>
    <w:rsid w:val="12D62275"/>
    <w:rsid w:val="12DD2029"/>
    <w:rsid w:val="130917CA"/>
    <w:rsid w:val="13197158"/>
    <w:rsid w:val="13373215"/>
    <w:rsid w:val="133F6421"/>
    <w:rsid w:val="133F650E"/>
    <w:rsid w:val="134653EE"/>
    <w:rsid w:val="134925B4"/>
    <w:rsid w:val="134B3C4E"/>
    <w:rsid w:val="134C28CC"/>
    <w:rsid w:val="13522EC3"/>
    <w:rsid w:val="13567BC8"/>
    <w:rsid w:val="136256DC"/>
    <w:rsid w:val="1365085F"/>
    <w:rsid w:val="136715C8"/>
    <w:rsid w:val="136E5C48"/>
    <w:rsid w:val="1379754E"/>
    <w:rsid w:val="137D1CF6"/>
    <w:rsid w:val="13852398"/>
    <w:rsid w:val="138E4706"/>
    <w:rsid w:val="13951726"/>
    <w:rsid w:val="139C1B0C"/>
    <w:rsid w:val="13A40193"/>
    <w:rsid w:val="13AE7D5A"/>
    <w:rsid w:val="13B10A95"/>
    <w:rsid w:val="13B42F4B"/>
    <w:rsid w:val="13B5168D"/>
    <w:rsid w:val="13CE21A5"/>
    <w:rsid w:val="13E73222"/>
    <w:rsid w:val="13FC718B"/>
    <w:rsid w:val="14082BE5"/>
    <w:rsid w:val="14145E45"/>
    <w:rsid w:val="141B7438"/>
    <w:rsid w:val="141D5E0F"/>
    <w:rsid w:val="1424321C"/>
    <w:rsid w:val="142C2815"/>
    <w:rsid w:val="142E1B18"/>
    <w:rsid w:val="14360F37"/>
    <w:rsid w:val="14396509"/>
    <w:rsid w:val="143D6344"/>
    <w:rsid w:val="144349CA"/>
    <w:rsid w:val="144D2D5B"/>
    <w:rsid w:val="145A737F"/>
    <w:rsid w:val="14606DC7"/>
    <w:rsid w:val="1462242B"/>
    <w:rsid w:val="14671706"/>
    <w:rsid w:val="14702E9F"/>
    <w:rsid w:val="14714867"/>
    <w:rsid w:val="14793D41"/>
    <w:rsid w:val="14833235"/>
    <w:rsid w:val="148A6174"/>
    <w:rsid w:val="148C5B38"/>
    <w:rsid w:val="148D6D94"/>
    <w:rsid w:val="149C3AF1"/>
    <w:rsid w:val="149F0257"/>
    <w:rsid w:val="14A66F49"/>
    <w:rsid w:val="14A97BF1"/>
    <w:rsid w:val="14AF3378"/>
    <w:rsid w:val="14C87351"/>
    <w:rsid w:val="14D86E54"/>
    <w:rsid w:val="14DD2C3C"/>
    <w:rsid w:val="14E013D0"/>
    <w:rsid w:val="14EE4EEE"/>
    <w:rsid w:val="150435EA"/>
    <w:rsid w:val="150F405F"/>
    <w:rsid w:val="151F522E"/>
    <w:rsid w:val="15306BD1"/>
    <w:rsid w:val="1534372C"/>
    <w:rsid w:val="153E117F"/>
    <w:rsid w:val="154D55DC"/>
    <w:rsid w:val="1550600E"/>
    <w:rsid w:val="15517106"/>
    <w:rsid w:val="1553677D"/>
    <w:rsid w:val="1556100F"/>
    <w:rsid w:val="155E6652"/>
    <w:rsid w:val="156712A9"/>
    <w:rsid w:val="15716ADB"/>
    <w:rsid w:val="157223A2"/>
    <w:rsid w:val="15A648EC"/>
    <w:rsid w:val="15AC70AC"/>
    <w:rsid w:val="15B13CA7"/>
    <w:rsid w:val="15B23D16"/>
    <w:rsid w:val="15B4049D"/>
    <w:rsid w:val="15D05455"/>
    <w:rsid w:val="15D82350"/>
    <w:rsid w:val="15D84ED7"/>
    <w:rsid w:val="15DF45B8"/>
    <w:rsid w:val="15E8637F"/>
    <w:rsid w:val="15E9057E"/>
    <w:rsid w:val="15EB611B"/>
    <w:rsid w:val="16087E1D"/>
    <w:rsid w:val="160D67C5"/>
    <w:rsid w:val="163A1216"/>
    <w:rsid w:val="164932EE"/>
    <w:rsid w:val="164B4C17"/>
    <w:rsid w:val="164D0F49"/>
    <w:rsid w:val="16501227"/>
    <w:rsid w:val="16527FAD"/>
    <w:rsid w:val="16671B03"/>
    <w:rsid w:val="166D0D48"/>
    <w:rsid w:val="167040C8"/>
    <w:rsid w:val="167B1172"/>
    <w:rsid w:val="167C1963"/>
    <w:rsid w:val="16832706"/>
    <w:rsid w:val="168356FE"/>
    <w:rsid w:val="169A0C5C"/>
    <w:rsid w:val="169B16A6"/>
    <w:rsid w:val="169F74A4"/>
    <w:rsid w:val="16A1573D"/>
    <w:rsid w:val="16A22F67"/>
    <w:rsid w:val="16A51FB6"/>
    <w:rsid w:val="16BA59AD"/>
    <w:rsid w:val="16C626E9"/>
    <w:rsid w:val="16C90EC2"/>
    <w:rsid w:val="16E21E1B"/>
    <w:rsid w:val="16EF122C"/>
    <w:rsid w:val="16EF63BE"/>
    <w:rsid w:val="16EF7446"/>
    <w:rsid w:val="16F31F14"/>
    <w:rsid w:val="16F878A2"/>
    <w:rsid w:val="16F93C3E"/>
    <w:rsid w:val="16FB4072"/>
    <w:rsid w:val="17084259"/>
    <w:rsid w:val="170C162D"/>
    <w:rsid w:val="171172B7"/>
    <w:rsid w:val="17124B68"/>
    <w:rsid w:val="17161C69"/>
    <w:rsid w:val="1719326E"/>
    <w:rsid w:val="171B631F"/>
    <w:rsid w:val="171C2EF9"/>
    <w:rsid w:val="17215F32"/>
    <w:rsid w:val="17280B86"/>
    <w:rsid w:val="17296C9C"/>
    <w:rsid w:val="172E0C15"/>
    <w:rsid w:val="17465999"/>
    <w:rsid w:val="174B1BD8"/>
    <w:rsid w:val="175702E4"/>
    <w:rsid w:val="175D0586"/>
    <w:rsid w:val="175F72B3"/>
    <w:rsid w:val="176432ED"/>
    <w:rsid w:val="17701D14"/>
    <w:rsid w:val="17735226"/>
    <w:rsid w:val="17746BAA"/>
    <w:rsid w:val="17782236"/>
    <w:rsid w:val="177D6416"/>
    <w:rsid w:val="17866A4B"/>
    <w:rsid w:val="17883607"/>
    <w:rsid w:val="178B0E85"/>
    <w:rsid w:val="179A3FB5"/>
    <w:rsid w:val="179F03EE"/>
    <w:rsid w:val="17A46DD3"/>
    <w:rsid w:val="17A7481C"/>
    <w:rsid w:val="17AF58CE"/>
    <w:rsid w:val="17B90573"/>
    <w:rsid w:val="17C04350"/>
    <w:rsid w:val="17C3457B"/>
    <w:rsid w:val="17C52BDB"/>
    <w:rsid w:val="17C82E8C"/>
    <w:rsid w:val="17CB150A"/>
    <w:rsid w:val="17D47944"/>
    <w:rsid w:val="17D55FD6"/>
    <w:rsid w:val="17D56FFF"/>
    <w:rsid w:val="17DA61DC"/>
    <w:rsid w:val="17DB67AF"/>
    <w:rsid w:val="17E0613C"/>
    <w:rsid w:val="17ED150C"/>
    <w:rsid w:val="17FF6273"/>
    <w:rsid w:val="18021410"/>
    <w:rsid w:val="180A7141"/>
    <w:rsid w:val="180B0603"/>
    <w:rsid w:val="1812298B"/>
    <w:rsid w:val="1817126F"/>
    <w:rsid w:val="1828737B"/>
    <w:rsid w:val="182B7F3E"/>
    <w:rsid w:val="182E403B"/>
    <w:rsid w:val="18302909"/>
    <w:rsid w:val="18395CF2"/>
    <w:rsid w:val="186E7023"/>
    <w:rsid w:val="18716E8D"/>
    <w:rsid w:val="187355C6"/>
    <w:rsid w:val="188106BA"/>
    <w:rsid w:val="18856C48"/>
    <w:rsid w:val="188579DB"/>
    <w:rsid w:val="188A5136"/>
    <w:rsid w:val="188B5D59"/>
    <w:rsid w:val="188C65D3"/>
    <w:rsid w:val="189813C8"/>
    <w:rsid w:val="189A7F5D"/>
    <w:rsid w:val="189B6BED"/>
    <w:rsid w:val="189F624C"/>
    <w:rsid w:val="18AA5253"/>
    <w:rsid w:val="18AC5A1A"/>
    <w:rsid w:val="18BF18AE"/>
    <w:rsid w:val="18C61C4B"/>
    <w:rsid w:val="18CE0782"/>
    <w:rsid w:val="18D07033"/>
    <w:rsid w:val="18D30F86"/>
    <w:rsid w:val="18D32D65"/>
    <w:rsid w:val="18F561E8"/>
    <w:rsid w:val="190030E1"/>
    <w:rsid w:val="190A5EB8"/>
    <w:rsid w:val="190B11A7"/>
    <w:rsid w:val="190D4D89"/>
    <w:rsid w:val="19111702"/>
    <w:rsid w:val="19127923"/>
    <w:rsid w:val="19137BA4"/>
    <w:rsid w:val="19167A59"/>
    <w:rsid w:val="191C75B1"/>
    <w:rsid w:val="19212526"/>
    <w:rsid w:val="19235C4C"/>
    <w:rsid w:val="193154FA"/>
    <w:rsid w:val="193D772F"/>
    <w:rsid w:val="193D7B2F"/>
    <w:rsid w:val="1952465B"/>
    <w:rsid w:val="196A135F"/>
    <w:rsid w:val="19714FA4"/>
    <w:rsid w:val="19744352"/>
    <w:rsid w:val="197E1C9F"/>
    <w:rsid w:val="19813F99"/>
    <w:rsid w:val="19932E40"/>
    <w:rsid w:val="19A63CFB"/>
    <w:rsid w:val="19A838A8"/>
    <w:rsid w:val="19AF65DB"/>
    <w:rsid w:val="19B60BB4"/>
    <w:rsid w:val="19BA7C9D"/>
    <w:rsid w:val="19BF3CDD"/>
    <w:rsid w:val="19C440E9"/>
    <w:rsid w:val="19C64F7E"/>
    <w:rsid w:val="19C94DE3"/>
    <w:rsid w:val="19CB5909"/>
    <w:rsid w:val="19D04C29"/>
    <w:rsid w:val="19D57AE5"/>
    <w:rsid w:val="19DA3CF6"/>
    <w:rsid w:val="19DE008F"/>
    <w:rsid w:val="19DE47A1"/>
    <w:rsid w:val="19DE573A"/>
    <w:rsid w:val="19F43407"/>
    <w:rsid w:val="19FB1DF1"/>
    <w:rsid w:val="19FF53EC"/>
    <w:rsid w:val="1A0119B8"/>
    <w:rsid w:val="1A081A36"/>
    <w:rsid w:val="1A0E71C3"/>
    <w:rsid w:val="1A173B5B"/>
    <w:rsid w:val="1A1832DF"/>
    <w:rsid w:val="1A187AC0"/>
    <w:rsid w:val="1A1A2D74"/>
    <w:rsid w:val="1A1C66C0"/>
    <w:rsid w:val="1A317A8D"/>
    <w:rsid w:val="1A390D51"/>
    <w:rsid w:val="1A3C058B"/>
    <w:rsid w:val="1A3C30A4"/>
    <w:rsid w:val="1A42393B"/>
    <w:rsid w:val="1A563640"/>
    <w:rsid w:val="1A566EC3"/>
    <w:rsid w:val="1A725422"/>
    <w:rsid w:val="1A7306A2"/>
    <w:rsid w:val="1A78055F"/>
    <w:rsid w:val="1A7903B0"/>
    <w:rsid w:val="1A790F8F"/>
    <w:rsid w:val="1A79685A"/>
    <w:rsid w:val="1A816740"/>
    <w:rsid w:val="1A9469A8"/>
    <w:rsid w:val="1A9A3D40"/>
    <w:rsid w:val="1A9F5AEC"/>
    <w:rsid w:val="1AA348F5"/>
    <w:rsid w:val="1AA44A44"/>
    <w:rsid w:val="1AAD45DE"/>
    <w:rsid w:val="1ABB6264"/>
    <w:rsid w:val="1AC30414"/>
    <w:rsid w:val="1AC44141"/>
    <w:rsid w:val="1ADD0F66"/>
    <w:rsid w:val="1ADF754E"/>
    <w:rsid w:val="1AE12FFB"/>
    <w:rsid w:val="1AE166E0"/>
    <w:rsid w:val="1AF03371"/>
    <w:rsid w:val="1AF068B0"/>
    <w:rsid w:val="1AFD2B54"/>
    <w:rsid w:val="1B002BED"/>
    <w:rsid w:val="1B046F80"/>
    <w:rsid w:val="1B066BF9"/>
    <w:rsid w:val="1B245C99"/>
    <w:rsid w:val="1B27179A"/>
    <w:rsid w:val="1B2F5B44"/>
    <w:rsid w:val="1B2F68F2"/>
    <w:rsid w:val="1B3267B5"/>
    <w:rsid w:val="1B342077"/>
    <w:rsid w:val="1B3971E5"/>
    <w:rsid w:val="1B40161D"/>
    <w:rsid w:val="1B441859"/>
    <w:rsid w:val="1B452C75"/>
    <w:rsid w:val="1B4F1352"/>
    <w:rsid w:val="1B4F6F6D"/>
    <w:rsid w:val="1B513EBB"/>
    <w:rsid w:val="1B5F5177"/>
    <w:rsid w:val="1B624E32"/>
    <w:rsid w:val="1B6606B1"/>
    <w:rsid w:val="1B6654B4"/>
    <w:rsid w:val="1B693508"/>
    <w:rsid w:val="1B720367"/>
    <w:rsid w:val="1B741899"/>
    <w:rsid w:val="1B772AA4"/>
    <w:rsid w:val="1B78246D"/>
    <w:rsid w:val="1B7A4DCF"/>
    <w:rsid w:val="1BA74A3C"/>
    <w:rsid w:val="1BAF61FB"/>
    <w:rsid w:val="1BB01132"/>
    <w:rsid w:val="1BC85AA0"/>
    <w:rsid w:val="1BC95D38"/>
    <w:rsid w:val="1BD141B1"/>
    <w:rsid w:val="1BD276B4"/>
    <w:rsid w:val="1BD53449"/>
    <w:rsid w:val="1BDF376E"/>
    <w:rsid w:val="1BE101A2"/>
    <w:rsid w:val="1BE225F0"/>
    <w:rsid w:val="1C055B59"/>
    <w:rsid w:val="1C1710A3"/>
    <w:rsid w:val="1C264D31"/>
    <w:rsid w:val="1C266597"/>
    <w:rsid w:val="1C267EDD"/>
    <w:rsid w:val="1C292553"/>
    <w:rsid w:val="1C2C0BE0"/>
    <w:rsid w:val="1C2C6EB8"/>
    <w:rsid w:val="1C2F57A4"/>
    <w:rsid w:val="1C4740E5"/>
    <w:rsid w:val="1C48577D"/>
    <w:rsid w:val="1C517F83"/>
    <w:rsid w:val="1C536592"/>
    <w:rsid w:val="1C5B504B"/>
    <w:rsid w:val="1C5B6314"/>
    <w:rsid w:val="1C5E7925"/>
    <w:rsid w:val="1C654BED"/>
    <w:rsid w:val="1C70627C"/>
    <w:rsid w:val="1C723C71"/>
    <w:rsid w:val="1C7E55CF"/>
    <w:rsid w:val="1C817C8B"/>
    <w:rsid w:val="1C846164"/>
    <w:rsid w:val="1C8A5096"/>
    <w:rsid w:val="1C8F5304"/>
    <w:rsid w:val="1C90180A"/>
    <w:rsid w:val="1C9167EE"/>
    <w:rsid w:val="1CA47A0D"/>
    <w:rsid w:val="1CC7374C"/>
    <w:rsid w:val="1CD22196"/>
    <w:rsid w:val="1CD4275A"/>
    <w:rsid w:val="1CDA20B9"/>
    <w:rsid w:val="1CDF48C5"/>
    <w:rsid w:val="1CE05A4E"/>
    <w:rsid w:val="1CE543AB"/>
    <w:rsid w:val="1CED0AE2"/>
    <w:rsid w:val="1CF4520D"/>
    <w:rsid w:val="1CFA299A"/>
    <w:rsid w:val="1CFD009B"/>
    <w:rsid w:val="1CFD070F"/>
    <w:rsid w:val="1D0153CF"/>
    <w:rsid w:val="1D0B4728"/>
    <w:rsid w:val="1D0C42E1"/>
    <w:rsid w:val="1D1247BD"/>
    <w:rsid w:val="1D235D75"/>
    <w:rsid w:val="1D3037AE"/>
    <w:rsid w:val="1D40351C"/>
    <w:rsid w:val="1D432FFE"/>
    <w:rsid w:val="1D4A306B"/>
    <w:rsid w:val="1D4F5BD8"/>
    <w:rsid w:val="1D5C72FD"/>
    <w:rsid w:val="1D5F6196"/>
    <w:rsid w:val="1D6132A5"/>
    <w:rsid w:val="1D69568C"/>
    <w:rsid w:val="1D6B5966"/>
    <w:rsid w:val="1D6D331C"/>
    <w:rsid w:val="1D6F48A5"/>
    <w:rsid w:val="1D757A83"/>
    <w:rsid w:val="1D765CAA"/>
    <w:rsid w:val="1D7A47C4"/>
    <w:rsid w:val="1D7E18EE"/>
    <w:rsid w:val="1D8E56D5"/>
    <w:rsid w:val="1D9A4FDF"/>
    <w:rsid w:val="1DA069AB"/>
    <w:rsid w:val="1DA17293"/>
    <w:rsid w:val="1DB401C9"/>
    <w:rsid w:val="1DBE53D1"/>
    <w:rsid w:val="1DCA3F6C"/>
    <w:rsid w:val="1DCD7789"/>
    <w:rsid w:val="1DD45A3E"/>
    <w:rsid w:val="1DD80423"/>
    <w:rsid w:val="1DE438F4"/>
    <w:rsid w:val="1DE80D6A"/>
    <w:rsid w:val="1DF15646"/>
    <w:rsid w:val="1DFF279B"/>
    <w:rsid w:val="1E037A02"/>
    <w:rsid w:val="1E085815"/>
    <w:rsid w:val="1E093C7D"/>
    <w:rsid w:val="1E1516C2"/>
    <w:rsid w:val="1E153519"/>
    <w:rsid w:val="1E1821BB"/>
    <w:rsid w:val="1E1B62F5"/>
    <w:rsid w:val="1E1C3D76"/>
    <w:rsid w:val="1E217FFA"/>
    <w:rsid w:val="1E2468FC"/>
    <w:rsid w:val="1E376EFE"/>
    <w:rsid w:val="1E41421A"/>
    <w:rsid w:val="1E414EAF"/>
    <w:rsid w:val="1E4733E3"/>
    <w:rsid w:val="1E593EA6"/>
    <w:rsid w:val="1E692697"/>
    <w:rsid w:val="1E6A2707"/>
    <w:rsid w:val="1E7352C5"/>
    <w:rsid w:val="1E7A43DA"/>
    <w:rsid w:val="1E7D3CBA"/>
    <w:rsid w:val="1E846C1E"/>
    <w:rsid w:val="1E8C02D6"/>
    <w:rsid w:val="1E8F0832"/>
    <w:rsid w:val="1E915F9B"/>
    <w:rsid w:val="1E933A9B"/>
    <w:rsid w:val="1E95545B"/>
    <w:rsid w:val="1EA305EF"/>
    <w:rsid w:val="1EA5753E"/>
    <w:rsid w:val="1EB10E5F"/>
    <w:rsid w:val="1EB33A4E"/>
    <w:rsid w:val="1EB64E6E"/>
    <w:rsid w:val="1EC31ECA"/>
    <w:rsid w:val="1ED4257E"/>
    <w:rsid w:val="1EEA1E45"/>
    <w:rsid w:val="1EEB228A"/>
    <w:rsid w:val="1EEB37BE"/>
    <w:rsid w:val="1EFA20E0"/>
    <w:rsid w:val="1EFE76AB"/>
    <w:rsid w:val="1F0208EA"/>
    <w:rsid w:val="1F05039E"/>
    <w:rsid w:val="1F0F3DAD"/>
    <w:rsid w:val="1F125588"/>
    <w:rsid w:val="1F1C7620"/>
    <w:rsid w:val="1F214FA5"/>
    <w:rsid w:val="1F235281"/>
    <w:rsid w:val="1F305FCE"/>
    <w:rsid w:val="1F377FC6"/>
    <w:rsid w:val="1F3F042F"/>
    <w:rsid w:val="1F400656"/>
    <w:rsid w:val="1F453362"/>
    <w:rsid w:val="1F59095F"/>
    <w:rsid w:val="1F62660C"/>
    <w:rsid w:val="1F69491A"/>
    <w:rsid w:val="1F7445D1"/>
    <w:rsid w:val="1F7C7276"/>
    <w:rsid w:val="1F891A89"/>
    <w:rsid w:val="1F8F6E0D"/>
    <w:rsid w:val="1F926D94"/>
    <w:rsid w:val="1F93095F"/>
    <w:rsid w:val="1F9D0023"/>
    <w:rsid w:val="1FA328F8"/>
    <w:rsid w:val="1FA37075"/>
    <w:rsid w:val="1FB23C6B"/>
    <w:rsid w:val="1FB50D64"/>
    <w:rsid w:val="1FBB2666"/>
    <w:rsid w:val="1FD77830"/>
    <w:rsid w:val="1FE7539E"/>
    <w:rsid w:val="1FEB64DC"/>
    <w:rsid w:val="1FED4EC4"/>
    <w:rsid w:val="1FF34514"/>
    <w:rsid w:val="1FF6396E"/>
    <w:rsid w:val="1FF65997"/>
    <w:rsid w:val="1FFA3BFD"/>
    <w:rsid w:val="1FFF47E4"/>
    <w:rsid w:val="20097135"/>
    <w:rsid w:val="20147695"/>
    <w:rsid w:val="202004FE"/>
    <w:rsid w:val="202408C8"/>
    <w:rsid w:val="2027184D"/>
    <w:rsid w:val="202E4A5B"/>
    <w:rsid w:val="203044AB"/>
    <w:rsid w:val="20362814"/>
    <w:rsid w:val="203B675F"/>
    <w:rsid w:val="203E4CF5"/>
    <w:rsid w:val="204418FC"/>
    <w:rsid w:val="204800B4"/>
    <w:rsid w:val="20537DAC"/>
    <w:rsid w:val="206155F1"/>
    <w:rsid w:val="20671BE0"/>
    <w:rsid w:val="206774A4"/>
    <w:rsid w:val="206F30B6"/>
    <w:rsid w:val="207307EE"/>
    <w:rsid w:val="208163AD"/>
    <w:rsid w:val="208C3145"/>
    <w:rsid w:val="2091370B"/>
    <w:rsid w:val="2093268C"/>
    <w:rsid w:val="20963CB8"/>
    <w:rsid w:val="20A32934"/>
    <w:rsid w:val="20A33F26"/>
    <w:rsid w:val="20A54C7E"/>
    <w:rsid w:val="20A81A1B"/>
    <w:rsid w:val="20A86407"/>
    <w:rsid w:val="20A86E90"/>
    <w:rsid w:val="20B07FB6"/>
    <w:rsid w:val="20B50589"/>
    <w:rsid w:val="20B60626"/>
    <w:rsid w:val="20B646FB"/>
    <w:rsid w:val="20B93881"/>
    <w:rsid w:val="20BC7B42"/>
    <w:rsid w:val="20C105A8"/>
    <w:rsid w:val="20CC7EBB"/>
    <w:rsid w:val="20ED0CA4"/>
    <w:rsid w:val="20F2001C"/>
    <w:rsid w:val="20FD5793"/>
    <w:rsid w:val="20FE000B"/>
    <w:rsid w:val="21031F98"/>
    <w:rsid w:val="21042327"/>
    <w:rsid w:val="211010C6"/>
    <w:rsid w:val="21161D14"/>
    <w:rsid w:val="211961E9"/>
    <w:rsid w:val="211C0DAE"/>
    <w:rsid w:val="21260D15"/>
    <w:rsid w:val="21291E29"/>
    <w:rsid w:val="212925B3"/>
    <w:rsid w:val="212A77D6"/>
    <w:rsid w:val="213B5EB2"/>
    <w:rsid w:val="213B74B1"/>
    <w:rsid w:val="213E119E"/>
    <w:rsid w:val="214735D5"/>
    <w:rsid w:val="214872F3"/>
    <w:rsid w:val="214964AC"/>
    <w:rsid w:val="21592EC3"/>
    <w:rsid w:val="215A2310"/>
    <w:rsid w:val="21625D51"/>
    <w:rsid w:val="2164007D"/>
    <w:rsid w:val="216E446A"/>
    <w:rsid w:val="21803B9B"/>
    <w:rsid w:val="21806681"/>
    <w:rsid w:val="218B0B15"/>
    <w:rsid w:val="218D60D5"/>
    <w:rsid w:val="219A3CF9"/>
    <w:rsid w:val="21B07155"/>
    <w:rsid w:val="21C737CA"/>
    <w:rsid w:val="21CA7744"/>
    <w:rsid w:val="21CD20CF"/>
    <w:rsid w:val="21DB2198"/>
    <w:rsid w:val="21DE318A"/>
    <w:rsid w:val="21E40224"/>
    <w:rsid w:val="21E434EF"/>
    <w:rsid w:val="21E57700"/>
    <w:rsid w:val="21EA6346"/>
    <w:rsid w:val="21EF5B80"/>
    <w:rsid w:val="21F665C5"/>
    <w:rsid w:val="22046BDF"/>
    <w:rsid w:val="22093067"/>
    <w:rsid w:val="220F7504"/>
    <w:rsid w:val="222F0456"/>
    <w:rsid w:val="22302F27"/>
    <w:rsid w:val="223C5E59"/>
    <w:rsid w:val="223E5825"/>
    <w:rsid w:val="22502157"/>
    <w:rsid w:val="22576990"/>
    <w:rsid w:val="225B3EBB"/>
    <w:rsid w:val="22611949"/>
    <w:rsid w:val="226A1E07"/>
    <w:rsid w:val="226B5C8B"/>
    <w:rsid w:val="22745647"/>
    <w:rsid w:val="22754915"/>
    <w:rsid w:val="227F2879"/>
    <w:rsid w:val="22816667"/>
    <w:rsid w:val="2283791D"/>
    <w:rsid w:val="228565A7"/>
    <w:rsid w:val="229047C7"/>
    <w:rsid w:val="2295541A"/>
    <w:rsid w:val="229B311F"/>
    <w:rsid w:val="229B5FE9"/>
    <w:rsid w:val="22A864DF"/>
    <w:rsid w:val="22B456FE"/>
    <w:rsid w:val="22B923C3"/>
    <w:rsid w:val="22BF4832"/>
    <w:rsid w:val="22D228B3"/>
    <w:rsid w:val="22D3061D"/>
    <w:rsid w:val="22DD303F"/>
    <w:rsid w:val="22DE0AC1"/>
    <w:rsid w:val="22DF73CD"/>
    <w:rsid w:val="22E4044C"/>
    <w:rsid w:val="22E646A2"/>
    <w:rsid w:val="22E771D2"/>
    <w:rsid w:val="22EF1A73"/>
    <w:rsid w:val="22F47480"/>
    <w:rsid w:val="22F652A2"/>
    <w:rsid w:val="23131086"/>
    <w:rsid w:val="2315697D"/>
    <w:rsid w:val="232B5A8E"/>
    <w:rsid w:val="234207E5"/>
    <w:rsid w:val="2344348B"/>
    <w:rsid w:val="235474F9"/>
    <w:rsid w:val="235937CE"/>
    <w:rsid w:val="2360508F"/>
    <w:rsid w:val="2373418B"/>
    <w:rsid w:val="237831A0"/>
    <w:rsid w:val="238A0EEA"/>
    <w:rsid w:val="238C0BD7"/>
    <w:rsid w:val="238E524C"/>
    <w:rsid w:val="239F2BAF"/>
    <w:rsid w:val="23A15020"/>
    <w:rsid w:val="23A81AD9"/>
    <w:rsid w:val="23B34835"/>
    <w:rsid w:val="23BF709D"/>
    <w:rsid w:val="23CC6B70"/>
    <w:rsid w:val="23D30ED7"/>
    <w:rsid w:val="23DE1C48"/>
    <w:rsid w:val="23E71555"/>
    <w:rsid w:val="23E847F6"/>
    <w:rsid w:val="23F2315B"/>
    <w:rsid w:val="23FE3883"/>
    <w:rsid w:val="240210CD"/>
    <w:rsid w:val="24030368"/>
    <w:rsid w:val="240A64FB"/>
    <w:rsid w:val="2412563B"/>
    <w:rsid w:val="241330BC"/>
    <w:rsid w:val="241D476D"/>
    <w:rsid w:val="242C7BDF"/>
    <w:rsid w:val="24373D8A"/>
    <w:rsid w:val="24587659"/>
    <w:rsid w:val="24687A8F"/>
    <w:rsid w:val="246E5D54"/>
    <w:rsid w:val="248136F0"/>
    <w:rsid w:val="24852164"/>
    <w:rsid w:val="248D0808"/>
    <w:rsid w:val="24940B40"/>
    <w:rsid w:val="249C1711"/>
    <w:rsid w:val="24A274A8"/>
    <w:rsid w:val="24AB66C6"/>
    <w:rsid w:val="24B96BCD"/>
    <w:rsid w:val="24BA3B47"/>
    <w:rsid w:val="24BF09F7"/>
    <w:rsid w:val="24C37C69"/>
    <w:rsid w:val="24CA19B7"/>
    <w:rsid w:val="24E94533"/>
    <w:rsid w:val="24ED0821"/>
    <w:rsid w:val="24EE2F28"/>
    <w:rsid w:val="24EE3D24"/>
    <w:rsid w:val="24F435BD"/>
    <w:rsid w:val="250207C6"/>
    <w:rsid w:val="25095C4E"/>
    <w:rsid w:val="251F0E4B"/>
    <w:rsid w:val="25262992"/>
    <w:rsid w:val="25297144"/>
    <w:rsid w:val="252B7456"/>
    <w:rsid w:val="252D53FE"/>
    <w:rsid w:val="253120DD"/>
    <w:rsid w:val="25356482"/>
    <w:rsid w:val="25374987"/>
    <w:rsid w:val="2537799C"/>
    <w:rsid w:val="254A163E"/>
    <w:rsid w:val="254D2EB6"/>
    <w:rsid w:val="254E2E44"/>
    <w:rsid w:val="255D6770"/>
    <w:rsid w:val="256116D5"/>
    <w:rsid w:val="256F0DB1"/>
    <w:rsid w:val="25715C05"/>
    <w:rsid w:val="257632D6"/>
    <w:rsid w:val="25773C35"/>
    <w:rsid w:val="257B169F"/>
    <w:rsid w:val="25804B6B"/>
    <w:rsid w:val="258D2929"/>
    <w:rsid w:val="2590132F"/>
    <w:rsid w:val="25947D35"/>
    <w:rsid w:val="259545BC"/>
    <w:rsid w:val="259B5357"/>
    <w:rsid w:val="25AD507C"/>
    <w:rsid w:val="25B34D67"/>
    <w:rsid w:val="25B92BC1"/>
    <w:rsid w:val="25BB6B55"/>
    <w:rsid w:val="25D44E26"/>
    <w:rsid w:val="25DD5322"/>
    <w:rsid w:val="25EA6A1D"/>
    <w:rsid w:val="25EC2D81"/>
    <w:rsid w:val="25EF6DBB"/>
    <w:rsid w:val="26070EDD"/>
    <w:rsid w:val="26112B82"/>
    <w:rsid w:val="261267C1"/>
    <w:rsid w:val="261332DF"/>
    <w:rsid w:val="261A30FE"/>
    <w:rsid w:val="26272104"/>
    <w:rsid w:val="263B3429"/>
    <w:rsid w:val="2647113D"/>
    <w:rsid w:val="264C2EC3"/>
    <w:rsid w:val="264D78ED"/>
    <w:rsid w:val="26511EC2"/>
    <w:rsid w:val="265F29B4"/>
    <w:rsid w:val="266307DD"/>
    <w:rsid w:val="26753BA5"/>
    <w:rsid w:val="268338E3"/>
    <w:rsid w:val="26876E2A"/>
    <w:rsid w:val="268A1547"/>
    <w:rsid w:val="26A36964"/>
    <w:rsid w:val="26AA1F92"/>
    <w:rsid w:val="26AE2312"/>
    <w:rsid w:val="26C155C6"/>
    <w:rsid w:val="26C5577E"/>
    <w:rsid w:val="26D251BE"/>
    <w:rsid w:val="26D870C8"/>
    <w:rsid w:val="26DA25CB"/>
    <w:rsid w:val="26DB38D0"/>
    <w:rsid w:val="26EC15EB"/>
    <w:rsid w:val="26EF182F"/>
    <w:rsid w:val="27046D98"/>
    <w:rsid w:val="27115070"/>
    <w:rsid w:val="271214F8"/>
    <w:rsid w:val="271D32D6"/>
    <w:rsid w:val="27273891"/>
    <w:rsid w:val="272F4255"/>
    <w:rsid w:val="2735070C"/>
    <w:rsid w:val="2735576F"/>
    <w:rsid w:val="273723F5"/>
    <w:rsid w:val="273B735E"/>
    <w:rsid w:val="273D6197"/>
    <w:rsid w:val="27436777"/>
    <w:rsid w:val="274441F8"/>
    <w:rsid w:val="274805EB"/>
    <w:rsid w:val="275224D7"/>
    <w:rsid w:val="275F0B44"/>
    <w:rsid w:val="27601989"/>
    <w:rsid w:val="27601DEB"/>
    <w:rsid w:val="277057A2"/>
    <w:rsid w:val="27751ED4"/>
    <w:rsid w:val="277C54FE"/>
    <w:rsid w:val="277D6C3F"/>
    <w:rsid w:val="27876EE3"/>
    <w:rsid w:val="278972E5"/>
    <w:rsid w:val="2793000C"/>
    <w:rsid w:val="27A62CC8"/>
    <w:rsid w:val="27AC1735"/>
    <w:rsid w:val="27AD39BA"/>
    <w:rsid w:val="27B04698"/>
    <w:rsid w:val="27B5779C"/>
    <w:rsid w:val="27B8715C"/>
    <w:rsid w:val="27BA4071"/>
    <w:rsid w:val="27C0398E"/>
    <w:rsid w:val="27C16EF4"/>
    <w:rsid w:val="27CC4273"/>
    <w:rsid w:val="27DA6CA3"/>
    <w:rsid w:val="27E078FA"/>
    <w:rsid w:val="27E2757A"/>
    <w:rsid w:val="27ED4C02"/>
    <w:rsid w:val="27F80D57"/>
    <w:rsid w:val="280451E0"/>
    <w:rsid w:val="28067B3A"/>
    <w:rsid w:val="281573AE"/>
    <w:rsid w:val="28217455"/>
    <w:rsid w:val="2827678F"/>
    <w:rsid w:val="28297A6B"/>
    <w:rsid w:val="282E642F"/>
    <w:rsid w:val="28401AA5"/>
    <w:rsid w:val="28515D28"/>
    <w:rsid w:val="28596F76"/>
    <w:rsid w:val="286051FE"/>
    <w:rsid w:val="286147B1"/>
    <w:rsid w:val="2861760D"/>
    <w:rsid w:val="286432C7"/>
    <w:rsid w:val="286D4D50"/>
    <w:rsid w:val="28784840"/>
    <w:rsid w:val="28825D87"/>
    <w:rsid w:val="288F6E88"/>
    <w:rsid w:val="28954132"/>
    <w:rsid w:val="289C7CAD"/>
    <w:rsid w:val="28A56C22"/>
    <w:rsid w:val="28A646D1"/>
    <w:rsid w:val="28AE17B9"/>
    <w:rsid w:val="28AE1FCF"/>
    <w:rsid w:val="28BD3A65"/>
    <w:rsid w:val="28C14306"/>
    <w:rsid w:val="28C41A28"/>
    <w:rsid w:val="28C950EC"/>
    <w:rsid w:val="28CF745C"/>
    <w:rsid w:val="28D02A86"/>
    <w:rsid w:val="28D62703"/>
    <w:rsid w:val="28D86F4A"/>
    <w:rsid w:val="28E26AEC"/>
    <w:rsid w:val="28E26B52"/>
    <w:rsid w:val="28EE7D76"/>
    <w:rsid w:val="28FB09AD"/>
    <w:rsid w:val="28FB1285"/>
    <w:rsid w:val="29065CB6"/>
    <w:rsid w:val="290D0583"/>
    <w:rsid w:val="29205E12"/>
    <w:rsid w:val="29206EB8"/>
    <w:rsid w:val="29344FAB"/>
    <w:rsid w:val="293C659E"/>
    <w:rsid w:val="294361DC"/>
    <w:rsid w:val="294363FE"/>
    <w:rsid w:val="29470671"/>
    <w:rsid w:val="294F692F"/>
    <w:rsid w:val="29506ED8"/>
    <w:rsid w:val="29595666"/>
    <w:rsid w:val="296252D9"/>
    <w:rsid w:val="2969197F"/>
    <w:rsid w:val="296E2584"/>
    <w:rsid w:val="29734112"/>
    <w:rsid w:val="2974579E"/>
    <w:rsid w:val="297866ED"/>
    <w:rsid w:val="29874881"/>
    <w:rsid w:val="299F65D6"/>
    <w:rsid w:val="29A83BF9"/>
    <w:rsid w:val="29AA6F14"/>
    <w:rsid w:val="29B24B2B"/>
    <w:rsid w:val="29B92A03"/>
    <w:rsid w:val="29C22DAC"/>
    <w:rsid w:val="29CB6C9E"/>
    <w:rsid w:val="29CC6E69"/>
    <w:rsid w:val="29DF0229"/>
    <w:rsid w:val="29E1696D"/>
    <w:rsid w:val="29E224B7"/>
    <w:rsid w:val="29E325E0"/>
    <w:rsid w:val="29E572B7"/>
    <w:rsid w:val="29E950B3"/>
    <w:rsid w:val="29ED5D32"/>
    <w:rsid w:val="29F12D25"/>
    <w:rsid w:val="29F34A70"/>
    <w:rsid w:val="29F71A00"/>
    <w:rsid w:val="29FC1E1C"/>
    <w:rsid w:val="2A0372FE"/>
    <w:rsid w:val="2A08552F"/>
    <w:rsid w:val="2A0A6763"/>
    <w:rsid w:val="2A1135BD"/>
    <w:rsid w:val="2A193CD6"/>
    <w:rsid w:val="2A23320A"/>
    <w:rsid w:val="2A257EAA"/>
    <w:rsid w:val="2A3307B5"/>
    <w:rsid w:val="2A3A09D3"/>
    <w:rsid w:val="2A3E2C5C"/>
    <w:rsid w:val="2A452503"/>
    <w:rsid w:val="2A4603A7"/>
    <w:rsid w:val="2A461CC2"/>
    <w:rsid w:val="2A515909"/>
    <w:rsid w:val="2A5E2B5B"/>
    <w:rsid w:val="2A621B97"/>
    <w:rsid w:val="2A646A64"/>
    <w:rsid w:val="2A683AA1"/>
    <w:rsid w:val="2A727C33"/>
    <w:rsid w:val="2A786446"/>
    <w:rsid w:val="2A900AA9"/>
    <w:rsid w:val="2A9354A9"/>
    <w:rsid w:val="2A975132"/>
    <w:rsid w:val="2AAD392A"/>
    <w:rsid w:val="2AB078D1"/>
    <w:rsid w:val="2AB33603"/>
    <w:rsid w:val="2AB51923"/>
    <w:rsid w:val="2ABA004F"/>
    <w:rsid w:val="2ABC61C0"/>
    <w:rsid w:val="2AC46E95"/>
    <w:rsid w:val="2ACE6CC8"/>
    <w:rsid w:val="2AD040D6"/>
    <w:rsid w:val="2AD17C4D"/>
    <w:rsid w:val="2AE634C5"/>
    <w:rsid w:val="2AF57CEE"/>
    <w:rsid w:val="2B0309FE"/>
    <w:rsid w:val="2B085BA8"/>
    <w:rsid w:val="2B0D6D2B"/>
    <w:rsid w:val="2B0F6A4F"/>
    <w:rsid w:val="2B1A38C4"/>
    <w:rsid w:val="2B310BBE"/>
    <w:rsid w:val="2B367F32"/>
    <w:rsid w:val="2B4E3341"/>
    <w:rsid w:val="2B512E32"/>
    <w:rsid w:val="2B540AA8"/>
    <w:rsid w:val="2B5456B2"/>
    <w:rsid w:val="2B551D7E"/>
    <w:rsid w:val="2B57346F"/>
    <w:rsid w:val="2B654BA5"/>
    <w:rsid w:val="2B77111E"/>
    <w:rsid w:val="2B777FBA"/>
    <w:rsid w:val="2B7944C1"/>
    <w:rsid w:val="2B807EA1"/>
    <w:rsid w:val="2B9A00EE"/>
    <w:rsid w:val="2BA14AA2"/>
    <w:rsid w:val="2BA427A8"/>
    <w:rsid w:val="2BA70E32"/>
    <w:rsid w:val="2BA936A8"/>
    <w:rsid w:val="2BAC66B6"/>
    <w:rsid w:val="2BAF042F"/>
    <w:rsid w:val="2BB503ED"/>
    <w:rsid w:val="2BC362DB"/>
    <w:rsid w:val="2BD02534"/>
    <w:rsid w:val="2BD74D6B"/>
    <w:rsid w:val="2BD7664C"/>
    <w:rsid w:val="2BDB6FEE"/>
    <w:rsid w:val="2BE60298"/>
    <w:rsid w:val="2BE71AA8"/>
    <w:rsid w:val="2BF175B2"/>
    <w:rsid w:val="2BF21457"/>
    <w:rsid w:val="2C033842"/>
    <w:rsid w:val="2C060981"/>
    <w:rsid w:val="2C0638E5"/>
    <w:rsid w:val="2C0B44D1"/>
    <w:rsid w:val="2C0D0C2D"/>
    <w:rsid w:val="2C1105D9"/>
    <w:rsid w:val="2C116943"/>
    <w:rsid w:val="2C164A61"/>
    <w:rsid w:val="2C176440"/>
    <w:rsid w:val="2C1B1BC6"/>
    <w:rsid w:val="2C1C0BA7"/>
    <w:rsid w:val="2C2E47E1"/>
    <w:rsid w:val="2C315A5A"/>
    <w:rsid w:val="2C3758DA"/>
    <w:rsid w:val="2C3B721F"/>
    <w:rsid w:val="2C3C4B11"/>
    <w:rsid w:val="2C4730F6"/>
    <w:rsid w:val="2C4A539C"/>
    <w:rsid w:val="2C4B1C25"/>
    <w:rsid w:val="2C5207C9"/>
    <w:rsid w:val="2C5735FC"/>
    <w:rsid w:val="2C701096"/>
    <w:rsid w:val="2C765E08"/>
    <w:rsid w:val="2C85174E"/>
    <w:rsid w:val="2C87189D"/>
    <w:rsid w:val="2C9E674E"/>
    <w:rsid w:val="2CA3224A"/>
    <w:rsid w:val="2CA71B53"/>
    <w:rsid w:val="2CDD0108"/>
    <w:rsid w:val="2CDE585C"/>
    <w:rsid w:val="2CE12D98"/>
    <w:rsid w:val="2CE842AA"/>
    <w:rsid w:val="2CEE6916"/>
    <w:rsid w:val="2CF92390"/>
    <w:rsid w:val="2CFC05B9"/>
    <w:rsid w:val="2D04457E"/>
    <w:rsid w:val="2D0D7777"/>
    <w:rsid w:val="2D0F7DCE"/>
    <w:rsid w:val="2D177E86"/>
    <w:rsid w:val="2D2D42A0"/>
    <w:rsid w:val="2D2F0F36"/>
    <w:rsid w:val="2D3164B2"/>
    <w:rsid w:val="2D3E7D46"/>
    <w:rsid w:val="2D423BA3"/>
    <w:rsid w:val="2D475A24"/>
    <w:rsid w:val="2D4F58E0"/>
    <w:rsid w:val="2D622504"/>
    <w:rsid w:val="2D697360"/>
    <w:rsid w:val="2D6E6FD6"/>
    <w:rsid w:val="2D704767"/>
    <w:rsid w:val="2D71149A"/>
    <w:rsid w:val="2D73211F"/>
    <w:rsid w:val="2D7432DC"/>
    <w:rsid w:val="2D925252"/>
    <w:rsid w:val="2D9C19F2"/>
    <w:rsid w:val="2D9E56F5"/>
    <w:rsid w:val="2D9F747F"/>
    <w:rsid w:val="2DA361DB"/>
    <w:rsid w:val="2DA467F1"/>
    <w:rsid w:val="2DA73EF2"/>
    <w:rsid w:val="2DA953A2"/>
    <w:rsid w:val="2DAA66BA"/>
    <w:rsid w:val="2DAF65B5"/>
    <w:rsid w:val="2DB77A10"/>
    <w:rsid w:val="2DBC3E98"/>
    <w:rsid w:val="2DC7572E"/>
    <w:rsid w:val="2DD1146C"/>
    <w:rsid w:val="2DD5239A"/>
    <w:rsid w:val="2DE14DE6"/>
    <w:rsid w:val="2DEB51B9"/>
    <w:rsid w:val="2DF61A6F"/>
    <w:rsid w:val="2E047B0F"/>
    <w:rsid w:val="2E096F56"/>
    <w:rsid w:val="2E110657"/>
    <w:rsid w:val="2E122FE0"/>
    <w:rsid w:val="2E144526"/>
    <w:rsid w:val="2E1748F3"/>
    <w:rsid w:val="2E1754AB"/>
    <w:rsid w:val="2E265AC6"/>
    <w:rsid w:val="2E2D0303"/>
    <w:rsid w:val="2E2F264B"/>
    <w:rsid w:val="2E3C1984"/>
    <w:rsid w:val="2E3F0BEE"/>
    <w:rsid w:val="2E443C45"/>
    <w:rsid w:val="2E475FFA"/>
    <w:rsid w:val="2E4C0A86"/>
    <w:rsid w:val="2E556773"/>
    <w:rsid w:val="2E63592A"/>
    <w:rsid w:val="2E667F96"/>
    <w:rsid w:val="2E6A04C0"/>
    <w:rsid w:val="2E6C6499"/>
    <w:rsid w:val="2E71778E"/>
    <w:rsid w:val="2E721C5F"/>
    <w:rsid w:val="2E807459"/>
    <w:rsid w:val="2E8226AB"/>
    <w:rsid w:val="2E8D1EBD"/>
    <w:rsid w:val="2E8E6659"/>
    <w:rsid w:val="2E900048"/>
    <w:rsid w:val="2E910350"/>
    <w:rsid w:val="2E942B49"/>
    <w:rsid w:val="2EA2760D"/>
    <w:rsid w:val="2EC4123F"/>
    <w:rsid w:val="2ED026DB"/>
    <w:rsid w:val="2ED03159"/>
    <w:rsid w:val="2ED25BDE"/>
    <w:rsid w:val="2EDD7936"/>
    <w:rsid w:val="2EDE6AEE"/>
    <w:rsid w:val="2EF20691"/>
    <w:rsid w:val="2EF91874"/>
    <w:rsid w:val="2EFD7DFD"/>
    <w:rsid w:val="2F0B779C"/>
    <w:rsid w:val="2F0D0A35"/>
    <w:rsid w:val="2F0F3510"/>
    <w:rsid w:val="2F4B3AC4"/>
    <w:rsid w:val="2F563C39"/>
    <w:rsid w:val="2F58713C"/>
    <w:rsid w:val="2F5C5781"/>
    <w:rsid w:val="2F62273B"/>
    <w:rsid w:val="2F634179"/>
    <w:rsid w:val="2F6E58C9"/>
    <w:rsid w:val="2F740334"/>
    <w:rsid w:val="2F7E3633"/>
    <w:rsid w:val="2F814E1A"/>
    <w:rsid w:val="2F821FE0"/>
    <w:rsid w:val="2F827A5E"/>
    <w:rsid w:val="2F8E4FC5"/>
    <w:rsid w:val="2F9939F3"/>
    <w:rsid w:val="2F9959A7"/>
    <w:rsid w:val="2FA07EE4"/>
    <w:rsid w:val="2FA928EA"/>
    <w:rsid w:val="2FA964EC"/>
    <w:rsid w:val="2FAA7E40"/>
    <w:rsid w:val="2FBE036A"/>
    <w:rsid w:val="2FCA6176"/>
    <w:rsid w:val="2FD065E6"/>
    <w:rsid w:val="2FD35207"/>
    <w:rsid w:val="2FD96870"/>
    <w:rsid w:val="2FDA2FF7"/>
    <w:rsid w:val="2FEA426B"/>
    <w:rsid w:val="2FF95A50"/>
    <w:rsid w:val="300264A9"/>
    <w:rsid w:val="300417D3"/>
    <w:rsid w:val="30175401"/>
    <w:rsid w:val="301B64B0"/>
    <w:rsid w:val="301B756B"/>
    <w:rsid w:val="301E77BD"/>
    <w:rsid w:val="30233FF0"/>
    <w:rsid w:val="30247B0A"/>
    <w:rsid w:val="302E5E9B"/>
    <w:rsid w:val="30404A53"/>
    <w:rsid w:val="30420754"/>
    <w:rsid w:val="304C3BF0"/>
    <w:rsid w:val="30580BC9"/>
    <w:rsid w:val="305C56E5"/>
    <w:rsid w:val="30604126"/>
    <w:rsid w:val="3064004E"/>
    <w:rsid w:val="307118D6"/>
    <w:rsid w:val="307B29C7"/>
    <w:rsid w:val="30937DBD"/>
    <w:rsid w:val="30A473AC"/>
    <w:rsid w:val="30A74234"/>
    <w:rsid w:val="30A87D63"/>
    <w:rsid w:val="30AA6907"/>
    <w:rsid w:val="30B9188A"/>
    <w:rsid w:val="30BE0B5F"/>
    <w:rsid w:val="30C70ACC"/>
    <w:rsid w:val="30C76888"/>
    <w:rsid w:val="30DA7865"/>
    <w:rsid w:val="30DC72B8"/>
    <w:rsid w:val="30E24ED9"/>
    <w:rsid w:val="30EA07CC"/>
    <w:rsid w:val="30EB4120"/>
    <w:rsid w:val="30EC3CCF"/>
    <w:rsid w:val="30ED4FD4"/>
    <w:rsid w:val="30F878AC"/>
    <w:rsid w:val="30FD526E"/>
    <w:rsid w:val="310502B2"/>
    <w:rsid w:val="31067186"/>
    <w:rsid w:val="310C4204"/>
    <w:rsid w:val="31104442"/>
    <w:rsid w:val="31134F81"/>
    <w:rsid w:val="3114163D"/>
    <w:rsid w:val="311E2ED7"/>
    <w:rsid w:val="31235BD6"/>
    <w:rsid w:val="31260C77"/>
    <w:rsid w:val="313F0243"/>
    <w:rsid w:val="315151BB"/>
    <w:rsid w:val="315619EE"/>
    <w:rsid w:val="315C449C"/>
    <w:rsid w:val="31621DAE"/>
    <w:rsid w:val="3167460B"/>
    <w:rsid w:val="31834465"/>
    <w:rsid w:val="31877428"/>
    <w:rsid w:val="319B08F2"/>
    <w:rsid w:val="31AC1C27"/>
    <w:rsid w:val="31B07C22"/>
    <w:rsid w:val="31B82709"/>
    <w:rsid w:val="31D05482"/>
    <w:rsid w:val="31DC1059"/>
    <w:rsid w:val="31E032E3"/>
    <w:rsid w:val="31E85F23"/>
    <w:rsid w:val="31EB1674"/>
    <w:rsid w:val="31FB7710"/>
    <w:rsid w:val="320434E7"/>
    <w:rsid w:val="320A12BB"/>
    <w:rsid w:val="320B6E8F"/>
    <w:rsid w:val="321A21C3"/>
    <w:rsid w:val="322177AC"/>
    <w:rsid w:val="32222E0E"/>
    <w:rsid w:val="322317CE"/>
    <w:rsid w:val="322B0C92"/>
    <w:rsid w:val="32307F8E"/>
    <w:rsid w:val="32383103"/>
    <w:rsid w:val="32400B34"/>
    <w:rsid w:val="324B718F"/>
    <w:rsid w:val="324C46EE"/>
    <w:rsid w:val="3259723B"/>
    <w:rsid w:val="325D540E"/>
    <w:rsid w:val="326203B9"/>
    <w:rsid w:val="326822C2"/>
    <w:rsid w:val="32773817"/>
    <w:rsid w:val="32775683"/>
    <w:rsid w:val="32807969"/>
    <w:rsid w:val="32812E6C"/>
    <w:rsid w:val="32836248"/>
    <w:rsid w:val="3283636F"/>
    <w:rsid w:val="328F2D06"/>
    <w:rsid w:val="329909BD"/>
    <w:rsid w:val="329E6876"/>
    <w:rsid w:val="32A115F8"/>
    <w:rsid w:val="32A23E3C"/>
    <w:rsid w:val="32A85F98"/>
    <w:rsid w:val="32BF4ECF"/>
    <w:rsid w:val="32C3154A"/>
    <w:rsid w:val="32CA4531"/>
    <w:rsid w:val="32CF17BB"/>
    <w:rsid w:val="32D35EE3"/>
    <w:rsid w:val="32D373F3"/>
    <w:rsid w:val="32D57073"/>
    <w:rsid w:val="32DA753F"/>
    <w:rsid w:val="32E95D13"/>
    <w:rsid w:val="32E961C8"/>
    <w:rsid w:val="32FC1090"/>
    <w:rsid w:val="3303652C"/>
    <w:rsid w:val="330368BD"/>
    <w:rsid w:val="33156C1C"/>
    <w:rsid w:val="331825E7"/>
    <w:rsid w:val="331D53D6"/>
    <w:rsid w:val="33231783"/>
    <w:rsid w:val="332845B6"/>
    <w:rsid w:val="332A24A5"/>
    <w:rsid w:val="332F3593"/>
    <w:rsid w:val="332F7673"/>
    <w:rsid w:val="333015F2"/>
    <w:rsid w:val="333C359F"/>
    <w:rsid w:val="33476522"/>
    <w:rsid w:val="334B2535"/>
    <w:rsid w:val="334B6320"/>
    <w:rsid w:val="335079DD"/>
    <w:rsid w:val="335453E0"/>
    <w:rsid w:val="335474EF"/>
    <w:rsid w:val="335A35AE"/>
    <w:rsid w:val="335E5CD2"/>
    <w:rsid w:val="33637BDB"/>
    <w:rsid w:val="3372266B"/>
    <w:rsid w:val="33750D06"/>
    <w:rsid w:val="3375773A"/>
    <w:rsid w:val="337B0E24"/>
    <w:rsid w:val="337E33C2"/>
    <w:rsid w:val="338318EF"/>
    <w:rsid w:val="33887696"/>
    <w:rsid w:val="33AD4B58"/>
    <w:rsid w:val="33B71661"/>
    <w:rsid w:val="33B77665"/>
    <w:rsid w:val="33B77E1F"/>
    <w:rsid w:val="33BC3AED"/>
    <w:rsid w:val="33C579EB"/>
    <w:rsid w:val="33C95381"/>
    <w:rsid w:val="33D46A19"/>
    <w:rsid w:val="33D934D4"/>
    <w:rsid w:val="33E25570"/>
    <w:rsid w:val="33EC20BE"/>
    <w:rsid w:val="33F1203B"/>
    <w:rsid w:val="33F95E15"/>
    <w:rsid w:val="33FE2F6A"/>
    <w:rsid w:val="3400002F"/>
    <w:rsid w:val="3400306C"/>
    <w:rsid w:val="340A0039"/>
    <w:rsid w:val="340E07E5"/>
    <w:rsid w:val="340E7714"/>
    <w:rsid w:val="3411487C"/>
    <w:rsid w:val="34235BF7"/>
    <w:rsid w:val="34240B99"/>
    <w:rsid w:val="34251033"/>
    <w:rsid w:val="34276A20"/>
    <w:rsid w:val="343A1CF1"/>
    <w:rsid w:val="344062C5"/>
    <w:rsid w:val="344E49FF"/>
    <w:rsid w:val="345B2554"/>
    <w:rsid w:val="345D01C1"/>
    <w:rsid w:val="346029F1"/>
    <w:rsid w:val="346040E6"/>
    <w:rsid w:val="34695BF0"/>
    <w:rsid w:val="347E4926"/>
    <w:rsid w:val="349066CD"/>
    <w:rsid w:val="34957018"/>
    <w:rsid w:val="349C24B4"/>
    <w:rsid w:val="349C45F6"/>
    <w:rsid w:val="34A31162"/>
    <w:rsid w:val="34A33CF5"/>
    <w:rsid w:val="34A55D1B"/>
    <w:rsid w:val="34AA5967"/>
    <w:rsid w:val="34AF7641"/>
    <w:rsid w:val="34B3358B"/>
    <w:rsid w:val="34B72C5B"/>
    <w:rsid w:val="34C428EA"/>
    <w:rsid w:val="34D50411"/>
    <w:rsid w:val="34D6203C"/>
    <w:rsid w:val="34DB5ED8"/>
    <w:rsid w:val="34DD1AC7"/>
    <w:rsid w:val="34E116D1"/>
    <w:rsid w:val="34F11E7A"/>
    <w:rsid w:val="34F23D14"/>
    <w:rsid w:val="34F77FF2"/>
    <w:rsid w:val="35037688"/>
    <w:rsid w:val="35071108"/>
    <w:rsid w:val="35145AD0"/>
    <w:rsid w:val="35176328"/>
    <w:rsid w:val="35336023"/>
    <w:rsid w:val="35356D23"/>
    <w:rsid w:val="353953EA"/>
    <w:rsid w:val="355121C6"/>
    <w:rsid w:val="355C7E57"/>
    <w:rsid w:val="355D6D9F"/>
    <w:rsid w:val="355E0C9B"/>
    <w:rsid w:val="35607EAD"/>
    <w:rsid w:val="35714EB9"/>
    <w:rsid w:val="35753BC1"/>
    <w:rsid w:val="357C1A15"/>
    <w:rsid w:val="3588630C"/>
    <w:rsid w:val="35895362"/>
    <w:rsid w:val="358B2C94"/>
    <w:rsid w:val="358C5FA8"/>
    <w:rsid w:val="358D710B"/>
    <w:rsid w:val="35B44EA7"/>
    <w:rsid w:val="35B7113D"/>
    <w:rsid w:val="35C15DF1"/>
    <w:rsid w:val="35CA2EEB"/>
    <w:rsid w:val="35CD6D50"/>
    <w:rsid w:val="35DC1CE1"/>
    <w:rsid w:val="35E10270"/>
    <w:rsid w:val="35ED3B71"/>
    <w:rsid w:val="35F3241F"/>
    <w:rsid w:val="35FB420B"/>
    <w:rsid w:val="36046B3B"/>
    <w:rsid w:val="36074A7F"/>
    <w:rsid w:val="360D5FB3"/>
    <w:rsid w:val="360E70C6"/>
    <w:rsid w:val="36140CE4"/>
    <w:rsid w:val="361A02C0"/>
    <w:rsid w:val="361D45B0"/>
    <w:rsid w:val="363E28C4"/>
    <w:rsid w:val="363F525C"/>
    <w:rsid w:val="36407D2B"/>
    <w:rsid w:val="36527A5E"/>
    <w:rsid w:val="36676F4F"/>
    <w:rsid w:val="366A4A42"/>
    <w:rsid w:val="36761A24"/>
    <w:rsid w:val="367F769B"/>
    <w:rsid w:val="36923549"/>
    <w:rsid w:val="36987F37"/>
    <w:rsid w:val="36A75FCF"/>
    <w:rsid w:val="36AF3799"/>
    <w:rsid w:val="36B03B51"/>
    <w:rsid w:val="36B75FBF"/>
    <w:rsid w:val="36BD0C45"/>
    <w:rsid w:val="36C108E2"/>
    <w:rsid w:val="36C664B8"/>
    <w:rsid w:val="36D85994"/>
    <w:rsid w:val="36DE2279"/>
    <w:rsid w:val="36E22594"/>
    <w:rsid w:val="36EE5F2E"/>
    <w:rsid w:val="370635D5"/>
    <w:rsid w:val="37090CD6"/>
    <w:rsid w:val="37134FAA"/>
    <w:rsid w:val="373027C4"/>
    <w:rsid w:val="37327B23"/>
    <w:rsid w:val="373857BF"/>
    <w:rsid w:val="373B1350"/>
    <w:rsid w:val="373C022C"/>
    <w:rsid w:val="373D4279"/>
    <w:rsid w:val="375269BA"/>
    <w:rsid w:val="375D3099"/>
    <w:rsid w:val="37614058"/>
    <w:rsid w:val="37664322"/>
    <w:rsid w:val="376734F4"/>
    <w:rsid w:val="376D30FE"/>
    <w:rsid w:val="376D40C9"/>
    <w:rsid w:val="37740DF6"/>
    <w:rsid w:val="3774772A"/>
    <w:rsid w:val="37854EBD"/>
    <w:rsid w:val="37865E45"/>
    <w:rsid w:val="379202F6"/>
    <w:rsid w:val="37953230"/>
    <w:rsid w:val="379A1075"/>
    <w:rsid w:val="379C3AC9"/>
    <w:rsid w:val="379D4FD3"/>
    <w:rsid w:val="37A30F57"/>
    <w:rsid w:val="37A44758"/>
    <w:rsid w:val="37A44D7C"/>
    <w:rsid w:val="37AD1280"/>
    <w:rsid w:val="37B12BDC"/>
    <w:rsid w:val="37B93079"/>
    <w:rsid w:val="37C03732"/>
    <w:rsid w:val="37C75C12"/>
    <w:rsid w:val="37C85542"/>
    <w:rsid w:val="37D52435"/>
    <w:rsid w:val="37E00298"/>
    <w:rsid w:val="37EA185D"/>
    <w:rsid w:val="37F7095F"/>
    <w:rsid w:val="380354B4"/>
    <w:rsid w:val="38097875"/>
    <w:rsid w:val="381B02AD"/>
    <w:rsid w:val="382D0E39"/>
    <w:rsid w:val="38396E4A"/>
    <w:rsid w:val="38397128"/>
    <w:rsid w:val="38447AA1"/>
    <w:rsid w:val="38490EC0"/>
    <w:rsid w:val="384D1515"/>
    <w:rsid w:val="385E26EA"/>
    <w:rsid w:val="38651573"/>
    <w:rsid w:val="386933D9"/>
    <w:rsid w:val="386C4D5C"/>
    <w:rsid w:val="38733B2C"/>
    <w:rsid w:val="387548E9"/>
    <w:rsid w:val="38830C1D"/>
    <w:rsid w:val="388C7440"/>
    <w:rsid w:val="38927B16"/>
    <w:rsid w:val="38961762"/>
    <w:rsid w:val="38972A67"/>
    <w:rsid w:val="389F47F1"/>
    <w:rsid w:val="38A70712"/>
    <w:rsid w:val="38A80783"/>
    <w:rsid w:val="38AA1FDF"/>
    <w:rsid w:val="38B302F9"/>
    <w:rsid w:val="38C41457"/>
    <w:rsid w:val="38C641BE"/>
    <w:rsid w:val="38C735B6"/>
    <w:rsid w:val="38C968A9"/>
    <w:rsid w:val="38CA7076"/>
    <w:rsid w:val="38CC2D7A"/>
    <w:rsid w:val="38D82ED7"/>
    <w:rsid w:val="38DF66DE"/>
    <w:rsid w:val="38DF6E06"/>
    <w:rsid w:val="38E350E4"/>
    <w:rsid w:val="38EA11EC"/>
    <w:rsid w:val="38F12CD3"/>
    <w:rsid w:val="38F94775"/>
    <w:rsid w:val="38FB4BB4"/>
    <w:rsid w:val="390A5C84"/>
    <w:rsid w:val="39143281"/>
    <w:rsid w:val="39160DB7"/>
    <w:rsid w:val="391A4CC6"/>
    <w:rsid w:val="391B1F29"/>
    <w:rsid w:val="392971ED"/>
    <w:rsid w:val="392B0777"/>
    <w:rsid w:val="39325651"/>
    <w:rsid w:val="394B4083"/>
    <w:rsid w:val="395020CA"/>
    <w:rsid w:val="39543DF5"/>
    <w:rsid w:val="395F4A2E"/>
    <w:rsid w:val="3961212F"/>
    <w:rsid w:val="3964550A"/>
    <w:rsid w:val="39664C36"/>
    <w:rsid w:val="396F7C5E"/>
    <w:rsid w:val="39723C5C"/>
    <w:rsid w:val="39797FD5"/>
    <w:rsid w:val="397C293E"/>
    <w:rsid w:val="39815EBF"/>
    <w:rsid w:val="39846E20"/>
    <w:rsid w:val="39947487"/>
    <w:rsid w:val="399612FD"/>
    <w:rsid w:val="3997040B"/>
    <w:rsid w:val="399B085D"/>
    <w:rsid w:val="39A03EED"/>
    <w:rsid w:val="39C145F2"/>
    <w:rsid w:val="39C44A92"/>
    <w:rsid w:val="39E13D03"/>
    <w:rsid w:val="39E210F9"/>
    <w:rsid w:val="39F71729"/>
    <w:rsid w:val="39F8102B"/>
    <w:rsid w:val="3A012F94"/>
    <w:rsid w:val="3A043CD2"/>
    <w:rsid w:val="3A10315E"/>
    <w:rsid w:val="3A117F4B"/>
    <w:rsid w:val="3A1302EC"/>
    <w:rsid w:val="3A1357D6"/>
    <w:rsid w:val="3A141E3E"/>
    <w:rsid w:val="3A1741DD"/>
    <w:rsid w:val="3A18436D"/>
    <w:rsid w:val="3A2148B8"/>
    <w:rsid w:val="3A252224"/>
    <w:rsid w:val="3A256896"/>
    <w:rsid w:val="3A2576C3"/>
    <w:rsid w:val="3A270DD4"/>
    <w:rsid w:val="3A2E37C1"/>
    <w:rsid w:val="3A332488"/>
    <w:rsid w:val="3A3A4531"/>
    <w:rsid w:val="3A452124"/>
    <w:rsid w:val="3A4A5930"/>
    <w:rsid w:val="3A4C199A"/>
    <w:rsid w:val="3A4C6C8E"/>
    <w:rsid w:val="3A5D70E5"/>
    <w:rsid w:val="3A5E3A75"/>
    <w:rsid w:val="3A5F64A1"/>
    <w:rsid w:val="3A67790E"/>
    <w:rsid w:val="3A6B5E65"/>
    <w:rsid w:val="3A6C6971"/>
    <w:rsid w:val="3A6C716A"/>
    <w:rsid w:val="3A746B6F"/>
    <w:rsid w:val="3A7C5489"/>
    <w:rsid w:val="3A8077E5"/>
    <w:rsid w:val="3A8307D5"/>
    <w:rsid w:val="3A872856"/>
    <w:rsid w:val="3A8F731E"/>
    <w:rsid w:val="3A975DA2"/>
    <w:rsid w:val="3AA55413"/>
    <w:rsid w:val="3AA90836"/>
    <w:rsid w:val="3AAB4C3A"/>
    <w:rsid w:val="3AAD14C4"/>
    <w:rsid w:val="3ABC5798"/>
    <w:rsid w:val="3AC26874"/>
    <w:rsid w:val="3AC32B01"/>
    <w:rsid w:val="3AC342F5"/>
    <w:rsid w:val="3AC56A46"/>
    <w:rsid w:val="3AD13008"/>
    <w:rsid w:val="3AD6488C"/>
    <w:rsid w:val="3AD76819"/>
    <w:rsid w:val="3AD86A21"/>
    <w:rsid w:val="3ADA3F1A"/>
    <w:rsid w:val="3AE02BF8"/>
    <w:rsid w:val="3AE21327"/>
    <w:rsid w:val="3AF13B40"/>
    <w:rsid w:val="3AF64C60"/>
    <w:rsid w:val="3B082E3A"/>
    <w:rsid w:val="3B133C60"/>
    <w:rsid w:val="3B1563A9"/>
    <w:rsid w:val="3B1924BC"/>
    <w:rsid w:val="3B1C33BF"/>
    <w:rsid w:val="3B2B62A3"/>
    <w:rsid w:val="3B343BD6"/>
    <w:rsid w:val="3B3763D1"/>
    <w:rsid w:val="3B381919"/>
    <w:rsid w:val="3B3E088F"/>
    <w:rsid w:val="3B5B576D"/>
    <w:rsid w:val="3B5D788A"/>
    <w:rsid w:val="3B653AFE"/>
    <w:rsid w:val="3B797E50"/>
    <w:rsid w:val="3B806E1C"/>
    <w:rsid w:val="3B844B5E"/>
    <w:rsid w:val="3B8A6595"/>
    <w:rsid w:val="3B946BCC"/>
    <w:rsid w:val="3BC9431F"/>
    <w:rsid w:val="3BCE3093"/>
    <w:rsid w:val="3BE47C50"/>
    <w:rsid w:val="3BE91370"/>
    <w:rsid w:val="3BE95F75"/>
    <w:rsid w:val="3BED1AF2"/>
    <w:rsid w:val="3BF74C54"/>
    <w:rsid w:val="3BFA223F"/>
    <w:rsid w:val="3BFB7875"/>
    <w:rsid w:val="3BFC5EF5"/>
    <w:rsid w:val="3C0052F5"/>
    <w:rsid w:val="3C086B8B"/>
    <w:rsid w:val="3C1B5BAC"/>
    <w:rsid w:val="3C2A3748"/>
    <w:rsid w:val="3C2C0044"/>
    <w:rsid w:val="3C2F6E1E"/>
    <w:rsid w:val="3C302CAF"/>
    <w:rsid w:val="3C345451"/>
    <w:rsid w:val="3C39735A"/>
    <w:rsid w:val="3C3E4D0D"/>
    <w:rsid w:val="3C3E6B85"/>
    <w:rsid w:val="3C415B1E"/>
    <w:rsid w:val="3C495D83"/>
    <w:rsid w:val="3C4B215E"/>
    <w:rsid w:val="3C4F64BA"/>
    <w:rsid w:val="3C556B7B"/>
    <w:rsid w:val="3C5753BF"/>
    <w:rsid w:val="3C6319C5"/>
    <w:rsid w:val="3C775E39"/>
    <w:rsid w:val="3C787EAC"/>
    <w:rsid w:val="3C7939C7"/>
    <w:rsid w:val="3C7A5BC5"/>
    <w:rsid w:val="3C816F79"/>
    <w:rsid w:val="3C870F60"/>
    <w:rsid w:val="3C8D3764"/>
    <w:rsid w:val="3CBB47D1"/>
    <w:rsid w:val="3CC11283"/>
    <w:rsid w:val="3CC43E13"/>
    <w:rsid w:val="3CD15D20"/>
    <w:rsid w:val="3CDA1A3B"/>
    <w:rsid w:val="3CDA245A"/>
    <w:rsid w:val="3CEF56D3"/>
    <w:rsid w:val="3CF4670A"/>
    <w:rsid w:val="3CF47A8D"/>
    <w:rsid w:val="3CF5384E"/>
    <w:rsid w:val="3CF70A12"/>
    <w:rsid w:val="3D0657A9"/>
    <w:rsid w:val="3D153845"/>
    <w:rsid w:val="3D1A0FFD"/>
    <w:rsid w:val="3D1E06B7"/>
    <w:rsid w:val="3D211399"/>
    <w:rsid w:val="3D2250D9"/>
    <w:rsid w:val="3D307C72"/>
    <w:rsid w:val="3D3A1270"/>
    <w:rsid w:val="3D473BEA"/>
    <w:rsid w:val="3D496B53"/>
    <w:rsid w:val="3D5C2172"/>
    <w:rsid w:val="3D6953D7"/>
    <w:rsid w:val="3D6A6A97"/>
    <w:rsid w:val="3D716BB5"/>
    <w:rsid w:val="3D816850"/>
    <w:rsid w:val="3D891605"/>
    <w:rsid w:val="3D8F28B5"/>
    <w:rsid w:val="3D9C6D22"/>
    <w:rsid w:val="3DA82DB4"/>
    <w:rsid w:val="3DB868D1"/>
    <w:rsid w:val="3DCB5CEA"/>
    <w:rsid w:val="3DDD7203"/>
    <w:rsid w:val="3DED384A"/>
    <w:rsid w:val="3DFF1244"/>
    <w:rsid w:val="3E042497"/>
    <w:rsid w:val="3E053679"/>
    <w:rsid w:val="3E0930F8"/>
    <w:rsid w:val="3E0A6070"/>
    <w:rsid w:val="3E1B0345"/>
    <w:rsid w:val="3E1D0C30"/>
    <w:rsid w:val="3E201B6D"/>
    <w:rsid w:val="3E213CB1"/>
    <w:rsid w:val="3E2772B9"/>
    <w:rsid w:val="3E593C0B"/>
    <w:rsid w:val="3E6013DE"/>
    <w:rsid w:val="3E606F7D"/>
    <w:rsid w:val="3E6B6375"/>
    <w:rsid w:val="3E76514B"/>
    <w:rsid w:val="3E7B069B"/>
    <w:rsid w:val="3E7C67D5"/>
    <w:rsid w:val="3E904E79"/>
    <w:rsid w:val="3E9F0728"/>
    <w:rsid w:val="3EB81609"/>
    <w:rsid w:val="3EBC06FE"/>
    <w:rsid w:val="3EBE00F1"/>
    <w:rsid w:val="3EC22607"/>
    <w:rsid w:val="3EC6100D"/>
    <w:rsid w:val="3EC8288A"/>
    <w:rsid w:val="3ED0155E"/>
    <w:rsid w:val="3ED80F27"/>
    <w:rsid w:val="3EDA0523"/>
    <w:rsid w:val="3EDB572F"/>
    <w:rsid w:val="3EE32B3C"/>
    <w:rsid w:val="3EE42506"/>
    <w:rsid w:val="3EE9072C"/>
    <w:rsid w:val="3EF65748"/>
    <w:rsid w:val="3EF94CDF"/>
    <w:rsid w:val="3EFC7E62"/>
    <w:rsid w:val="3F000631"/>
    <w:rsid w:val="3F0946B1"/>
    <w:rsid w:val="3F104904"/>
    <w:rsid w:val="3F122481"/>
    <w:rsid w:val="3F1C40FE"/>
    <w:rsid w:val="3F1D2A2F"/>
    <w:rsid w:val="3F2C4235"/>
    <w:rsid w:val="3F3D5101"/>
    <w:rsid w:val="3F4263D8"/>
    <w:rsid w:val="3F510973"/>
    <w:rsid w:val="3F5C6F82"/>
    <w:rsid w:val="3F62277F"/>
    <w:rsid w:val="3F6A0EB2"/>
    <w:rsid w:val="3F6E79B7"/>
    <w:rsid w:val="3F8810CB"/>
    <w:rsid w:val="3F8D1829"/>
    <w:rsid w:val="3F8E0A56"/>
    <w:rsid w:val="3F8F2C54"/>
    <w:rsid w:val="3F960056"/>
    <w:rsid w:val="3F9E2B7F"/>
    <w:rsid w:val="3FB07F0A"/>
    <w:rsid w:val="3FC5312E"/>
    <w:rsid w:val="3FC76DC7"/>
    <w:rsid w:val="3FCE2075"/>
    <w:rsid w:val="3FCF44F6"/>
    <w:rsid w:val="3FCF4DDB"/>
    <w:rsid w:val="3FE95344"/>
    <w:rsid w:val="3FF14A6C"/>
    <w:rsid w:val="3FFB7D85"/>
    <w:rsid w:val="3FFD6B0B"/>
    <w:rsid w:val="40046496"/>
    <w:rsid w:val="40053F18"/>
    <w:rsid w:val="40106008"/>
    <w:rsid w:val="40173EA5"/>
    <w:rsid w:val="4017407D"/>
    <w:rsid w:val="4019780F"/>
    <w:rsid w:val="40204742"/>
    <w:rsid w:val="402356C6"/>
    <w:rsid w:val="402406BD"/>
    <w:rsid w:val="402F122F"/>
    <w:rsid w:val="403059D7"/>
    <w:rsid w:val="40390058"/>
    <w:rsid w:val="403D4072"/>
    <w:rsid w:val="403F24C8"/>
    <w:rsid w:val="404153F7"/>
    <w:rsid w:val="40416B4D"/>
    <w:rsid w:val="404B7DB0"/>
    <w:rsid w:val="4058766B"/>
    <w:rsid w:val="406063DD"/>
    <w:rsid w:val="40651EDE"/>
    <w:rsid w:val="4066182B"/>
    <w:rsid w:val="407222F8"/>
    <w:rsid w:val="407A6407"/>
    <w:rsid w:val="407E035E"/>
    <w:rsid w:val="407E6B3E"/>
    <w:rsid w:val="40857CE9"/>
    <w:rsid w:val="408C438E"/>
    <w:rsid w:val="4094547D"/>
    <w:rsid w:val="40A75C9F"/>
    <w:rsid w:val="40AD6C58"/>
    <w:rsid w:val="40B37534"/>
    <w:rsid w:val="40BE4157"/>
    <w:rsid w:val="40CC265C"/>
    <w:rsid w:val="40D16AE4"/>
    <w:rsid w:val="40DD79B5"/>
    <w:rsid w:val="40E3738D"/>
    <w:rsid w:val="40EF49A3"/>
    <w:rsid w:val="40F005A0"/>
    <w:rsid w:val="40F10EA7"/>
    <w:rsid w:val="40F462FA"/>
    <w:rsid w:val="40F53820"/>
    <w:rsid w:val="40FC3EBB"/>
    <w:rsid w:val="4100168C"/>
    <w:rsid w:val="4104473A"/>
    <w:rsid w:val="41060C97"/>
    <w:rsid w:val="411078CD"/>
    <w:rsid w:val="411C03E5"/>
    <w:rsid w:val="411D397A"/>
    <w:rsid w:val="412A6279"/>
    <w:rsid w:val="41300182"/>
    <w:rsid w:val="41333305"/>
    <w:rsid w:val="41337740"/>
    <w:rsid w:val="4134397E"/>
    <w:rsid w:val="413465D0"/>
    <w:rsid w:val="413A0A0A"/>
    <w:rsid w:val="413C6193"/>
    <w:rsid w:val="41421E90"/>
    <w:rsid w:val="414C53A0"/>
    <w:rsid w:val="41506D77"/>
    <w:rsid w:val="415B79F5"/>
    <w:rsid w:val="415D61C4"/>
    <w:rsid w:val="416E6640"/>
    <w:rsid w:val="41704047"/>
    <w:rsid w:val="41802EB9"/>
    <w:rsid w:val="41871821"/>
    <w:rsid w:val="418E2FC6"/>
    <w:rsid w:val="419158DF"/>
    <w:rsid w:val="41A11891"/>
    <w:rsid w:val="41A640B6"/>
    <w:rsid w:val="41AF416B"/>
    <w:rsid w:val="41B0067B"/>
    <w:rsid w:val="41B10A74"/>
    <w:rsid w:val="41B176F3"/>
    <w:rsid w:val="41C52874"/>
    <w:rsid w:val="41CD5513"/>
    <w:rsid w:val="41D0016C"/>
    <w:rsid w:val="41D63AD4"/>
    <w:rsid w:val="41E6668B"/>
    <w:rsid w:val="41E740AD"/>
    <w:rsid w:val="41E91BB7"/>
    <w:rsid w:val="41EA46DE"/>
    <w:rsid w:val="41F0527A"/>
    <w:rsid w:val="41F143D8"/>
    <w:rsid w:val="41F33B23"/>
    <w:rsid w:val="41FE3CD2"/>
    <w:rsid w:val="4200449D"/>
    <w:rsid w:val="420347E3"/>
    <w:rsid w:val="4206455A"/>
    <w:rsid w:val="420E16D8"/>
    <w:rsid w:val="420F44F9"/>
    <w:rsid w:val="4211756F"/>
    <w:rsid w:val="42213375"/>
    <w:rsid w:val="422406F0"/>
    <w:rsid w:val="422734C0"/>
    <w:rsid w:val="42302C0F"/>
    <w:rsid w:val="42363682"/>
    <w:rsid w:val="42392456"/>
    <w:rsid w:val="42392ED1"/>
    <w:rsid w:val="423A3BCC"/>
    <w:rsid w:val="42460F98"/>
    <w:rsid w:val="424E57D2"/>
    <w:rsid w:val="424E6EE3"/>
    <w:rsid w:val="425103BC"/>
    <w:rsid w:val="425C2F05"/>
    <w:rsid w:val="425D3723"/>
    <w:rsid w:val="4264772E"/>
    <w:rsid w:val="426B2108"/>
    <w:rsid w:val="426B4984"/>
    <w:rsid w:val="426C7B8A"/>
    <w:rsid w:val="42741713"/>
    <w:rsid w:val="42760499"/>
    <w:rsid w:val="428331AF"/>
    <w:rsid w:val="428D1AA8"/>
    <w:rsid w:val="42953641"/>
    <w:rsid w:val="4298644F"/>
    <w:rsid w:val="429C62BE"/>
    <w:rsid w:val="42A47894"/>
    <w:rsid w:val="42B26C49"/>
    <w:rsid w:val="42B42A74"/>
    <w:rsid w:val="42B76D04"/>
    <w:rsid w:val="42B77F6E"/>
    <w:rsid w:val="42B90E50"/>
    <w:rsid w:val="42BF630F"/>
    <w:rsid w:val="42CF43AB"/>
    <w:rsid w:val="42D42FEB"/>
    <w:rsid w:val="42E141FA"/>
    <w:rsid w:val="42EB5C41"/>
    <w:rsid w:val="42EE026B"/>
    <w:rsid w:val="42F90EF9"/>
    <w:rsid w:val="42FD2838"/>
    <w:rsid w:val="431445D6"/>
    <w:rsid w:val="43180344"/>
    <w:rsid w:val="43202EB0"/>
    <w:rsid w:val="43244238"/>
    <w:rsid w:val="43257045"/>
    <w:rsid w:val="43265E46"/>
    <w:rsid w:val="432F263A"/>
    <w:rsid w:val="433A6FE6"/>
    <w:rsid w:val="433F5964"/>
    <w:rsid w:val="43410E67"/>
    <w:rsid w:val="4342063C"/>
    <w:rsid w:val="434338A8"/>
    <w:rsid w:val="434402CD"/>
    <w:rsid w:val="43453FEA"/>
    <w:rsid w:val="43480868"/>
    <w:rsid w:val="4350713C"/>
    <w:rsid w:val="435E6C5B"/>
    <w:rsid w:val="43664959"/>
    <w:rsid w:val="436653E0"/>
    <w:rsid w:val="436B53DE"/>
    <w:rsid w:val="436C3738"/>
    <w:rsid w:val="437A0FD4"/>
    <w:rsid w:val="43840E88"/>
    <w:rsid w:val="438751EB"/>
    <w:rsid w:val="43905996"/>
    <w:rsid w:val="43A501EE"/>
    <w:rsid w:val="43A50B25"/>
    <w:rsid w:val="43A90841"/>
    <w:rsid w:val="43B33222"/>
    <w:rsid w:val="43B45922"/>
    <w:rsid w:val="43B57349"/>
    <w:rsid w:val="43C4431A"/>
    <w:rsid w:val="43C46B67"/>
    <w:rsid w:val="43C977B6"/>
    <w:rsid w:val="43D8485D"/>
    <w:rsid w:val="43F5178A"/>
    <w:rsid w:val="43FD701B"/>
    <w:rsid w:val="44006D4C"/>
    <w:rsid w:val="44015A22"/>
    <w:rsid w:val="44027C20"/>
    <w:rsid w:val="440915CF"/>
    <w:rsid w:val="44182142"/>
    <w:rsid w:val="442C0908"/>
    <w:rsid w:val="442C24C6"/>
    <w:rsid w:val="443E5AF3"/>
    <w:rsid w:val="444A3BC1"/>
    <w:rsid w:val="44513222"/>
    <w:rsid w:val="445554AC"/>
    <w:rsid w:val="44577442"/>
    <w:rsid w:val="44654181"/>
    <w:rsid w:val="446B764F"/>
    <w:rsid w:val="446F5356"/>
    <w:rsid w:val="447864E7"/>
    <w:rsid w:val="447F3594"/>
    <w:rsid w:val="44850CBA"/>
    <w:rsid w:val="44884CE0"/>
    <w:rsid w:val="448A37DF"/>
    <w:rsid w:val="448B05F5"/>
    <w:rsid w:val="449511F9"/>
    <w:rsid w:val="44A07D40"/>
    <w:rsid w:val="44A93CEA"/>
    <w:rsid w:val="44B951CC"/>
    <w:rsid w:val="44C4593F"/>
    <w:rsid w:val="44CD14E0"/>
    <w:rsid w:val="44D458B4"/>
    <w:rsid w:val="44DD036E"/>
    <w:rsid w:val="44E55C94"/>
    <w:rsid w:val="44F20B0B"/>
    <w:rsid w:val="44FC58B9"/>
    <w:rsid w:val="44FE6FE8"/>
    <w:rsid w:val="45003A30"/>
    <w:rsid w:val="450E3EDD"/>
    <w:rsid w:val="451B373F"/>
    <w:rsid w:val="45280054"/>
    <w:rsid w:val="452B429C"/>
    <w:rsid w:val="452E5F4C"/>
    <w:rsid w:val="45406F40"/>
    <w:rsid w:val="455903D4"/>
    <w:rsid w:val="45593A55"/>
    <w:rsid w:val="455D47D7"/>
    <w:rsid w:val="45612018"/>
    <w:rsid w:val="456A5B34"/>
    <w:rsid w:val="456B6B1D"/>
    <w:rsid w:val="457F0DF4"/>
    <w:rsid w:val="45883177"/>
    <w:rsid w:val="458946E9"/>
    <w:rsid w:val="458C71D1"/>
    <w:rsid w:val="45980FBB"/>
    <w:rsid w:val="459E6747"/>
    <w:rsid w:val="45A47C0E"/>
    <w:rsid w:val="45A560D2"/>
    <w:rsid w:val="45A75D52"/>
    <w:rsid w:val="45AA0617"/>
    <w:rsid w:val="45B01B16"/>
    <w:rsid w:val="45C73E6D"/>
    <w:rsid w:val="45C977FB"/>
    <w:rsid w:val="45CB515B"/>
    <w:rsid w:val="45D33185"/>
    <w:rsid w:val="45E16C49"/>
    <w:rsid w:val="45E41B3B"/>
    <w:rsid w:val="46085F3F"/>
    <w:rsid w:val="460949EF"/>
    <w:rsid w:val="460A0277"/>
    <w:rsid w:val="46182559"/>
    <w:rsid w:val="462442A3"/>
    <w:rsid w:val="462553A2"/>
    <w:rsid w:val="462F100C"/>
    <w:rsid w:val="46333FC8"/>
    <w:rsid w:val="46351E16"/>
    <w:rsid w:val="464F2CE8"/>
    <w:rsid w:val="464F4259"/>
    <w:rsid w:val="464F6905"/>
    <w:rsid w:val="46577FD6"/>
    <w:rsid w:val="4658048C"/>
    <w:rsid w:val="467951DB"/>
    <w:rsid w:val="46863764"/>
    <w:rsid w:val="468772B0"/>
    <w:rsid w:val="468D3096"/>
    <w:rsid w:val="46974AB3"/>
    <w:rsid w:val="4698366E"/>
    <w:rsid w:val="46AD1008"/>
    <w:rsid w:val="46B16F24"/>
    <w:rsid w:val="46B3080E"/>
    <w:rsid w:val="46BA181F"/>
    <w:rsid w:val="46BC07B8"/>
    <w:rsid w:val="46C72A59"/>
    <w:rsid w:val="46D955A7"/>
    <w:rsid w:val="46DB6552"/>
    <w:rsid w:val="46DD4403"/>
    <w:rsid w:val="46E221DE"/>
    <w:rsid w:val="46EB4272"/>
    <w:rsid w:val="46EC6375"/>
    <w:rsid w:val="46F102F3"/>
    <w:rsid w:val="46F1289D"/>
    <w:rsid w:val="46F74BFA"/>
    <w:rsid w:val="47002289"/>
    <w:rsid w:val="47133957"/>
    <w:rsid w:val="471A6376"/>
    <w:rsid w:val="471F593F"/>
    <w:rsid w:val="47264A61"/>
    <w:rsid w:val="472E0A17"/>
    <w:rsid w:val="47372FE6"/>
    <w:rsid w:val="4755732F"/>
    <w:rsid w:val="47596C87"/>
    <w:rsid w:val="476B28D5"/>
    <w:rsid w:val="477253CC"/>
    <w:rsid w:val="4778258C"/>
    <w:rsid w:val="477F4553"/>
    <w:rsid w:val="47846371"/>
    <w:rsid w:val="47950AC0"/>
    <w:rsid w:val="479C0C43"/>
    <w:rsid w:val="47A07E0C"/>
    <w:rsid w:val="47A4636C"/>
    <w:rsid w:val="47AE3E75"/>
    <w:rsid w:val="47AF19AB"/>
    <w:rsid w:val="47B922BA"/>
    <w:rsid w:val="47B94CDD"/>
    <w:rsid w:val="47C85DD2"/>
    <w:rsid w:val="47CF276E"/>
    <w:rsid w:val="47D55B24"/>
    <w:rsid w:val="47D6460C"/>
    <w:rsid w:val="47D712BF"/>
    <w:rsid w:val="47DB12A5"/>
    <w:rsid w:val="47E53BE7"/>
    <w:rsid w:val="47E61A25"/>
    <w:rsid w:val="47F26B56"/>
    <w:rsid w:val="47F458F5"/>
    <w:rsid w:val="47F80FCB"/>
    <w:rsid w:val="47FC2FFE"/>
    <w:rsid w:val="481015D3"/>
    <w:rsid w:val="48142723"/>
    <w:rsid w:val="48176E33"/>
    <w:rsid w:val="48274AEC"/>
    <w:rsid w:val="48276D9D"/>
    <w:rsid w:val="48292531"/>
    <w:rsid w:val="482E28DB"/>
    <w:rsid w:val="483059DD"/>
    <w:rsid w:val="484B53D9"/>
    <w:rsid w:val="48511C96"/>
    <w:rsid w:val="485F62CB"/>
    <w:rsid w:val="48612782"/>
    <w:rsid w:val="4870272E"/>
    <w:rsid w:val="487851B1"/>
    <w:rsid w:val="487A6AF5"/>
    <w:rsid w:val="487E65F3"/>
    <w:rsid w:val="487F289A"/>
    <w:rsid w:val="488261E9"/>
    <w:rsid w:val="4883774F"/>
    <w:rsid w:val="488B1F70"/>
    <w:rsid w:val="4890060A"/>
    <w:rsid w:val="48A40C48"/>
    <w:rsid w:val="48A766BF"/>
    <w:rsid w:val="48A979E4"/>
    <w:rsid w:val="48B15F92"/>
    <w:rsid w:val="48C97EF9"/>
    <w:rsid w:val="48CA6192"/>
    <w:rsid w:val="48CE0834"/>
    <w:rsid w:val="48CE4FC3"/>
    <w:rsid w:val="48D54120"/>
    <w:rsid w:val="48E23889"/>
    <w:rsid w:val="48EB4CA0"/>
    <w:rsid w:val="48F11FB7"/>
    <w:rsid w:val="48F232BB"/>
    <w:rsid w:val="48F40EE0"/>
    <w:rsid w:val="48FA6484"/>
    <w:rsid w:val="48FB7D31"/>
    <w:rsid w:val="48FD69B1"/>
    <w:rsid w:val="48FE0002"/>
    <w:rsid w:val="490216AA"/>
    <w:rsid w:val="490F3F1B"/>
    <w:rsid w:val="49136572"/>
    <w:rsid w:val="4914021C"/>
    <w:rsid w:val="491E3C19"/>
    <w:rsid w:val="491F7579"/>
    <w:rsid w:val="49290C21"/>
    <w:rsid w:val="492A6C99"/>
    <w:rsid w:val="49352D68"/>
    <w:rsid w:val="493D0B6E"/>
    <w:rsid w:val="494B6938"/>
    <w:rsid w:val="494C3832"/>
    <w:rsid w:val="495764B1"/>
    <w:rsid w:val="495C70E7"/>
    <w:rsid w:val="49632EA2"/>
    <w:rsid w:val="496808AF"/>
    <w:rsid w:val="497C4CF9"/>
    <w:rsid w:val="497D145A"/>
    <w:rsid w:val="497F5E23"/>
    <w:rsid w:val="498348C8"/>
    <w:rsid w:val="49837AB0"/>
    <w:rsid w:val="49873273"/>
    <w:rsid w:val="498A3151"/>
    <w:rsid w:val="49965FC8"/>
    <w:rsid w:val="499B244F"/>
    <w:rsid w:val="499C726F"/>
    <w:rsid w:val="49A559E3"/>
    <w:rsid w:val="49B02B28"/>
    <w:rsid w:val="49C62414"/>
    <w:rsid w:val="49C87356"/>
    <w:rsid w:val="49CB004E"/>
    <w:rsid w:val="49CD38B4"/>
    <w:rsid w:val="49CE19A5"/>
    <w:rsid w:val="49D104B4"/>
    <w:rsid w:val="49D16EF1"/>
    <w:rsid w:val="49D73DE3"/>
    <w:rsid w:val="49D7561C"/>
    <w:rsid w:val="49DC7715"/>
    <w:rsid w:val="49EE2C4A"/>
    <w:rsid w:val="49F84D57"/>
    <w:rsid w:val="49FA026B"/>
    <w:rsid w:val="4A023139"/>
    <w:rsid w:val="4A125911"/>
    <w:rsid w:val="4A140549"/>
    <w:rsid w:val="4A2115DA"/>
    <w:rsid w:val="4A290DBA"/>
    <w:rsid w:val="4A3F5897"/>
    <w:rsid w:val="4A4A13AF"/>
    <w:rsid w:val="4A50369A"/>
    <w:rsid w:val="4A540AE7"/>
    <w:rsid w:val="4A5654E7"/>
    <w:rsid w:val="4A5B6758"/>
    <w:rsid w:val="4A623F70"/>
    <w:rsid w:val="4A6B72A5"/>
    <w:rsid w:val="4A705892"/>
    <w:rsid w:val="4A7B576F"/>
    <w:rsid w:val="4A8E3323"/>
    <w:rsid w:val="4A9373AD"/>
    <w:rsid w:val="4A9573BC"/>
    <w:rsid w:val="4AA0630A"/>
    <w:rsid w:val="4AA84B5C"/>
    <w:rsid w:val="4AB70E6A"/>
    <w:rsid w:val="4AB81212"/>
    <w:rsid w:val="4AC74667"/>
    <w:rsid w:val="4AC81D2B"/>
    <w:rsid w:val="4AD449B8"/>
    <w:rsid w:val="4AD52F5A"/>
    <w:rsid w:val="4ADC40E1"/>
    <w:rsid w:val="4AE30B0E"/>
    <w:rsid w:val="4AE66BEE"/>
    <w:rsid w:val="4AEA55F5"/>
    <w:rsid w:val="4AF561A9"/>
    <w:rsid w:val="4B0248B0"/>
    <w:rsid w:val="4B0B27D5"/>
    <w:rsid w:val="4B1049A7"/>
    <w:rsid w:val="4B1E03CD"/>
    <w:rsid w:val="4B257F28"/>
    <w:rsid w:val="4B283ECE"/>
    <w:rsid w:val="4B303D95"/>
    <w:rsid w:val="4B3223A6"/>
    <w:rsid w:val="4B3A6678"/>
    <w:rsid w:val="4B400582"/>
    <w:rsid w:val="4B4418E1"/>
    <w:rsid w:val="4B4740CF"/>
    <w:rsid w:val="4B4A5F4D"/>
    <w:rsid w:val="4B4E5319"/>
    <w:rsid w:val="4B4E7897"/>
    <w:rsid w:val="4B4F46B9"/>
    <w:rsid w:val="4B5103A0"/>
    <w:rsid w:val="4B557B9B"/>
    <w:rsid w:val="4B5F0E37"/>
    <w:rsid w:val="4B5F6DB0"/>
    <w:rsid w:val="4B66001B"/>
    <w:rsid w:val="4B676243"/>
    <w:rsid w:val="4B6A61D0"/>
    <w:rsid w:val="4B721753"/>
    <w:rsid w:val="4B737AD7"/>
    <w:rsid w:val="4B763A03"/>
    <w:rsid w:val="4B7841DE"/>
    <w:rsid w:val="4B7A5635"/>
    <w:rsid w:val="4B8232F0"/>
    <w:rsid w:val="4B8435F5"/>
    <w:rsid w:val="4B971152"/>
    <w:rsid w:val="4B97594F"/>
    <w:rsid w:val="4B982295"/>
    <w:rsid w:val="4BA52710"/>
    <w:rsid w:val="4BA95704"/>
    <w:rsid w:val="4BAC0F36"/>
    <w:rsid w:val="4BAD3134"/>
    <w:rsid w:val="4BAF2635"/>
    <w:rsid w:val="4BB51625"/>
    <w:rsid w:val="4BC75123"/>
    <w:rsid w:val="4BD40C0E"/>
    <w:rsid w:val="4BD453C6"/>
    <w:rsid w:val="4BDE47E4"/>
    <w:rsid w:val="4BF649E9"/>
    <w:rsid w:val="4BF76FC0"/>
    <w:rsid w:val="4BF8025C"/>
    <w:rsid w:val="4BFF7444"/>
    <w:rsid w:val="4C034A7B"/>
    <w:rsid w:val="4C0E7CD6"/>
    <w:rsid w:val="4C0F06E7"/>
    <w:rsid w:val="4C1031D9"/>
    <w:rsid w:val="4C2347DB"/>
    <w:rsid w:val="4C270DA4"/>
    <w:rsid w:val="4C297F74"/>
    <w:rsid w:val="4C30370D"/>
    <w:rsid w:val="4C3109FB"/>
    <w:rsid w:val="4C4751C5"/>
    <w:rsid w:val="4C4A0649"/>
    <w:rsid w:val="4C4A6FAE"/>
    <w:rsid w:val="4C4F155C"/>
    <w:rsid w:val="4C582578"/>
    <w:rsid w:val="4C6C1D52"/>
    <w:rsid w:val="4C7473D6"/>
    <w:rsid w:val="4C7C4690"/>
    <w:rsid w:val="4C7D6B0F"/>
    <w:rsid w:val="4C7E5ECA"/>
    <w:rsid w:val="4C81573F"/>
    <w:rsid w:val="4C820C46"/>
    <w:rsid w:val="4C82126B"/>
    <w:rsid w:val="4C83410A"/>
    <w:rsid w:val="4C870899"/>
    <w:rsid w:val="4C876AA5"/>
    <w:rsid w:val="4CA00A41"/>
    <w:rsid w:val="4CA04404"/>
    <w:rsid w:val="4CA45134"/>
    <w:rsid w:val="4CBE1961"/>
    <w:rsid w:val="4CC22C7C"/>
    <w:rsid w:val="4CC62992"/>
    <w:rsid w:val="4CD32F17"/>
    <w:rsid w:val="4CE158E8"/>
    <w:rsid w:val="4CE34A9C"/>
    <w:rsid w:val="4CE55FFC"/>
    <w:rsid w:val="4CEA1313"/>
    <w:rsid w:val="4CEB7404"/>
    <w:rsid w:val="4CEF453C"/>
    <w:rsid w:val="4CFA68DE"/>
    <w:rsid w:val="4CFD3D30"/>
    <w:rsid w:val="4D0E00FB"/>
    <w:rsid w:val="4D103158"/>
    <w:rsid w:val="4D160508"/>
    <w:rsid w:val="4D176606"/>
    <w:rsid w:val="4D3032B0"/>
    <w:rsid w:val="4D331955"/>
    <w:rsid w:val="4D3764BE"/>
    <w:rsid w:val="4D3D4DEA"/>
    <w:rsid w:val="4D3F1DE4"/>
    <w:rsid w:val="4D406DE1"/>
    <w:rsid w:val="4D476EBD"/>
    <w:rsid w:val="4D4A1C5C"/>
    <w:rsid w:val="4D4D60E7"/>
    <w:rsid w:val="4D5740B9"/>
    <w:rsid w:val="4D600563"/>
    <w:rsid w:val="4D670367"/>
    <w:rsid w:val="4D6C7F8B"/>
    <w:rsid w:val="4D6D5452"/>
    <w:rsid w:val="4D8602C2"/>
    <w:rsid w:val="4D891784"/>
    <w:rsid w:val="4D8B3994"/>
    <w:rsid w:val="4D932B4F"/>
    <w:rsid w:val="4D9948D5"/>
    <w:rsid w:val="4DBD2E7E"/>
    <w:rsid w:val="4DCB34AF"/>
    <w:rsid w:val="4DD55F83"/>
    <w:rsid w:val="4DDA7D81"/>
    <w:rsid w:val="4DE40918"/>
    <w:rsid w:val="4DE70A04"/>
    <w:rsid w:val="4DEB4384"/>
    <w:rsid w:val="4DEC4FB0"/>
    <w:rsid w:val="4DEE01EB"/>
    <w:rsid w:val="4DF82E03"/>
    <w:rsid w:val="4E075D8A"/>
    <w:rsid w:val="4E152629"/>
    <w:rsid w:val="4E1D2C94"/>
    <w:rsid w:val="4E1E77C0"/>
    <w:rsid w:val="4E2147CA"/>
    <w:rsid w:val="4E257040"/>
    <w:rsid w:val="4E5117DE"/>
    <w:rsid w:val="4E5448FA"/>
    <w:rsid w:val="4E5F24B1"/>
    <w:rsid w:val="4E5F32E6"/>
    <w:rsid w:val="4E697127"/>
    <w:rsid w:val="4E724CEA"/>
    <w:rsid w:val="4E7B5AAF"/>
    <w:rsid w:val="4E7D0D54"/>
    <w:rsid w:val="4E86646A"/>
    <w:rsid w:val="4E873862"/>
    <w:rsid w:val="4E8935CF"/>
    <w:rsid w:val="4E950F7D"/>
    <w:rsid w:val="4E9C3D06"/>
    <w:rsid w:val="4EA9705F"/>
    <w:rsid w:val="4EB77C34"/>
    <w:rsid w:val="4EB8094F"/>
    <w:rsid w:val="4EC00FAD"/>
    <w:rsid w:val="4ECC4356"/>
    <w:rsid w:val="4ED02F47"/>
    <w:rsid w:val="4ED14AC3"/>
    <w:rsid w:val="4ED41501"/>
    <w:rsid w:val="4EDC36EA"/>
    <w:rsid w:val="4EE126CA"/>
    <w:rsid w:val="4EE50D1B"/>
    <w:rsid w:val="4EE6443D"/>
    <w:rsid w:val="4EEA5B05"/>
    <w:rsid w:val="4EEC2680"/>
    <w:rsid w:val="4F027D8A"/>
    <w:rsid w:val="4F087175"/>
    <w:rsid w:val="4F167C4E"/>
    <w:rsid w:val="4F1902A8"/>
    <w:rsid w:val="4F276DD0"/>
    <w:rsid w:val="4F3D5E0F"/>
    <w:rsid w:val="4F45419D"/>
    <w:rsid w:val="4F4C0F96"/>
    <w:rsid w:val="4F4D2779"/>
    <w:rsid w:val="4F52361F"/>
    <w:rsid w:val="4F551D3A"/>
    <w:rsid w:val="4F597438"/>
    <w:rsid w:val="4F710966"/>
    <w:rsid w:val="4F745A69"/>
    <w:rsid w:val="4F7E031D"/>
    <w:rsid w:val="4F815DA5"/>
    <w:rsid w:val="4F8D0B91"/>
    <w:rsid w:val="4F9843DC"/>
    <w:rsid w:val="4F9A524F"/>
    <w:rsid w:val="4FA07BB2"/>
    <w:rsid w:val="4FB92A7F"/>
    <w:rsid w:val="4FB92CDA"/>
    <w:rsid w:val="4FBD5683"/>
    <w:rsid w:val="4FC62A8C"/>
    <w:rsid w:val="4FC87676"/>
    <w:rsid w:val="4FCA0859"/>
    <w:rsid w:val="4FCD197A"/>
    <w:rsid w:val="4FD440B3"/>
    <w:rsid w:val="4FE16DB9"/>
    <w:rsid w:val="4FE20F0D"/>
    <w:rsid w:val="4FE237A9"/>
    <w:rsid w:val="4FE51552"/>
    <w:rsid w:val="4FEE0379"/>
    <w:rsid w:val="4FF35B72"/>
    <w:rsid w:val="4FF37764"/>
    <w:rsid w:val="4FFA1843"/>
    <w:rsid w:val="4FFE6835"/>
    <w:rsid w:val="50067111"/>
    <w:rsid w:val="500E4A9F"/>
    <w:rsid w:val="50125642"/>
    <w:rsid w:val="50182E4C"/>
    <w:rsid w:val="501A1195"/>
    <w:rsid w:val="50286811"/>
    <w:rsid w:val="502C309B"/>
    <w:rsid w:val="50375B56"/>
    <w:rsid w:val="5038665E"/>
    <w:rsid w:val="505035A1"/>
    <w:rsid w:val="50504C4B"/>
    <w:rsid w:val="50595068"/>
    <w:rsid w:val="50602097"/>
    <w:rsid w:val="50695659"/>
    <w:rsid w:val="506B349A"/>
    <w:rsid w:val="50730083"/>
    <w:rsid w:val="50755CA3"/>
    <w:rsid w:val="507D33E1"/>
    <w:rsid w:val="50927EDA"/>
    <w:rsid w:val="50943942"/>
    <w:rsid w:val="509B41E6"/>
    <w:rsid w:val="509C6E7C"/>
    <w:rsid w:val="50A770DF"/>
    <w:rsid w:val="50AB4C5E"/>
    <w:rsid w:val="50B03B2B"/>
    <w:rsid w:val="50B16CA1"/>
    <w:rsid w:val="50B62E14"/>
    <w:rsid w:val="50CA3BAF"/>
    <w:rsid w:val="50D02A66"/>
    <w:rsid w:val="50D6330E"/>
    <w:rsid w:val="50DC3D36"/>
    <w:rsid w:val="50DE7239"/>
    <w:rsid w:val="50EB2E88"/>
    <w:rsid w:val="50EF2D57"/>
    <w:rsid w:val="50F7369E"/>
    <w:rsid w:val="50FA1620"/>
    <w:rsid w:val="50FE2865"/>
    <w:rsid w:val="51114590"/>
    <w:rsid w:val="51192487"/>
    <w:rsid w:val="511D1B4D"/>
    <w:rsid w:val="51215DCB"/>
    <w:rsid w:val="5126542F"/>
    <w:rsid w:val="512733DC"/>
    <w:rsid w:val="512E02BD"/>
    <w:rsid w:val="51313562"/>
    <w:rsid w:val="51341FFC"/>
    <w:rsid w:val="514321CD"/>
    <w:rsid w:val="514E574D"/>
    <w:rsid w:val="5153495F"/>
    <w:rsid w:val="515B42A0"/>
    <w:rsid w:val="515E0E0C"/>
    <w:rsid w:val="5162104E"/>
    <w:rsid w:val="51633A94"/>
    <w:rsid w:val="51663C9A"/>
    <w:rsid w:val="516B02C4"/>
    <w:rsid w:val="5173589B"/>
    <w:rsid w:val="51826FF2"/>
    <w:rsid w:val="519A5ACE"/>
    <w:rsid w:val="51AE1E90"/>
    <w:rsid w:val="51B178D7"/>
    <w:rsid w:val="51B506CA"/>
    <w:rsid w:val="51BD0E26"/>
    <w:rsid w:val="51BE336A"/>
    <w:rsid w:val="51BF4329"/>
    <w:rsid w:val="51C14175"/>
    <w:rsid w:val="51CF320B"/>
    <w:rsid w:val="51D24013"/>
    <w:rsid w:val="51DD4391"/>
    <w:rsid w:val="51E774FB"/>
    <w:rsid w:val="51F54CC6"/>
    <w:rsid w:val="51FA16BE"/>
    <w:rsid w:val="52044E1D"/>
    <w:rsid w:val="520D7AF0"/>
    <w:rsid w:val="52121BB5"/>
    <w:rsid w:val="521C35C3"/>
    <w:rsid w:val="522577BA"/>
    <w:rsid w:val="52324668"/>
    <w:rsid w:val="523614E4"/>
    <w:rsid w:val="524A3079"/>
    <w:rsid w:val="524F3947"/>
    <w:rsid w:val="52545EA1"/>
    <w:rsid w:val="525F17E0"/>
    <w:rsid w:val="525F330C"/>
    <w:rsid w:val="526F00A6"/>
    <w:rsid w:val="527350D1"/>
    <w:rsid w:val="52796FDA"/>
    <w:rsid w:val="527F4ACD"/>
    <w:rsid w:val="52852F59"/>
    <w:rsid w:val="528D4C47"/>
    <w:rsid w:val="529F273C"/>
    <w:rsid w:val="52A01D28"/>
    <w:rsid w:val="52AB4331"/>
    <w:rsid w:val="52BE5550"/>
    <w:rsid w:val="52BF3EA9"/>
    <w:rsid w:val="52CC5B53"/>
    <w:rsid w:val="52D74DF5"/>
    <w:rsid w:val="52E3448B"/>
    <w:rsid w:val="52E53BB4"/>
    <w:rsid w:val="52E65410"/>
    <w:rsid w:val="52F42171"/>
    <w:rsid w:val="52F4290E"/>
    <w:rsid w:val="53062D0F"/>
    <w:rsid w:val="530900F5"/>
    <w:rsid w:val="53163E1A"/>
    <w:rsid w:val="53165ACD"/>
    <w:rsid w:val="53254AA2"/>
    <w:rsid w:val="532842F7"/>
    <w:rsid w:val="533F3F25"/>
    <w:rsid w:val="53430443"/>
    <w:rsid w:val="53561554"/>
    <w:rsid w:val="53596DC2"/>
    <w:rsid w:val="535B2E5C"/>
    <w:rsid w:val="537312E8"/>
    <w:rsid w:val="53773E81"/>
    <w:rsid w:val="5378263D"/>
    <w:rsid w:val="537E6888"/>
    <w:rsid w:val="53876137"/>
    <w:rsid w:val="539212E2"/>
    <w:rsid w:val="53A039CC"/>
    <w:rsid w:val="53A1505A"/>
    <w:rsid w:val="53C73146"/>
    <w:rsid w:val="53C91247"/>
    <w:rsid w:val="53CF7128"/>
    <w:rsid w:val="53D9371F"/>
    <w:rsid w:val="53DF7B9C"/>
    <w:rsid w:val="53EF40FA"/>
    <w:rsid w:val="53F75F79"/>
    <w:rsid w:val="53FC7B36"/>
    <w:rsid w:val="53FF492A"/>
    <w:rsid w:val="54063E08"/>
    <w:rsid w:val="541215CA"/>
    <w:rsid w:val="541C548D"/>
    <w:rsid w:val="541F2CCA"/>
    <w:rsid w:val="542309D1"/>
    <w:rsid w:val="542458C6"/>
    <w:rsid w:val="542C41EC"/>
    <w:rsid w:val="54334F17"/>
    <w:rsid w:val="543437E8"/>
    <w:rsid w:val="543978E2"/>
    <w:rsid w:val="543E1670"/>
    <w:rsid w:val="54574766"/>
    <w:rsid w:val="54722618"/>
    <w:rsid w:val="547A32A8"/>
    <w:rsid w:val="5481464D"/>
    <w:rsid w:val="54867ADE"/>
    <w:rsid w:val="54990A0F"/>
    <w:rsid w:val="54AC2C01"/>
    <w:rsid w:val="54B03B7B"/>
    <w:rsid w:val="54B54C3C"/>
    <w:rsid w:val="54BC3865"/>
    <w:rsid w:val="54C8418F"/>
    <w:rsid w:val="54D54BFA"/>
    <w:rsid w:val="54DC64CE"/>
    <w:rsid w:val="54E9135D"/>
    <w:rsid w:val="54EB0FDD"/>
    <w:rsid w:val="54F454FF"/>
    <w:rsid w:val="54F73313"/>
    <w:rsid w:val="54F80955"/>
    <w:rsid w:val="54FF3501"/>
    <w:rsid w:val="5515380D"/>
    <w:rsid w:val="55275A41"/>
    <w:rsid w:val="554258A8"/>
    <w:rsid w:val="5548521A"/>
    <w:rsid w:val="554A267C"/>
    <w:rsid w:val="555170A7"/>
    <w:rsid w:val="555C0C76"/>
    <w:rsid w:val="55727FBD"/>
    <w:rsid w:val="557767FC"/>
    <w:rsid w:val="558570B1"/>
    <w:rsid w:val="5587536D"/>
    <w:rsid w:val="558E5FED"/>
    <w:rsid w:val="55925F61"/>
    <w:rsid w:val="55957278"/>
    <w:rsid w:val="559B174B"/>
    <w:rsid w:val="55A72A15"/>
    <w:rsid w:val="55AB2E7F"/>
    <w:rsid w:val="55C21B46"/>
    <w:rsid w:val="55CE0CF4"/>
    <w:rsid w:val="55F94836"/>
    <w:rsid w:val="55FB134A"/>
    <w:rsid w:val="55FC7F21"/>
    <w:rsid w:val="55FF69B0"/>
    <w:rsid w:val="560F65C1"/>
    <w:rsid w:val="561C5801"/>
    <w:rsid w:val="56204579"/>
    <w:rsid w:val="562532E3"/>
    <w:rsid w:val="56281183"/>
    <w:rsid w:val="562C5B54"/>
    <w:rsid w:val="56304D5F"/>
    <w:rsid w:val="563B049B"/>
    <w:rsid w:val="563E640C"/>
    <w:rsid w:val="56401924"/>
    <w:rsid w:val="56496DDF"/>
    <w:rsid w:val="56550DDA"/>
    <w:rsid w:val="56561216"/>
    <w:rsid w:val="56653C79"/>
    <w:rsid w:val="56660C90"/>
    <w:rsid w:val="56717635"/>
    <w:rsid w:val="567D5621"/>
    <w:rsid w:val="5683587B"/>
    <w:rsid w:val="56877B05"/>
    <w:rsid w:val="568B5505"/>
    <w:rsid w:val="56941399"/>
    <w:rsid w:val="56985A0D"/>
    <w:rsid w:val="569B5F9A"/>
    <w:rsid w:val="569D4B69"/>
    <w:rsid w:val="56B22A9C"/>
    <w:rsid w:val="56B26050"/>
    <w:rsid w:val="56BE7038"/>
    <w:rsid w:val="56CA1873"/>
    <w:rsid w:val="56D33C2A"/>
    <w:rsid w:val="56E61C16"/>
    <w:rsid w:val="56E755A0"/>
    <w:rsid w:val="56F819DC"/>
    <w:rsid w:val="56FE35BF"/>
    <w:rsid w:val="5701105D"/>
    <w:rsid w:val="570603D3"/>
    <w:rsid w:val="5707751A"/>
    <w:rsid w:val="570B48BA"/>
    <w:rsid w:val="571A0120"/>
    <w:rsid w:val="572C1467"/>
    <w:rsid w:val="572F7019"/>
    <w:rsid w:val="57315D4C"/>
    <w:rsid w:val="57406DB1"/>
    <w:rsid w:val="574127B6"/>
    <w:rsid w:val="57420D9F"/>
    <w:rsid w:val="57430148"/>
    <w:rsid w:val="5746380B"/>
    <w:rsid w:val="574975DC"/>
    <w:rsid w:val="574C432A"/>
    <w:rsid w:val="575265C7"/>
    <w:rsid w:val="57550685"/>
    <w:rsid w:val="5762295F"/>
    <w:rsid w:val="576B5B79"/>
    <w:rsid w:val="576C4D43"/>
    <w:rsid w:val="57720B87"/>
    <w:rsid w:val="5772595F"/>
    <w:rsid w:val="578876A8"/>
    <w:rsid w:val="57B72A76"/>
    <w:rsid w:val="57BD3085"/>
    <w:rsid w:val="57BE68AA"/>
    <w:rsid w:val="57BF32DF"/>
    <w:rsid w:val="57C3426C"/>
    <w:rsid w:val="57CA1E7B"/>
    <w:rsid w:val="57CC12A9"/>
    <w:rsid w:val="57CE1F93"/>
    <w:rsid w:val="57D72BC5"/>
    <w:rsid w:val="57DE5EB8"/>
    <w:rsid w:val="57F272BC"/>
    <w:rsid w:val="57F73222"/>
    <w:rsid w:val="57F80C59"/>
    <w:rsid w:val="57FC7368"/>
    <w:rsid w:val="57FE2B69"/>
    <w:rsid w:val="580538A6"/>
    <w:rsid w:val="581B21F6"/>
    <w:rsid w:val="581D7B9B"/>
    <w:rsid w:val="581E7B75"/>
    <w:rsid w:val="582C415B"/>
    <w:rsid w:val="582D62F5"/>
    <w:rsid w:val="58392C66"/>
    <w:rsid w:val="58395CD8"/>
    <w:rsid w:val="584148D8"/>
    <w:rsid w:val="58466306"/>
    <w:rsid w:val="5853006C"/>
    <w:rsid w:val="58752000"/>
    <w:rsid w:val="58823924"/>
    <w:rsid w:val="588743D1"/>
    <w:rsid w:val="5887701A"/>
    <w:rsid w:val="58951DE3"/>
    <w:rsid w:val="58AD748A"/>
    <w:rsid w:val="58B42A03"/>
    <w:rsid w:val="58BD534C"/>
    <w:rsid w:val="58C21A12"/>
    <w:rsid w:val="58C82888"/>
    <w:rsid w:val="58D263C5"/>
    <w:rsid w:val="58DB1CE9"/>
    <w:rsid w:val="58DC4756"/>
    <w:rsid w:val="58DF49DA"/>
    <w:rsid w:val="58E52E67"/>
    <w:rsid w:val="58F352C8"/>
    <w:rsid w:val="58F55680"/>
    <w:rsid w:val="58FC5DF7"/>
    <w:rsid w:val="58FF6010"/>
    <w:rsid w:val="59223D21"/>
    <w:rsid w:val="592B22D7"/>
    <w:rsid w:val="59301FE2"/>
    <w:rsid w:val="5938164F"/>
    <w:rsid w:val="593E6A79"/>
    <w:rsid w:val="59441031"/>
    <w:rsid w:val="594453FF"/>
    <w:rsid w:val="59446E53"/>
    <w:rsid w:val="59481887"/>
    <w:rsid w:val="594E3790"/>
    <w:rsid w:val="59570D64"/>
    <w:rsid w:val="59597EA9"/>
    <w:rsid w:val="595B1DC3"/>
    <w:rsid w:val="596B0B7F"/>
    <w:rsid w:val="5980290A"/>
    <w:rsid w:val="5988327B"/>
    <w:rsid w:val="598B0F4E"/>
    <w:rsid w:val="598C1ACD"/>
    <w:rsid w:val="598D4BD1"/>
    <w:rsid w:val="5991349F"/>
    <w:rsid w:val="59B27353"/>
    <w:rsid w:val="59B61EBB"/>
    <w:rsid w:val="59B843A4"/>
    <w:rsid w:val="59BC0BB7"/>
    <w:rsid w:val="59BD6B93"/>
    <w:rsid w:val="59C0439F"/>
    <w:rsid w:val="59CA0E6C"/>
    <w:rsid w:val="59EE4336"/>
    <w:rsid w:val="59FA4BF5"/>
    <w:rsid w:val="5A01026D"/>
    <w:rsid w:val="5A0E315B"/>
    <w:rsid w:val="5A194872"/>
    <w:rsid w:val="5A214DED"/>
    <w:rsid w:val="5A2621D0"/>
    <w:rsid w:val="5A300690"/>
    <w:rsid w:val="5A4844D5"/>
    <w:rsid w:val="5A4C27EA"/>
    <w:rsid w:val="5A4F4BE2"/>
    <w:rsid w:val="5A697C1F"/>
    <w:rsid w:val="5A7D494A"/>
    <w:rsid w:val="5A831B7C"/>
    <w:rsid w:val="5A845B10"/>
    <w:rsid w:val="5A902EA3"/>
    <w:rsid w:val="5A97399B"/>
    <w:rsid w:val="5AA919ED"/>
    <w:rsid w:val="5AAB0172"/>
    <w:rsid w:val="5AB630E2"/>
    <w:rsid w:val="5ABC147A"/>
    <w:rsid w:val="5ABE2233"/>
    <w:rsid w:val="5ABF4BA5"/>
    <w:rsid w:val="5ABF69EC"/>
    <w:rsid w:val="5ACA21BE"/>
    <w:rsid w:val="5ACA54E8"/>
    <w:rsid w:val="5ACD657F"/>
    <w:rsid w:val="5AD956F5"/>
    <w:rsid w:val="5ADF2D61"/>
    <w:rsid w:val="5AE75B20"/>
    <w:rsid w:val="5AEC7435"/>
    <w:rsid w:val="5AFF11B3"/>
    <w:rsid w:val="5B212792"/>
    <w:rsid w:val="5B276899"/>
    <w:rsid w:val="5B32488C"/>
    <w:rsid w:val="5B3357E2"/>
    <w:rsid w:val="5B363630"/>
    <w:rsid w:val="5B370B46"/>
    <w:rsid w:val="5B3E1435"/>
    <w:rsid w:val="5B3F7D02"/>
    <w:rsid w:val="5B414B3D"/>
    <w:rsid w:val="5B4403C8"/>
    <w:rsid w:val="5B4E4846"/>
    <w:rsid w:val="5B5B3870"/>
    <w:rsid w:val="5B6A2D1D"/>
    <w:rsid w:val="5B6B6089"/>
    <w:rsid w:val="5B6F1A7E"/>
    <w:rsid w:val="5B7256D3"/>
    <w:rsid w:val="5B742D84"/>
    <w:rsid w:val="5B7E3F99"/>
    <w:rsid w:val="5B834B85"/>
    <w:rsid w:val="5B8C0590"/>
    <w:rsid w:val="5B8E0292"/>
    <w:rsid w:val="5B90353A"/>
    <w:rsid w:val="5B923B71"/>
    <w:rsid w:val="5B943089"/>
    <w:rsid w:val="5B9A7608"/>
    <w:rsid w:val="5B9B7DD0"/>
    <w:rsid w:val="5BB03A0C"/>
    <w:rsid w:val="5BB40F14"/>
    <w:rsid w:val="5BB71F8E"/>
    <w:rsid w:val="5BBF5B13"/>
    <w:rsid w:val="5BCA1926"/>
    <w:rsid w:val="5BDB5443"/>
    <w:rsid w:val="5BDF5D95"/>
    <w:rsid w:val="5BEC5A62"/>
    <w:rsid w:val="5BF31218"/>
    <w:rsid w:val="5BF501EB"/>
    <w:rsid w:val="5BFE7528"/>
    <w:rsid w:val="5C0010BF"/>
    <w:rsid w:val="5C041F35"/>
    <w:rsid w:val="5C0C3786"/>
    <w:rsid w:val="5C1A7126"/>
    <w:rsid w:val="5C313AEE"/>
    <w:rsid w:val="5C324DF8"/>
    <w:rsid w:val="5C414DE8"/>
    <w:rsid w:val="5C4F4917"/>
    <w:rsid w:val="5C5679F9"/>
    <w:rsid w:val="5C567D66"/>
    <w:rsid w:val="5C582020"/>
    <w:rsid w:val="5C772805"/>
    <w:rsid w:val="5C8E3635"/>
    <w:rsid w:val="5C8F5B78"/>
    <w:rsid w:val="5C924E8C"/>
    <w:rsid w:val="5C934FA3"/>
    <w:rsid w:val="5C9630C9"/>
    <w:rsid w:val="5C974418"/>
    <w:rsid w:val="5C9A677B"/>
    <w:rsid w:val="5C9B41FC"/>
    <w:rsid w:val="5C9F2C03"/>
    <w:rsid w:val="5CA6628A"/>
    <w:rsid w:val="5CAD26BA"/>
    <w:rsid w:val="5CB61560"/>
    <w:rsid w:val="5CB762E9"/>
    <w:rsid w:val="5CBD0CC6"/>
    <w:rsid w:val="5CBD4F2E"/>
    <w:rsid w:val="5CBF5692"/>
    <w:rsid w:val="5CC85FC5"/>
    <w:rsid w:val="5CCF5950"/>
    <w:rsid w:val="5CD530DD"/>
    <w:rsid w:val="5CD677E5"/>
    <w:rsid w:val="5CD82DDF"/>
    <w:rsid w:val="5CDA6B69"/>
    <w:rsid w:val="5CE2390E"/>
    <w:rsid w:val="5CE953E1"/>
    <w:rsid w:val="5CF31B2D"/>
    <w:rsid w:val="5CFC1012"/>
    <w:rsid w:val="5D0000CA"/>
    <w:rsid w:val="5D271817"/>
    <w:rsid w:val="5D2F00C3"/>
    <w:rsid w:val="5D3216FA"/>
    <w:rsid w:val="5D3543FB"/>
    <w:rsid w:val="5D482D23"/>
    <w:rsid w:val="5D497818"/>
    <w:rsid w:val="5D4F32CC"/>
    <w:rsid w:val="5D606F15"/>
    <w:rsid w:val="5D7E5CDD"/>
    <w:rsid w:val="5D8A1757"/>
    <w:rsid w:val="5D926D13"/>
    <w:rsid w:val="5D95552D"/>
    <w:rsid w:val="5DB03D0D"/>
    <w:rsid w:val="5DB567E0"/>
    <w:rsid w:val="5DBD4A28"/>
    <w:rsid w:val="5DBF6AB6"/>
    <w:rsid w:val="5DC126BE"/>
    <w:rsid w:val="5DC77C8B"/>
    <w:rsid w:val="5DCE52EE"/>
    <w:rsid w:val="5DE132F2"/>
    <w:rsid w:val="5DE31F95"/>
    <w:rsid w:val="5DE97722"/>
    <w:rsid w:val="5DEC2DD0"/>
    <w:rsid w:val="5DF50D1C"/>
    <w:rsid w:val="5E123276"/>
    <w:rsid w:val="5E176F6C"/>
    <w:rsid w:val="5E1F2F8D"/>
    <w:rsid w:val="5E2467F1"/>
    <w:rsid w:val="5E3F4330"/>
    <w:rsid w:val="5E4C5FA7"/>
    <w:rsid w:val="5E5A4F4D"/>
    <w:rsid w:val="5E5F7EDB"/>
    <w:rsid w:val="5E733DB9"/>
    <w:rsid w:val="5E7A49D5"/>
    <w:rsid w:val="5E7B7DA5"/>
    <w:rsid w:val="5E7E4392"/>
    <w:rsid w:val="5E7F3B24"/>
    <w:rsid w:val="5EAE61E6"/>
    <w:rsid w:val="5EB41121"/>
    <w:rsid w:val="5EC24ED2"/>
    <w:rsid w:val="5EC74A6A"/>
    <w:rsid w:val="5EEA2968"/>
    <w:rsid w:val="5EEC61ED"/>
    <w:rsid w:val="5EF77271"/>
    <w:rsid w:val="5EFD5F0A"/>
    <w:rsid w:val="5F0602E4"/>
    <w:rsid w:val="5F085C4C"/>
    <w:rsid w:val="5F0B4ACB"/>
    <w:rsid w:val="5F140775"/>
    <w:rsid w:val="5F1A2B43"/>
    <w:rsid w:val="5F2B57AF"/>
    <w:rsid w:val="5F3A5DCA"/>
    <w:rsid w:val="5F5E0AA9"/>
    <w:rsid w:val="5F75272C"/>
    <w:rsid w:val="5F8374C3"/>
    <w:rsid w:val="5F866694"/>
    <w:rsid w:val="5F884F3B"/>
    <w:rsid w:val="5F8D34A3"/>
    <w:rsid w:val="5F8D458F"/>
    <w:rsid w:val="5FA04B6E"/>
    <w:rsid w:val="5FB054B7"/>
    <w:rsid w:val="5FB1348A"/>
    <w:rsid w:val="5FB837BB"/>
    <w:rsid w:val="5FC879EA"/>
    <w:rsid w:val="5FC94F39"/>
    <w:rsid w:val="5FD467C6"/>
    <w:rsid w:val="5FF956D4"/>
    <w:rsid w:val="5FFA0406"/>
    <w:rsid w:val="5FFC08B7"/>
    <w:rsid w:val="5FFE4C13"/>
    <w:rsid w:val="60074376"/>
    <w:rsid w:val="602425E4"/>
    <w:rsid w:val="603040BD"/>
    <w:rsid w:val="603C770F"/>
    <w:rsid w:val="60464739"/>
    <w:rsid w:val="604B0F10"/>
    <w:rsid w:val="60510E15"/>
    <w:rsid w:val="60596221"/>
    <w:rsid w:val="60610DC7"/>
    <w:rsid w:val="60627C1D"/>
    <w:rsid w:val="60683E8C"/>
    <w:rsid w:val="606D2F9B"/>
    <w:rsid w:val="60761F4E"/>
    <w:rsid w:val="60795C76"/>
    <w:rsid w:val="607E1EB7"/>
    <w:rsid w:val="607F2E1E"/>
    <w:rsid w:val="60927E06"/>
    <w:rsid w:val="6098175A"/>
    <w:rsid w:val="609B42D8"/>
    <w:rsid w:val="60A96DCE"/>
    <w:rsid w:val="60B62AAC"/>
    <w:rsid w:val="60BD26C3"/>
    <w:rsid w:val="60BD71AD"/>
    <w:rsid w:val="60C574E3"/>
    <w:rsid w:val="60CC405A"/>
    <w:rsid w:val="60CF16E3"/>
    <w:rsid w:val="60D6096A"/>
    <w:rsid w:val="60D73635"/>
    <w:rsid w:val="60D77B50"/>
    <w:rsid w:val="60DF60FA"/>
    <w:rsid w:val="60E52E6D"/>
    <w:rsid w:val="60ED3098"/>
    <w:rsid w:val="61094D40"/>
    <w:rsid w:val="610D09AF"/>
    <w:rsid w:val="61187559"/>
    <w:rsid w:val="611C3D61"/>
    <w:rsid w:val="61246BEF"/>
    <w:rsid w:val="6126389E"/>
    <w:rsid w:val="612E16FD"/>
    <w:rsid w:val="6135065F"/>
    <w:rsid w:val="6138200C"/>
    <w:rsid w:val="613F2524"/>
    <w:rsid w:val="614C2CD2"/>
    <w:rsid w:val="614E4FF8"/>
    <w:rsid w:val="615133E9"/>
    <w:rsid w:val="616E4A3F"/>
    <w:rsid w:val="61701CE1"/>
    <w:rsid w:val="61710FD9"/>
    <w:rsid w:val="61785739"/>
    <w:rsid w:val="617B563F"/>
    <w:rsid w:val="617C4301"/>
    <w:rsid w:val="61844420"/>
    <w:rsid w:val="6190049D"/>
    <w:rsid w:val="619523A6"/>
    <w:rsid w:val="6198332B"/>
    <w:rsid w:val="61AA1974"/>
    <w:rsid w:val="61B14255"/>
    <w:rsid w:val="61B21CD6"/>
    <w:rsid w:val="61BD6A8D"/>
    <w:rsid w:val="61C55397"/>
    <w:rsid w:val="61CB5CEF"/>
    <w:rsid w:val="61E15EA3"/>
    <w:rsid w:val="61E215D8"/>
    <w:rsid w:val="61E46AFD"/>
    <w:rsid w:val="61E85062"/>
    <w:rsid w:val="61EB79F4"/>
    <w:rsid w:val="61F66620"/>
    <w:rsid w:val="61F71146"/>
    <w:rsid w:val="61F94378"/>
    <w:rsid w:val="61F96FB8"/>
    <w:rsid w:val="62020F30"/>
    <w:rsid w:val="62053CDF"/>
    <w:rsid w:val="62122FF4"/>
    <w:rsid w:val="62133176"/>
    <w:rsid w:val="6217535A"/>
    <w:rsid w:val="621B3775"/>
    <w:rsid w:val="621E4781"/>
    <w:rsid w:val="621F0B82"/>
    <w:rsid w:val="622172DE"/>
    <w:rsid w:val="6227385C"/>
    <w:rsid w:val="622F7D46"/>
    <w:rsid w:val="6231220D"/>
    <w:rsid w:val="62364782"/>
    <w:rsid w:val="62371F2F"/>
    <w:rsid w:val="623B3428"/>
    <w:rsid w:val="62572464"/>
    <w:rsid w:val="625C73EB"/>
    <w:rsid w:val="62611BE5"/>
    <w:rsid w:val="62616CA1"/>
    <w:rsid w:val="62635B39"/>
    <w:rsid w:val="627A5E9C"/>
    <w:rsid w:val="627E0125"/>
    <w:rsid w:val="627F6207"/>
    <w:rsid w:val="62B1767B"/>
    <w:rsid w:val="62B4535E"/>
    <w:rsid w:val="62B6296E"/>
    <w:rsid w:val="62BE0ADE"/>
    <w:rsid w:val="62BE6A4B"/>
    <w:rsid w:val="62CE03EB"/>
    <w:rsid w:val="62D91738"/>
    <w:rsid w:val="62E8648F"/>
    <w:rsid w:val="62EF64B1"/>
    <w:rsid w:val="63051831"/>
    <w:rsid w:val="63084806"/>
    <w:rsid w:val="630C63AC"/>
    <w:rsid w:val="630D6D17"/>
    <w:rsid w:val="63146AF0"/>
    <w:rsid w:val="631B5322"/>
    <w:rsid w:val="631C56FB"/>
    <w:rsid w:val="631D516A"/>
    <w:rsid w:val="632600FE"/>
    <w:rsid w:val="632F3249"/>
    <w:rsid w:val="63304BD9"/>
    <w:rsid w:val="633264B6"/>
    <w:rsid w:val="633D473B"/>
    <w:rsid w:val="63400ABB"/>
    <w:rsid w:val="634133ED"/>
    <w:rsid w:val="6345009E"/>
    <w:rsid w:val="634F7F5A"/>
    <w:rsid w:val="6369578F"/>
    <w:rsid w:val="636F3865"/>
    <w:rsid w:val="63737739"/>
    <w:rsid w:val="63754834"/>
    <w:rsid w:val="6379712D"/>
    <w:rsid w:val="6394356A"/>
    <w:rsid w:val="63985DB2"/>
    <w:rsid w:val="639D6371"/>
    <w:rsid w:val="63A3462E"/>
    <w:rsid w:val="63A55989"/>
    <w:rsid w:val="63B23C88"/>
    <w:rsid w:val="63BC0D27"/>
    <w:rsid w:val="63C61B2C"/>
    <w:rsid w:val="63C6493B"/>
    <w:rsid w:val="63CF67CD"/>
    <w:rsid w:val="63D0424F"/>
    <w:rsid w:val="63D1000D"/>
    <w:rsid w:val="63D3141F"/>
    <w:rsid w:val="63D40BE9"/>
    <w:rsid w:val="63D506D7"/>
    <w:rsid w:val="63DD1366"/>
    <w:rsid w:val="63E5689C"/>
    <w:rsid w:val="63EA4F7F"/>
    <w:rsid w:val="64007E18"/>
    <w:rsid w:val="64102431"/>
    <w:rsid w:val="641A5A8D"/>
    <w:rsid w:val="64227B57"/>
    <w:rsid w:val="643422E0"/>
    <w:rsid w:val="64355C74"/>
    <w:rsid w:val="64355DE1"/>
    <w:rsid w:val="6441108B"/>
    <w:rsid w:val="6444200F"/>
    <w:rsid w:val="64462101"/>
    <w:rsid w:val="64523523"/>
    <w:rsid w:val="645A41B3"/>
    <w:rsid w:val="64677B77"/>
    <w:rsid w:val="64725EE5"/>
    <w:rsid w:val="647527DE"/>
    <w:rsid w:val="647D0C8B"/>
    <w:rsid w:val="648262BF"/>
    <w:rsid w:val="648D18AD"/>
    <w:rsid w:val="64931D8E"/>
    <w:rsid w:val="64973288"/>
    <w:rsid w:val="649E3AB0"/>
    <w:rsid w:val="649F768C"/>
    <w:rsid w:val="64A123A9"/>
    <w:rsid w:val="64A14C54"/>
    <w:rsid w:val="64A5243A"/>
    <w:rsid w:val="64B45B46"/>
    <w:rsid w:val="64B75D94"/>
    <w:rsid w:val="64C26E5E"/>
    <w:rsid w:val="64D260EB"/>
    <w:rsid w:val="64E01E8E"/>
    <w:rsid w:val="64E9645C"/>
    <w:rsid w:val="64F531DE"/>
    <w:rsid w:val="64FC0E43"/>
    <w:rsid w:val="650258C5"/>
    <w:rsid w:val="65026BA0"/>
    <w:rsid w:val="65051140"/>
    <w:rsid w:val="650E12AA"/>
    <w:rsid w:val="65127B39"/>
    <w:rsid w:val="65182CDE"/>
    <w:rsid w:val="651A1F74"/>
    <w:rsid w:val="651D1CF3"/>
    <w:rsid w:val="65373578"/>
    <w:rsid w:val="6542558B"/>
    <w:rsid w:val="65536076"/>
    <w:rsid w:val="65657B68"/>
    <w:rsid w:val="65661BE5"/>
    <w:rsid w:val="657519A5"/>
    <w:rsid w:val="657E4951"/>
    <w:rsid w:val="65844750"/>
    <w:rsid w:val="659126C3"/>
    <w:rsid w:val="65923C24"/>
    <w:rsid w:val="659E1F66"/>
    <w:rsid w:val="659F7911"/>
    <w:rsid w:val="65AB0847"/>
    <w:rsid w:val="65D5369F"/>
    <w:rsid w:val="65EC45F7"/>
    <w:rsid w:val="6605341D"/>
    <w:rsid w:val="660B36F4"/>
    <w:rsid w:val="661406C7"/>
    <w:rsid w:val="6614628E"/>
    <w:rsid w:val="6622379F"/>
    <w:rsid w:val="662657BA"/>
    <w:rsid w:val="66291CDA"/>
    <w:rsid w:val="662E4466"/>
    <w:rsid w:val="664173F5"/>
    <w:rsid w:val="66441E29"/>
    <w:rsid w:val="664803B2"/>
    <w:rsid w:val="66602124"/>
    <w:rsid w:val="66613EB9"/>
    <w:rsid w:val="66613FB9"/>
    <w:rsid w:val="66626E3B"/>
    <w:rsid w:val="666E281B"/>
    <w:rsid w:val="666E31C2"/>
    <w:rsid w:val="667E4DB2"/>
    <w:rsid w:val="6682715F"/>
    <w:rsid w:val="668F6A3C"/>
    <w:rsid w:val="669255D9"/>
    <w:rsid w:val="669730E8"/>
    <w:rsid w:val="669C7877"/>
    <w:rsid w:val="66A01F9C"/>
    <w:rsid w:val="66A25372"/>
    <w:rsid w:val="66B97195"/>
    <w:rsid w:val="66C06B20"/>
    <w:rsid w:val="66C85DE4"/>
    <w:rsid w:val="66CB2968"/>
    <w:rsid w:val="66CF2364"/>
    <w:rsid w:val="66D04D0D"/>
    <w:rsid w:val="66DA21D7"/>
    <w:rsid w:val="66DA4734"/>
    <w:rsid w:val="66DD3ED2"/>
    <w:rsid w:val="6706580E"/>
    <w:rsid w:val="67105312"/>
    <w:rsid w:val="671D7CB2"/>
    <w:rsid w:val="671F124A"/>
    <w:rsid w:val="67274017"/>
    <w:rsid w:val="672D4C32"/>
    <w:rsid w:val="673100D9"/>
    <w:rsid w:val="67341F99"/>
    <w:rsid w:val="67377530"/>
    <w:rsid w:val="673D15D3"/>
    <w:rsid w:val="673F32BB"/>
    <w:rsid w:val="6741462E"/>
    <w:rsid w:val="67462F0D"/>
    <w:rsid w:val="674766FB"/>
    <w:rsid w:val="674F3E22"/>
    <w:rsid w:val="674F49BA"/>
    <w:rsid w:val="677A33C6"/>
    <w:rsid w:val="6785026E"/>
    <w:rsid w:val="678D07F2"/>
    <w:rsid w:val="67976B83"/>
    <w:rsid w:val="679D522A"/>
    <w:rsid w:val="679F10F1"/>
    <w:rsid w:val="67A05323"/>
    <w:rsid w:val="67A14064"/>
    <w:rsid w:val="67AF25DE"/>
    <w:rsid w:val="67B473BE"/>
    <w:rsid w:val="67B6396A"/>
    <w:rsid w:val="67BA25BB"/>
    <w:rsid w:val="67BD4001"/>
    <w:rsid w:val="67BD56F7"/>
    <w:rsid w:val="67CB3049"/>
    <w:rsid w:val="67D952DE"/>
    <w:rsid w:val="67E2000A"/>
    <w:rsid w:val="67E679E0"/>
    <w:rsid w:val="67E722F2"/>
    <w:rsid w:val="67E74813"/>
    <w:rsid w:val="67ED213E"/>
    <w:rsid w:val="67FD29F7"/>
    <w:rsid w:val="68012A09"/>
    <w:rsid w:val="6802361A"/>
    <w:rsid w:val="68137E05"/>
    <w:rsid w:val="681D6296"/>
    <w:rsid w:val="681F6961"/>
    <w:rsid w:val="682E648E"/>
    <w:rsid w:val="683D4F03"/>
    <w:rsid w:val="684734A4"/>
    <w:rsid w:val="684C74F6"/>
    <w:rsid w:val="684D5747"/>
    <w:rsid w:val="68534344"/>
    <w:rsid w:val="685549B8"/>
    <w:rsid w:val="68554E23"/>
    <w:rsid w:val="68566C7A"/>
    <w:rsid w:val="685C4434"/>
    <w:rsid w:val="685F2D49"/>
    <w:rsid w:val="68610A2F"/>
    <w:rsid w:val="68665F57"/>
    <w:rsid w:val="6876296E"/>
    <w:rsid w:val="687B329F"/>
    <w:rsid w:val="68805514"/>
    <w:rsid w:val="688776AE"/>
    <w:rsid w:val="68960EC0"/>
    <w:rsid w:val="689B046A"/>
    <w:rsid w:val="689C2200"/>
    <w:rsid w:val="68B41770"/>
    <w:rsid w:val="68B84F19"/>
    <w:rsid w:val="68BD4605"/>
    <w:rsid w:val="68C84272"/>
    <w:rsid w:val="68C91ABD"/>
    <w:rsid w:val="68DD5B96"/>
    <w:rsid w:val="68F30AFB"/>
    <w:rsid w:val="69050A0D"/>
    <w:rsid w:val="69184B05"/>
    <w:rsid w:val="6927347C"/>
    <w:rsid w:val="69275167"/>
    <w:rsid w:val="692E580A"/>
    <w:rsid w:val="69316E2F"/>
    <w:rsid w:val="693343A6"/>
    <w:rsid w:val="693465ED"/>
    <w:rsid w:val="69404D75"/>
    <w:rsid w:val="69430DBD"/>
    <w:rsid w:val="69442FE0"/>
    <w:rsid w:val="694A173E"/>
    <w:rsid w:val="694E2071"/>
    <w:rsid w:val="694F5ED5"/>
    <w:rsid w:val="696372B1"/>
    <w:rsid w:val="69766163"/>
    <w:rsid w:val="697A3B33"/>
    <w:rsid w:val="697A7E16"/>
    <w:rsid w:val="698642AD"/>
    <w:rsid w:val="69921CCF"/>
    <w:rsid w:val="699B5D01"/>
    <w:rsid w:val="699D3C1A"/>
    <w:rsid w:val="69B2134B"/>
    <w:rsid w:val="69C37593"/>
    <w:rsid w:val="69D17291"/>
    <w:rsid w:val="69D44760"/>
    <w:rsid w:val="69E46063"/>
    <w:rsid w:val="69EA30DA"/>
    <w:rsid w:val="69F05A5E"/>
    <w:rsid w:val="69F20F61"/>
    <w:rsid w:val="69F44464"/>
    <w:rsid w:val="69FA636D"/>
    <w:rsid w:val="69FA7889"/>
    <w:rsid w:val="69FD5C30"/>
    <w:rsid w:val="6A1108E2"/>
    <w:rsid w:val="6A1C68A0"/>
    <w:rsid w:val="6A2F64E2"/>
    <w:rsid w:val="6A3761D2"/>
    <w:rsid w:val="6A386990"/>
    <w:rsid w:val="6A3D4D3C"/>
    <w:rsid w:val="6A460555"/>
    <w:rsid w:val="6A465693"/>
    <w:rsid w:val="6A4C77B8"/>
    <w:rsid w:val="6A520EC7"/>
    <w:rsid w:val="6A7D27F3"/>
    <w:rsid w:val="6A84499F"/>
    <w:rsid w:val="6A973C6D"/>
    <w:rsid w:val="6AA3499E"/>
    <w:rsid w:val="6AAF3A66"/>
    <w:rsid w:val="6AB33643"/>
    <w:rsid w:val="6AB56AA1"/>
    <w:rsid w:val="6AB91C24"/>
    <w:rsid w:val="6ABB68CD"/>
    <w:rsid w:val="6ABD2FE3"/>
    <w:rsid w:val="6AC369D9"/>
    <w:rsid w:val="6AC412B9"/>
    <w:rsid w:val="6AC41FD2"/>
    <w:rsid w:val="6AC51E0A"/>
    <w:rsid w:val="6ACD25A8"/>
    <w:rsid w:val="6ACE73B9"/>
    <w:rsid w:val="6AD74A57"/>
    <w:rsid w:val="6AED1528"/>
    <w:rsid w:val="6AF87E20"/>
    <w:rsid w:val="6B013605"/>
    <w:rsid w:val="6B02331D"/>
    <w:rsid w:val="6B0A2460"/>
    <w:rsid w:val="6B0A7EF6"/>
    <w:rsid w:val="6B0C206C"/>
    <w:rsid w:val="6B1B20EB"/>
    <w:rsid w:val="6B1D51CB"/>
    <w:rsid w:val="6B260059"/>
    <w:rsid w:val="6B2A6A5F"/>
    <w:rsid w:val="6B322639"/>
    <w:rsid w:val="6B333C8B"/>
    <w:rsid w:val="6B367459"/>
    <w:rsid w:val="6B5A786F"/>
    <w:rsid w:val="6B6E2658"/>
    <w:rsid w:val="6B765BE3"/>
    <w:rsid w:val="6B7C6565"/>
    <w:rsid w:val="6B7E03D2"/>
    <w:rsid w:val="6B84481C"/>
    <w:rsid w:val="6B8F7C13"/>
    <w:rsid w:val="6B952E4F"/>
    <w:rsid w:val="6B9C539F"/>
    <w:rsid w:val="6B9F1A2D"/>
    <w:rsid w:val="6BA75815"/>
    <w:rsid w:val="6BA833B2"/>
    <w:rsid w:val="6BBB784F"/>
    <w:rsid w:val="6BD239F5"/>
    <w:rsid w:val="6BD5497A"/>
    <w:rsid w:val="6BEC459F"/>
    <w:rsid w:val="6BF31356"/>
    <w:rsid w:val="6BF46DFE"/>
    <w:rsid w:val="6BF96537"/>
    <w:rsid w:val="6BFF7884"/>
    <w:rsid w:val="6C056107"/>
    <w:rsid w:val="6C14665D"/>
    <w:rsid w:val="6C2211F6"/>
    <w:rsid w:val="6C225864"/>
    <w:rsid w:val="6C234CB8"/>
    <w:rsid w:val="6C3A2120"/>
    <w:rsid w:val="6C4F4539"/>
    <w:rsid w:val="6C636C38"/>
    <w:rsid w:val="6C663340"/>
    <w:rsid w:val="6C717D79"/>
    <w:rsid w:val="6C947E3E"/>
    <w:rsid w:val="6C9A478C"/>
    <w:rsid w:val="6CA16CAE"/>
    <w:rsid w:val="6CA83EE5"/>
    <w:rsid w:val="6CAB381C"/>
    <w:rsid w:val="6CAE465D"/>
    <w:rsid w:val="6CB62E5F"/>
    <w:rsid w:val="6CB90470"/>
    <w:rsid w:val="6CBB1B1C"/>
    <w:rsid w:val="6CC05FA0"/>
    <w:rsid w:val="6CC1587C"/>
    <w:rsid w:val="6CC5505F"/>
    <w:rsid w:val="6CDF08A1"/>
    <w:rsid w:val="6CF92FCD"/>
    <w:rsid w:val="6D100C23"/>
    <w:rsid w:val="6D1A178E"/>
    <w:rsid w:val="6D351FB7"/>
    <w:rsid w:val="6D366FC4"/>
    <w:rsid w:val="6D377FF8"/>
    <w:rsid w:val="6D426138"/>
    <w:rsid w:val="6D4C533C"/>
    <w:rsid w:val="6D590A0C"/>
    <w:rsid w:val="6D6007F2"/>
    <w:rsid w:val="6D654702"/>
    <w:rsid w:val="6D65638A"/>
    <w:rsid w:val="6D930B97"/>
    <w:rsid w:val="6D947DD3"/>
    <w:rsid w:val="6D9A775D"/>
    <w:rsid w:val="6D9F7468"/>
    <w:rsid w:val="6DA210B8"/>
    <w:rsid w:val="6DA23D7D"/>
    <w:rsid w:val="6DB34098"/>
    <w:rsid w:val="6DB545B6"/>
    <w:rsid w:val="6DB7708E"/>
    <w:rsid w:val="6DBE4059"/>
    <w:rsid w:val="6DC75C60"/>
    <w:rsid w:val="6DD00574"/>
    <w:rsid w:val="6DD751B1"/>
    <w:rsid w:val="6DDA5A94"/>
    <w:rsid w:val="6DDB57EC"/>
    <w:rsid w:val="6DDD6DDC"/>
    <w:rsid w:val="6DE02FB4"/>
    <w:rsid w:val="6DEE2828"/>
    <w:rsid w:val="6DF05604"/>
    <w:rsid w:val="6DFF2D05"/>
    <w:rsid w:val="6E03390A"/>
    <w:rsid w:val="6E083615"/>
    <w:rsid w:val="6E1106F0"/>
    <w:rsid w:val="6E1954CC"/>
    <w:rsid w:val="6E1A7E88"/>
    <w:rsid w:val="6E1C2FD8"/>
    <w:rsid w:val="6E236F78"/>
    <w:rsid w:val="6E28125F"/>
    <w:rsid w:val="6E2C2382"/>
    <w:rsid w:val="6E2D2550"/>
    <w:rsid w:val="6E36452B"/>
    <w:rsid w:val="6E4244DE"/>
    <w:rsid w:val="6E490B76"/>
    <w:rsid w:val="6E514CED"/>
    <w:rsid w:val="6E5B69FB"/>
    <w:rsid w:val="6E5F438C"/>
    <w:rsid w:val="6E671002"/>
    <w:rsid w:val="6E741E45"/>
    <w:rsid w:val="6E770199"/>
    <w:rsid w:val="6E7716CA"/>
    <w:rsid w:val="6E775E47"/>
    <w:rsid w:val="6E8F6D71"/>
    <w:rsid w:val="6E9C573F"/>
    <w:rsid w:val="6EB5372D"/>
    <w:rsid w:val="6EB563D5"/>
    <w:rsid w:val="6ECA0133"/>
    <w:rsid w:val="6ECD1FE5"/>
    <w:rsid w:val="6ECE6AB4"/>
    <w:rsid w:val="6ED03C91"/>
    <w:rsid w:val="6ED20ADF"/>
    <w:rsid w:val="6ED9046A"/>
    <w:rsid w:val="6ED92677"/>
    <w:rsid w:val="6EDE3179"/>
    <w:rsid w:val="6EE8107E"/>
    <w:rsid w:val="6EE91A0A"/>
    <w:rsid w:val="6F044D94"/>
    <w:rsid w:val="6F067B58"/>
    <w:rsid w:val="6F081FF1"/>
    <w:rsid w:val="6F0F0023"/>
    <w:rsid w:val="6F141615"/>
    <w:rsid w:val="6F163E97"/>
    <w:rsid w:val="6F1A4F28"/>
    <w:rsid w:val="6F21635F"/>
    <w:rsid w:val="6F222356"/>
    <w:rsid w:val="6F225983"/>
    <w:rsid w:val="6F2408F1"/>
    <w:rsid w:val="6F245066"/>
    <w:rsid w:val="6F2B4924"/>
    <w:rsid w:val="6F333FFC"/>
    <w:rsid w:val="6F486AAA"/>
    <w:rsid w:val="6F501210"/>
    <w:rsid w:val="6F5B5EC5"/>
    <w:rsid w:val="6F786443"/>
    <w:rsid w:val="6F794770"/>
    <w:rsid w:val="6F8040FB"/>
    <w:rsid w:val="6F897FB7"/>
    <w:rsid w:val="6F9500AA"/>
    <w:rsid w:val="6F9817A2"/>
    <w:rsid w:val="6F992AA6"/>
    <w:rsid w:val="6FAC1340"/>
    <w:rsid w:val="6FC71E22"/>
    <w:rsid w:val="6FCC1424"/>
    <w:rsid w:val="6FD62647"/>
    <w:rsid w:val="6FDB3510"/>
    <w:rsid w:val="6FDE6CCF"/>
    <w:rsid w:val="6FE3436F"/>
    <w:rsid w:val="6FEE562A"/>
    <w:rsid w:val="6FF608EA"/>
    <w:rsid w:val="6FFC5590"/>
    <w:rsid w:val="70054354"/>
    <w:rsid w:val="700610BA"/>
    <w:rsid w:val="700C5BA1"/>
    <w:rsid w:val="7011482D"/>
    <w:rsid w:val="701404D8"/>
    <w:rsid w:val="70160267"/>
    <w:rsid w:val="701B22BE"/>
    <w:rsid w:val="701C74B2"/>
    <w:rsid w:val="70340726"/>
    <w:rsid w:val="703E71B3"/>
    <w:rsid w:val="70406697"/>
    <w:rsid w:val="704F3234"/>
    <w:rsid w:val="7051011A"/>
    <w:rsid w:val="705C3CDF"/>
    <w:rsid w:val="706D1DD0"/>
    <w:rsid w:val="70767707"/>
    <w:rsid w:val="707F4466"/>
    <w:rsid w:val="7082001D"/>
    <w:rsid w:val="70856B87"/>
    <w:rsid w:val="70893417"/>
    <w:rsid w:val="7099044B"/>
    <w:rsid w:val="709F1517"/>
    <w:rsid w:val="70A95536"/>
    <w:rsid w:val="70B929CB"/>
    <w:rsid w:val="70BB1664"/>
    <w:rsid w:val="70C06C32"/>
    <w:rsid w:val="70C85716"/>
    <w:rsid w:val="70CA31DC"/>
    <w:rsid w:val="70D527EE"/>
    <w:rsid w:val="70D92AE2"/>
    <w:rsid w:val="70D93E87"/>
    <w:rsid w:val="70DC26A6"/>
    <w:rsid w:val="70EC5626"/>
    <w:rsid w:val="70ED6FFF"/>
    <w:rsid w:val="70FE0B9D"/>
    <w:rsid w:val="710D0168"/>
    <w:rsid w:val="710F4EBB"/>
    <w:rsid w:val="7111358D"/>
    <w:rsid w:val="7113638E"/>
    <w:rsid w:val="71152AE8"/>
    <w:rsid w:val="711F5FDB"/>
    <w:rsid w:val="711F6C0A"/>
    <w:rsid w:val="71267480"/>
    <w:rsid w:val="71275730"/>
    <w:rsid w:val="712F3BBA"/>
    <w:rsid w:val="71301A4F"/>
    <w:rsid w:val="7137124E"/>
    <w:rsid w:val="713E0BD9"/>
    <w:rsid w:val="71415D2C"/>
    <w:rsid w:val="714252D7"/>
    <w:rsid w:val="7145259A"/>
    <w:rsid w:val="714E0847"/>
    <w:rsid w:val="714F68F5"/>
    <w:rsid w:val="715513E4"/>
    <w:rsid w:val="715776FB"/>
    <w:rsid w:val="715B5300"/>
    <w:rsid w:val="71633397"/>
    <w:rsid w:val="716F4C2B"/>
    <w:rsid w:val="71746913"/>
    <w:rsid w:val="718842C7"/>
    <w:rsid w:val="719E770A"/>
    <w:rsid w:val="71B15060"/>
    <w:rsid w:val="71C02DE5"/>
    <w:rsid w:val="71C43A7A"/>
    <w:rsid w:val="71C841F6"/>
    <w:rsid w:val="71CB27A5"/>
    <w:rsid w:val="71CD4FC5"/>
    <w:rsid w:val="71D04E8D"/>
    <w:rsid w:val="71D27F8A"/>
    <w:rsid w:val="71E63D29"/>
    <w:rsid w:val="71E91071"/>
    <w:rsid w:val="71F66BDB"/>
    <w:rsid w:val="71F91421"/>
    <w:rsid w:val="71FA6D8D"/>
    <w:rsid w:val="720C1A86"/>
    <w:rsid w:val="720C252B"/>
    <w:rsid w:val="721D26F3"/>
    <w:rsid w:val="721F5A89"/>
    <w:rsid w:val="722C4FDE"/>
    <w:rsid w:val="723914F7"/>
    <w:rsid w:val="723949FD"/>
    <w:rsid w:val="723F1642"/>
    <w:rsid w:val="72550C55"/>
    <w:rsid w:val="72553024"/>
    <w:rsid w:val="725974A3"/>
    <w:rsid w:val="725C3F6D"/>
    <w:rsid w:val="725C7D2B"/>
    <w:rsid w:val="726F228B"/>
    <w:rsid w:val="727B05E0"/>
    <w:rsid w:val="727D49A4"/>
    <w:rsid w:val="72881E74"/>
    <w:rsid w:val="72997B0D"/>
    <w:rsid w:val="72B05861"/>
    <w:rsid w:val="72B36D07"/>
    <w:rsid w:val="72B84BC2"/>
    <w:rsid w:val="72EA671D"/>
    <w:rsid w:val="73015EEB"/>
    <w:rsid w:val="7305775A"/>
    <w:rsid w:val="730928AA"/>
    <w:rsid w:val="73116A00"/>
    <w:rsid w:val="73122968"/>
    <w:rsid w:val="73186741"/>
    <w:rsid w:val="731E7DE9"/>
    <w:rsid w:val="731F5D5E"/>
    <w:rsid w:val="732219EF"/>
    <w:rsid w:val="732344C2"/>
    <w:rsid w:val="732764FB"/>
    <w:rsid w:val="732E025E"/>
    <w:rsid w:val="7335340A"/>
    <w:rsid w:val="733F6912"/>
    <w:rsid w:val="73425F19"/>
    <w:rsid w:val="73432CC1"/>
    <w:rsid w:val="734A52DF"/>
    <w:rsid w:val="73505624"/>
    <w:rsid w:val="73505CC2"/>
    <w:rsid w:val="735147E5"/>
    <w:rsid w:val="73532842"/>
    <w:rsid w:val="73566CAF"/>
    <w:rsid w:val="735A5267"/>
    <w:rsid w:val="73663A61"/>
    <w:rsid w:val="73825F80"/>
    <w:rsid w:val="738A1EF4"/>
    <w:rsid w:val="73904C78"/>
    <w:rsid w:val="7393362B"/>
    <w:rsid w:val="73957A00"/>
    <w:rsid w:val="73976F4C"/>
    <w:rsid w:val="73A502E5"/>
    <w:rsid w:val="73A56DC9"/>
    <w:rsid w:val="73AB309B"/>
    <w:rsid w:val="73C2794F"/>
    <w:rsid w:val="73C51AD5"/>
    <w:rsid w:val="73CA68AB"/>
    <w:rsid w:val="73CF12B5"/>
    <w:rsid w:val="73D322F6"/>
    <w:rsid w:val="73DF5CA9"/>
    <w:rsid w:val="73E111AC"/>
    <w:rsid w:val="73E53F42"/>
    <w:rsid w:val="73EA59BD"/>
    <w:rsid w:val="73EC173C"/>
    <w:rsid w:val="73FB3F54"/>
    <w:rsid w:val="73FE073A"/>
    <w:rsid w:val="73FE4ED9"/>
    <w:rsid w:val="74063022"/>
    <w:rsid w:val="741144D9"/>
    <w:rsid w:val="741A3743"/>
    <w:rsid w:val="741E793C"/>
    <w:rsid w:val="74257782"/>
    <w:rsid w:val="742C784E"/>
    <w:rsid w:val="74351268"/>
    <w:rsid w:val="743A2A7F"/>
    <w:rsid w:val="744227E0"/>
    <w:rsid w:val="74435A84"/>
    <w:rsid w:val="744A580A"/>
    <w:rsid w:val="744C3764"/>
    <w:rsid w:val="744D4DE6"/>
    <w:rsid w:val="74527443"/>
    <w:rsid w:val="745936F2"/>
    <w:rsid w:val="745C758A"/>
    <w:rsid w:val="745E3944"/>
    <w:rsid w:val="746B4122"/>
    <w:rsid w:val="747375A7"/>
    <w:rsid w:val="7474619D"/>
    <w:rsid w:val="74761E5A"/>
    <w:rsid w:val="748D4774"/>
    <w:rsid w:val="748E7A7C"/>
    <w:rsid w:val="748F47C8"/>
    <w:rsid w:val="74910366"/>
    <w:rsid w:val="74913112"/>
    <w:rsid w:val="749850D8"/>
    <w:rsid w:val="74A16527"/>
    <w:rsid w:val="74A259E7"/>
    <w:rsid w:val="74AC6DFE"/>
    <w:rsid w:val="74AD47FD"/>
    <w:rsid w:val="74B4507D"/>
    <w:rsid w:val="74B8687E"/>
    <w:rsid w:val="74C42D33"/>
    <w:rsid w:val="74CC73C0"/>
    <w:rsid w:val="74D16C60"/>
    <w:rsid w:val="74D24EE9"/>
    <w:rsid w:val="74D46815"/>
    <w:rsid w:val="74D55F0A"/>
    <w:rsid w:val="75016BBE"/>
    <w:rsid w:val="750A4112"/>
    <w:rsid w:val="750F34A9"/>
    <w:rsid w:val="751042D7"/>
    <w:rsid w:val="751E0BB4"/>
    <w:rsid w:val="75217DFB"/>
    <w:rsid w:val="7537540A"/>
    <w:rsid w:val="753D0E29"/>
    <w:rsid w:val="754039ED"/>
    <w:rsid w:val="75450A73"/>
    <w:rsid w:val="75454ABB"/>
    <w:rsid w:val="754B297D"/>
    <w:rsid w:val="754D7793"/>
    <w:rsid w:val="75570909"/>
    <w:rsid w:val="756F4BD6"/>
    <w:rsid w:val="75761242"/>
    <w:rsid w:val="757F7193"/>
    <w:rsid w:val="75804438"/>
    <w:rsid w:val="75876F5E"/>
    <w:rsid w:val="758F076A"/>
    <w:rsid w:val="75B77AAE"/>
    <w:rsid w:val="75BA64B4"/>
    <w:rsid w:val="75C80E41"/>
    <w:rsid w:val="75D75DE4"/>
    <w:rsid w:val="75DB69E8"/>
    <w:rsid w:val="75EF5689"/>
    <w:rsid w:val="75F940FF"/>
    <w:rsid w:val="75F96FD3"/>
    <w:rsid w:val="75FD499F"/>
    <w:rsid w:val="760D626F"/>
    <w:rsid w:val="76133CEE"/>
    <w:rsid w:val="761E0B13"/>
    <w:rsid w:val="76230D8B"/>
    <w:rsid w:val="76260781"/>
    <w:rsid w:val="7628372B"/>
    <w:rsid w:val="762878B8"/>
    <w:rsid w:val="76320D0D"/>
    <w:rsid w:val="76322069"/>
    <w:rsid w:val="7635099D"/>
    <w:rsid w:val="763E0C8B"/>
    <w:rsid w:val="76446418"/>
    <w:rsid w:val="765C2B78"/>
    <w:rsid w:val="765D4DCC"/>
    <w:rsid w:val="76650FC1"/>
    <w:rsid w:val="766A2DD4"/>
    <w:rsid w:val="76746C0E"/>
    <w:rsid w:val="767973A5"/>
    <w:rsid w:val="76804F78"/>
    <w:rsid w:val="768359F5"/>
    <w:rsid w:val="768E2177"/>
    <w:rsid w:val="769058D6"/>
    <w:rsid w:val="769E20CD"/>
    <w:rsid w:val="76B068ED"/>
    <w:rsid w:val="76B5414D"/>
    <w:rsid w:val="76B707B2"/>
    <w:rsid w:val="76C17199"/>
    <w:rsid w:val="76C23048"/>
    <w:rsid w:val="76C92DEE"/>
    <w:rsid w:val="76CC605E"/>
    <w:rsid w:val="76D36F81"/>
    <w:rsid w:val="76DA129E"/>
    <w:rsid w:val="76DD2F53"/>
    <w:rsid w:val="76DE4B6E"/>
    <w:rsid w:val="76E41A31"/>
    <w:rsid w:val="76E75C21"/>
    <w:rsid w:val="76EF6A2E"/>
    <w:rsid w:val="76F44F37"/>
    <w:rsid w:val="76FC3BF3"/>
    <w:rsid w:val="76FE10CA"/>
    <w:rsid w:val="77073F57"/>
    <w:rsid w:val="770913D2"/>
    <w:rsid w:val="770A4A55"/>
    <w:rsid w:val="770B4797"/>
    <w:rsid w:val="77136D4C"/>
    <w:rsid w:val="772B7CD7"/>
    <w:rsid w:val="773343CD"/>
    <w:rsid w:val="773C186D"/>
    <w:rsid w:val="77626222"/>
    <w:rsid w:val="776575F2"/>
    <w:rsid w:val="77690779"/>
    <w:rsid w:val="776F26C9"/>
    <w:rsid w:val="7774449B"/>
    <w:rsid w:val="77750294"/>
    <w:rsid w:val="77762421"/>
    <w:rsid w:val="778D6739"/>
    <w:rsid w:val="779A0F48"/>
    <w:rsid w:val="779C227D"/>
    <w:rsid w:val="77A3362D"/>
    <w:rsid w:val="77A5637E"/>
    <w:rsid w:val="77AF52B5"/>
    <w:rsid w:val="77B2125C"/>
    <w:rsid w:val="77B51E6F"/>
    <w:rsid w:val="77B56B1F"/>
    <w:rsid w:val="77B75398"/>
    <w:rsid w:val="77BB6FF0"/>
    <w:rsid w:val="77BF500B"/>
    <w:rsid w:val="77CB499F"/>
    <w:rsid w:val="77CC492A"/>
    <w:rsid w:val="77CC6DC0"/>
    <w:rsid w:val="77CD4FFB"/>
    <w:rsid w:val="77CE424D"/>
    <w:rsid w:val="77D13620"/>
    <w:rsid w:val="77E2145E"/>
    <w:rsid w:val="77ED0DBA"/>
    <w:rsid w:val="77F47058"/>
    <w:rsid w:val="77FC3760"/>
    <w:rsid w:val="77FE53E9"/>
    <w:rsid w:val="780434E8"/>
    <w:rsid w:val="780F09F4"/>
    <w:rsid w:val="78233866"/>
    <w:rsid w:val="782A1845"/>
    <w:rsid w:val="782A22DC"/>
    <w:rsid w:val="782C67DF"/>
    <w:rsid w:val="783720CB"/>
    <w:rsid w:val="783B4600"/>
    <w:rsid w:val="783C7556"/>
    <w:rsid w:val="78487B95"/>
    <w:rsid w:val="78526EC4"/>
    <w:rsid w:val="785F456E"/>
    <w:rsid w:val="78792B34"/>
    <w:rsid w:val="7883787C"/>
    <w:rsid w:val="788A3B26"/>
    <w:rsid w:val="78990248"/>
    <w:rsid w:val="78994A9D"/>
    <w:rsid w:val="78A90480"/>
    <w:rsid w:val="78A95D08"/>
    <w:rsid w:val="78B64B97"/>
    <w:rsid w:val="78C167AC"/>
    <w:rsid w:val="78C57641"/>
    <w:rsid w:val="78C851E8"/>
    <w:rsid w:val="78D16A46"/>
    <w:rsid w:val="78F114F9"/>
    <w:rsid w:val="78F40C42"/>
    <w:rsid w:val="78F50B5E"/>
    <w:rsid w:val="7904096B"/>
    <w:rsid w:val="79093BDF"/>
    <w:rsid w:val="790E3028"/>
    <w:rsid w:val="79107DE2"/>
    <w:rsid w:val="79172243"/>
    <w:rsid w:val="791F6DFE"/>
    <w:rsid w:val="79285B00"/>
    <w:rsid w:val="792D3041"/>
    <w:rsid w:val="793A221C"/>
    <w:rsid w:val="79402CA5"/>
    <w:rsid w:val="79640E66"/>
    <w:rsid w:val="796A5E6B"/>
    <w:rsid w:val="796B33C1"/>
    <w:rsid w:val="796F1DC8"/>
    <w:rsid w:val="79742ECA"/>
    <w:rsid w:val="79890788"/>
    <w:rsid w:val="798D4E02"/>
    <w:rsid w:val="798F12B6"/>
    <w:rsid w:val="79943A6C"/>
    <w:rsid w:val="799F631A"/>
    <w:rsid w:val="79A41979"/>
    <w:rsid w:val="79BE352D"/>
    <w:rsid w:val="79BF1B1F"/>
    <w:rsid w:val="79C472D3"/>
    <w:rsid w:val="79D672BE"/>
    <w:rsid w:val="79D85398"/>
    <w:rsid w:val="79DD5C7F"/>
    <w:rsid w:val="79DE1B1D"/>
    <w:rsid w:val="79E12D7F"/>
    <w:rsid w:val="79E32DDB"/>
    <w:rsid w:val="79EA435A"/>
    <w:rsid w:val="79F226B7"/>
    <w:rsid w:val="79F238BD"/>
    <w:rsid w:val="7A105074"/>
    <w:rsid w:val="7A232589"/>
    <w:rsid w:val="7A261231"/>
    <w:rsid w:val="7A29753C"/>
    <w:rsid w:val="7A2E237C"/>
    <w:rsid w:val="7A2F3C1E"/>
    <w:rsid w:val="7A364017"/>
    <w:rsid w:val="7A3903AB"/>
    <w:rsid w:val="7A39562A"/>
    <w:rsid w:val="7A3B3819"/>
    <w:rsid w:val="7A492DB0"/>
    <w:rsid w:val="7A4A2490"/>
    <w:rsid w:val="7A4C65EF"/>
    <w:rsid w:val="7A5D02F8"/>
    <w:rsid w:val="7A641662"/>
    <w:rsid w:val="7A67238C"/>
    <w:rsid w:val="7A695C21"/>
    <w:rsid w:val="7A6A4448"/>
    <w:rsid w:val="7A6C09FE"/>
    <w:rsid w:val="7A8265E1"/>
    <w:rsid w:val="7A873C99"/>
    <w:rsid w:val="7A8966E1"/>
    <w:rsid w:val="7A8C6D1C"/>
    <w:rsid w:val="7A910B96"/>
    <w:rsid w:val="7A963E9E"/>
    <w:rsid w:val="7A9B3AB3"/>
    <w:rsid w:val="7AA30CA1"/>
    <w:rsid w:val="7AAD325C"/>
    <w:rsid w:val="7AB5499E"/>
    <w:rsid w:val="7ABA7BF0"/>
    <w:rsid w:val="7AD5360C"/>
    <w:rsid w:val="7AE220D3"/>
    <w:rsid w:val="7AE70B0F"/>
    <w:rsid w:val="7AE86CB1"/>
    <w:rsid w:val="7AEF353D"/>
    <w:rsid w:val="7AEF6BF7"/>
    <w:rsid w:val="7AEF7069"/>
    <w:rsid w:val="7AF43248"/>
    <w:rsid w:val="7B230EC7"/>
    <w:rsid w:val="7B3B008E"/>
    <w:rsid w:val="7B464B88"/>
    <w:rsid w:val="7B4872A5"/>
    <w:rsid w:val="7B4A7736"/>
    <w:rsid w:val="7B4C60F3"/>
    <w:rsid w:val="7B556765"/>
    <w:rsid w:val="7B683A7C"/>
    <w:rsid w:val="7B686D42"/>
    <w:rsid w:val="7B6D21E4"/>
    <w:rsid w:val="7B731598"/>
    <w:rsid w:val="7B7B0A2B"/>
    <w:rsid w:val="7B7C35E3"/>
    <w:rsid w:val="7B800AD1"/>
    <w:rsid w:val="7B807582"/>
    <w:rsid w:val="7B82052E"/>
    <w:rsid w:val="7B841746"/>
    <w:rsid w:val="7B84348C"/>
    <w:rsid w:val="7B8621B9"/>
    <w:rsid w:val="7B8749B6"/>
    <w:rsid w:val="7B8D68BF"/>
    <w:rsid w:val="7B95754E"/>
    <w:rsid w:val="7B9E7E5E"/>
    <w:rsid w:val="7BA03361"/>
    <w:rsid w:val="7BA26864"/>
    <w:rsid w:val="7BA27201"/>
    <w:rsid w:val="7BA859F1"/>
    <w:rsid w:val="7BAC4AE8"/>
    <w:rsid w:val="7BB71B59"/>
    <w:rsid w:val="7BBD73D5"/>
    <w:rsid w:val="7BC462D5"/>
    <w:rsid w:val="7BCB1412"/>
    <w:rsid w:val="7BCC58E0"/>
    <w:rsid w:val="7BD2321C"/>
    <w:rsid w:val="7BD74C2E"/>
    <w:rsid w:val="7BE527D1"/>
    <w:rsid w:val="7BE93C1E"/>
    <w:rsid w:val="7BEA1391"/>
    <w:rsid w:val="7C0654FF"/>
    <w:rsid w:val="7C094351"/>
    <w:rsid w:val="7C160DA1"/>
    <w:rsid w:val="7C1C5A81"/>
    <w:rsid w:val="7C367A87"/>
    <w:rsid w:val="7C6C5AC7"/>
    <w:rsid w:val="7C6C5F2D"/>
    <w:rsid w:val="7C6F1CB7"/>
    <w:rsid w:val="7C7C3FC9"/>
    <w:rsid w:val="7C7D0691"/>
    <w:rsid w:val="7C7F2380"/>
    <w:rsid w:val="7C8254F0"/>
    <w:rsid w:val="7C8313D5"/>
    <w:rsid w:val="7C8645AF"/>
    <w:rsid w:val="7C952719"/>
    <w:rsid w:val="7C9537CE"/>
    <w:rsid w:val="7C967562"/>
    <w:rsid w:val="7C9A1801"/>
    <w:rsid w:val="7CA80310"/>
    <w:rsid w:val="7CA8171B"/>
    <w:rsid w:val="7CB202FD"/>
    <w:rsid w:val="7CB67B12"/>
    <w:rsid w:val="7CB74340"/>
    <w:rsid w:val="7CBA6AF1"/>
    <w:rsid w:val="7CC6544B"/>
    <w:rsid w:val="7CCB7588"/>
    <w:rsid w:val="7CD87DFC"/>
    <w:rsid w:val="7CF0202D"/>
    <w:rsid w:val="7CF228CE"/>
    <w:rsid w:val="7CF61714"/>
    <w:rsid w:val="7CF81394"/>
    <w:rsid w:val="7CFF15B5"/>
    <w:rsid w:val="7D0239FF"/>
    <w:rsid w:val="7D056AEC"/>
    <w:rsid w:val="7D240F5F"/>
    <w:rsid w:val="7D251233"/>
    <w:rsid w:val="7D32150F"/>
    <w:rsid w:val="7D40500C"/>
    <w:rsid w:val="7D4E4FE7"/>
    <w:rsid w:val="7D5804B4"/>
    <w:rsid w:val="7D586CD5"/>
    <w:rsid w:val="7D5E40CD"/>
    <w:rsid w:val="7D635DB8"/>
    <w:rsid w:val="7D6455A2"/>
    <w:rsid w:val="7D6619C8"/>
    <w:rsid w:val="7D694F5A"/>
    <w:rsid w:val="7D6B1540"/>
    <w:rsid w:val="7D772F67"/>
    <w:rsid w:val="7D7C4C6C"/>
    <w:rsid w:val="7D8C3E06"/>
    <w:rsid w:val="7D9E0736"/>
    <w:rsid w:val="7D9F5025"/>
    <w:rsid w:val="7DA223D7"/>
    <w:rsid w:val="7DB704CD"/>
    <w:rsid w:val="7DB7210A"/>
    <w:rsid w:val="7DB91452"/>
    <w:rsid w:val="7DBE631D"/>
    <w:rsid w:val="7DCD56F2"/>
    <w:rsid w:val="7DD77F1E"/>
    <w:rsid w:val="7DE07113"/>
    <w:rsid w:val="7DE45B1A"/>
    <w:rsid w:val="7DEE7639"/>
    <w:rsid w:val="7DF9223C"/>
    <w:rsid w:val="7DFF08C2"/>
    <w:rsid w:val="7E0405CD"/>
    <w:rsid w:val="7E0A1F3D"/>
    <w:rsid w:val="7E1066BB"/>
    <w:rsid w:val="7E120870"/>
    <w:rsid w:val="7E1951E5"/>
    <w:rsid w:val="7E2331C2"/>
    <w:rsid w:val="7E280EBE"/>
    <w:rsid w:val="7E2B16FF"/>
    <w:rsid w:val="7E355268"/>
    <w:rsid w:val="7E377B22"/>
    <w:rsid w:val="7E3B793D"/>
    <w:rsid w:val="7E421E04"/>
    <w:rsid w:val="7E4B5A1E"/>
    <w:rsid w:val="7E4C2D13"/>
    <w:rsid w:val="7E5570D2"/>
    <w:rsid w:val="7E6247CC"/>
    <w:rsid w:val="7E71016A"/>
    <w:rsid w:val="7E741B85"/>
    <w:rsid w:val="7E797522"/>
    <w:rsid w:val="7E8333B6"/>
    <w:rsid w:val="7E854806"/>
    <w:rsid w:val="7E867FC5"/>
    <w:rsid w:val="7E93478B"/>
    <w:rsid w:val="7E967FE3"/>
    <w:rsid w:val="7E9754CF"/>
    <w:rsid w:val="7EA228EB"/>
    <w:rsid w:val="7EA426D4"/>
    <w:rsid w:val="7EA877E8"/>
    <w:rsid w:val="7EAC2B96"/>
    <w:rsid w:val="7EAD1851"/>
    <w:rsid w:val="7EB57E96"/>
    <w:rsid w:val="7EB607DC"/>
    <w:rsid w:val="7EB93573"/>
    <w:rsid w:val="7EBA6FFD"/>
    <w:rsid w:val="7EBE547D"/>
    <w:rsid w:val="7ED16E96"/>
    <w:rsid w:val="7ED43DD5"/>
    <w:rsid w:val="7EDC3010"/>
    <w:rsid w:val="7EDD1EDA"/>
    <w:rsid w:val="7EFB1672"/>
    <w:rsid w:val="7F001CE7"/>
    <w:rsid w:val="7F0E6500"/>
    <w:rsid w:val="7F1C5012"/>
    <w:rsid w:val="7F203E6C"/>
    <w:rsid w:val="7F215521"/>
    <w:rsid w:val="7F22771F"/>
    <w:rsid w:val="7F231A9F"/>
    <w:rsid w:val="7F311F6F"/>
    <w:rsid w:val="7F3D046B"/>
    <w:rsid w:val="7F3F524D"/>
    <w:rsid w:val="7F4D0317"/>
    <w:rsid w:val="7F51026F"/>
    <w:rsid w:val="7F6A26D4"/>
    <w:rsid w:val="7F731980"/>
    <w:rsid w:val="7F863080"/>
    <w:rsid w:val="7F872CCD"/>
    <w:rsid w:val="7F890525"/>
    <w:rsid w:val="7F8A52FF"/>
    <w:rsid w:val="7F9554E0"/>
    <w:rsid w:val="7F9B3138"/>
    <w:rsid w:val="7F9D75E4"/>
    <w:rsid w:val="7FA112F3"/>
    <w:rsid w:val="7FA7468E"/>
    <w:rsid w:val="7FA966FF"/>
    <w:rsid w:val="7FAD7A5A"/>
    <w:rsid w:val="7FBD06AE"/>
    <w:rsid w:val="7FBF3529"/>
    <w:rsid w:val="7FC9014F"/>
    <w:rsid w:val="7FD20AAC"/>
    <w:rsid w:val="7FD375D4"/>
    <w:rsid w:val="7FDB01D3"/>
    <w:rsid w:val="7FDB5AF4"/>
    <w:rsid w:val="7FDD7E53"/>
    <w:rsid w:val="7FE120DC"/>
    <w:rsid w:val="7FE40AE0"/>
    <w:rsid w:val="7FE4653A"/>
    <w:rsid w:val="7FE47E50"/>
    <w:rsid w:val="7FE56CE6"/>
    <w:rsid w:val="7FE761E4"/>
    <w:rsid w:val="7FFB0C7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0" w:semiHidden="0" w:name="Body Text First Indent"/>
    <w:lsdException w:qFormat="1"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4">
    <w:name w:val="heading 1"/>
    <w:basedOn w:val="1"/>
    <w:next w:val="1"/>
    <w:autoRedefine/>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autoRedefine/>
    <w:qFormat/>
    <w:uiPriority w:val="0"/>
    <w:pPr>
      <w:keepNext/>
      <w:keepLines/>
      <w:widowControl w:val="0"/>
      <w:adjustRightInd/>
      <w:snapToGrid/>
      <w:spacing w:before="260" w:after="260" w:line="413" w:lineRule="auto"/>
      <w:jc w:val="both"/>
      <w:outlineLvl w:val="1"/>
    </w:pPr>
    <w:rPr>
      <w:rFonts w:ascii="Arial" w:hAnsi="Arial" w:eastAsia="黑体" w:cs="Times New Roman"/>
      <w:b/>
      <w:bCs/>
      <w:kern w:val="2"/>
      <w:sz w:val="32"/>
      <w:szCs w:val="32"/>
    </w:rPr>
  </w:style>
  <w:style w:type="paragraph" w:styleId="6">
    <w:name w:val="heading 3"/>
    <w:basedOn w:val="1"/>
    <w:next w:val="1"/>
    <w:autoRedefine/>
    <w:qFormat/>
    <w:uiPriority w:val="0"/>
    <w:pPr>
      <w:keepNext/>
      <w:keepLines/>
      <w:spacing w:before="260" w:after="260" w:line="416" w:lineRule="auto"/>
      <w:outlineLvl w:val="2"/>
    </w:pPr>
    <w:rPr>
      <w:b/>
      <w:bCs/>
      <w:sz w:val="32"/>
      <w:szCs w:val="32"/>
    </w:rPr>
  </w:style>
  <w:style w:type="paragraph" w:styleId="7">
    <w:name w:val="heading 4"/>
    <w:basedOn w:val="1"/>
    <w:next w:val="1"/>
    <w:autoRedefine/>
    <w:qFormat/>
    <w:uiPriority w:val="0"/>
    <w:pPr>
      <w:keepNext/>
      <w:keepLines/>
      <w:spacing w:before="280" w:after="290" w:line="376" w:lineRule="auto"/>
      <w:ind w:left="864" w:hanging="144"/>
      <w:outlineLvl w:val="3"/>
    </w:pPr>
    <w:rPr>
      <w:rFonts w:ascii="Calibri Light" w:hAnsi="Calibri Light"/>
      <w:b/>
      <w:bCs/>
      <w:sz w:val="28"/>
      <w:szCs w:val="28"/>
    </w:rPr>
  </w:style>
  <w:style w:type="character" w:default="1" w:styleId="36">
    <w:name w:val="Default Paragraph Font"/>
    <w:autoRedefine/>
    <w:semiHidden/>
    <w:qFormat/>
    <w:uiPriority w:val="0"/>
  </w:style>
  <w:style w:type="table" w:default="1" w:styleId="34">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3"/>
    <w:next w:val="1"/>
    <w:autoRedefine/>
    <w:unhideWhenUsed/>
    <w:qFormat/>
    <w:uiPriority w:val="0"/>
    <w:pPr>
      <w:spacing w:after="120"/>
      <w:ind w:left="420" w:leftChars="200" w:firstLine="420" w:firstLineChars="200"/>
    </w:pPr>
    <w:rPr>
      <w:rFonts w:ascii="Tahoma" w:hAnsi="Tahoma" w:eastAsia="微软雅黑"/>
    </w:rPr>
  </w:style>
  <w:style w:type="paragraph" w:styleId="3">
    <w:name w:val="Body Text Indent"/>
    <w:basedOn w:val="1"/>
    <w:next w:val="1"/>
    <w:link w:val="46"/>
    <w:autoRedefine/>
    <w:qFormat/>
    <w:uiPriority w:val="0"/>
    <w:pPr>
      <w:spacing w:after="120"/>
      <w:ind w:left="420" w:leftChars="200"/>
    </w:pPr>
    <w:rPr>
      <w:kern w:val="0"/>
      <w:sz w:val="24"/>
      <w:szCs w:val="20"/>
    </w:rPr>
  </w:style>
  <w:style w:type="paragraph" w:styleId="8">
    <w:name w:val="List 3"/>
    <w:basedOn w:val="1"/>
    <w:next w:val="1"/>
    <w:autoRedefine/>
    <w:qFormat/>
    <w:uiPriority w:val="0"/>
    <w:pPr>
      <w:ind w:left="100" w:leftChars="400" w:hanging="200" w:hangingChars="200"/>
    </w:pPr>
  </w:style>
  <w:style w:type="paragraph" w:styleId="9">
    <w:name w:val="Note Heading"/>
    <w:basedOn w:val="1"/>
    <w:next w:val="1"/>
    <w:autoRedefine/>
    <w:qFormat/>
    <w:uiPriority w:val="0"/>
    <w:pPr>
      <w:adjustRightInd w:val="0"/>
      <w:snapToGrid w:val="0"/>
      <w:spacing w:line="360" w:lineRule="auto"/>
      <w:ind w:firstLine="200" w:firstLineChars="200"/>
    </w:pPr>
    <w:rPr>
      <w:sz w:val="24"/>
    </w:rPr>
  </w:style>
  <w:style w:type="paragraph" w:styleId="10">
    <w:name w:val="Normal Indent"/>
    <w:basedOn w:val="1"/>
    <w:next w:val="1"/>
    <w:autoRedefine/>
    <w:qFormat/>
    <w:uiPriority w:val="0"/>
    <w:pPr>
      <w:adjustRightInd/>
      <w:snapToGrid/>
      <w:ind w:firstLine="420" w:firstLineChars="200"/>
    </w:pPr>
    <w:rPr>
      <w:rFonts w:cs="Times New Roman"/>
      <w:sz w:val="20"/>
      <w:szCs w:val="20"/>
    </w:rPr>
  </w:style>
  <w:style w:type="paragraph" w:styleId="11">
    <w:name w:val="annotation text"/>
    <w:basedOn w:val="1"/>
    <w:link w:val="44"/>
    <w:autoRedefine/>
    <w:semiHidden/>
    <w:qFormat/>
    <w:uiPriority w:val="0"/>
    <w:pPr>
      <w:jc w:val="left"/>
    </w:pPr>
    <w:rPr>
      <w:kern w:val="0"/>
      <w:sz w:val="24"/>
      <w:szCs w:val="20"/>
    </w:rPr>
  </w:style>
  <w:style w:type="paragraph" w:styleId="12">
    <w:name w:val="Body Text"/>
    <w:basedOn w:val="1"/>
    <w:next w:val="13"/>
    <w:link w:val="45"/>
    <w:autoRedefine/>
    <w:qFormat/>
    <w:uiPriority w:val="0"/>
    <w:pPr>
      <w:widowControl/>
      <w:snapToGrid w:val="0"/>
      <w:spacing w:before="60" w:after="160" w:line="259" w:lineRule="auto"/>
      <w:ind w:right="113"/>
    </w:pPr>
    <w:rPr>
      <w:kern w:val="0"/>
      <w:sz w:val="18"/>
      <w:szCs w:val="20"/>
    </w:rPr>
  </w:style>
  <w:style w:type="paragraph" w:styleId="13">
    <w:name w:val="List Bullet 5"/>
    <w:basedOn w:val="1"/>
    <w:autoRedefine/>
    <w:qFormat/>
    <w:uiPriority w:val="0"/>
    <w:pPr>
      <w:numPr>
        <w:ilvl w:val="0"/>
        <w:numId w:val="1"/>
      </w:numPr>
    </w:pPr>
  </w:style>
  <w:style w:type="paragraph" w:styleId="14">
    <w:name w:val="Block Text"/>
    <w:basedOn w:val="1"/>
    <w:next w:val="1"/>
    <w:autoRedefine/>
    <w:qFormat/>
    <w:uiPriority w:val="0"/>
    <w:pPr>
      <w:adjustRightInd w:val="0"/>
      <w:snapToGrid w:val="0"/>
      <w:spacing w:line="300" w:lineRule="atLeast"/>
      <w:ind w:left="420" w:leftChars="200" w:right="-336" w:rightChars="-160"/>
    </w:pPr>
  </w:style>
  <w:style w:type="paragraph" w:styleId="15">
    <w:name w:val="toc 3"/>
    <w:basedOn w:val="1"/>
    <w:next w:val="1"/>
    <w:autoRedefine/>
    <w:qFormat/>
    <w:uiPriority w:val="0"/>
    <w:pPr>
      <w:ind w:left="840" w:leftChars="400"/>
    </w:pPr>
  </w:style>
  <w:style w:type="paragraph" w:styleId="16">
    <w:name w:val="Plain Text"/>
    <w:basedOn w:val="1"/>
    <w:autoRedefine/>
    <w:qFormat/>
    <w:uiPriority w:val="0"/>
    <w:pPr>
      <w:widowControl w:val="0"/>
      <w:adjustRightInd/>
      <w:snapToGrid/>
      <w:spacing w:after="0"/>
      <w:jc w:val="both"/>
    </w:pPr>
    <w:rPr>
      <w:rFonts w:ascii="宋体" w:hAnsi="Courier New" w:eastAsia="宋体" w:cs="Times New Roman"/>
      <w:kern w:val="2"/>
      <w:sz w:val="28"/>
      <w:szCs w:val="20"/>
    </w:rPr>
  </w:style>
  <w:style w:type="paragraph" w:styleId="17">
    <w:name w:val="toc 8"/>
    <w:next w:val="1"/>
    <w:autoRedefine/>
    <w:qFormat/>
    <w:uiPriority w:val="0"/>
    <w:pPr>
      <w:wordWrap w:val="0"/>
      <w:ind w:left="2550"/>
      <w:jc w:val="both"/>
    </w:pPr>
    <w:rPr>
      <w:rFonts w:ascii="Times New Roman" w:hAnsi="Times New Roman" w:eastAsia="宋体" w:cs="Times New Roman"/>
      <w:sz w:val="21"/>
      <w:lang w:val="en-US" w:eastAsia="zh-CN" w:bidi="ar-SA"/>
    </w:rPr>
  </w:style>
  <w:style w:type="paragraph" w:styleId="18">
    <w:name w:val="Date"/>
    <w:basedOn w:val="1"/>
    <w:next w:val="1"/>
    <w:link w:val="48"/>
    <w:autoRedefine/>
    <w:qFormat/>
    <w:uiPriority w:val="0"/>
    <w:pPr>
      <w:ind w:left="100" w:leftChars="2500"/>
    </w:pPr>
    <w:rPr>
      <w:kern w:val="0"/>
      <w:sz w:val="24"/>
      <w:szCs w:val="20"/>
    </w:rPr>
  </w:style>
  <w:style w:type="paragraph" w:styleId="19">
    <w:name w:val="Body Text Indent 2"/>
    <w:basedOn w:val="1"/>
    <w:next w:val="1"/>
    <w:autoRedefine/>
    <w:qFormat/>
    <w:uiPriority w:val="0"/>
    <w:pPr>
      <w:spacing w:after="120" w:line="480" w:lineRule="auto"/>
      <w:ind w:left="420" w:leftChars="200"/>
    </w:pPr>
  </w:style>
  <w:style w:type="paragraph" w:styleId="20">
    <w:name w:val="Balloon Text"/>
    <w:basedOn w:val="1"/>
    <w:link w:val="49"/>
    <w:autoRedefine/>
    <w:semiHidden/>
    <w:qFormat/>
    <w:uiPriority w:val="0"/>
    <w:rPr>
      <w:kern w:val="0"/>
      <w:sz w:val="18"/>
      <w:szCs w:val="20"/>
    </w:rPr>
  </w:style>
  <w:style w:type="paragraph" w:styleId="21">
    <w:name w:val="footer"/>
    <w:basedOn w:val="1"/>
    <w:link w:val="50"/>
    <w:autoRedefine/>
    <w:qFormat/>
    <w:uiPriority w:val="99"/>
    <w:pPr>
      <w:tabs>
        <w:tab w:val="center" w:pos="4153"/>
        <w:tab w:val="right" w:pos="8306"/>
      </w:tabs>
      <w:snapToGrid w:val="0"/>
      <w:jc w:val="left"/>
    </w:pPr>
    <w:rPr>
      <w:kern w:val="0"/>
      <w:sz w:val="18"/>
      <w:szCs w:val="20"/>
    </w:rPr>
  </w:style>
  <w:style w:type="paragraph" w:styleId="22">
    <w:name w:val="header"/>
    <w:basedOn w:val="1"/>
    <w:next w:val="23"/>
    <w:link w:val="47"/>
    <w:autoRedefine/>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3">
    <w:name w:val="样式5"/>
    <w:basedOn w:val="24"/>
    <w:next w:val="1"/>
    <w:autoRedefine/>
    <w:qFormat/>
    <w:uiPriority w:val="0"/>
    <w:pPr>
      <w:spacing w:line="380" w:lineRule="exact"/>
      <w:ind w:firstLine="566" w:firstLineChars="202"/>
    </w:pPr>
    <w:rPr>
      <w:rFonts w:eastAsia="华文行楷"/>
      <w:sz w:val="28"/>
    </w:rPr>
  </w:style>
  <w:style w:type="paragraph" w:customStyle="1" w:styleId="24">
    <w:name w:val="样式3"/>
    <w:basedOn w:val="15"/>
    <w:autoRedefine/>
    <w:qFormat/>
    <w:uiPriority w:val="0"/>
    <w:pPr>
      <w:snapToGrid w:val="0"/>
      <w:ind w:firstLine="539"/>
      <w:jc w:val="center"/>
    </w:pPr>
    <w:rPr>
      <w:rFonts w:ascii="黑体" w:hAnsi="宋体" w:eastAsia="黑体"/>
      <w:color w:val="000000"/>
    </w:rPr>
  </w:style>
  <w:style w:type="paragraph" w:styleId="25">
    <w:name w:val="Subtitle"/>
    <w:basedOn w:val="1"/>
    <w:next w:val="1"/>
    <w:autoRedefine/>
    <w:qFormat/>
    <w:uiPriority w:val="0"/>
    <w:pPr>
      <w:spacing w:before="240" w:after="60" w:line="312" w:lineRule="auto"/>
      <w:jc w:val="center"/>
      <w:outlineLvl w:val="1"/>
    </w:pPr>
    <w:rPr>
      <w:rFonts w:ascii="Cambria" w:hAnsi="Cambria" w:cs="Times New Roman"/>
      <w:b/>
      <w:bCs/>
      <w:kern w:val="28"/>
      <w:sz w:val="32"/>
      <w:szCs w:val="32"/>
    </w:rPr>
  </w:style>
  <w:style w:type="paragraph" w:styleId="26">
    <w:name w:val="List"/>
    <w:basedOn w:val="1"/>
    <w:autoRedefine/>
    <w:qFormat/>
    <w:uiPriority w:val="0"/>
    <w:pPr>
      <w:ind w:left="200" w:hanging="200" w:hangingChars="200"/>
    </w:pPr>
  </w:style>
  <w:style w:type="paragraph" w:styleId="27">
    <w:name w:val="Body Text Indent 3"/>
    <w:basedOn w:val="1"/>
    <w:autoRedefine/>
    <w:qFormat/>
    <w:uiPriority w:val="0"/>
    <w:pPr>
      <w:widowControl w:val="0"/>
      <w:adjustRightInd/>
      <w:snapToGrid/>
      <w:spacing w:line="460" w:lineRule="exact"/>
      <w:ind w:left="105" w:leftChars="50" w:firstLine="280" w:firstLineChars="100"/>
      <w:jc w:val="both"/>
    </w:pPr>
    <w:rPr>
      <w:rFonts w:ascii="仿宋_GB2312" w:eastAsia="仿宋_GB2312" w:cs="Times New Roman"/>
      <w:kern w:val="2"/>
      <w:sz w:val="28"/>
      <w:szCs w:val="20"/>
    </w:rPr>
  </w:style>
  <w:style w:type="paragraph" w:styleId="28">
    <w:name w:val="table of figures"/>
    <w:basedOn w:val="1"/>
    <w:next w:val="1"/>
    <w:autoRedefine/>
    <w:qFormat/>
    <w:uiPriority w:val="0"/>
    <w:pPr>
      <w:widowControl w:val="0"/>
      <w:ind w:leftChars="200" w:hanging="200" w:hangingChars="200"/>
      <w:jc w:val="both"/>
    </w:pPr>
    <w:rPr>
      <w:rFonts w:ascii="Calibri" w:hAnsi="Calibri" w:cs="Times New Roman"/>
      <w:kern w:val="2"/>
      <w:sz w:val="21"/>
      <w:szCs w:val="22"/>
    </w:rPr>
  </w:style>
  <w:style w:type="paragraph" w:styleId="29">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30">
    <w:name w:val="Normal (Web)"/>
    <w:basedOn w:val="1"/>
    <w:link w:val="51"/>
    <w:autoRedefine/>
    <w:qFormat/>
    <w:uiPriority w:val="0"/>
    <w:pPr>
      <w:widowControl/>
      <w:spacing w:before="100" w:beforeAutospacing="1" w:after="100" w:afterAutospacing="1"/>
      <w:jc w:val="left"/>
    </w:pPr>
    <w:rPr>
      <w:rFonts w:ascii="宋体" w:hAnsi="宋体"/>
      <w:kern w:val="0"/>
      <w:sz w:val="24"/>
      <w:szCs w:val="20"/>
    </w:rPr>
  </w:style>
  <w:style w:type="paragraph" w:styleId="31">
    <w:name w:val="Title"/>
    <w:basedOn w:val="1"/>
    <w:next w:val="1"/>
    <w:autoRedefine/>
    <w:qFormat/>
    <w:uiPriority w:val="0"/>
    <w:pPr>
      <w:spacing w:line="240" w:lineRule="auto"/>
      <w:ind w:firstLine="0" w:firstLineChars="0"/>
      <w:jc w:val="center"/>
    </w:pPr>
    <w:rPr>
      <w:bCs/>
      <w:kern w:val="0"/>
      <w:sz w:val="20"/>
      <w:szCs w:val="32"/>
    </w:rPr>
  </w:style>
  <w:style w:type="paragraph" w:styleId="32">
    <w:name w:val="annotation subject"/>
    <w:basedOn w:val="11"/>
    <w:next w:val="1"/>
    <w:link w:val="52"/>
    <w:autoRedefine/>
    <w:semiHidden/>
    <w:qFormat/>
    <w:uiPriority w:val="0"/>
    <w:rPr>
      <w:b/>
      <w:sz w:val="24"/>
      <w:szCs w:val="20"/>
    </w:rPr>
  </w:style>
  <w:style w:type="paragraph" w:styleId="33">
    <w:name w:val="Body Text First Indent"/>
    <w:basedOn w:val="12"/>
    <w:next w:val="28"/>
    <w:autoRedefine/>
    <w:unhideWhenUsed/>
    <w:qFormat/>
    <w:uiPriority w:val="0"/>
    <w:pPr>
      <w:widowControl/>
      <w:adjustRightInd w:val="0"/>
      <w:snapToGrid w:val="0"/>
      <w:spacing w:after="120" w:line="240" w:lineRule="auto"/>
      <w:ind w:firstLine="420" w:firstLineChars="100"/>
      <w:jc w:val="left"/>
    </w:pPr>
    <w:rPr>
      <w:rFonts w:ascii="Tahoma" w:hAnsi="Tahoma" w:eastAsia="微软雅黑" w:cs="Times New Roman"/>
      <w:kern w:val="0"/>
      <w:sz w:val="22"/>
      <w:szCs w:val="22"/>
    </w:rPr>
  </w:style>
  <w:style w:type="table" w:styleId="35">
    <w:name w:val="Table Grid"/>
    <w:basedOn w:val="34"/>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autoRedefine/>
    <w:qFormat/>
    <w:uiPriority w:val="0"/>
    <w:rPr>
      <w:b/>
      <w:bCs/>
    </w:rPr>
  </w:style>
  <w:style w:type="character" w:styleId="38">
    <w:name w:val="page number"/>
    <w:autoRedefine/>
    <w:qFormat/>
    <w:uiPriority w:val="0"/>
  </w:style>
  <w:style w:type="character" w:styleId="39">
    <w:name w:val="FollowedHyperlink"/>
    <w:autoRedefine/>
    <w:qFormat/>
    <w:uiPriority w:val="0"/>
    <w:rPr>
      <w:color w:val="535353"/>
      <w:u w:val="none"/>
    </w:rPr>
  </w:style>
  <w:style w:type="character" w:styleId="40">
    <w:name w:val="Emphasis"/>
    <w:autoRedefine/>
    <w:qFormat/>
    <w:uiPriority w:val="0"/>
    <w:rPr>
      <w:color w:val="FF0000"/>
    </w:rPr>
  </w:style>
  <w:style w:type="character" w:styleId="41">
    <w:name w:val="Hyperlink"/>
    <w:autoRedefine/>
    <w:qFormat/>
    <w:uiPriority w:val="0"/>
    <w:rPr>
      <w:color w:val="535353"/>
      <w:u w:val="none"/>
    </w:rPr>
  </w:style>
  <w:style w:type="character" w:styleId="42">
    <w:name w:val="annotation reference"/>
    <w:autoRedefine/>
    <w:semiHidden/>
    <w:qFormat/>
    <w:uiPriority w:val="0"/>
    <w:rPr>
      <w:sz w:val="21"/>
    </w:rPr>
  </w:style>
  <w:style w:type="paragraph" w:customStyle="1" w:styleId="43">
    <w:name w:val="列表段落1"/>
    <w:next w:val="1"/>
    <w:autoRedefine/>
    <w:qFormat/>
    <w:uiPriority w:val="99"/>
    <w:pPr>
      <w:wordWrap w:val="0"/>
      <w:ind w:left="850"/>
      <w:jc w:val="both"/>
    </w:pPr>
    <w:rPr>
      <w:rFonts w:ascii="Calibri" w:hAnsi="Calibri" w:eastAsia="宋体" w:cs="Calibri"/>
      <w:sz w:val="21"/>
      <w:szCs w:val="21"/>
      <w:lang w:val="en-US" w:eastAsia="zh-CN" w:bidi="ar-SA"/>
    </w:rPr>
  </w:style>
  <w:style w:type="character" w:customStyle="1" w:styleId="44">
    <w:name w:val="批注文字 Char"/>
    <w:link w:val="11"/>
    <w:autoRedefine/>
    <w:qFormat/>
    <w:uiPriority w:val="0"/>
    <w:rPr>
      <w:rFonts w:ascii="Times New Roman" w:hAnsi="Times New Roman" w:eastAsia="宋体"/>
      <w:sz w:val="24"/>
    </w:rPr>
  </w:style>
  <w:style w:type="character" w:customStyle="1" w:styleId="45">
    <w:name w:val="正文文本 Char"/>
    <w:link w:val="12"/>
    <w:autoRedefine/>
    <w:qFormat/>
    <w:uiPriority w:val="0"/>
    <w:rPr>
      <w:sz w:val="18"/>
    </w:rPr>
  </w:style>
  <w:style w:type="character" w:customStyle="1" w:styleId="46">
    <w:name w:val="正文文本缩进 Char"/>
    <w:link w:val="3"/>
    <w:autoRedefine/>
    <w:semiHidden/>
    <w:qFormat/>
    <w:uiPriority w:val="0"/>
    <w:rPr>
      <w:rFonts w:ascii="Times New Roman" w:hAnsi="Times New Roman" w:eastAsia="宋体"/>
      <w:sz w:val="24"/>
    </w:rPr>
  </w:style>
  <w:style w:type="character" w:customStyle="1" w:styleId="47">
    <w:name w:val="页眉 Char"/>
    <w:link w:val="22"/>
    <w:autoRedefine/>
    <w:qFormat/>
    <w:uiPriority w:val="0"/>
    <w:rPr>
      <w:sz w:val="18"/>
    </w:rPr>
  </w:style>
  <w:style w:type="character" w:customStyle="1" w:styleId="48">
    <w:name w:val="日期 Char"/>
    <w:link w:val="18"/>
    <w:autoRedefine/>
    <w:qFormat/>
    <w:uiPriority w:val="0"/>
    <w:rPr>
      <w:rFonts w:ascii="Times New Roman" w:hAnsi="Times New Roman" w:eastAsia="宋体"/>
      <w:sz w:val="24"/>
    </w:rPr>
  </w:style>
  <w:style w:type="character" w:customStyle="1" w:styleId="49">
    <w:name w:val="批注框文本 Char"/>
    <w:link w:val="20"/>
    <w:autoRedefine/>
    <w:semiHidden/>
    <w:qFormat/>
    <w:uiPriority w:val="0"/>
    <w:rPr>
      <w:rFonts w:ascii="Times New Roman" w:hAnsi="Times New Roman" w:eastAsia="宋体"/>
      <w:sz w:val="18"/>
    </w:rPr>
  </w:style>
  <w:style w:type="character" w:customStyle="1" w:styleId="50">
    <w:name w:val="页脚 Char"/>
    <w:link w:val="21"/>
    <w:autoRedefine/>
    <w:qFormat/>
    <w:uiPriority w:val="99"/>
    <w:rPr>
      <w:sz w:val="18"/>
    </w:rPr>
  </w:style>
  <w:style w:type="character" w:customStyle="1" w:styleId="51">
    <w:name w:val="普通(网站) Char"/>
    <w:link w:val="30"/>
    <w:autoRedefine/>
    <w:qFormat/>
    <w:uiPriority w:val="0"/>
    <w:rPr>
      <w:rFonts w:ascii="宋体" w:hAnsi="宋体" w:eastAsia="宋体"/>
      <w:sz w:val="24"/>
    </w:rPr>
  </w:style>
  <w:style w:type="character" w:customStyle="1" w:styleId="52">
    <w:name w:val="批注主题 Char"/>
    <w:link w:val="32"/>
    <w:autoRedefine/>
    <w:semiHidden/>
    <w:qFormat/>
    <w:uiPriority w:val="0"/>
    <w:rPr>
      <w:rFonts w:ascii="Times New Roman" w:hAnsi="Times New Roman" w:eastAsia="宋体"/>
      <w:b/>
      <w:kern w:val="2"/>
      <w:sz w:val="24"/>
    </w:rPr>
  </w:style>
  <w:style w:type="paragraph" w:customStyle="1" w:styleId="53">
    <w:name w:val="Default"/>
    <w:basedOn w:val="54"/>
    <w:next w:val="1"/>
    <w:autoRedefine/>
    <w:qForma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54">
    <w:name w:val="纯文本1"/>
    <w:basedOn w:val="1"/>
    <w:autoRedefine/>
    <w:qFormat/>
    <w:uiPriority w:val="0"/>
    <w:pPr>
      <w:jc w:val="both"/>
    </w:pPr>
    <w:rPr>
      <w:rFonts w:hAnsi="Courier New" w:cs="Times New Roman"/>
      <w:kern w:val="2"/>
      <w:sz w:val="28"/>
      <w:szCs w:val="20"/>
    </w:rPr>
  </w:style>
  <w:style w:type="paragraph" w:customStyle="1" w:styleId="55">
    <w:name w:val="Default1"/>
    <w:autoRedefine/>
    <w:qFormat/>
    <w:uiPriority w:val="99"/>
    <w:pPr>
      <w:widowControl w:val="0"/>
      <w:autoSpaceDE w:val="0"/>
      <w:autoSpaceDN w:val="0"/>
      <w:adjustRightInd w:val="0"/>
    </w:pPr>
    <w:rPr>
      <w:rFonts w:ascii="宋体" w:hAnsi="Calibri" w:eastAsia="微软雅黑" w:cs="宋体"/>
      <w:color w:val="000000"/>
      <w:sz w:val="24"/>
      <w:szCs w:val="24"/>
      <w:lang w:val="en-US" w:eastAsia="zh-CN" w:bidi="ar-SA"/>
    </w:rPr>
  </w:style>
  <w:style w:type="paragraph" w:customStyle="1" w:styleId="56">
    <w:name w:val="样式 正文文本缩进 + 行距: 1.5 倍行距"/>
    <w:basedOn w:val="3"/>
    <w:autoRedefine/>
    <w:qFormat/>
    <w:uiPriority w:val="0"/>
    <w:pPr>
      <w:spacing w:before="0" w:beforeLines="0" w:after="120" w:afterLines="0"/>
      <w:ind w:left="90" w:leftChars="32" w:firstLine="560" w:firstLineChars="200"/>
    </w:pPr>
    <w:rPr>
      <w:rFonts w:ascii="Times New Roman" w:cs="宋体"/>
    </w:rPr>
  </w:style>
  <w:style w:type="paragraph" w:customStyle="1" w:styleId="57">
    <w:name w:val="正文1"/>
    <w:basedOn w:val="1"/>
    <w:next w:val="1"/>
    <w:autoRedefine/>
    <w:qFormat/>
    <w:uiPriority w:val="0"/>
    <w:pPr>
      <w:adjustRightInd w:val="0"/>
      <w:spacing w:line="315" w:lineRule="atLeast"/>
    </w:pPr>
    <w:rPr>
      <w:rFonts w:hint="eastAsia" w:ascii="宋体"/>
      <w:kern w:val="0"/>
      <w:sz w:val="24"/>
      <w:szCs w:val="22"/>
    </w:rPr>
  </w:style>
  <w:style w:type="character" w:customStyle="1" w:styleId="58">
    <w:name w:val="日期 字符"/>
    <w:autoRedefine/>
    <w:semiHidden/>
    <w:qFormat/>
    <w:uiPriority w:val="0"/>
    <w:rPr>
      <w:rFonts w:ascii="Times New Roman" w:hAnsi="Times New Roman" w:eastAsia="宋体"/>
      <w:sz w:val="24"/>
    </w:rPr>
  </w:style>
  <w:style w:type="character" w:customStyle="1" w:styleId="59">
    <w:name w:val="表格 Char"/>
    <w:link w:val="60"/>
    <w:autoRedefine/>
    <w:qFormat/>
    <w:uiPriority w:val="0"/>
    <w:rPr>
      <w:rFonts w:ascii="宋体"/>
      <w:sz w:val="21"/>
    </w:rPr>
  </w:style>
  <w:style w:type="paragraph" w:customStyle="1" w:styleId="60">
    <w:name w:val="表格"/>
    <w:basedOn w:val="61"/>
    <w:next w:val="1"/>
    <w:link w:val="59"/>
    <w:autoRedefine/>
    <w:qFormat/>
    <w:uiPriority w:val="0"/>
    <w:pPr>
      <w:adjustRightInd w:val="0"/>
      <w:snapToGrid w:val="0"/>
      <w:spacing w:beforeLines="10" w:afterLines="10" w:line="259" w:lineRule="auto"/>
      <w:jc w:val="center"/>
    </w:pPr>
    <w:rPr>
      <w:rFonts w:ascii="宋体"/>
      <w:kern w:val="0"/>
      <w:szCs w:val="20"/>
    </w:rPr>
  </w:style>
  <w:style w:type="paragraph" w:customStyle="1" w:styleId="61">
    <w:name w:val="表头"/>
    <w:basedOn w:val="12"/>
    <w:next w:val="1"/>
    <w:autoRedefine/>
    <w:qFormat/>
    <w:uiPriority w:val="0"/>
    <w:pPr>
      <w:jc w:val="center"/>
    </w:pPr>
    <w:rPr>
      <w:rFonts w:ascii="Arial" w:hAnsi="Arial" w:eastAsia="黑体"/>
    </w:rPr>
  </w:style>
  <w:style w:type="character" w:customStyle="1" w:styleId="62">
    <w:name w:val="页脚 字符"/>
    <w:autoRedefine/>
    <w:qFormat/>
    <w:uiPriority w:val="99"/>
  </w:style>
  <w:style w:type="character" w:customStyle="1" w:styleId="63">
    <w:name w:val="批注文字 字符1"/>
    <w:autoRedefine/>
    <w:semiHidden/>
    <w:qFormat/>
    <w:uiPriority w:val="0"/>
    <w:rPr>
      <w:rFonts w:ascii="Times New Roman" w:hAnsi="Times New Roman" w:eastAsia="宋体"/>
      <w:sz w:val="24"/>
    </w:rPr>
  </w:style>
  <w:style w:type="character" w:customStyle="1" w:styleId="64">
    <w:name w:val="正文文本 字符1"/>
    <w:autoRedefine/>
    <w:semiHidden/>
    <w:qFormat/>
    <w:uiPriority w:val="0"/>
    <w:rPr>
      <w:rFonts w:ascii="Times New Roman" w:hAnsi="Times New Roman" w:eastAsia="宋体"/>
      <w:sz w:val="24"/>
    </w:rPr>
  </w:style>
  <w:style w:type="paragraph" w:customStyle="1" w:styleId="65">
    <w:name w:val="管线表头"/>
    <w:basedOn w:val="1"/>
    <w:autoRedefine/>
    <w:qFormat/>
    <w:uiPriority w:val="0"/>
    <w:pPr>
      <w:widowControl w:val="0"/>
      <w:jc w:val="center"/>
    </w:pPr>
    <w:rPr>
      <w:rFonts w:cs="Times New Roman"/>
      <w:b/>
      <w:kern w:val="2"/>
      <w:sz w:val="21"/>
      <w:szCs w:val="21"/>
      <w:lang w:val="zh-CN"/>
    </w:rPr>
  </w:style>
  <w:style w:type="paragraph" w:customStyle="1" w:styleId="66">
    <w:name w:val="管线标题2"/>
    <w:basedOn w:val="1"/>
    <w:autoRedefine/>
    <w:qFormat/>
    <w:uiPriority w:val="0"/>
    <w:pPr>
      <w:spacing w:beforeLines="50" w:line="360" w:lineRule="auto"/>
      <w:ind w:firstLine="472" w:firstLineChars="196"/>
    </w:pPr>
    <w:rPr>
      <w:rFonts w:cs="Times New Roman"/>
      <w:b/>
      <w:sz w:val="24"/>
      <w:szCs w:val="24"/>
    </w:rPr>
  </w:style>
  <w:style w:type="paragraph" w:customStyle="1" w:styleId="67">
    <w:name w:val="Normal"/>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68">
    <w:name w:val="管线正文"/>
    <w:basedOn w:val="1"/>
    <w:link w:val="69"/>
    <w:autoRedefine/>
    <w:qFormat/>
    <w:uiPriority w:val="0"/>
    <w:pPr>
      <w:spacing w:line="360" w:lineRule="auto"/>
      <w:ind w:firstLine="482"/>
      <w:jc w:val="both"/>
      <w:textAlignment w:val="baseline"/>
    </w:pPr>
    <w:rPr>
      <w:rFonts w:cs="Times New Roman"/>
      <w:sz w:val="24"/>
      <w:szCs w:val="24"/>
    </w:rPr>
  </w:style>
  <w:style w:type="character" w:customStyle="1" w:styleId="69">
    <w:name w:val="管线正文 Char"/>
    <w:link w:val="68"/>
    <w:autoRedefine/>
    <w:qFormat/>
    <w:uiPriority w:val="0"/>
    <w:rPr>
      <w:kern w:val="2"/>
      <w:sz w:val="24"/>
      <w:szCs w:val="24"/>
    </w:rPr>
  </w:style>
  <w:style w:type="paragraph" w:customStyle="1" w:styleId="70">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1">
    <w:name w:val="表格文字"/>
    <w:basedOn w:val="16"/>
    <w:autoRedefine/>
    <w:qFormat/>
    <w:uiPriority w:val="0"/>
    <w:pPr>
      <w:spacing w:line="560" w:lineRule="exact"/>
      <w:jc w:val="center"/>
    </w:pPr>
  </w:style>
  <w:style w:type="paragraph" w:customStyle="1" w:styleId="72">
    <w:name w:val="表格编号"/>
    <w:basedOn w:val="1"/>
    <w:next w:val="71"/>
    <w:autoRedefine/>
    <w:qFormat/>
    <w:uiPriority w:val="0"/>
    <w:pPr>
      <w:snapToGrid w:val="0"/>
      <w:spacing w:line="20" w:lineRule="atLeast"/>
    </w:pPr>
  </w:style>
  <w:style w:type="paragraph" w:customStyle="1" w:styleId="73">
    <w:name w:val="中等深浅网格 21"/>
    <w:basedOn w:val="1"/>
    <w:next w:val="1"/>
    <w:autoRedefine/>
    <w:qFormat/>
    <w:uiPriority w:val="1"/>
    <w:pPr>
      <w:jc w:val="center"/>
    </w:pPr>
    <w:rPr>
      <w:kern w:val="2"/>
      <w:sz w:val="21"/>
    </w:rPr>
  </w:style>
  <w:style w:type="paragraph" w:customStyle="1" w:styleId="74">
    <w:name w:val="列出段落2"/>
    <w:basedOn w:val="1"/>
    <w:autoRedefine/>
    <w:qFormat/>
    <w:uiPriority w:val="99"/>
    <w:pPr>
      <w:ind w:firstLine="420" w:firstLineChars="200"/>
    </w:pPr>
    <w:rPr>
      <w:rFonts w:ascii="Calibri" w:hAnsi="Calibri"/>
      <w:szCs w:val="22"/>
    </w:rPr>
  </w:style>
  <w:style w:type="paragraph" w:customStyle="1" w:styleId="75">
    <w:name w:val="样式 样式 样式 首行缩进:  1 字符 + 首行缩进:  2 字符1 + 首行缩进:  2 字符2"/>
    <w:basedOn w:val="1"/>
    <w:autoRedefine/>
    <w:qFormat/>
    <w:uiPriority w:val="99"/>
    <w:pPr>
      <w:spacing w:line="360" w:lineRule="auto"/>
      <w:ind w:firstLine="480" w:firstLineChars="200"/>
    </w:pPr>
    <w:rPr>
      <w:rFonts w:cs="宋体"/>
      <w:sz w:val="24"/>
      <w:szCs w:val="20"/>
    </w:rPr>
  </w:style>
  <w:style w:type="paragraph" w:customStyle="1" w:styleId="76">
    <w:name w:val="正文-ls"/>
    <w:basedOn w:val="1"/>
    <w:autoRedefine/>
    <w:qFormat/>
    <w:uiPriority w:val="0"/>
    <w:pPr>
      <w:widowControl w:val="0"/>
      <w:adjustRightInd/>
      <w:snapToGrid/>
      <w:spacing w:line="360" w:lineRule="auto"/>
      <w:ind w:firstLine="200" w:firstLineChars="200"/>
      <w:jc w:val="both"/>
    </w:pPr>
    <w:rPr>
      <w:rFonts w:hAnsi="宋体" w:cs="Times New Roman"/>
      <w:kern w:val="2"/>
      <w:sz w:val="24"/>
      <w:szCs w:val="20"/>
    </w:rPr>
  </w:style>
  <w:style w:type="paragraph" w:customStyle="1" w:styleId="77">
    <w:name w:val="管线标题1"/>
    <w:basedOn w:val="1"/>
    <w:autoRedefine/>
    <w:qFormat/>
    <w:uiPriority w:val="0"/>
    <w:pPr>
      <w:spacing w:beforeLines="50" w:line="360" w:lineRule="auto"/>
    </w:pPr>
    <w:rPr>
      <w:rFonts w:cs="Times New Roman"/>
      <w:b/>
      <w:bCs/>
      <w:sz w:val="24"/>
      <w:szCs w:val="24"/>
    </w:rPr>
  </w:style>
  <w:style w:type="paragraph" w:customStyle="1" w:styleId="78">
    <w:name w:val="表、图标题"/>
    <w:basedOn w:val="1"/>
    <w:next w:val="1"/>
    <w:autoRedefine/>
    <w:qFormat/>
    <w:uiPriority w:val="0"/>
    <w:pPr>
      <w:ind w:firstLine="200"/>
      <w:jc w:val="center"/>
    </w:pPr>
    <w:rPr>
      <w:b/>
      <w:bCs/>
    </w:rPr>
  </w:style>
  <w:style w:type="paragraph" w:customStyle="1" w:styleId="79">
    <w:name w:val="0正文"/>
    <w:basedOn w:val="3"/>
    <w:autoRedefine/>
    <w:qFormat/>
    <w:uiPriority w:val="0"/>
    <w:pPr>
      <w:spacing w:line="300" w:lineRule="auto"/>
      <w:ind w:firstLine="200" w:firstLineChars="200"/>
    </w:pPr>
    <w:rPr>
      <w:rFonts w:ascii="Times New Roman" w:eastAsia="宋体" w:cs="宋体"/>
      <w:kern w:val="0"/>
      <w:sz w:val="24"/>
    </w:rPr>
  </w:style>
  <w:style w:type="paragraph" w:customStyle="1" w:styleId="80">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81">
    <w:name w:val="图标标题"/>
    <w:basedOn w:val="1"/>
    <w:autoRedefine/>
    <w:qFormat/>
    <w:uiPriority w:val="0"/>
    <w:pPr>
      <w:widowControl w:val="0"/>
      <w:adjustRightInd/>
      <w:snapToGrid/>
      <w:spacing w:beforeLines="30"/>
      <w:jc w:val="center"/>
    </w:pPr>
    <w:rPr>
      <w:rFonts w:cs="Times New Roman"/>
      <w:b/>
      <w:kern w:val="2"/>
      <w:sz w:val="21"/>
      <w:szCs w:val="21"/>
    </w:rPr>
  </w:style>
  <w:style w:type="paragraph" w:customStyle="1" w:styleId="82">
    <w:name w:val="表格正文"/>
    <w:basedOn w:val="1"/>
    <w:next w:val="1"/>
    <w:autoRedefine/>
    <w:qFormat/>
    <w:uiPriority w:val="99"/>
    <w:pPr>
      <w:adjustRightInd w:val="0"/>
      <w:snapToGrid w:val="0"/>
      <w:jc w:val="center"/>
    </w:pPr>
    <w:rPr>
      <w:rFonts w:cs="宋体"/>
      <w:kern w:val="0"/>
      <w:sz w:val="18"/>
      <w:szCs w:val="18"/>
    </w:rPr>
  </w:style>
  <w:style w:type="paragraph" w:customStyle="1" w:styleId="83">
    <w:name w:val="样式 样式 样式 首行缩进:  1 字符 + 首行缩进:  2 字符2 + 首行缩进:  2 字符"/>
    <w:basedOn w:val="1"/>
    <w:autoRedefine/>
    <w:qFormat/>
    <w:uiPriority w:val="0"/>
    <w:pPr>
      <w:widowControl w:val="0"/>
      <w:adjustRightInd/>
      <w:snapToGrid/>
      <w:spacing w:line="360" w:lineRule="auto"/>
      <w:ind w:firstLine="480" w:firstLineChars="200"/>
      <w:jc w:val="both"/>
    </w:pPr>
    <w:rPr>
      <w:rFonts w:ascii="宋体" w:hAnsi="宋体" w:cs="宋体"/>
      <w:kern w:val="2"/>
      <w:sz w:val="24"/>
      <w:szCs w:val="20"/>
    </w:rPr>
  </w:style>
  <w:style w:type="paragraph" w:customStyle="1" w:styleId="84">
    <w:name w:val="样式1"/>
    <w:basedOn w:val="1"/>
    <w:next w:val="32"/>
    <w:autoRedefine/>
    <w:qFormat/>
    <w:uiPriority w:val="0"/>
    <w:pPr>
      <w:ind w:firstLine="462" w:firstLineChars="200"/>
    </w:pPr>
    <w:rPr>
      <w:rFonts w:ascii="宋体" w:hAnsi="宋体"/>
      <w:color w:val="000000"/>
    </w:rPr>
  </w:style>
  <w:style w:type="paragraph" w:customStyle="1" w:styleId="85">
    <w:name w:val="表格3"/>
    <w:autoRedefine/>
    <w:qFormat/>
    <w:uiPriority w:val="0"/>
    <w:pPr>
      <w:spacing w:line="240" w:lineRule="atLeast"/>
      <w:jc w:val="center"/>
    </w:pPr>
    <w:rPr>
      <w:rFonts w:ascii="Times New Roman" w:hAnsi="Times New Roman" w:eastAsia="宋体" w:cs="Times New Roman"/>
      <w:kern w:val="2"/>
      <w:sz w:val="21"/>
      <w:szCs w:val="21"/>
      <w:lang w:val="en-US" w:eastAsia="zh-CN" w:bidi="ar-SA"/>
    </w:rPr>
  </w:style>
  <w:style w:type="character" w:customStyle="1" w:styleId="86">
    <w:name w:val="font11"/>
    <w:basedOn w:val="36"/>
    <w:autoRedefine/>
    <w:qFormat/>
    <w:uiPriority w:val="0"/>
    <w:rPr>
      <w:rFonts w:hint="eastAsia" w:ascii="宋体" w:hAnsi="宋体" w:eastAsia="宋体" w:cs="宋体"/>
      <w:color w:val="000000"/>
      <w:sz w:val="24"/>
      <w:szCs w:val="24"/>
      <w:u w:val="none"/>
    </w:rPr>
  </w:style>
  <w:style w:type="character" w:customStyle="1" w:styleId="87">
    <w:name w:val="font31"/>
    <w:basedOn w:val="36"/>
    <w:autoRedefine/>
    <w:qFormat/>
    <w:uiPriority w:val="0"/>
    <w:rPr>
      <w:rFonts w:hint="default" w:ascii="Times New Roman" w:hAnsi="Times New Roman" w:cs="Times New Roman"/>
      <w:color w:val="000000"/>
      <w:sz w:val="24"/>
      <w:szCs w:val="24"/>
      <w:u w:val="none"/>
    </w:rPr>
  </w:style>
  <w:style w:type="character" w:customStyle="1" w:styleId="88">
    <w:name w:val="font01"/>
    <w:basedOn w:val="36"/>
    <w:autoRedefine/>
    <w:qFormat/>
    <w:uiPriority w:val="0"/>
    <w:rPr>
      <w:rFonts w:hint="eastAsia" w:ascii="宋体" w:hAnsi="宋体" w:eastAsia="宋体" w:cs="宋体"/>
      <w:color w:val="000000"/>
      <w:sz w:val="22"/>
      <w:szCs w:val="22"/>
      <w:u w:val="none"/>
    </w:rPr>
  </w:style>
  <w:style w:type="character" w:customStyle="1" w:styleId="89">
    <w:name w:val="font21"/>
    <w:basedOn w:val="36"/>
    <w:autoRedefine/>
    <w:qFormat/>
    <w:uiPriority w:val="0"/>
    <w:rPr>
      <w:rFonts w:hint="default" w:ascii="Times New Roman" w:hAnsi="Times New Roman" w:cs="Times New Roman"/>
      <w:color w:val="000000"/>
      <w:sz w:val="22"/>
      <w:szCs w:val="22"/>
      <w:u w:val="none"/>
    </w:rPr>
  </w:style>
  <w:style w:type="character" w:customStyle="1" w:styleId="90">
    <w:name w:val="font71"/>
    <w:basedOn w:val="36"/>
    <w:autoRedefine/>
    <w:qFormat/>
    <w:uiPriority w:val="0"/>
    <w:rPr>
      <w:rFonts w:hint="eastAsia" w:ascii="宋体" w:hAnsi="宋体" w:eastAsia="宋体" w:cs="宋体"/>
      <w:color w:val="FF0000"/>
      <w:sz w:val="24"/>
      <w:szCs w:val="24"/>
      <w:u w:val="none"/>
    </w:rPr>
  </w:style>
  <w:style w:type="character" w:customStyle="1" w:styleId="91">
    <w:name w:val="font61"/>
    <w:autoRedefine/>
    <w:qFormat/>
    <w:uiPriority w:val="0"/>
    <w:rPr>
      <w:rFonts w:hint="default" w:ascii="Times New Roman" w:hAnsi="Times New Roman" w:cs="Times New Roman"/>
      <w:color w:val="FF0000"/>
      <w:sz w:val="24"/>
      <w:szCs w:val="24"/>
      <w:u w:val="none"/>
    </w:rPr>
  </w:style>
  <w:style w:type="character" w:customStyle="1" w:styleId="92">
    <w:name w:val="font81"/>
    <w:basedOn w:val="36"/>
    <w:autoRedefine/>
    <w:qFormat/>
    <w:uiPriority w:val="0"/>
    <w:rPr>
      <w:rFonts w:hint="default" w:ascii="Times New Roman" w:hAnsi="Times New Roman" w:cs="Times New Roman"/>
      <w:color w:val="000000"/>
      <w:sz w:val="24"/>
      <w:szCs w:val="24"/>
      <w:u w:val="none"/>
      <w:vertAlign w:val="superscript"/>
    </w:rPr>
  </w:style>
  <w:style w:type="character" w:customStyle="1" w:styleId="93">
    <w:name w:val="font51"/>
    <w:basedOn w:val="36"/>
    <w:autoRedefine/>
    <w:qFormat/>
    <w:uiPriority w:val="0"/>
    <w:rPr>
      <w:rFonts w:hint="default" w:ascii="Times New Roman" w:hAnsi="Times New Roman" w:cs="Times New Roman"/>
      <w:color w:val="000000"/>
      <w:sz w:val="24"/>
      <w:szCs w:val="24"/>
      <w:u w:val="none"/>
      <w:vertAlign w:val="superscript"/>
    </w:rPr>
  </w:style>
  <w:style w:type="paragraph" w:customStyle="1" w:styleId="94">
    <w:name w:val="管道表格内容"/>
    <w:basedOn w:val="1"/>
    <w:link w:val="95"/>
    <w:autoRedefine/>
    <w:qFormat/>
    <w:uiPriority w:val="0"/>
    <w:pPr>
      <w:widowControl w:val="0"/>
      <w:spacing w:after="0"/>
      <w:jc w:val="center"/>
    </w:pPr>
    <w:rPr>
      <w:rFonts w:ascii="Times New Roman" w:hAnsi="宋体" w:eastAsia="宋体" w:cs="Times New Roman"/>
      <w:kern w:val="2"/>
      <w:sz w:val="21"/>
      <w:szCs w:val="21"/>
    </w:rPr>
  </w:style>
  <w:style w:type="character" w:customStyle="1" w:styleId="95">
    <w:name w:val="管道表格内容 Char"/>
    <w:link w:val="94"/>
    <w:autoRedefine/>
    <w:qFormat/>
    <w:uiPriority w:val="0"/>
    <w:rPr>
      <w:rFonts w:hAnsi="宋体"/>
      <w:kern w:val="2"/>
      <w:sz w:val="21"/>
      <w:szCs w:val="21"/>
    </w:rPr>
  </w:style>
  <w:style w:type="paragraph" w:customStyle="1" w:styleId="96">
    <w:name w:val="中文报告书样式"/>
    <w:basedOn w:val="1"/>
    <w:autoRedefine/>
    <w:qFormat/>
    <w:uiPriority w:val="0"/>
    <w:pPr>
      <w:widowControl w:val="0"/>
      <w:snapToGrid/>
      <w:spacing w:after="0" w:line="420" w:lineRule="atLeast"/>
      <w:jc w:val="both"/>
      <w:textAlignment w:val="baseline"/>
    </w:pPr>
    <w:rPr>
      <w:rFonts w:ascii="Times New Roman" w:hAnsi="Times New Roman" w:eastAsia="宋体" w:cs="Times New Roman"/>
      <w:kern w:val="24"/>
      <w:sz w:val="24"/>
      <w:szCs w:val="20"/>
    </w:rPr>
  </w:style>
  <w:style w:type="paragraph" w:customStyle="1" w:styleId="97">
    <w:name w:val="Table Paragraph"/>
    <w:basedOn w:val="1"/>
    <w:autoRedefine/>
    <w:qFormat/>
    <w:uiPriority w:val="1"/>
    <w:rPr>
      <w:rFonts w:ascii="新宋体" w:hAnsi="新宋体" w:eastAsia="新宋体" w:cs="新宋体"/>
      <w:lang w:val="zh-CN" w:eastAsia="zh-CN" w:bidi="zh-CN"/>
    </w:rPr>
  </w:style>
  <w:style w:type="paragraph" w:customStyle="1" w:styleId="98">
    <w:name w:val="表格文"/>
    <w:basedOn w:val="1"/>
    <w:autoRedefine/>
    <w:qFormat/>
    <w:uiPriority w:val="0"/>
    <w:pPr>
      <w:jc w:val="center"/>
    </w:pPr>
    <w:rPr>
      <w:rFonts w:ascii="Times New Roman" w:hAnsi="Times New Roman" w:eastAsia="宋体" w:cs="Times New Roman"/>
      <w:bCs/>
      <w:szCs w:val="21"/>
      <w:lang w:bidi="ar-BH"/>
    </w:rPr>
  </w:style>
  <w:style w:type="paragraph" w:customStyle="1" w:styleId="99">
    <w:name w:val="样式 样式 样式 首行缩进:  2 字符1 + 首行缩进:  2 字符 + 首行缩进:  2 字符"/>
    <w:basedOn w:val="1"/>
    <w:autoRedefine/>
    <w:qFormat/>
    <w:uiPriority w:val="0"/>
    <w:pPr>
      <w:ind w:firstLine="200" w:firstLineChars="200"/>
      <w:jc w:val="both"/>
    </w:pPr>
    <w:rPr>
      <w:sz w:val="28"/>
    </w:rPr>
  </w:style>
  <w:style w:type="paragraph" w:customStyle="1" w:styleId="100">
    <w:name w:val="普通(网站)1"/>
    <w:basedOn w:val="1"/>
    <w:autoRedefine/>
    <w:qFormat/>
    <w:uiPriority w:val="0"/>
    <w:pPr>
      <w:spacing w:before="100" w:beforeAutospacing="1" w:after="100" w:afterAutospacing="1"/>
    </w:pPr>
    <w:rPr>
      <w:szCs w:val="24"/>
    </w:rPr>
  </w:style>
  <w:style w:type="character" w:customStyle="1" w:styleId="101">
    <w:name w:val="fontstyle01"/>
    <w:autoRedefine/>
    <w:qFormat/>
    <w:uiPriority w:val="0"/>
    <w:rPr>
      <w:rFonts w:hint="eastAsia" w:ascii="宋体" w:hAnsi="宋体" w:eastAsia="宋体"/>
      <w:color w:val="000000"/>
      <w:sz w:val="24"/>
      <w:szCs w:val="24"/>
    </w:rPr>
  </w:style>
  <w:style w:type="paragraph" w:customStyle="1" w:styleId="102">
    <w:name w:val="表格内容"/>
    <w:basedOn w:val="81"/>
    <w:autoRedefine/>
    <w:qFormat/>
    <w:uiPriority w:val="0"/>
    <w:pPr>
      <w:widowControl w:val="0"/>
      <w:adjustRightInd/>
      <w:snapToGrid/>
      <w:jc w:val="center"/>
    </w:pPr>
    <w:rPr>
      <w:rFonts w:ascii="Times New Roman" w:hAnsi="Times New Roman" w:cs="Times New Roman"/>
      <w:kern w:val="2"/>
      <w:sz w:val="21"/>
      <w:szCs w:val="21"/>
    </w:rPr>
  </w:style>
  <w:style w:type="paragraph" w:customStyle="1" w:styleId="103">
    <w:name w:val="5正文"/>
    <w:basedOn w:val="1"/>
    <w:next w:val="12"/>
    <w:autoRedefine/>
    <w:qFormat/>
    <w:uiPriority w:val="0"/>
    <w:rPr>
      <w:rFonts w:hint="eastAsia"/>
      <w:spacing w:val="-4"/>
      <w:szCs w:val="20"/>
    </w:rPr>
  </w:style>
  <w:style w:type="character" w:customStyle="1" w:styleId="104">
    <w:name w:val="znspantitle"/>
    <w:autoRedefine/>
    <w:qFormat/>
    <w:uiPriority w:val="0"/>
    <w:rPr>
      <w:b/>
      <w:bCs/>
      <w:color w:val="333333"/>
    </w:rPr>
  </w:style>
  <w:style w:type="character" w:customStyle="1" w:styleId="105">
    <w:name w:val="disabled"/>
    <w:autoRedefine/>
    <w:qFormat/>
    <w:uiPriority w:val="0"/>
    <w:rPr>
      <w:vanish/>
    </w:rPr>
  </w:style>
  <w:style w:type="paragraph" w:customStyle="1" w:styleId="106">
    <w:name w:val="说明书正文"/>
    <w:basedOn w:val="1"/>
    <w:autoRedefine/>
    <w:qFormat/>
    <w:uiPriority w:val="0"/>
    <w:pPr>
      <w:adjustRightInd w:val="0"/>
      <w:spacing w:line="440" w:lineRule="exact"/>
      <w:ind w:firstLine="200" w:firstLineChars="200"/>
      <w:textAlignment w:val="baseline"/>
    </w:pPr>
    <w:rPr>
      <w:kern w:val="0"/>
      <w:szCs w:val="24"/>
    </w:rPr>
  </w:style>
  <w:style w:type="paragraph" w:customStyle="1" w:styleId="107">
    <w:name w:val="第1"/>
    <w:basedOn w:val="1"/>
    <w:autoRedefine/>
    <w:qFormat/>
    <w:uiPriority w:val="0"/>
    <w:pPr>
      <w:spacing w:line="360" w:lineRule="auto"/>
      <w:ind w:firstLine="720" w:firstLineChars="200"/>
    </w:pPr>
    <w:rPr>
      <w:sz w:val="24"/>
      <w:szCs w:val="24"/>
    </w:rPr>
  </w:style>
  <w:style w:type="paragraph" w:customStyle="1" w:styleId="108">
    <w:name w:val="xl31"/>
    <w:basedOn w:val="1"/>
    <w:autoRedefine/>
    <w:qFormat/>
    <w:uiPriority w:val="0"/>
    <w:pPr>
      <w:widowControl/>
      <w:spacing w:before="100" w:beforeAutospacing="1" w:after="100" w:afterAutospacing="1"/>
      <w:jc w:val="center"/>
      <w:textAlignment w:val="center"/>
    </w:pPr>
    <w:rPr>
      <w:rFonts w:ascii="Arial Unicode MS" w:hAnsi="Arial Unicode MS"/>
      <w:kern w:val="0"/>
      <w:sz w:val="24"/>
    </w:rPr>
  </w:style>
  <w:style w:type="table" w:customStyle="1" w:styleId="109">
    <w:name w:val="Table Normal"/>
    <w:autoRedefine/>
    <w:unhideWhenUsed/>
    <w:qFormat/>
    <w:uiPriority w:val="0"/>
    <w:tblPr>
      <w:tblCellMar>
        <w:top w:w="0" w:type="dxa"/>
        <w:left w:w="0" w:type="dxa"/>
        <w:bottom w:w="0" w:type="dxa"/>
        <w:right w:w="0" w:type="dxa"/>
      </w:tblCellMar>
    </w:tblPr>
  </w:style>
  <w:style w:type="paragraph" w:customStyle="1" w:styleId="110">
    <w:name w:val="表"/>
    <w:basedOn w:val="1"/>
    <w:next w:val="12"/>
    <w:autoRedefine/>
    <w:qFormat/>
    <w:uiPriority w:val="0"/>
    <w:pPr>
      <w:spacing w:line="340" w:lineRule="exact"/>
      <w:jc w:val="center"/>
    </w:pPr>
    <w:rPr>
      <w:rFonts w:ascii="宋体"/>
      <w:sz w:val="24"/>
      <w:szCs w:val="20"/>
    </w:rPr>
  </w:style>
  <w:style w:type="paragraph" w:customStyle="1" w:styleId="111">
    <w:name w:val="xl27"/>
    <w:basedOn w:val="1"/>
    <w:autoRedefine/>
    <w:qFormat/>
    <w:uiPriority w:val="0"/>
    <w:pPr>
      <w:widowControl/>
      <w:pBdr>
        <w:top w:val="single" w:color="auto" w:sz="8" w:space="0"/>
        <w:left w:val="single" w:color="auto" w:sz="8" w:space="0"/>
        <w:bottom w:val="single" w:color="auto" w:sz="4" w:space="0"/>
        <w:right w:val="single" w:color="auto" w:sz="4" w:space="0"/>
      </w:pBdr>
      <w:adjustRightInd/>
      <w:snapToGrid/>
      <w:spacing w:before="100" w:beforeAutospacing="1" w:after="100" w:afterAutospacing="1"/>
      <w:ind w:firstLine="0" w:firstLineChars="0"/>
      <w:jc w:val="left"/>
    </w:pPr>
    <w:rPr>
      <w:rFonts w:ascii="宋体" w:hAnsi="宋体"/>
      <w:kern w:val="0"/>
      <w:sz w:val="20"/>
      <w:szCs w:val="20"/>
    </w:rPr>
  </w:style>
  <w:style w:type="paragraph" w:styleId="112">
    <w:name w:val="List Paragraph"/>
    <w:basedOn w:val="1"/>
    <w:autoRedefine/>
    <w:qFormat/>
    <w:uiPriority w:val="34"/>
    <w:pPr>
      <w:ind w:firstLine="420" w:firstLineChars="200"/>
    </w:pPr>
    <w:rPr>
      <w:rFonts w:ascii="Times New Roman" w:hAnsi="Times New Roman"/>
      <w:sz w:val="21"/>
      <w:szCs w:val="20"/>
    </w:rPr>
  </w:style>
  <w:style w:type="paragraph" w:customStyle="1" w:styleId="113">
    <w:name w:val="Char Char Char Char Char Char Char"/>
    <w:basedOn w:val="1"/>
    <w:autoRedefine/>
    <w:qFormat/>
    <w:uiPriority w:val="0"/>
    <w:pPr>
      <w:snapToGrid w:val="0"/>
      <w:spacing w:line="360" w:lineRule="auto"/>
      <w:ind w:firstLine="529" w:firstLineChars="200"/>
    </w:pPr>
    <w:rPr>
      <w:rFonts w:ascii="宋体" w:hAnsi="宋体"/>
      <w:b/>
      <w:szCs w:val="24"/>
    </w:rPr>
  </w:style>
  <w:style w:type="paragraph" w:customStyle="1" w:styleId="114">
    <w:name w:val="样式环评"/>
    <w:basedOn w:val="1"/>
    <w:autoRedefine/>
    <w:qFormat/>
    <w:uiPriority w:val="0"/>
    <w:pPr>
      <w:spacing w:line="500" w:lineRule="exact"/>
      <w:ind w:firstLine="612"/>
    </w:pPr>
    <w:rPr>
      <w:rFonts w:ascii="仿宋_GB2312" w:hAnsi="宋体" w:eastAsia="仿宋_GB2312"/>
      <w:sz w:val="28"/>
    </w:rPr>
  </w:style>
  <w:style w:type="paragraph" w:customStyle="1" w:styleId="115">
    <w:name w:val="123正文"/>
    <w:basedOn w:val="1"/>
    <w:autoRedefine/>
    <w:qFormat/>
    <w:uiPriority w:val="0"/>
    <w:pPr>
      <w:snapToGrid w:val="0"/>
      <w:spacing w:line="360" w:lineRule="auto"/>
      <w:ind w:firstLine="200" w:firstLineChars="200"/>
    </w:pPr>
    <w:rPr>
      <w:kern w:val="0"/>
      <w:szCs w:val="20"/>
      <w:lang w:val="zh-CN"/>
    </w:rPr>
  </w:style>
  <w:style w:type="paragraph" w:customStyle="1" w:styleId="116">
    <w:name w:val="HDY正文"/>
    <w:basedOn w:val="1"/>
    <w:autoRedefine/>
    <w:qFormat/>
    <w:uiPriority w:val="0"/>
    <w:pPr>
      <w:widowControl/>
      <w:spacing w:line="360" w:lineRule="auto"/>
      <w:ind w:firstLine="480" w:firstLineChars="200"/>
    </w:pPr>
    <w:rPr>
      <w:rFonts w:ascii="Times New Roman" w:hAnsi="Times New Roman"/>
      <w:kern w:val="0"/>
      <w:sz w:val="24"/>
      <w:szCs w:val="22"/>
    </w:rPr>
  </w:style>
  <w:style w:type="paragraph" w:customStyle="1" w:styleId="117">
    <w:name w:val="百仁正文"/>
    <w:basedOn w:val="1"/>
    <w:autoRedefine/>
    <w:qFormat/>
    <w:uiPriority w:val="0"/>
    <w:pPr>
      <w:adjustRightInd w:val="0"/>
      <w:spacing w:line="360" w:lineRule="auto"/>
      <w:ind w:firstLine="480" w:firstLineChars="200"/>
    </w:pPr>
    <w:rPr>
      <w:color w:val="000000"/>
      <w:kern w:val="0"/>
      <w:sz w:val="24"/>
      <w:szCs w:val="20"/>
    </w:rPr>
  </w:style>
  <w:style w:type="paragraph" w:customStyle="1" w:styleId="118">
    <w:name w:val="报告书三级标题"/>
    <w:basedOn w:val="1"/>
    <w:autoRedefine/>
    <w:qFormat/>
    <w:uiPriority w:val="0"/>
    <w:pPr>
      <w:spacing w:line="420" w:lineRule="exact"/>
    </w:pPr>
    <w:rPr>
      <w:rFonts w:ascii="Calibri" w:hAnsi="Calibri" w:eastAsia="宋体" w:cs="Times New Roman"/>
      <w:b/>
      <w:szCs w:val="21"/>
    </w:rPr>
  </w:style>
  <w:style w:type="paragraph" w:customStyle="1" w:styleId="119">
    <w:name w:val="正文格式"/>
    <w:basedOn w:val="1"/>
    <w:autoRedefine/>
    <w:qFormat/>
    <w:uiPriority w:val="0"/>
    <w:pPr>
      <w:ind w:firstLine="560" w:firstLineChars="200"/>
    </w:pPr>
    <w:rPr>
      <w:rFonts w:eastAsia="楷体_GB2312"/>
      <w:sz w:val="28"/>
      <w:szCs w:val="20"/>
    </w:rPr>
  </w:style>
  <w:style w:type="character" w:customStyle="1" w:styleId="120">
    <w:name w:val="正文文本5"/>
    <w:autoRedefine/>
    <w:qFormat/>
    <w:uiPriority w:val="0"/>
    <w:rPr>
      <w:rFonts w:ascii="Arial Unicode MS" w:hAnsi="Arial Unicode MS" w:eastAsia="Arial Unicode MS" w:cs="Arial Unicode MS"/>
      <w:color w:val="000000"/>
      <w:spacing w:val="0"/>
      <w:w w:val="100"/>
      <w:position w:val="0"/>
      <w:sz w:val="24"/>
      <w:szCs w:val="24"/>
      <w:shd w:val="clear" w:color="auto" w:fill="FFFFFF"/>
      <w:lang w:val="zh-TW"/>
    </w:rPr>
  </w:style>
  <w:style w:type="paragraph" w:customStyle="1" w:styleId="121">
    <w:name w:val="样式 表中文字 + 小四"/>
    <w:basedOn w:val="1"/>
    <w:autoRedefine/>
    <w:qFormat/>
    <w:uiPriority w:val="0"/>
    <w:pPr>
      <w:widowControl/>
      <w:jc w:val="center"/>
    </w:pPr>
    <w:rPr>
      <w:rFonts w:hint="eastAsia" w:ascii="宋体" w:hAnsi="宋体" w:cs="宋体"/>
      <w:kern w:val="0"/>
      <w:szCs w:val="21"/>
    </w:rPr>
  </w:style>
  <w:style w:type="paragraph" w:customStyle="1" w:styleId="122">
    <w:name w:val="表格1"/>
    <w:next w:val="10"/>
    <w:autoRedefine/>
    <w:qFormat/>
    <w:uiPriority w:val="0"/>
    <w:pPr>
      <w:jc w:val="center"/>
    </w:pPr>
    <w:rPr>
      <w:rFonts w:ascii="Times New Roman" w:hAnsi="Times New Roman" w:eastAsia="宋体" w:cs="Times New Roman"/>
      <w:kern w:val="2"/>
      <w:sz w:val="21"/>
      <w:szCs w:val="21"/>
      <w:lang w:val="en-US" w:eastAsia="zh-CN" w:bidi="ar-SA"/>
    </w:rPr>
  </w:style>
  <w:style w:type="paragraph" w:customStyle="1" w:styleId="123">
    <w:name w:val="惠泽正文"/>
    <w:basedOn w:val="1"/>
    <w:autoRedefine/>
    <w:qFormat/>
    <w:uiPriority w:val="0"/>
    <w:pPr>
      <w:spacing w:line="480" w:lineRule="exact"/>
      <w:ind w:firstLine="480" w:firstLineChars="200"/>
    </w:pPr>
    <w:rPr>
      <w:rFonts w:cs="宋体"/>
      <w:sz w:val="24"/>
      <w:szCs w:val="20"/>
    </w:rPr>
  </w:style>
  <w:style w:type="paragraph" w:customStyle="1" w:styleId="124">
    <w:name w:val="样式 设计说明书第三级 + 首行缩进:  2 字符"/>
    <w:basedOn w:val="1"/>
    <w:autoRedefine/>
    <w:qFormat/>
    <w:uiPriority w:val="99"/>
    <w:pPr>
      <w:keepNext/>
      <w:keepLines/>
      <w:spacing w:line="500" w:lineRule="exact"/>
      <w:ind w:firstLine="200" w:firstLineChars="200"/>
      <w:jc w:val="left"/>
      <w:outlineLvl w:val="2"/>
    </w:pPr>
    <w:rPr>
      <w:b/>
      <w:bCs/>
      <w:kern w:val="44"/>
      <w:szCs w:val="28"/>
    </w:rPr>
  </w:style>
  <w:style w:type="paragraph" w:customStyle="1" w:styleId="125">
    <w:name w:val="图表文字"/>
    <w:basedOn w:val="12"/>
    <w:autoRedefine/>
    <w:qFormat/>
    <w:uiPriority w:val="0"/>
    <w:pPr>
      <w:spacing w:after="0" w:line="240" w:lineRule="auto"/>
      <w:ind w:firstLine="0" w:firstLineChars="0"/>
      <w:jc w:val="center"/>
    </w:pPr>
    <w:rPr>
      <w:snapToGrid w:val="0"/>
    </w:rPr>
  </w:style>
  <w:style w:type="paragraph" w:customStyle="1" w:styleId="126">
    <w:name w:val="正文 New New New New New New New New New New New New New New New New New New New New New New New New New New New New New New New New New New New New New New New New New New New New New New New New New New New New New New New New New New New New New New 36"/>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7">
    <w:name w:val="正文缩进 New New New New New"/>
    <w:basedOn w:val="126"/>
    <w:autoRedefine/>
    <w:qFormat/>
    <w:uiPriority w:val="0"/>
    <w:pPr>
      <w:spacing w:before="156" w:beforeLines="50" w:after="156" w:afterLines="50" w:line="460" w:lineRule="exact"/>
      <w:ind w:firstLine="420" w:firstLineChars="200"/>
      <w:jc w:val="left"/>
    </w:pPr>
    <w:rPr>
      <w:b/>
      <w:sz w:val="24"/>
    </w:rPr>
  </w:style>
  <w:style w:type="paragraph" w:customStyle="1" w:styleId="128">
    <w:name w:val="（新格式）表格"/>
    <w:basedOn w:val="129"/>
    <w:autoRedefine/>
    <w:qFormat/>
    <w:uiPriority w:val="0"/>
    <w:pPr>
      <w:topLinePunct/>
    </w:pPr>
    <w:rPr>
      <w:rFonts w:hint="eastAsia" w:ascii="Times New Roman" w:hAnsi="Times New Roman"/>
      <w:sz w:val="21"/>
    </w:rPr>
  </w:style>
  <w:style w:type="paragraph" w:customStyle="1" w:styleId="129">
    <w:name w:val="表格（方）"/>
    <w:autoRedefine/>
    <w:qFormat/>
    <w:uiPriority w:val="0"/>
    <w:pPr>
      <w:spacing w:before="20" w:beforeLines="20" w:after="20" w:afterLines="20"/>
      <w:jc w:val="center"/>
    </w:pPr>
    <w:rPr>
      <w:rFonts w:ascii="Times New Roman" w:hAnsi="Times New Roman" w:eastAsia="宋体" w:cs="Times New Roman"/>
      <w:snapToGrid w:val="0"/>
      <w:sz w:val="21"/>
      <w:lang w:val="en-US" w:eastAsia="zh-CN" w:bidi="ar-SA"/>
    </w:rPr>
  </w:style>
  <w:style w:type="paragraph" w:customStyle="1" w:styleId="130">
    <w:name w:val="正文 4"/>
    <w:basedOn w:val="1"/>
    <w:autoRedefine/>
    <w:qFormat/>
    <w:uiPriority w:val="0"/>
    <w:pPr>
      <w:overflowPunct w:val="0"/>
      <w:adjustRightInd w:val="0"/>
      <w:snapToGrid w:val="0"/>
      <w:spacing w:line="480" w:lineRule="auto"/>
      <w:ind w:firstLine="200" w:firstLineChars="200"/>
      <w:jc w:val="left"/>
    </w:pPr>
    <w:rPr>
      <w:rFonts w:ascii="Times New Roman" w:hAnsi="Times New Roman" w:cs="Calibri"/>
      <w:bCs/>
      <w:snapToGrid w:val="0"/>
      <w:sz w:val="24"/>
      <w:szCs w:val="24"/>
    </w:rPr>
  </w:style>
  <w:style w:type="paragraph" w:customStyle="1" w:styleId="131">
    <w:name w:val="（新格式）正文"/>
    <w:basedOn w:val="1"/>
    <w:autoRedefine/>
    <w:qFormat/>
    <w:uiPriority w:val="0"/>
    <w:pPr>
      <w:topLinePunct/>
      <w:adjustRightInd w:val="0"/>
      <w:snapToGrid w:val="0"/>
      <w:spacing w:line="360" w:lineRule="auto"/>
      <w:ind w:firstLine="420" w:firstLineChars="200"/>
    </w:pPr>
    <w:rPr>
      <w:rFonts w:ascii="Times New Roman" w:hAnsi="Times New Roman"/>
      <w:sz w:val="24"/>
    </w:rPr>
  </w:style>
  <w:style w:type="paragraph" w:customStyle="1" w:styleId="132">
    <w:name w:val="正文KX"/>
    <w:basedOn w:val="1"/>
    <w:autoRedefine/>
    <w:qFormat/>
    <w:uiPriority w:val="0"/>
    <w:pPr>
      <w:overflowPunct w:val="0"/>
      <w:adjustRightInd w:val="0"/>
      <w:snapToGrid w:val="0"/>
      <w:spacing w:line="360" w:lineRule="auto"/>
      <w:ind w:firstLine="472" w:firstLineChars="200"/>
      <w:jc w:val="left"/>
    </w:pPr>
    <w:rPr>
      <w:rFonts w:ascii="Times New Roman" w:hAnsi="Times New Roman" w:cs="Calibri"/>
      <w:bCs/>
      <w:snapToGrid w:val="0"/>
      <w:spacing w:val="-2"/>
      <w:kern w:val="0"/>
      <w:sz w:val="24"/>
      <w:szCs w:val="24"/>
    </w:rPr>
  </w:style>
  <w:style w:type="paragraph" w:customStyle="1" w:styleId="133">
    <w:name w:val="（新格式）表头"/>
    <w:basedOn w:val="134"/>
    <w:autoRedefine/>
    <w:qFormat/>
    <w:uiPriority w:val="0"/>
    <w:pPr>
      <w:topLinePunct/>
      <w:adjustRightInd w:val="0"/>
      <w:snapToGrid w:val="0"/>
      <w:spacing w:line="360" w:lineRule="auto"/>
      <w:ind w:firstLine="420" w:firstLineChars="200"/>
      <w:jc w:val="center"/>
    </w:pPr>
    <w:rPr>
      <w:rFonts w:hint="eastAsia" w:ascii="Times New Roman" w:hAnsi="Times New Roman"/>
      <w:sz w:val="21"/>
    </w:rPr>
  </w:style>
  <w:style w:type="paragraph" w:customStyle="1" w:styleId="134">
    <w:name w:val="表头（方）"/>
    <w:basedOn w:val="1"/>
    <w:autoRedefine/>
    <w:qFormat/>
    <w:uiPriority w:val="0"/>
    <w:pPr>
      <w:widowControl/>
      <w:adjustRightInd w:val="0"/>
      <w:snapToGrid w:val="0"/>
      <w:spacing w:before="50" w:beforeLines="50" w:after="20" w:afterLines="20" w:line="360" w:lineRule="auto"/>
      <w:jc w:val="center"/>
    </w:pPr>
    <w:rPr>
      <w:rFonts w:ascii="Times New Roman" w:hAnsi="Times New Roman" w:cs="Times New Roman"/>
      <w:b/>
      <w:kern w:val="0"/>
      <w:sz w:val="24"/>
      <w:szCs w:val="24"/>
    </w:rPr>
  </w:style>
  <w:style w:type="paragraph" w:customStyle="1" w:styleId="135">
    <w:name w:val="六-图表题"/>
    <w:basedOn w:val="1"/>
    <w:autoRedefine/>
    <w:qFormat/>
    <w:uiPriority w:val="0"/>
    <w:pPr>
      <w:snapToGrid w:val="0"/>
      <w:jc w:val="center"/>
    </w:pPr>
    <w:rPr>
      <w:rFonts w:eastAsia="Times New Roman"/>
      <w:b/>
      <w:lang w:val="zh-CN"/>
    </w:rPr>
  </w:style>
  <w:style w:type="character" w:customStyle="1" w:styleId="136">
    <w:name w:val="font41"/>
    <w:basedOn w:val="36"/>
    <w:autoRedefine/>
    <w:qFormat/>
    <w:uiPriority w:val="0"/>
    <w:rPr>
      <w:rFonts w:hint="default" w:ascii="Times New Roman" w:hAnsi="Times New Roman" w:cs="Times New Roman"/>
      <w:color w:val="000000"/>
      <w:sz w:val="21"/>
      <w:szCs w:val="21"/>
      <w:u w:val="none"/>
    </w:rPr>
  </w:style>
  <w:style w:type="paragraph" w:customStyle="1" w:styleId="137">
    <w:name w:val="Table Text"/>
    <w:basedOn w:val="1"/>
    <w:autoRedefine/>
    <w:semiHidden/>
    <w:qFormat/>
    <w:uiPriority w:val="0"/>
    <w:rPr>
      <w:rFonts w:ascii="宋体" w:hAnsi="宋体" w:eastAsia="宋体" w:cs="宋体"/>
      <w:sz w:val="24"/>
      <w:szCs w:val="24"/>
      <w:lang w:val="en-US" w:eastAsia="en-US" w:bidi="ar-SA"/>
    </w:rPr>
  </w:style>
  <w:style w:type="paragraph" w:customStyle="1" w:styleId="138">
    <w:name w:val="1正文"/>
    <w:basedOn w:val="1"/>
    <w:autoRedefine/>
    <w:qFormat/>
    <w:uiPriority w:val="0"/>
    <w:pPr>
      <w:widowControl/>
      <w:spacing w:line="360" w:lineRule="auto"/>
      <w:ind w:firstLine="200" w:firstLineChars="200"/>
    </w:pPr>
    <w:rPr>
      <w:kern w:val="0"/>
      <w:sz w:val="24"/>
      <w:szCs w:val="20"/>
      <w:lang w:val="en-GB"/>
    </w:rPr>
  </w:style>
  <w:style w:type="character" w:customStyle="1" w:styleId="139">
    <w:name w:val="正文文字 Char"/>
    <w:autoRedefine/>
    <w:qFormat/>
    <w:uiPriority w:val="0"/>
    <w:rPr>
      <w:rFonts w:eastAsia="宋体"/>
      <w:kern w:val="2"/>
      <w:sz w:val="24"/>
      <w:szCs w:val="24"/>
      <w:lang w:val="en-US" w:eastAsia="zh-CN" w:bidi="ar-SA"/>
    </w:rPr>
  </w:style>
  <w:style w:type="paragraph" w:styleId="140">
    <w:name w:val="No Spacing"/>
    <w:autoRedefine/>
    <w:qFormat/>
    <w:uiPriority w:val="1"/>
    <w:pPr>
      <w:widowControl w:val="0"/>
      <w:adjustRightInd w:val="0"/>
      <w:snapToGrid w:val="0"/>
      <w:jc w:val="center"/>
    </w:pPr>
    <w:rPr>
      <w:rFonts w:ascii="Times New Roman" w:hAnsi="Times New Roman" w:eastAsia="宋体" w:cs="Times New Roman"/>
      <w:kern w:val="2"/>
      <w:sz w:val="21"/>
      <w:szCs w:val="24"/>
      <w:lang w:val="en-US" w:eastAsia="zh-CN" w:bidi="ar-SA"/>
    </w:rPr>
  </w:style>
  <w:style w:type="character" w:customStyle="1" w:styleId="141">
    <w:name w:val="font91"/>
    <w:basedOn w:val="36"/>
    <w:autoRedefine/>
    <w:qFormat/>
    <w:uiPriority w:val="0"/>
    <w:rPr>
      <w:rFonts w:hint="default" w:ascii="Times New Roman" w:hAnsi="Times New Roman" w:cs="Times New Roman"/>
      <w:color w:val="000000"/>
      <w:sz w:val="14"/>
      <w:szCs w:val="14"/>
      <w:u w:val="none"/>
    </w:rPr>
  </w:style>
  <w:style w:type="character" w:customStyle="1" w:styleId="142">
    <w:name w:val="font101"/>
    <w:basedOn w:val="36"/>
    <w:autoRedefine/>
    <w:qFormat/>
    <w:uiPriority w:val="0"/>
    <w:rPr>
      <w:rFonts w:hint="default" w:ascii="Times New Roman" w:hAnsi="Times New Roman" w:cs="Times New Roman"/>
      <w:color w:val="000000"/>
      <w:sz w:val="14"/>
      <w:szCs w:val="14"/>
      <w:u w:val="none"/>
    </w:rPr>
  </w:style>
  <w:style w:type="paragraph" w:customStyle="1" w:styleId="143">
    <w:name w:val="样式 加粗 居中"/>
    <w:autoRedefine/>
    <w:qFormat/>
    <w:uiPriority w:val="0"/>
    <w:pPr>
      <w:widowControl w:val="0"/>
      <w:adjustRightInd w:val="0"/>
      <w:snapToGrid w:val="0"/>
      <w:spacing w:line="440" w:lineRule="exact"/>
      <w:ind w:firstLine="200" w:firstLineChars="200"/>
      <w:jc w:val="center"/>
    </w:pPr>
    <w:rPr>
      <w:rFonts w:ascii="Times New Roman" w:hAnsi="Times New Roman" w:eastAsia="宋体" w:cs="宋体"/>
      <w:b/>
      <w:bCs/>
      <w:kern w:val="2"/>
      <w:sz w:val="24"/>
      <w:szCs w:val="24"/>
      <w:lang w:val="en-US" w:eastAsia="zh-CN" w:bidi="ar-SA"/>
    </w:rPr>
  </w:style>
  <w:style w:type="paragraph" w:customStyle="1" w:styleId="144">
    <w:name w:val="002表头"/>
    <w:basedOn w:val="1"/>
    <w:autoRedefine/>
    <w:qFormat/>
    <w:uiPriority w:val="0"/>
    <w:pPr>
      <w:snapToGrid w:val="0"/>
      <w:spacing w:line="360" w:lineRule="auto"/>
      <w:jc w:val="center"/>
    </w:pPr>
    <w:rPr>
      <w:rFonts w:eastAsia="黑体"/>
      <w:b/>
      <w:kern w:val="0"/>
      <w:sz w:val="24"/>
      <w:szCs w:val="21"/>
    </w:rPr>
  </w:style>
  <w:style w:type="paragraph" w:customStyle="1" w:styleId="145">
    <w:name w:val="样式 五号 居中"/>
    <w:basedOn w:val="1"/>
    <w:autoRedefine/>
    <w:qFormat/>
    <w:uiPriority w:val="0"/>
    <w:pPr>
      <w:spacing w:line="240" w:lineRule="atLeast"/>
      <w:jc w:val="center"/>
    </w:pPr>
    <w:rPr>
      <w:rFonts w:cs="宋体"/>
      <w:szCs w:val="20"/>
    </w:rPr>
  </w:style>
  <w:style w:type="paragraph" w:customStyle="1" w:styleId="146">
    <w:name w:val="BG表头"/>
    <w:basedOn w:val="1"/>
    <w:autoRedefine/>
    <w:qFormat/>
    <w:uiPriority w:val="0"/>
    <w:pPr>
      <w:jc w:val="center"/>
    </w:pPr>
    <w:rPr>
      <w:rFonts w:ascii="宋体" w:hAnsi="宋体"/>
      <w:szCs w:val="21"/>
    </w:rPr>
  </w:style>
  <w:style w:type="paragraph" w:customStyle="1" w:styleId="147">
    <w:name w:val="【正文】"/>
    <w:basedOn w:val="1"/>
    <w:autoRedefine/>
    <w:qFormat/>
    <w:uiPriority w:val="0"/>
    <w:pPr>
      <w:spacing w:line="360" w:lineRule="auto"/>
      <w:ind w:firstLine="200" w:firstLineChars="200"/>
    </w:pPr>
    <w:rPr>
      <w:kern w:val="0"/>
      <w:sz w:val="24"/>
    </w:rPr>
  </w:style>
  <w:style w:type="paragraph" w:customStyle="1" w:styleId="148">
    <w:name w:val="报告表格"/>
    <w:basedOn w:val="1"/>
    <w:autoRedefine/>
    <w:qFormat/>
    <w:uiPriority w:val="0"/>
    <w:pPr>
      <w:autoSpaceDE w:val="0"/>
      <w:autoSpaceDN w:val="0"/>
      <w:adjustRightInd w:val="0"/>
      <w:spacing w:before="40" w:after="40"/>
      <w:jc w:val="center"/>
      <w:textAlignment w:val="bottom"/>
    </w:pPr>
    <w:rPr>
      <w:kern w:val="0"/>
      <w:szCs w:val="20"/>
    </w:rPr>
  </w:style>
  <w:style w:type="paragraph" w:customStyle="1" w:styleId="149">
    <w:name w:val="图表标题"/>
    <w:basedOn w:val="1"/>
    <w:autoRedefine/>
    <w:qFormat/>
    <w:uiPriority w:val="0"/>
    <w:pPr>
      <w:spacing w:before="50" w:beforeLines="50" w:line="360" w:lineRule="auto"/>
      <w:jc w:val="center"/>
    </w:pPr>
    <w:rPr>
      <w:rFonts w:eastAsia="黑体"/>
      <w:sz w:val="24"/>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footer" Target="footer2.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wmf"/><Relationship Id="rId35" Type="http://schemas.openxmlformats.org/officeDocument/2006/relationships/image" Target="media/image21.wmf"/><Relationship Id="rId34" Type="http://schemas.openxmlformats.org/officeDocument/2006/relationships/image" Target="media/image20.wmf"/><Relationship Id="rId33" Type="http://schemas.openxmlformats.org/officeDocument/2006/relationships/image" Target="media/image19.wmf"/><Relationship Id="rId32" Type="http://schemas.openxmlformats.org/officeDocument/2006/relationships/image" Target="media/image18.wmf"/><Relationship Id="rId31" Type="http://schemas.openxmlformats.org/officeDocument/2006/relationships/image" Target="media/image17.wmf"/><Relationship Id="rId30" Type="http://schemas.openxmlformats.org/officeDocument/2006/relationships/oleObject" Target="embeddings/oleObject7.bin"/><Relationship Id="rId3" Type="http://schemas.openxmlformats.org/officeDocument/2006/relationships/footer" Target="footer1.xml"/><Relationship Id="rId29" Type="http://schemas.openxmlformats.org/officeDocument/2006/relationships/image" Target="media/image16.wmf"/><Relationship Id="rId28" Type="http://schemas.openxmlformats.org/officeDocument/2006/relationships/oleObject" Target="embeddings/oleObject6.bin"/><Relationship Id="rId27" Type="http://schemas.openxmlformats.org/officeDocument/2006/relationships/image" Target="media/image15.wmf"/><Relationship Id="rId26" Type="http://schemas.openxmlformats.org/officeDocument/2006/relationships/oleObject" Target="embeddings/oleObject5.bin"/><Relationship Id="rId25" Type="http://schemas.openxmlformats.org/officeDocument/2006/relationships/image" Target="media/image14.wmf"/><Relationship Id="rId24" Type="http://schemas.openxmlformats.org/officeDocument/2006/relationships/oleObject" Target="embeddings/oleObject4.bin"/><Relationship Id="rId23" Type="http://schemas.openxmlformats.org/officeDocument/2006/relationships/image" Target="media/image13.wmf"/><Relationship Id="rId22" Type="http://schemas.openxmlformats.org/officeDocument/2006/relationships/oleObject" Target="embeddings/oleObject3.bin"/><Relationship Id="rId21" Type="http://schemas.openxmlformats.org/officeDocument/2006/relationships/image" Target="media/image12.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1.bin"/><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kxMjQzNjQ4ODgzIiwKCSJHcm91cElkIiA6ICIxOTk3MzI3MDY1IiwKCSJJbWFnZSIgOiAiaVZCT1J3MEtHZ29BQUFBTlNVaEVVZ0FBQUVzQUFBQkxDQVlBQUFBNFRucnFBQUFBQVhOU1IwSUFyczRjNlFBQUFDMUpSRUZVZUp6dHdURUJBQUFBd3FEMVQyME1INkFBQUFBQUFBQUFBQUFBQUFBQUFBQUFBQUFBQUFDQXN3RllMd0FCY0JWOTZBQUFBQUJKUlU1RXJrSmdnZz09IiwKCSJUaGVtZSIgOiAiIiwKCSJUeXBlIiA6ICJmbG93IiwKCSJWZXJzaW9uIiA6ICIiCn0K"/>
    </extobj>
    <extobj name="ECB019B1-382A-4266-B25C-5B523AA43C14-2">
      <extobjdata type="ECB019B1-382A-4266-B25C-5B523AA43C14" data="ewoJIkZpbGVJZCIgOiAiMjkxMzQ5NTAzNTY2IiwKCSJHcm91cElkIiA6ICIxOTk3MzI3MDY1IiwKCSJJbWFnZSIgOiAiaVZCT1J3MEtHZ29BQUFBTlNVaEVVZ0FBQUVzQUFBQkxDQVlBQUFBNFRucnFBQUFBQVhOU1IwSUFyczRjNlFBQUFDMUpSRUZVZUp6dHdURUJBQUFBd3FEMVQyME1INkFBQUFBQUFBQUFBQUFBQUFBQUFBQUFBQUFBQUFDQXN3RllMd0FCY0JWOTZBQUFBQUJKUlU1RXJrSmdnZz09IiwKCSJUaGVtZSIgOiAiIiwKCSJUeXBlIiA6ICJmbG93IiwKCSJWZXJzaW9uIiA6IC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54</Pages>
  <Words>30339</Words>
  <Characters>34052</Characters>
  <Lines>246</Lines>
  <Paragraphs>69</Paragraphs>
  <TotalTime>2</TotalTime>
  <ScaleCrop>false</ScaleCrop>
  <LinksUpToDate>false</LinksUpToDate>
  <CharactersWithSpaces>34292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zhouzhi</cp:lastModifiedBy>
  <cp:lastPrinted>2020-12-29T02:43:00Z</cp:lastPrinted>
  <dcterms:modified xsi:type="dcterms:W3CDTF">2024-05-11T01:19:42Z</dcterms:modified>
  <dc:title>附件2</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D6D58AE1BA654D11920AB40DAE347A41_13</vt:lpwstr>
  </property>
</Properties>
</file>