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15</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rPr>
        <w:t>周至科达路面建设材料有限公司路面建设材料扩建项目环</w:t>
      </w:r>
      <w:r>
        <w:rPr>
          <w:rFonts w:hint="eastAsia" w:ascii="方正小标宋简体" w:eastAsia="方正小标宋简体"/>
          <w:sz w:val="44"/>
          <w:szCs w:val="44"/>
        </w:rPr>
        <w:t>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周至科达路面建设材料有限公司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周至科达路面建设材料有限公司路面建设材料扩建项目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市环科院评估意见（市评估函〔2024〕58号）</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位于陕西省西安市</w:t>
      </w:r>
      <w:r>
        <w:rPr>
          <w:rFonts w:hint="eastAsia" w:ascii="仿宋_GB2312" w:hAnsi="仿宋_GB2312" w:eastAsia="仿宋_GB2312" w:cs="仿宋_GB2312"/>
          <w:color w:val="000000"/>
          <w:sz w:val="32"/>
          <w:szCs w:val="32"/>
        </w:rPr>
        <w:t>周至县渭河工业区周普路3号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新增占地18亩，对厂区总体平面布局进行优化调整，建设标准化工业厂房约10000平方米。拟购置水泥筒仓、搅拌缸、装载机、传送带等生产设备及辅助设施，在工业厂房内新增水泥稳定材料生产线1条，在原厂区内增加1座总容积为450立方米的立式沥青储罐，沥青最大储存能力增加360立方米（有效容积），原沥青混合料生产线生产规模不变。项目总投资</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（二）严格落实各项水污染防治措施。场地冲洗废水及进出车辆冲洗废水经沉淀池沉淀后回用不外排。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val="en-US" w:eastAsia="zh-CN"/>
        </w:rPr>
        <w:t>项目产生的生产废气经处理，</w:t>
      </w:r>
      <w:r>
        <w:rPr>
          <w:rFonts w:hint="eastAsia" w:ascii="仿宋_GB2312" w:hAnsi="仿宋_GB2312" w:eastAsia="仿宋_GB2312" w:cs="仿宋_GB2312"/>
          <w:color w:val="000000"/>
          <w:sz w:val="32"/>
          <w:szCs w:val="32"/>
        </w:rPr>
        <w:t>颗粒物厂界无组织排放浓度</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满足《水泥工业大气污染物排放标准》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GB4915-2013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要求，沥青烟、苯并[a]芘有组织及厂界无组织排放</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满足《大气污染物综合排放标准》(GB16297-1996)表2要求</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宋体" w:cs="Times New Roman"/>
          <w:color w:val="000000" w:themeColor="text1"/>
          <w:kern w:val="0"/>
          <w:szCs w:val="24"/>
          <w:lang w:bidi="he-IL"/>
          <w14:textFill>
            <w14:solidFill>
              <w14:schemeClr w14:val="tx1"/>
            </w14:solidFill>
          </w14:textFill>
        </w:rPr>
      </w:pPr>
      <w:r>
        <w:rPr>
          <w:rFonts w:hint="eastAsia" w:ascii="仿宋_GB2312" w:hAnsi="仿宋_GB2312" w:eastAsia="仿宋_GB2312" w:cs="仿宋_GB2312"/>
          <w:color w:val="000000"/>
          <w:sz w:val="32"/>
          <w:szCs w:val="32"/>
        </w:rPr>
        <w:t>（四）强化声环境保护措施。通过基础减振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厂房隔声措施，</w:t>
      </w:r>
      <w:r>
        <w:rPr>
          <w:rFonts w:hint="eastAsia" w:ascii="仿宋_GB2312" w:hAnsi="仿宋_GB2312" w:eastAsia="仿宋_GB2312" w:cs="仿宋_GB2312"/>
          <w:color w:val="000000"/>
          <w:sz w:val="32"/>
          <w:szCs w:val="32"/>
          <w:lang w:eastAsia="zh-CN"/>
        </w:rPr>
        <w:t>厂界噪声要</w:t>
      </w:r>
      <w:r>
        <w:rPr>
          <w:rFonts w:hint="eastAsia" w:ascii="仿宋_GB2312" w:hAnsi="仿宋_GB2312" w:eastAsia="仿宋_GB2312" w:cs="仿宋_GB2312"/>
          <w:color w:val="000000"/>
          <w:sz w:val="32"/>
          <w:szCs w:val="32"/>
        </w:rPr>
        <w:t>满足《工业企业厂界环境噪声排放标准》（GB12348-2008）2类标准要求。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w:t>
      </w:r>
      <w:r>
        <w:rPr>
          <w:rFonts w:hint="eastAsia" w:ascii="仿宋_GB2312" w:hAnsi="仿宋_GB2312" w:eastAsia="仿宋_GB2312" w:cs="仿宋_GB2312"/>
          <w:color w:val="000000"/>
          <w:sz w:val="32"/>
          <w:szCs w:val="32"/>
          <w:lang w:eastAsia="zh-CN"/>
        </w:rPr>
        <w:t>回用</w:t>
      </w:r>
      <w:r>
        <w:rPr>
          <w:rFonts w:hint="eastAsia" w:ascii="仿宋_GB2312" w:hAnsi="仿宋_GB2312" w:eastAsia="仿宋_GB2312" w:cs="仿宋_GB2312"/>
          <w:color w:val="000000"/>
          <w:sz w:val="32"/>
          <w:szCs w:val="32"/>
        </w:rPr>
        <w:t>；危险废物执行《危险废物贮存污染控制标准》（GB18597-2023）相关规定，分类收集统一交由有资质单位处置。生活垃圾分类收集后交由环卫部门统一清运处置。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29</w:t>
      </w:r>
      <w:bookmarkStart w:id="0" w:name="_GoBack"/>
      <w:bookmarkEnd w:id="0"/>
      <w:r>
        <w:rPr>
          <w:rFonts w:hint="eastAsia" w:ascii="仿宋_GB2312" w:eastAsia="仿宋_GB2312"/>
          <w:color w:val="auto"/>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286782E1-5FE9-4CA3-B5DA-C922D72154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1C4D126-EE46-4FC8-9FAF-0BE43AF9CE76}"/>
  </w:font>
  <w:font w:name="仿宋_GB2312">
    <w:panose1 w:val="02010609030101010101"/>
    <w:charset w:val="86"/>
    <w:family w:val="modern"/>
    <w:pitch w:val="default"/>
    <w:sig w:usb0="00000001" w:usb1="080E0000" w:usb2="00000000" w:usb3="00000000" w:csb0="00040000" w:csb1="00000000"/>
    <w:embedRegular r:id="rId3" w:fontKey="{9DF17E4C-73DD-4238-802B-CEA9BA1EB87D}"/>
  </w:font>
  <w:font w:name="方正小标宋简体">
    <w:panose1 w:val="02000000000000000000"/>
    <w:charset w:val="86"/>
    <w:family w:val="auto"/>
    <w:pitch w:val="default"/>
    <w:sig w:usb0="00000001" w:usb1="080E0000" w:usb2="00000000" w:usb3="00000000" w:csb0="00040000" w:csb1="00000000"/>
    <w:embedRegular r:id="rId4" w:fontKey="{E0EF880F-EB35-4114-AC48-37C6F38ED2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仿宋_GB2312" w:eastAsia="仿宋_GB2312"/>
        <w:sz w:val="24"/>
        <w:szCs w:val="24"/>
      </w:rPr>
    </w:pPr>
    <w:r>
      <w:rPr>
        <w:rStyle w:val="11"/>
        <w:rFonts w:hint="eastAsia" w:ascii="仿宋_GB2312" w:eastAsia="仿宋_GB2312"/>
        <w:sz w:val="24"/>
        <w:szCs w:val="24"/>
      </w:rPr>
      <w:fldChar w:fldCharType="begin"/>
    </w:r>
    <w:r>
      <w:rPr>
        <w:rStyle w:val="11"/>
        <w:rFonts w:hint="eastAsia" w:ascii="仿宋_GB2312" w:eastAsia="仿宋_GB2312"/>
        <w:sz w:val="24"/>
        <w:szCs w:val="24"/>
      </w:rPr>
      <w:instrText xml:space="preserve">PAGE  </w:instrText>
    </w:r>
    <w:r>
      <w:rPr>
        <w:rStyle w:val="11"/>
        <w:rFonts w:hint="eastAsia" w:ascii="仿宋_GB2312" w:eastAsia="仿宋_GB2312"/>
        <w:sz w:val="24"/>
        <w:szCs w:val="24"/>
      </w:rPr>
      <w:fldChar w:fldCharType="separate"/>
    </w:r>
    <w:r>
      <w:rPr>
        <w:rStyle w:val="11"/>
        <w:rFonts w:ascii="仿宋_GB2312" w:eastAsia="仿宋_GB2312"/>
        <w:sz w:val="24"/>
        <w:szCs w:val="24"/>
      </w:rPr>
      <w:t>1</w:t>
    </w:r>
    <w:r>
      <w:rPr>
        <w:rStyle w:val="11"/>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172E87"/>
    <w:rsid w:val="04AE18D1"/>
    <w:rsid w:val="04BF3ADE"/>
    <w:rsid w:val="088E0696"/>
    <w:rsid w:val="0A0D7099"/>
    <w:rsid w:val="17045380"/>
    <w:rsid w:val="17EF1B5C"/>
    <w:rsid w:val="1D17122A"/>
    <w:rsid w:val="21B66F32"/>
    <w:rsid w:val="21C4195E"/>
    <w:rsid w:val="248C45B0"/>
    <w:rsid w:val="29883BEF"/>
    <w:rsid w:val="2C5F332D"/>
    <w:rsid w:val="316B6E5E"/>
    <w:rsid w:val="325F1F6F"/>
    <w:rsid w:val="35FD0996"/>
    <w:rsid w:val="36BC77F5"/>
    <w:rsid w:val="36F445E5"/>
    <w:rsid w:val="38F90167"/>
    <w:rsid w:val="3A0E05C5"/>
    <w:rsid w:val="3AE10553"/>
    <w:rsid w:val="4246491B"/>
    <w:rsid w:val="44602AD3"/>
    <w:rsid w:val="450D2FD8"/>
    <w:rsid w:val="462C4E54"/>
    <w:rsid w:val="47C53029"/>
    <w:rsid w:val="47CE110D"/>
    <w:rsid w:val="4B2B4B22"/>
    <w:rsid w:val="4F5543EF"/>
    <w:rsid w:val="4F671A34"/>
    <w:rsid w:val="515A1860"/>
    <w:rsid w:val="54703A7A"/>
    <w:rsid w:val="56F97D56"/>
    <w:rsid w:val="581B4068"/>
    <w:rsid w:val="58F06F37"/>
    <w:rsid w:val="59EC5269"/>
    <w:rsid w:val="5D9602D5"/>
    <w:rsid w:val="5DC015CE"/>
    <w:rsid w:val="5E9345EC"/>
    <w:rsid w:val="5FD01870"/>
    <w:rsid w:val="61686204"/>
    <w:rsid w:val="617C1CB0"/>
    <w:rsid w:val="61F061FA"/>
    <w:rsid w:val="669B4986"/>
    <w:rsid w:val="71C01745"/>
    <w:rsid w:val="73283146"/>
    <w:rsid w:val="73857529"/>
    <w:rsid w:val="7480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2024-04-25T06:52:00Z</cp:lastPrinted>
  <dcterms:modified xsi:type="dcterms:W3CDTF">2024-04-29T07:20:24Z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F5DE8264BE6A483BA16235BE9FEBB4D2_13</vt:lpwstr>
  </property>
</Properties>
</file>