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spacing w:line="500" w:lineRule="exact"/>
        <w:jc w:val="right"/>
        <w:rPr>
          <w:rFonts w:hint="eastAsia" w:ascii="仿宋_GB2312" w:eastAsia="仿宋_GB2312"/>
          <w:sz w:val="32"/>
        </w:rPr>
      </w:pPr>
      <w:r>
        <w:rPr>
          <w:rFonts w:hint="eastAsia" w:ascii="仿宋_GB2312" w:eastAsia="仿宋_GB2312"/>
          <w:sz w:val="32"/>
        </w:rPr>
        <w:t>周环批复〔202</w:t>
      </w:r>
      <w:r>
        <w:rPr>
          <w:rFonts w:hint="eastAsia" w:ascii="仿宋_GB2312" w:eastAsia="仿宋_GB2312"/>
          <w:sz w:val="32"/>
          <w:lang w:val="en-US" w:eastAsia="zh-CN"/>
        </w:rPr>
        <w:t>4</w:t>
      </w:r>
      <w:r>
        <w:rPr>
          <w:rFonts w:hint="eastAsia" w:ascii="仿宋_GB2312" w:eastAsia="仿宋_GB2312"/>
          <w:sz w:val="32"/>
        </w:rPr>
        <w:t>〕</w:t>
      </w:r>
      <w:r>
        <w:rPr>
          <w:rFonts w:hint="eastAsia" w:ascii="仿宋_GB2312" w:eastAsia="仿宋_GB2312"/>
          <w:sz w:val="32"/>
          <w:lang w:val="en-US" w:eastAsia="zh-CN"/>
        </w:rPr>
        <w:t>11</w:t>
      </w:r>
      <w:r>
        <w:rPr>
          <w:rFonts w:hint="eastAsia" w:ascii="仿宋_GB2312" w:eastAsia="仿宋_GB2312"/>
          <w:sz w:val="32"/>
        </w:rPr>
        <w:t>号</w:t>
      </w:r>
    </w:p>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西安市周至县生态环境局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color w:val="000000"/>
          <w:sz w:val="44"/>
          <w:szCs w:val="44"/>
        </w:rPr>
        <w:t>关于</w:t>
      </w:r>
      <w:r>
        <w:rPr>
          <w:rFonts w:hint="eastAsia" w:ascii="方正小标宋简体" w:eastAsia="方正小标宋简体"/>
          <w:sz w:val="44"/>
          <w:szCs w:val="44"/>
          <w:lang w:val="en-US" w:eastAsia="zh-CN"/>
        </w:rPr>
        <w:t>西安艺本创文体用品有限责任公司年产1亿只铅笔生产线建设项目</w:t>
      </w:r>
      <w:r>
        <w:rPr>
          <w:rFonts w:hint="eastAsia" w:ascii="方正小标宋简体" w:eastAsia="方正小标宋简体"/>
          <w:sz w:val="44"/>
          <w:szCs w:val="44"/>
        </w:rPr>
        <w:t>环境影响报告表的批复</w:t>
      </w:r>
    </w:p>
    <w:p>
      <w:pPr>
        <w:spacing w:line="640" w:lineRule="exact"/>
        <w:jc w:val="center"/>
        <w:rPr>
          <w:rFonts w:hint="eastAsia" w:ascii="方正小标宋简体" w:eastAsia="方正小标宋简体"/>
          <w:sz w:val="44"/>
          <w:szCs w:val="44"/>
        </w:rPr>
      </w:pPr>
    </w:p>
    <w:p>
      <w:pPr>
        <w:rPr>
          <w:rFonts w:hint="eastAsia" w:eastAsia="仿宋_GB2312"/>
          <w:szCs w:val="21"/>
        </w:rPr>
      </w:pPr>
    </w:p>
    <w:p>
      <w:pPr>
        <w:rPr>
          <w:rFonts w:hint="eastAsia" w:eastAsia="仿宋_GB2312"/>
          <w:szCs w:val="21"/>
        </w:rPr>
      </w:pPr>
    </w:p>
    <w:p>
      <w:pPr>
        <w:keepNext w:val="0"/>
        <w:keepLines w:val="0"/>
        <w:pageBreakBefore w:val="0"/>
        <w:widowControl w:val="0"/>
        <w:tabs>
          <w:tab w:val="left" w:pos="7560"/>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西安艺本创文体用品有限责任公司：</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你单位报送的《</w:t>
      </w:r>
      <w:r>
        <w:rPr>
          <w:rFonts w:hint="eastAsia" w:ascii="仿宋_GB2312" w:hAnsi="仿宋_GB2312" w:eastAsia="仿宋_GB2312" w:cs="仿宋_GB2312"/>
          <w:color w:val="000000"/>
          <w:sz w:val="32"/>
          <w:szCs w:val="32"/>
          <w:lang w:val="en-US" w:eastAsia="zh-CN"/>
        </w:rPr>
        <w:t>西安艺本创文体用品有限责任公司年产1亿只铅笔生产线建设项目</w:t>
      </w:r>
      <w:r>
        <w:rPr>
          <w:rFonts w:hint="eastAsia" w:ascii="仿宋_GB2312" w:hAnsi="仿宋_GB2312" w:eastAsia="仿宋_GB2312" w:cs="仿宋_GB2312"/>
          <w:color w:val="000000"/>
          <w:sz w:val="32"/>
          <w:szCs w:val="32"/>
        </w:rPr>
        <w:t>环境影响报告表》（以下简称《报告表》）已收悉。根据《中华人民共和国环境影响评价法》等国家建设项目有关法律法规及相关技术规范，结合</w:t>
      </w:r>
      <w:r>
        <w:rPr>
          <w:rFonts w:hint="eastAsia" w:ascii="仿宋_GB2312" w:hAnsi="仿宋_GB2312" w:eastAsia="仿宋_GB2312" w:cs="仿宋_GB2312"/>
          <w:color w:val="000000"/>
          <w:sz w:val="32"/>
          <w:szCs w:val="32"/>
          <w:lang w:val="en-US" w:eastAsia="zh-CN"/>
        </w:rPr>
        <w:t>专家评审意见</w:t>
      </w:r>
      <w:r>
        <w:rPr>
          <w:rFonts w:hint="eastAsia" w:ascii="仿宋_GB2312" w:hAnsi="仿宋_GB2312" w:eastAsia="仿宋_GB2312" w:cs="仿宋_GB2312"/>
          <w:color w:val="000000"/>
          <w:sz w:val="32"/>
          <w:szCs w:val="32"/>
        </w:rPr>
        <w:t>，经我局对该《报告表》进行审查和集体审议后，批复如下：</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一、项目</w:t>
      </w:r>
      <w:r>
        <w:rPr>
          <w:rFonts w:hint="eastAsia" w:ascii="仿宋_GB2312" w:hAnsi="仿宋_GB2312" w:eastAsia="仿宋_GB2312" w:cs="仿宋_GB2312"/>
          <w:color w:val="000000"/>
          <w:sz w:val="32"/>
          <w:szCs w:val="32"/>
          <w:lang w:val="en-US" w:eastAsia="zh-CN"/>
        </w:rPr>
        <w:t>位于西安市周至县高新</w:t>
      </w:r>
      <w:r>
        <w:rPr>
          <w:rFonts w:hint="eastAsia" w:ascii="仿宋_GB2312" w:hAnsi="仿宋_GB2312" w:eastAsia="仿宋_GB2312" w:cs="仿宋_GB2312"/>
          <w:color w:val="000000"/>
          <w:sz w:val="32"/>
          <w:szCs w:val="32"/>
        </w:rPr>
        <w:t>集贤</w:t>
      </w:r>
      <w:r>
        <w:rPr>
          <w:rFonts w:hint="eastAsia" w:ascii="仿宋_GB2312" w:hAnsi="仿宋_GB2312" w:eastAsia="仿宋_GB2312" w:cs="仿宋_GB2312"/>
          <w:color w:val="000000"/>
          <w:sz w:val="32"/>
          <w:szCs w:val="32"/>
          <w:lang w:val="en-US" w:eastAsia="zh-CN"/>
        </w:rPr>
        <w:t>园创业大道八号文鼎笔业园内1号厂房，项目总占地面积约1836平方米（租赁）。主要建设内容包括：生产厂房、办公室、原料库、成品库等基础设施；建成后形成年产铅笔1亿只的生产线4条</w:t>
      </w:r>
      <w:r>
        <w:rPr>
          <w:rFonts w:hint="eastAsia" w:ascii="仿宋_GB2312" w:hAnsi="仿宋_GB2312" w:eastAsia="仿宋_GB2312" w:cs="仿宋_GB2312"/>
          <w:color w:val="000000"/>
          <w:sz w:val="32"/>
          <w:szCs w:val="32"/>
        </w:rPr>
        <w:t>。项目总投资</w:t>
      </w:r>
      <w:r>
        <w:rPr>
          <w:rFonts w:hint="eastAsia" w:ascii="仿宋_GB2312" w:hAnsi="仿宋_GB2312" w:eastAsia="仿宋_GB2312" w:cs="仿宋_GB2312"/>
          <w:color w:val="000000"/>
          <w:sz w:val="32"/>
          <w:szCs w:val="32"/>
          <w:lang w:val="en-US" w:eastAsia="zh-CN"/>
        </w:rPr>
        <w:t>200</w:t>
      </w:r>
      <w:r>
        <w:rPr>
          <w:rFonts w:hint="eastAsia" w:ascii="仿宋_GB2312" w:hAnsi="仿宋_GB2312" w:eastAsia="仿宋_GB2312" w:cs="仿宋_GB2312"/>
          <w:color w:val="000000"/>
          <w:sz w:val="32"/>
          <w:szCs w:val="32"/>
        </w:rPr>
        <w:t>万元，环保投资</w:t>
      </w:r>
      <w:r>
        <w:rPr>
          <w:rFonts w:hint="eastAsia" w:ascii="仿宋_GB2312" w:hAnsi="仿宋_GB2312" w:eastAsia="仿宋_GB2312" w:cs="仿宋_GB2312"/>
          <w:color w:val="000000"/>
          <w:sz w:val="32"/>
          <w:szCs w:val="32"/>
          <w:lang w:val="en-US" w:eastAsia="zh-CN"/>
        </w:rPr>
        <w:t>35</w:t>
      </w:r>
      <w:r>
        <w:rPr>
          <w:rFonts w:hint="eastAsia" w:ascii="仿宋_GB2312" w:hAnsi="仿宋_GB2312" w:eastAsia="仿宋_GB2312" w:cs="仿宋_GB2312"/>
          <w:color w:val="000000"/>
          <w:sz w:val="32"/>
          <w:szCs w:val="32"/>
        </w:rPr>
        <w:t>万元。</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符合相关产业政策和法定规划，在全面落实环评报告提出的各项污染防治措施后，环境不利影响能够得到缓解和控制，原则同意该项目按照《报告表》中所列性质、规模、地点、工艺及拟采取的生态环境保护措施进行建设和运行。</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二、在项目建设及</w:t>
      </w:r>
      <w:r>
        <w:rPr>
          <w:rFonts w:hint="eastAsia" w:ascii="仿宋_GB2312" w:hAnsi="仿宋_GB2312" w:eastAsia="仿宋_GB2312" w:cs="仿宋_GB2312"/>
          <w:color w:val="000000"/>
          <w:sz w:val="32"/>
          <w:szCs w:val="32"/>
          <w:lang w:eastAsia="zh-CN"/>
        </w:rPr>
        <w:t>运营</w:t>
      </w:r>
      <w:r>
        <w:rPr>
          <w:rFonts w:hint="eastAsia" w:ascii="仿宋_GB2312" w:hAnsi="仿宋_GB2312" w:eastAsia="仿宋_GB2312" w:cs="仿宋_GB2312"/>
          <w:color w:val="000000"/>
          <w:sz w:val="32"/>
          <w:szCs w:val="32"/>
        </w:rPr>
        <w:t>过程中，应重点做好以下工作：</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sz w:val="32"/>
          <w:szCs w:val="32"/>
          <w:lang w:val="en-US" w:eastAsia="zh-CN"/>
        </w:rPr>
        <w:t>加强施工期环境管理，做好扬尘、噪声等污染防控，合理安排施工时间，避免扰民。对施工废水、固体废物等规范处置，全面、及时落实施工期的各项环保措施，严格按照《报告表》所提出的各项要求进行治理</w:t>
      </w:r>
      <w:r>
        <w:rPr>
          <w:rFonts w:hint="eastAsia" w:ascii="仿宋_GB2312" w:hAnsi="仿宋_GB2312" w:eastAsia="仿宋_GB2312" w:cs="仿宋_GB2312"/>
          <w:color w:val="000000"/>
          <w:sz w:val="32"/>
          <w:szCs w:val="32"/>
        </w:rPr>
        <w:t>。</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（二）严格落实各项水污染防治措施。</w:t>
      </w:r>
      <w:r>
        <w:rPr>
          <w:rFonts w:hint="eastAsia" w:ascii="仿宋_GB2312" w:hAnsi="仿宋_GB2312" w:eastAsia="仿宋_GB2312" w:cs="仿宋_GB2312"/>
          <w:color w:val="000000"/>
          <w:sz w:val="32"/>
          <w:szCs w:val="32"/>
          <w:lang w:eastAsia="zh-CN"/>
        </w:rPr>
        <w:t>生活污水</w:t>
      </w:r>
      <w:r>
        <w:rPr>
          <w:rFonts w:hint="eastAsia" w:ascii="仿宋_GB2312" w:hAnsi="仿宋_GB2312" w:eastAsia="仿宋_GB2312" w:cs="仿宋_GB2312"/>
          <w:color w:val="000000"/>
          <w:sz w:val="32"/>
          <w:szCs w:val="32"/>
        </w:rPr>
        <w:t>经现有化粪池处理后，排入</w:t>
      </w:r>
      <w:r>
        <w:rPr>
          <w:rFonts w:hint="default" w:ascii="仿宋_GB2312" w:hAnsi="仿宋_GB2312" w:eastAsia="仿宋_GB2312" w:cs="仿宋_GB2312"/>
          <w:color w:val="000000"/>
          <w:sz w:val="32"/>
          <w:szCs w:val="32"/>
          <w:lang w:val="en-US" w:eastAsia="zh-CN"/>
        </w:rPr>
        <w:t>园区污水管网排至</w:t>
      </w:r>
      <w:r>
        <w:rPr>
          <w:rFonts w:hint="eastAsia" w:ascii="仿宋_GB2312" w:hAnsi="仿宋_GB2312" w:eastAsia="仿宋_GB2312" w:cs="仿宋_GB2312"/>
          <w:color w:val="000000"/>
          <w:sz w:val="32"/>
          <w:szCs w:val="32"/>
          <w:lang w:val="en-US" w:eastAsia="zh-CN"/>
        </w:rPr>
        <w:t>集贤产业园污水处理厂</w:t>
      </w:r>
      <w:r>
        <w:rPr>
          <w:rFonts w:hint="default" w:ascii="仿宋_GB2312" w:hAnsi="仿宋_GB2312" w:eastAsia="仿宋_GB2312" w:cs="仿宋_GB2312"/>
          <w:color w:val="000000"/>
          <w:sz w:val="32"/>
          <w:szCs w:val="32"/>
          <w:lang w:val="en-US" w:eastAsia="zh-CN"/>
        </w:rPr>
        <w:t>统一处理后</w:t>
      </w:r>
      <w:r>
        <w:rPr>
          <w:rFonts w:hint="eastAsia" w:ascii="仿宋_GB2312" w:hAnsi="仿宋_GB2312" w:eastAsia="仿宋_GB2312" w:cs="仿宋_GB2312"/>
          <w:color w:val="000000"/>
          <w:sz w:val="32"/>
          <w:szCs w:val="32"/>
          <w:lang w:val="en-US" w:eastAsia="zh-CN"/>
        </w:rPr>
        <w:t>达标排放</w:t>
      </w:r>
      <w:r>
        <w:rPr>
          <w:rFonts w:hint="default" w:ascii="仿宋_GB2312" w:hAnsi="仿宋_GB2312" w:eastAsia="仿宋_GB2312" w:cs="仿宋_GB2312"/>
          <w:color w:val="000000"/>
          <w:sz w:val="32"/>
          <w:szCs w:val="32"/>
          <w:lang w:val="en-US" w:eastAsia="zh-CN"/>
        </w:rPr>
        <w:t>。</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（三）严格落实各项大气污染防治措施。项目</w:t>
      </w:r>
      <w:r>
        <w:rPr>
          <w:rFonts w:hint="eastAsia" w:ascii="仿宋_GB2312" w:hAnsi="仿宋_GB2312" w:eastAsia="仿宋_GB2312" w:cs="仿宋_GB2312"/>
          <w:color w:val="000000"/>
          <w:sz w:val="32"/>
          <w:szCs w:val="32"/>
          <w:lang w:val="en-US" w:eastAsia="zh-CN"/>
        </w:rPr>
        <w:t>上漆废气</w:t>
      </w:r>
      <w:r>
        <w:rPr>
          <w:rFonts w:hint="eastAsia" w:ascii="仿宋_GB2312" w:hAnsi="仿宋_GB2312" w:eastAsia="仿宋_GB2312" w:cs="仿宋_GB2312"/>
          <w:color w:val="000000"/>
          <w:sz w:val="32"/>
          <w:szCs w:val="32"/>
        </w:rPr>
        <w:t>采用</w:t>
      </w:r>
      <w:r>
        <w:rPr>
          <w:rFonts w:hint="eastAsia" w:ascii="仿宋_GB2312" w:hAnsi="仿宋_GB2312" w:eastAsia="仿宋_GB2312" w:cs="仿宋_GB2312"/>
          <w:color w:val="000000"/>
          <w:sz w:val="32"/>
          <w:szCs w:val="32"/>
          <w:lang w:val="en-US" w:eastAsia="zh-CN"/>
        </w:rPr>
        <w:t>集气罩+活性炭吸附+催化燃烧</w:t>
      </w:r>
      <w:r>
        <w:rPr>
          <w:rFonts w:hint="eastAsia" w:ascii="仿宋_GB2312" w:hAnsi="仿宋_GB2312" w:eastAsia="仿宋_GB2312" w:cs="仿宋_GB2312"/>
          <w:color w:val="000000"/>
          <w:sz w:val="32"/>
          <w:szCs w:val="32"/>
        </w:rPr>
        <w:t>装置处理后，经</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m</w:t>
      </w:r>
      <w:r>
        <w:rPr>
          <w:rFonts w:hint="eastAsia" w:ascii="仿宋_GB2312" w:hAnsi="仿宋_GB2312" w:eastAsia="仿宋_GB2312" w:cs="仿宋_GB2312"/>
          <w:color w:val="000000"/>
          <w:sz w:val="32"/>
          <w:szCs w:val="32"/>
          <w:lang w:val="en-US" w:eastAsia="zh-CN"/>
        </w:rPr>
        <w:t>高</w:t>
      </w:r>
      <w:r>
        <w:rPr>
          <w:rFonts w:hint="eastAsia" w:ascii="仿宋_GB2312" w:hAnsi="仿宋_GB2312" w:eastAsia="仿宋_GB2312" w:cs="仿宋_GB2312"/>
          <w:color w:val="000000"/>
          <w:sz w:val="32"/>
          <w:szCs w:val="32"/>
        </w:rPr>
        <w:t>排气筒排放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排放浓度</w:t>
      </w:r>
      <w:r>
        <w:rPr>
          <w:rFonts w:hint="eastAsia" w:ascii="仿宋_GB2312" w:hAnsi="仿宋_GB2312" w:eastAsia="仿宋_GB2312" w:cs="仿宋_GB2312"/>
          <w:color w:val="000000"/>
          <w:sz w:val="32"/>
          <w:szCs w:val="32"/>
          <w:lang w:eastAsia="zh-CN"/>
        </w:rPr>
        <w:t>要</w:t>
      </w:r>
      <w:r>
        <w:rPr>
          <w:rFonts w:hint="eastAsia" w:ascii="仿宋_GB2312" w:hAnsi="仿宋_GB2312" w:eastAsia="仿宋_GB2312" w:cs="仿宋_GB2312"/>
          <w:color w:val="000000"/>
          <w:sz w:val="32"/>
          <w:szCs w:val="32"/>
          <w:lang w:val="en-US" w:eastAsia="zh-CN"/>
        </w:rPr>
        <w:t>满足</w:t>
      </w:r>
      <w:r>
        <w:rPr>
          <w:rFonts w:hint="default" w:ascii="仿宋_GB2312" w:hAnsi="仿宋_GB2312" w:eastAsia="仿宋_GB2312" w:cs="仿宋_GB2312"/>
          <w:color w:val="000000"/>
          <w:sz w:val="32"/>
          <w:szCs w:val="32"/>
        </w:rPr>
        <w:t>《挥发性有机物排放控制标准》（DB61/T  1061-2017）</w:t>
      </w:r>
      <w:r>
        <w:rPr>
          <w:rFonts w:hint="eastAsia" w:ascii="仿宋_GB2312" w:hAnsi="仿宋_GB2312" w:eastAsia="仿宋_GB2312" w:cs="仿宋_GB2312"/>
          <w:color w:val="000000"/>
          <w:sz w:val="32"/>
          <w:szCs w:val="32"/>
          <w:lang w:val="en-US" w:eastAsia="zh-CN"/>
        </w:rPr>
        <w:t>中标准要求</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切光、磨光工序废气经自带旋风收尘装置处理后由风机引至排气筒后高空达标排放，要满足《大气污染物综合排放标准》（GB16297-1996）表2中标准限值要求。</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（四）强化声环境保护措施。通过选用低噪声设备，合理布设施工机械，厂房</w:t>
      </w:r>
      <w:r>
        <w:rPr>
          <w:rFonts w:hint="eastAsia" w:ascii="仿宋_GB2312" w:hAnsi="仿宋_GB2312" w:eastAsia="仿宋_GB2312" w:cs="仿宋_GB2312"/>
          <w:color w:val="000000"/>
          <w:sz w:val="32"/>
          <w:szCs w:val="32"/>
          <w:lang w:eastAsia="zh-CN"/>
        </w:rPr>
        <w:t>隔声</w:t>
      </w:r>
      <w:r>
        <w:rPr>
          <w:rFonts w:hint="default" w:ascii="仿宋_GB2312" w:hAnsi="仿宋_GB2312" w:eastAsia="仿宋_GB2312" w:cs="仿宋_GB2312"/>
          <w:color w:val="000000"/>
          <w:sz w:val="32"/>
          <w:szCs w:val="32"/>
          <w:lang w:eastAsia="zh-CN"/>
        </w:rPr>
        <w:t>并</w:t>
      </w:r>
      <w:r>
        <w:rPr>
          <w:rFonts w:hint="eastAsia" w:ascii="仿宋_GB2312" w:hAnsi="仿宋_GB2312" w:eastAsia="仿宋_GB2312" w:cs="仿宋_GB2312"/>
          <w:color w:val="000000"/>
          <w:sz w:val="32"/>
          <w:szCs w:val="32"/>
        </w:rPr>
        <w:t>合理安排施工时间，运输车辆减速缓行，禁止鸣笛</w:t>
      </w:r>
      <w:r>
        <w:rPr>
          <w:rFonts w:hint="eastAsia" w:ascii="仿宋_GB2312" w:hAnsi="仿宋_GB2312" w:eastAsia="仿宋_GB2312" w:cs="仿宋_GB2312"/>
          <w:color w:val="000000"/>
          <w:sz w:val="32"/>
          <w:szCs w:val="32"/>
          <w:lang w:eastAsia="zh-CN"/>
        </w:rPr>
        <w:t>等治理措施，厂房噪声要</w:t>
      </w:r>
      <w:r>
        <w:rPr>
          <w:rFonts w:hint="eastAsia" w:ascii="仿宋_GB2312" w:hAnsi="仿宋_GB2312" w:eastAsia="仿宋_GB2312" w:cs="仿宋_GB2312"/>
          <w:color w:val="000000"/>
          <w:sz w:val="32"/>
          <w:szCs w:val="32"/>
        </w:rPr>
        <w:t>满足《工业企业厂界环境噪声排放标准》（GB12348-2008）3类功能区标准要求。</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严格落实固体废物污染防治措施。按照“减量化、资源化、无害化”处置原则，对固体废物进行分类收集、处理和处置。一般固体废物执行《一般工业固体废物贮存和填埋污染控制标准》（GB18599-2020）有关规定，</w:t>
      </w:r>
      <w:r>
        <w:rPr>
          <w:rFonts w:hint="default" w:ascii="仿宋_GB2312" w:hAnsi="仿宋_GB2312" w:eastAsia="仿宋_GB2312" w:cs="仿宋_GB2312"/>
          <w:color w:val="000000"/>
          <w:sz w:val="32"/>
          <w:szCs w:val="32"/>
          <w:lang w:val="en-US" w:eastAsia="zh-CN"/>
        </w:rPr>
        <w:t>集中收集定期外售或交由有资质的厂家回收处置</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危险废物执行《危险废物贮存污染控制标准》（GB18597-2023）相关规定</w:t>
      </w:r>
      <w:r>
        <w:rPr>
          <w:rFonts w:hint="eastAsia" w:ascii="仿宋_GB2312" w:hAnsi="仿宋_GB2312" w:eastAsia="仿宋_GB2312" w:cs="仿宋_GB2312"/>
          <w:color w:val="000000"/>
          <w:sz w:val="32"/>
          <w:szCs w:val="32"/>
          <w:lang w:eastAsia="zh-CN"/>
        </w:rPr>
        <w:t>，</w:t>
      </w:r>
      <w:r>
        <w:rPr>
          <w:rFonts w:hint="default" w:ascii="仿宋_GB2312" w:hAnsi="仿宋_GB2312" w:eastAsia="仿宋_GB2312" w:cs="仿宋_GB2312"/>
          <w:color w:val="000000"/>
          <w:sz w:val="32"/>
          <w:szCs w:val="32"/>
          <w:lang w:val="en-US" w:eastAsia="zh-CN"/>
        </w:rPr>
        <w:t>分类收集统一交由有资质单位处置</w:t>
      </w:r>
      <w:r>
        <w:rPr>
          <w:rFonts w:hint="eastAsia" w:ascii="仿宋_GB2312" w:hAnsi="仿宋_GB2312" w:eastAsia="仿宋_GB2312" w:cs="仿宋_GB2312"/>
          <w:color w:val="000000"/>
          <w:sz w:val="32"/>
          <w:szCs w:val="32"/>
        </w:rPr>
        <w:t>。</w:t>
      </w:r>
      <w:r>
        <w:rPr>
          <w:rFonts w:hint="default" w:ascii="仿宋_GB2312" w:hAnsi="仿宋_GB2312" w:eastAsia="仿宋_GB2312" w:cs="仿宋_GB2312"/>
          <w:color w:val="000000"/>
          <w:sz w:val="32"/>
          <w:szCs w:val="32"/>
          <w:lang w:val="en-US" w:eastAsia="zh-CN"/>
        </w:rPr>
        <w:t>生活垃圾分类收集后交由环卫部门统一清运处置。</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（六）强化土壤、地下水环境保护措施，使项目对土壤、地下水的环境影响降到最低。</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该项目在建设中必须严格执行配套建设的环境保护设施与主体工程同时设计、同时施工、同时投产使用的环境保护“三同时”制度，落实各项环境保护措施。项目运营期间要严格遵守当地重污染天气期间的应急减排和管控措施。</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该项目自批准之日起超过五年方开工建设的，其环境影响评价文件应当报原审批部门重新审核。如项目的性质、规模、地点和采用的生产工艺或污染防治措施、生态保护措施发生重大变动的，应重新报批环境影响评价文件。</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（二）按照《建设项目环境保护事中事后监督管理办法（试行）》要求，西安市生态环境保护综合执法支队周至大队负责该项目的事中事后监督管理工作。</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（三）项目建成后，应严格按照《建设项目环境保护验收暂行办法》规定的标准和程序，及时开展竣工环保验收工作，在环保竣工验收通过后，方可正式投入运行。</w:t>
      </w:r>
    </w:p>
    <w:p>
      <w:pPr>
        <w:keepNext w:val="0"/>
        <w:keepLines w:val="0"/>
        <w:pageBreakBefore w:val="0"/>
        <w:widowControl w:val="0"/>
        <w:tabs>
          <w:tab w:val="left" w:pos="7560"/>
        </w:tabs>
        <w:kinsoku/>
        <w:wordWrap/>
        <w:overflowPunct/>
        <w:topLinePunct w:val="0"/>
        <w:autoSpaceDE/>
        <w:autoSpaceDN/>
        <w:bidi w:val="0"/>
        <w:spacing w:line="540" w:lineRule="exact"/>
        <w:ind w:firstLine="640" w:firstLineChars="200"/>
        <w:textAlignment w:val="auto"/>
        <w:rPr>
          <w:rFonts w:hint="eastAsia" w:eastAsia="仿宋_GB2312"/>
          <w:szCs w:val="21"/>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color w:val="000000"/>
          <w:sz w:val="32"/>
          <w:szCs w:val="32"/>
          <w:lang w:eastAsia="zh-CN"/>
        </w:rPr>
        <w:t>该</w:t>
      </w:r>
      <w:r>
        <w:rPr>
          <w:rFonts w:hint="eastAsia" w:ascii="仿宋_GB2312" w:hAnsi="仿宋_GB2312" w:eastAsia="仿宋_GB2312" w:cs="仿宋_GB2312"/>
          <w:color w:val="000000"/>
          <w:sz w:val="32"/>
          <w:szCs w:val="32"/>
        </w:rPr>
        <w:t>项目建设和运行过程中如涉及规划、土地利用、建设、水务、消防、安全等问题，按相关部门规定和意见执行。</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textAlignment w:val="auto"/>
        <w:rPr>
          <w:rFonts w:hint="eastAsia" w:eastAsia="仿宋_GB2312"/>
          <w:szCs w:val="21"/>
        </w:rPr>
      </w:pPr>
    </w:p>
    <w:p>
      <w:pPr>
        <w:keepNext w:val="0"/>
        <w:keepLines w:val="0"/>
        <w:pageBreakBefore w:val="0"/>
        <w:widowControl w:val="0"/>
        <w:tabs>
          <w:tab w:val="left" w:pos="7560"/>
        </w:tabs>
        <w:kinsoku/>
        <w:wordWrap/>
        <w:overflowPunct/>
        <w:topLinePunct w:val="0"/>
        <w:autoSpaceDE/>
        <w:autoSpaceDN/>
        <w:bidi w:val="0"/>
        <w:adjustRightInd/>
        <w:snapToGrid/>
        <w:spacing w:line="520" w:lineRule="exact"/>
        <w:textAlignment w:val="auto"/>
        <w:rPr>
          <w:rFonts w:hint="eastAsia" w:eastAsia="仿宋_GB2312"/>
          <w:szCs w:val="21"/>
        </w:rPr>
      </w:pPr>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textAlignment w:val="auto"/>
        <w:rPr>
          <w:rFonts w:hint="eastAsia" w:ascii="仿宋_GB2312" w:eastAsia="仿宋_GB2312"/>
          <w:sz w:val="32"/>
          <w:szCs w:val="32"/>
        </w:rPr>
      </w:pPr>
      <w:r>
        <w:rPr>
          <w:rFonts w:hint="eastAsia" w:ascii="仿宋_GB2312" w:eastAsia="仿宋_GB2312"/>
          <w:sz w:val="32"/>
          <w:szCs w:val="32"/>
        </w:rPr>
        <w:t>西安市周至县生态环境局</w:t>
      </w:r>
    </w:p>
    <w:p>
      <w:pPr>
        <w:keepNext w:val="0"/>
        <w:keepLines w:val="0"/>
        <w:pageBreakBefore w:val="0"/>
        <w:widowControl w:val="0"/>
        <w:kinsoku/>
        <w:wordWrap/>
        <w:overflowPunct/>
        <w:topLinePunct w:val="0"/>
        <w:autoSpaceDE/>
        <w:autoSpaceDN/>
        <w:bidi w:val="0"/>
        <w:adjustRightInd/>
        <w:snapToGrid/>
        <w:spacing w:line="520" w:lineRule="exact"/>
        <w:ind w:firstLine="4304" w:firstLineChars="1345"/>
        <w:textAlignment w:val="auto"/>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23</w:t>
      </w:r>
      <w:bookmarkStart w:id="0" w:name="_GoBack"/>
      <w:bookmarkEnd w:id="0"/>
      <w:r>
        <w:rPr>
          <w:rFonts w:hint="eastAsia" w:ascii="仿宋_GB2312" w:eastAsia="仿宋_GB2312"/>
          <w:sz w:val="32"/>
          <w:szCs w:val="32"/>
        </w:rPr>
        <w:t>日</w:t>
      </w: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spacing w:line="500" w:lineRule="exact"/>
      </w:pPr>
      <w:r>
        <w:rPr>
          <w:rFonts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651510</wp:posOffset>
                </wp:positionV>
                <wp:extent cx="5557520" cy="0"/>
                <wp:effectExtent l="0" t="6350" r="0" b="6350"/>
                <wp:wrapNone/>
                <wp:docPr id="1" name="直接连接符 1"/>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1.3pt;height:0pt;width:437.6pt;z-index:251660288;mso-width-relative:page;mso-height-relative:page;" filled="f" stroked="t" coordsize="21600,21600" o:gfxdata="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wHB6E1gAAAAgBAAAPAAAAAAAAAAEAIAAAACIAAABkcnMvZG93bnJldi54bWxQSwECFAAU&#10;AAAACACHTuJArODAQvMBAADlAwAADgAAAAAAAAABACAAAAAlAQAAZHJzL2Uyb0RvYy54bWxQSwUG&#10;AAAAAAYABgBZAQAAigUAAAAA&#10;">
                <v:fill on="f" focussize="0,0"/>
                <v:stroke weight="1pt" color="#000000" joinstyle="round"/>
                <v:imagedata o:title=""/>
                <o:lock v:ext="edit" aspectratio="f"/>
              </v:line>
            </w:pict>
          </mc:Fallback>
        </mc:AlternateContent>
      </w:r>
      <w:r>
        <w:rPr>
          <w:rFonts w:eastAsia="黑体"/>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557520" cy="0"/>
                <wp:effectExtent l="0" t="6350" r="0" b="6350"/>
                <wp:wrapNone/>
                <wp:docPr id="2" name="直接连接符 2"/>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37.6pt;z-index:251659264;mso-width-relative:page;mso-height-relative:page;" filled="f" stroked="t" coordsize="21600,21600" o:gfxdata="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Vj8p9MAAAACAQAADwAAAAAAAAABACAAAAAiAAAAZHJzL2Rvd25yZXYueG1sUEsBAhQAFAAA&#10;AAgAh07iQActp/30AQAA5QMAAA4AAAAAAAAAAQAgAAAAIgEAAGRycy9lMm9Eb2MueG1sUEsFBgAA&#10;AAAGAAYAWQEAAIgFAAAAAA==&#10;">
                <v:fill on="f" focussize="0,0"/>
                <v:stroke weight="1pt" color="#000000" joinstyle="round"/>
                <v:imagedata o:title=""/>
                <o:lock v:ext="edit" aspectratio="f"/>
              </v:line>
            </w:pict>
          </mc:Fallback>
        </mc:AlternateContent>
      </w:r>
      <w:r>
        <w:rPr>
          <w:rFonts w:hint="eastAsia" w:eastAsia="仿宋_GB2312"/>
          <w:sz w:val="28"/>
          <w:szCs w:val="28"/>
        </w:rPr>
        <w:t>抄送：本局局长、</w:t>
      </w:r>
      <w:r>
        <w:rPr>
          <w:rFonts w:hint="eastAsia" w:eastAsia="仿宋_GB2312"/>
          <w:sz w:val="28"/>
          <w:szCs w:val="28"/>
          <w:highlight w:val="none"/>
        </w:rPr>
        <w:t>纪检组长</w:t>
      </w:r>
      <w:r>
        <w:rPr>
          <w:rFonts w:hint="eastAsia" w:eastAsia="仿宋_GB2312"/>
          <w:sz w:val="28"/>
          <w:szCs w:val="28"/>
        </w:rPr>
        <w:t>、副局长、西安市生态环境保护综合执法支队周至大队、环境监测站</w:t>
      </w:r>
    </w:p>
    <w:p>
      <w:pPr>
        <w:rPr>
          <w:rFonts w:hint="eastAsia" w:eastAsiaTheme="minorEastAsia"/>
          <w:lang w:eastAsia="zh-CN"/>
        </w:rPr>
      </w:pPr>
    </w:p>
    <w:sectPr>
      <w:headerReference r:id="rId3" w:type="default"/>
      <w:footerReference r:id="rId4" w:type="default"/>
      <w:footerReference r:id="rId5" w:type="even"/>
      <w:pgSz w:w="11906" w:h="16838"/>
      <w:pgMar w:top="1440" w:right="1418"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embedRegular r:id="rId1" w:fontKey="{4D276206-84B5-40B6-867B-3175812A088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E3157CC-BB72-4D78-8DAC-AA8DC25EF631}"/>
  </w:font>
  <w:font w:name="仿宋_GB2312">
    <w:panose1 w:val="02010609030101010101"/>
    <w:charset w:val="86"/>
    <w:family w:val="modern"/>
    <w:pitch w:val="default"/>
    <w:sig w:usb0="00000001" w:usb1="080E0000" w:usb2="00000000" w:usb3="00000000" w:csb0="00040000" w:csb1="00000000"/>
    <w:embedRegular r:id="rId3" w:fontKey="{031E854D-33B8-4047-806C-42BDE2F83D84}"/>
  </w:font>
  <w:font w:name="方正小标宋简体">
    <w:panose1 w:val="02000000000000000000"/>
    <w:charset w:val="86"/>
    <w:family w:val="auto"/>
    <w:pitch w:val="default"/>
    <w:sig w:usb0="00000001" w:usb1="080E0000" w:usb2="00000000" w:usb3="00000000" w:csb0="00040000" w:csb1="00000000"/>
    <w:embedRegular r:id="rId4" w:fontKey="{EB4F3EC5-4CEE-497B-B88B-8BC3E44C75F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ascii="仿宋_GB2312" w:eastAsia="仿宋_GB2312"/>
        <w:sz w:val="24"/>
        <w:szCs w:val="24"/>
      </w:rPr>
    </w:pPr>
    <w:r>
      <w:rPr>
        <w:rStyle w:val="10"/>
        <w:rFonts w:hint="eastAsia" w:ascii="仿宋_GB2312" w:eastAsia="仿宋_GB2312"/>
        <w:sz w:val="24"/>
        <w:szCs w:val="24"/>
      </w:rPr>
      <w:fldChar w:fldCharType="begin"/>
    </w:r>
    <w:r>
      <w:rPr>
        <w:rStyle w:val="10"/>
        <w:rFonts w:hint="eastAsia" w:ascii="仿宋_GB2312" w:eastAsia="仿宋_GB2312"/>
        <w:sz w:val="24"/>
        <w:szCs w:val="24"/>
      </w:rPr>
      <w:instrText xml:space="preserve">PAGE  </w:instrText>
    </w:r>
    <w:r>
      <w:rPr>
        <w:rStyle w:val="10"/>
        <w:rFonts w:hint="eastAsia" w:ascii="仿宋_GB2312" w:eastAsia="仿宋_GB2312"/>
        <w:sz w:val="24"/>
        <w:szCs w:val="24"/>
      </w:rPr>
      <w:fldChar w:fldCharType="separate"/>
    </w:r>
    <w:r>
      <w:rPr>
        <w:rStyle w:val="10"/>
        <w:rFonts w:ascii="仿宋_GB2312" w:eastAsia="仿宋_GB2312"/>
        <w:sz w:val="24"/>
        <w:szCs w:val="24"/>
      </w:rPr>
      <w:t>1</w:t>
    </w:r>
    <w:r>
      <w:rPr>
        <w:rStyle w:val="10"/>
        <w:rFonts w:hint="eastAsia" w:ascii="仿宋_GB2312" w:eastAsia="仿宋_GB2312"/>
        <w:sz w:val="24"/>
        <w:szCs w:val="24"/>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xZmI4MGQyMDc5OWI4MGQyY2RkNzY3ZmRkN2ZjMGUifQ=="/>
  </w:docVars>
  <w:rsids>
    <w:rsidRoot w:val="5D9602D5"/>
    <w:rsid w:val="04AE18D1"/>
    <w:rsid w:val="04BF3ADE"/>
    <w:rsid w:val="0A0D7099"/>
    <w:rsid w:val="163D0938"/>
    <w:rsid w:val="17045380"/>
    <w:rsid w:val="17EF1B5C"/>
    <w:rsid w:val="1F1774A5"/>
    <w:rsid w:val="21C4195E"/>
    <w:rsid w:val="316B6E5E"/>
    <w:rsid w:val="325F1F6F"/>
    <w:rsid w:val="35FD0996"/>
    <w:rsid w:val="36BC77F5"/>
    <w:rsid w:val="36F445E5"/>
    <w:rsid w:val="38F90167"/>
    <w:rsid w:val="4246491B"/>
    <w:rsid w:val="44602AD3"/>
    <w:rsid w:val="462C4E54"/>
    <w:rsid w:val="47C53029"/>
    <w:rsid w:val="4F5543EF"/>
    <w:rsid w:val="4F671A34"/>
    <w:rsid w:val="56F97D56"/>
    <w:rsid w:val="581B4068"/>
    <w:rsid w:val="58F06F37"/>
    <w:rsid w:val="59EC5269"/>
    <w:rsid w:val="5D1A6C78"/>
    <w:rsid w:val="5D9602D5"/>
    <w:rsid w:val="5E9345EC"/>
    <w:rsid w:val="5FD01870"/>
    <w:rsid w:val="61686204"/>
    <w:rsid w:val="617C1CB0"/>
    <w:rsid w:val="61F061FA"/>
    <w:rsid w:val="669B4986"/>
    <w:rsid w:val="71C01745"/>
    <w:rsid w:val="73283146"/>
    <w:rsid w:val="73857529"/>
    <w:rsid w:val="7480023F"/>
    <w:rsid w:val="7B7609D3"/>
    <w:rsid w:val="7FF65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widowControl/>
      <w:snapToGrid w:val="0"/>
      <w:spacing w:before="60" w:after="160" w:line="259" w:lineRule="auto"/>
      <w:ind w:right="113"/>
    </w:pPr>
    <w:rPr>
      <w:kern w:val="0"/>
      <w:sz w:val="18"/>
      <w:szCs w:val="20"/>
    </w:rPr>
  </w:style>
  <w:style w:type="paragraph" w:styleId="4">
    <w:name w:val="Body Text Indent"/>
    <w:basedOn w:val="1"/>
    <w:autoRedefine/>
    <w:qFormat/>
    <w:uiPriority w:val="99"/>
    <w:pPr>
      <w:spacing w:after="120"/>
      <w:ind w:left="420" w:leftChars="200"/>
    </w:pPr>
    <w:rPr>
      <w:kern w:val="0"/>
      <w:sz w:val="24"/>
      <w:szCs w:val="20"/>
      <w:lang w:val="zh-CN"/>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next w:val="1"/>
    <w:autoRedefine/>
    <w:qFormat/>
    <w:uiPriority w:val="99"/>
    <w:pPr>
      <w:ind w:firstLine="420" w:firstLineChars="200"/>
    </w:pPr>
    <w:rPr>
      <w:kern w:val="2"/>
      <w:sz w:val="21"/>
      <w:szCs w:val="24"/>
    </w:rPr>
  </w:style>
  <w:style w:type="character" w:styleId="10">
    <w:name w:val="page number"/>
    <w:basedOn w:val="9"/>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2024-04-01T06:46:00Z</dcterms:created>
  <dc:creator>华图陈绪刚</dc:creator>
  <cp:lastModifiedBy>华图陈绪刚</cp:lastModifiedBy>
  <cp:lastPrinted>2024-04-19T09:32:00Z</cp:lastPrinted>
  <dcterms:modified xsi:type="dcterms:W3CDTF">2024-04-23T07:02:13Z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BED60471F0684D868CB1BEEF50BD4E53_11</vt:lpwstr>
  </property>
</Properties>
</file>