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一、建设项目基本情况</w:t>
      </w:r>
    </w:p>
    <w:tbl>
      <w:tblPr>
        <w:tblStyle w:val="24"/>
        <w:tblW w:w="498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99"/>
        <w:gridCol w:w="3057"/>
        <w:gridCol w:w="1609"/>
        <w:gridCol w:w="269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97" w:hRule="atLeast"/>
          <w:jc w:val="center"/>
        </w:trPr>
        <w:tc>
          <w:tcPr>
            <w:tcW w:w="1701" w:type="dxa"/>
            <w:noWrap w:val="0"/>
            <w:tcMar>
              <w:top w:w="16" w:type="dxa"/>
              <w:left w:w="16" w:type="dxa"/>
              <w:right w:w="16" w:type="dxa"/>
            </w:tcMar>
            <w:vAlign w:val="center"/>
          </w:tcPr>
          <w:p>
            <w:pPr>
              <w:adjustRightInd w:val="0"/>
              <w:snapToGrid w:val="0"/>
              <w:jc w:val="center"/>
              <w:rPr>
                <w:szCs w:val="21"/>
              </w:rPr>
            </w:pPr>
            <w:r>
              <w:rPr>
                <w:szCs w:val="21"/>
              </w:rPr>
              <w:t>建设项目名称</w:t>
            </w:r>
          </w:p>
        </w:tc>
        <w:tc>
          <w:tcPr>
            <w:tcW w:w="7370" w:type="dxa"/>
            <w:gridSpan w:val="3"/>
            <w:noWrap w:val="0"/>
            <w:vAlign w:val="center"/>
          </w:tcPr>
          <w:p>
            <w:pPr>
              <w:adjustRightInd w:val="0"/>
              <w:snapToGrid w:val="0"/>
              <w:jc w:val="center"/>
              <w:rPr>
                <w:rFonts w:hint="eastAsia" w:eastAsia="宋体"/>
                <w:szCs w:val="21"/>
                <w:lang w:val="en-US" w:eastAsia="zh-CN"/>
              </w:rPr>
            </w:pPr>
            <w:bookmarkStart w:id="3" w:name="_GoBack"/>
            <w:r>
              <w:rPr>
                <w:rFonts w:hint="eastAsia"/>
                <w:szCs w:val="21"/>
                <w:lang w:val="en-US" w:eastAsia="zh-CN"/>
              </w:rPr>
              <w:t>中国石油天然气股份有限公司陕西西安销售分公司纺南路</w:t>
            </w:r>
            <w:r>
              <w:rPr>
                <w:rFonts w:hint="eastAsia"/>
                <w:szCs w:val="21"/>
              </w:rPr>
              <w:t>加油站</w:t>
            </w:r>
            <w:r>
              <w:rPr>
                <w:rFonts w:hint="eastAsia"/>
                <w:szCs w:val="21"/>
                <w:lang w:val="en-US" w:eastAsia="zh-CN"/>
              </w:rPr>
              <w:t>项目</w:t>
            </w:r>
            <w:bookmarkEnd w:id="3"/>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01" w:type="dxa"/>
            <w:noWrap w:val="0"/>
            <w:tcMar>
              <w:top w:w="16" w:type="dxa"/>
              <w:left w:w="16" w:type="dxa"/>
              <w:right w:w="16" w:type="dxa"/>
            </w:tcMar>
            <w:vAlign w:val="center"/>
          </w:tcPr>
          <w:p>
            <w:pPr>
              <w:adjustRightInd w:val="0"/>
              <w:snapToGrid w:val="0"/>
              <w:jc w:val="center"/>
              <w:rPr>
                <w:szCs w:val="21"/>
              </w:rPr>
            </w:pPr>
            <w:r>
              <w:rPr>
                <w:szCs w:val="21"/>
              </w:rPr>
              <w:t>项目代码</w:t>
            </w:r>
          </w:p>
        </w:tc>
        <w:tc>
          <w:tcPr>
            <w:tcW w:w="7370" w:type="dxa"/>
            <w:gridSpan w:val="3"/>
            <w:noWrap w:val="0"/>
            <w:vAlign w:val="center"/>
          </w:tcPr>
          <w:p>
            <w:pPr>
              <w:adjustRightInd w:val="0"/>
              <w:snapToGrid w:val="0"/>
              <w:jc w:val="center"/>
              <w:rPr>
                <w:rFonts w:hint="eastAsia"/>
                <w:szCs w:val="21"/>
              </w:rPr>
            </w:pPr>
            <w:r>
              <w:rPr>
                <w:rFonts w:hint="eastAsia"/>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01" w:type="dxa"/>
            <w:noWrap w:val="0"/>
            <w:tcMar>
              <w:top w:w="16" w:type="dxa"/>
              <w:left w:w="16" w:type="dxa"/>
              <w:right w:w="16" w:type="dxa"/>
            </w:tcMar>
            <w:vAlign w:val="center"/>
          </w:tcPr>
          <w:p>
            <w:pPr>
              <w:adjustRightInd w:val="0"/>
              <w:snapToGrid w:val="0"/>
              <w:jc w:val="center"/>
              <w:rPr>
                <w:szCs w:val="21"/>
              </w:rPr>
            </w:pPr>
            <w:r>
              <w:rPr>
                <w:szCs w:val="21"/>
              </w:rPr>
              <w:t>建设单位联系人</w:t>
            </w:r>
          </w:p>
        </w:tc>
        <w:tc>
          <w:tcPr>
            <w:tcW w:w="3060" w:type="dxa"/>
            <w:noWrap w:val="0"/>
            <w:vAlign w:val="center"/>
          </w:tcPr>
          <w:p>
            <w:pPr>
              <w:adjustRightInd w:val="0"/>
              <w:snapToGrid w:val="0"/>
              <w:jc w:val="center"/>
              <w:rPr>
                <w:rFonts w:hint="default" w:eastAsia="宋体"/>
                <w:szCs w:val="21"/>
                <w:lang w:val="en-US" w:eastAsia="zh-CN"/>
              </w:rPr>
            </w:pPr>
            <w:r>
              <w:rPr>
                <w:rFonts w:hint="eastAsia"/>
                <w:szCs w:val="21"/>
                <w:lang w:val="en-US" w:eastAsia="zh-CN"/>
              </w:rPr>
              <w:t>马艳虹</w:t>
            </w:r>
          </w:p>
        </w:tc>
        <w:tc>
          <w:tcPr>
            <w:tcW w:w="1610" w:type="dxa"/>
            <w:noWrap w:val="0"/>
            <w:vAlign w:val="center"/>
          </w:tcPr>
          <w:p>
            <w:pPr>
              <w:adjustRightInd w:val="0"/>
              <w:snapToGrid w:val="0"/>
              <w:jc w:val="center"/>
              <w:rPr>
                <w:szCs w:val="21"/>
              </w:rPr>
            </w:pPr>
            <w:r>
              <w:rPr>
                <w:szCs w:val="21"/>
              </w:rPr>
              <w:t>联系方式</w:t>
            </w:r>
          </w:p>
        </w:tc>
        <w:tc>
          <w:tcPr>
            <w:tcW w:w="2700" w:type="dxa"/>
            <w:noWrap w:val="0"/>
            <w:vAlign w:val="center"/>
          </w:tcPr>
          <w:p>
            <w:pPr>
              <w:adjustRightInd w:val="0"/>
              <w:snapToGrid w:val="0"/>
              <w:jc w:val="center"/>
              <w:rPr>
                <w:szCs w:val="21"/>
              </w:rPr>
            </w:pPr>
            <w:r>
              <w:rPr>
                <w:rFonts w:hint="eastAsia"/>
                <w:szCs w:val="21"/>
              </w:rPr>
              <w:t>153</w:t>
            </w:r>
            <w:r>
              <w:rPr>
                <w:rFonts w:hint="eastAsia"/>
                <w:szCs w:val="21"/>
                <w:lang w:val="en-US" w:eastAsia="zh-CN"/>
              </w:rPr>
              <w:t>xxxx</w:t>
            </w:r>
            <w:r>
              <w:rPr>
                <w:rFonts w:hint="eastAsia"/>
                <w:szCs w:val="21"/>
              </w:rPr>
              <w:t>8745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53" w:hRule="atLeast"/>
          <w:jc w:val="center"/>
        </w:trPr>
        <w:tc>
          <w:tcPr>
            <w:tcW w:w="1701" w:type="dxa"/>
            <w:noWrap w:val="0"/>
            <w:tcMar>
              <w:top w:w="16" w:type="dxa"/>
              <w:left w:w="16" w:type="dxa"/>
              <w:right w:w="16" w:type="dxa"/>
            </w:tcMar>
            <w:vAlign w:val="center"/>
          </w:tcPr>
          <w:p>
            <w:pPr>
              <w:adjustRightInd w:val="0"/>
              <w:snapToGrid w:val="0"/>
              <w:jc w:val="center"/>
              <w:rPr>
                <w:szCs w:val="21"/>
              </w:rPr>
            </w:pPr>
            <w:r>
              <w:rPr>
                <w:szCs w:val="21"/>
              </w:rPr>
              <w:t>建设地点</w:t>
            </w:r>
          </w:p>
        </w:tc>
        <w:tc>
          <w:tcPr>
            <w:tcW w:w="7370" w:type="dxa"/>
            <w:gridSpan w:val="3"/>
            <w:noWrap w:val="0"/>
            <w:vAlign w:val="center"/>
          </w:tcPr>
          <w:p>
            <w:pPr>
              <w:adjustRightInd w:val="0"/>
              <w:snapToGrid w:val="0"/>
              <w:jc w:val="center"/>
              <w:rPr>
                <w:rFonts w:hint="default" w:eastAsia="宋体"/>
                <w:szCs w:val="21"/>
                <w:lang w:val="en-US" w:eastAsia="zh-CN"/>
              </w:rPr>
            </w:pPr>
            <w:r>
              <w:rPr>
                <w:rFonts w:hint="eastAsia"/>
                <w:szCs w:val="21"/>
                <w:u w:val="none"/>
              </w:rPr>
              <w:t>陕西</w:t>
            </w:r>
            <w:r>
              <w:rPr>
                <w:szCs w:val="21"/>
                <w:u w:val="none"/>
              </w:rPr>
              <w:t>省</w:t>
            </w:r>
            <w:r>
              <w:rPr>
                <w:rFonts w:hint="eastAsia"/>
                <w:szCs w:val="21"/>
                <w:u w:val="none"/>
              </w:rPr>
              <w:t>西安</w:t>
            </w:r>
            <w:r>
              <w:rPr>
                <w:szCs w:val="21"/>
                <w:u w:val="none"/>
              </w:rPr>
              <w:t>市</w:t>
            </w:r>
            <w:r>
              <w:rPr>
                <w:rFonts w:hint="eastAsia"/>
                <w:szCs w:val="21"/>
                <w:u w:val="none"/>
                <w:lang w:val="en-US" w:eastAsia="zh-CN"/>
              </w:rPr>
              <w:t>灞桥</w:t>
            </w:r>
            <w:r>
              <w:rPr>
                <w:szCs w:val="21"/>
                <w:u w:val="none"/>
              </w:rPr>
              <w:t>区</w:t>
            </w:r>
            <w:r>
              <w:rPr>
                <w:rFonts w:hint="eastAsia"/>
                <w:u w:val="none"/>
                <w:lang w:val="en-US" w:eastAsia="zh-CN"/>
              </w:rPr>
              <w:t>咸宁东路82号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01" w:type="dxa"/>
            <w:noWrap w:val="0"/>
            <w:tcMar>
              <w:top w:w="16" w:type="dxa"/>
              <w:left w:w="16" w:type="dxa"/>
              <w:right w:w="16" w:type="dxa"/>
            </w:tcMar>
            <w:vAlign w:val="center"/>
          </w:tcPr>
          <w:p>
            <w:pPr>
              <w:adjustRightInd w:val="0"/>
              <w:snapToGrid w:val="0"/>
              <w:jc w:val="center"/>
              <w:rPr>
                <w:szCs w:val="21"/>
              </w:rPr>
            </w:pPr>
            <w:r>
              <w:rPr>
                <w:szCs w:val="21"/>
              </w:rPr>
              <w:t>地理坐标</w:t>
            </w:r>
          </w:p>
        </w:tc>
        <w:tc>
          <w:tcPr>
            <w:tcW w:w="7370" w:type="dxa"/>
            <w:gridSpan w:val="3"/>
            <w:noWrap w:val="0"/>
            <w:vAlign w:val="center"/>
          </w:tcPr>
          <w:p>
            <w:pPr>
              <w:jc w:val="center"/>
              <w:rPr>
                <w:szCs w:val="21"/>
              </w:rPr>
            </w:pPr>
            <w:r>
              <w:rPr>
                <w:szCs w:val="21"/>
              </w:rPr>
              <w:t>（E</w:t>
            </w:r>
            <w:r>
              <w:rPr>
                <w:szCs w:val="21"/>
                <w:u w:val="single"/>
              </w:rPr>
              <w:t>10</w:t>
            </w:r>
            <w:r>
              <w:rPr>
                <w:rFonts w:hint="eastAsia"/>
                <w:szCs w:val="21"/>
                <w:u w:val="single"/>
                <w:lang w:val="en-US" w:eastAsia="zh-CN"/>
              </w:rPr>
              <w:t>9</w:t>
            </w:r>
            <w:r>
              <w:rPr>
                <w:szCs w:val="21"/>
              </w:rPr>
              <w:t>度</w:t>
            </w:r>
            <w:r>
              <w:rPr>
                <w:rFonts w:hint="eastAsia"/>
                <w:szCs w:val="21"/>
                <w:u w:val="single"/>
                <w:lang w:val="en-US" w:eastAsia="zh-CN"/>
              </w:rPr>
              <w:t>3</w:t>
            </w:r>
            <w:r>
              <w:rPr>
                <w:szCs w:val="21"/>
              </w:rPr>
              <w:t>分</w:t>
            </w:r>
            <w:r>
              <w:rPr>
                <w:rFonts w:hint="eastAsia"/>
                <w:szCs w:val="21"/>
                <w:u w:val="single"/>
                <w:lang w:val="en-US" w:eastAsia="zh-CN"/>
              </w:rPr>
              <w:t>3</w:t>
            </w:r>
            <w:r>
              <w:rPr>
                <w:szCs w:val="21"/>
                <w:u w:val="single"/>
              </w:rPr>
              <w:t>.</w:t>
            </w:r>
            <w:r>
              <w:rPr>
                <w:rFonts w:hint="eastAsia"/>
                <w:szCs w:val="21"/>
                <w:u w:val="single"/>
                <w:lang w:val="en-US" w:eastAsia="zh-CN"/>
              </w:rPr>
              <w:t>681</w:t>
            </w:r>
            <w:r>
              <w:rPr>
                <w:szCs w:val="21"/>
              </w:rPr>
              <w:t>秒，N</w:t>
            </w:r>
            <w:r>
              <w:rPr>
                <w:szCs w:val="21"/>
                <w:u w:val="single"/>
              </w:rPr>
              <w:t>3</w:t>
            </w:r>
            <w:r>
              <w:rPr>
                <w:rFonts w:hint="eastAsia"/>
                <w:szCs w:val="21"/>
                <w:u w:val="single"/>
              </w:rPr>
              <w:t>4</w:t>
            </w:r>
            <w:r>
              <w:rPr>
                <w:szCs w:val="21"/>
              </w:rPr>
              <w:t>度</w:t>
            </w:r>
            <w:r>
              <w:rPr>
                <w:rFonts w:hint="eastAsia"/>
                <w:szCs w:val="21"/>
                <w:u w:val="single"/>
                <w:lang w:val="en-US" w:eastAsia="zh-CN"/>
              </w:rPr>
              <w:t>15</w:t>
            </w:r>
            <w:r>
              <w:rPr>
                <w:szCs w:val="21"/>
              </w:rPr>
              <w:t>分</w:t>
            </w:r>
            <w:r>
              <w:rPr>
                <w:rFonts w:hint="eastAsia"/>
                <w:szCs w:val="21"/>
                <w:u w:val="single"/>
                <w:lang w:val="en-US" w:eastAsia="zh-CN"/>
              </w:rPr>
              <w:t>2.674</w:t>
            </w:r>
            <w:r>
              <w:rPr>
                <w:szCs w:val="21"/>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701" w:type="dxa"/>
            <w:noWrap w:val="0"/>
            <w:tcMar>
              <w:top w:w="16" w:type="dxa"/>
              <w:left w:w="16" w:type="dxa"/>
              <w:right w:w="16" w:type="dxa"/>
            </w:tcMar>
            <w:vAlign w:val="center"/>
          </w:tcPr>
          <w:p>
            <w:pPr>
              <w:adjustRightInd w:val="0"/>
              <w:snapToGrid w:val="0"/>
              <w:jc w:val="center"/>
              <w:rPr>
                <w:szCs w:val="21"/>
              </w:rPr>
            </w:pPr>
            <w:r>
              <w:rPr>
                <w:szCs w:val="21"/>
              </w:rPr>
              <w:t>国民经济</w:t>
            </w:r>
          </w:p>
          <w:p>
            <w:pPr>
              <w:adjustRightInd w:val="0"/>
              <w:snapToGrid w:val="0"/>
              <w:jc w:val="center"/>
              <w:rPr>
                <w:szCs w:val="21"/>
              </w:rPr>
            </w:pPr>
            <w:r>
              <w:rPr>
                <w:szCs w:val="21"/>
              </w:rPr>
              <w:t>行业类别</w:t>
            </w:r>
          </w:p>
        </w:tc>
        <w:tc>
          <w:tcPr>
            <w:tcW w:w="3060" w:type="dxa"/>
            <w:noWrap w:val="0"/>
            <w:vAlign w:val="center"/>
          </w:tcPr>
          <w:p>
            <w:pPr>
              <w:adjustRightInd w:val="0"/>
              <w:snapToGrid w:val="0"/>
              <w:jc w:val="center"/>
              <w:rPr>
                <w:szCs w:val="21"/>
              </w:rPr>
            </w:pPr>
            <w:r>
              <w:t>F5265机动车燃油零售</w:t>
            </w:r>
          </w:p>
        </w:tc>
        <w:tc>
          <w:tcPr>
            <w:tcW w:w="1610" w:type="dxa"/>
            <w:noWrap w:val="0"/>
            <w:vAlign w:val="center"/>
          </w:tcPr>
          <w:p>
            <w:pPr>
              <w:adjustRightInd w:val="0"/>
              <w:snapToGrid w:val="0"/>
              <w:jc w:val="center"/>
              <w:rPr>
                <w:szCs w:val="21"/>
              </w:rPr>
            </w:pPr>
            <w:bookmarkStart w:id="0" w:name="_Hlk49843745"/>
            <w:r>
              <w:rPr>
                <w:szCs w:val="21"/>
              </w:rPr>
              <w:t>建设项目</w:t>
            </w:r>
          </w:p>
          <w:p>
            <w:pPr>
              <w:adjustRightInd w:val="0"/>
              <w:snapToGrid w:val="0"/>
              <w:jc w:val="center"/>
              <w:rPr>
                <w:szCs w:val="21"/>
              </w:rPr>
            </w:pPr>
            <w:r>
              <w:rPr>
                <w:szCs w:val="21"/>
              </w:rPr>
              <w:t>行业类别</w:t>
            </w:r>
            <w:bookmarkEnd w:id="0"/>
          </w:p>
        </w:tc>
        <w:tc>
          <w:tcPr>
            <w:tcW w:w="2700" w:type="dxa"/>
            <w:noWrap w:val="0"/>
            <w:vAlign w:val="center"/>
          </w:tcPr>
          <w:p>
            <w:pPr>
              <w:adjustRightInd w:val="0"/>
              <w:snapToGrid w:val="0"/>
              <w:rPr>
                <w:rFonts w:hint="eastAsia" w:eastAsia="宋体"/>
                <w:szCs w:val="21"/>
                <w:lang w:eastAsia="zh-CN"/>
              </w:rPr>
            </w:pPr>
            <w:r>
              <w:rPr>
                <w:rFonts w:hint="eastAsia"/>
                <w:szCs w:val="21"/>
              </w:rPr>
              <w:t>“五十、社会事业与服务业”</w:t>
            </w:r>
          </w:p>
          <w:p>
            <w:pPr>
              <w:adjustRightInd w:val="0"/>
              <w:snapToGrid w:val="0"/>
              <w:rPr>
                <w:szCs w:val="21"/>
              </w:rPr>
            </w:pPr>
            <w:r>
              <w:rPr>
                <w:rFonts w:hint="eastAsia"/>
                <w:szCs w:val="21"/>
              </w:rPr>
              <w:t>中“119、加油、加气站”中“城市建成区新建、扩建加油站；涉及环境敏感区的”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01" w:type="dxa"/>
            <w:noWrap w:val="0"/>
            <w:tcMar>
              <w:top w:w="16" w:type="dxa"/>
              <w:left w:w="16" w:type="dxa"/>
              <w:right w:w="16" w:type="dxa"/>
            </w:tcMar>
            <w:vAlign w:val="center"/>
          </w:tcPr>
          <w:p>
            <w:pPr>
              <w:adjustRightInd w:val="0"/>
              <w:snapToGrid w:val="0"/>
              <w:jc w:val="center"/>
              <w:rPr>
                <w:szCs w:val="21"/>
              </w:rPr>
            </w:pPr>
            <w:r>
              <w:rPr>
                <w:szCs w:val="21"/>
              </w:rPr>
              <w:t>建设性质</w:t>
            </w:r>
          </w:p>
        </w:tc>
        <w:tc>
          <w:tcPr>
            <w:tcW w:w="3060" w:type="dxa"/>
            <w:noWrap w:val="0"/>
            <w:vAlign w:val="center"/>
          </w:tcPr>
          <w:p>
            <w:pPr>
              <w:jc w:val="left"/>
              <w:rPr>
                <w:szCs w:val="21"/>
              </w:rPr>
            </w:pPr>
            <w:r>
              <w:rPr>
                <w:szCs w:val="21"/>
              </w:rPr>
              <w:sym w:font="Wingdings 2" w:char="0052"/>
            </w:r>
            <w:r>
              <w:rPr>
                <w:szCs w:val="21"/>
              </w:rPr>
              <w:t>新建（迁建）</w:t>
            </w:r>
          </w:p>
          <w:p>
            <w:pPr>
              <w:jc w:val="left"/>
              <w:rPr>
                <w:szCs w:val="21"/>
              </w:rPr>
            </w:pPr>
            <w:r>
              <w:rPr>
                <w:szCs w:val="21"/>
              </w:rPr>
              <w:t>□改建</w:t>
            </w:r>
          </w:p>
          <w:p>
            <w:pPr>
              <w:jc w:val="left"/>
              <w:rPr>
                <w:szCs w:val="21"/>
              </w:rPr>
            </w:pPr>
            <w:r>
              <w:rPr>
                <w:szCs w:val="21"/>
              </w:rPr>
              <w:t>□扩建</w:t>
            </w:r>
          </w:p>
          <w:p>
            <w:pPr>
              <w:jc w:val="left"/>
              <w:rPr>
                <w:szCs w:val="21"/>
              </w:rPr>
            </w:pPr>
            <w:r>
              <w:rPr>
                <w:szCs w:val="21"/>
              </w:rPr>
              <w:t>□技术改造</w:t>
            </w:r>
          </w:p>
        </w:tc>
        <w:tc>
          <w:tcPr>
            <w:tcW w:w="1610" w:type="dxa"/>
            <w:noWrap w:val="0"/>
            <w:vAlign w:val="center"/>
          </w:tcPr>
          <w:p>
            <w:pPr>
              <w:adjustRightInd w:val="0"/>
              <w:snapToGrid w:val="0"/>
              <w:jc w:val="center"/>
              <w:rPr>
                <w:szCs w:val="21"/>
              </w:rPr>
            </w:pPr>
            <w:r>
              <w:rPr>
                <w:szCs w:val="21"/>
              </w:rPr>
              <w:t>建设项目</w:t>
            </w:r>
          </w:p>
          <w:p>
            <w:pPr>
              <w:adjustRightInd w:val="0"/>
              <w:snapToGrid w:val="0"/>
              <w:jc w:val="center"/>
              <w:rPr>
                <w:szCs w:val="21"/>
              </w:rPr>
            </w:pPr>
            <w:r>
              <w:rPr>
                <w:szCs w:val="21"/>
              </w:rPr>
              <w:t>申报情形</w:t>
            </w:r>
          </w:p>
        </w:tc>
        <w:tc>
          <w:tcPr>
            <w:tcW w:w="2700" w:type="dxa"/>
            <w:noWrap w:val="0"/>
            <w:vAlign w:val="center"/>
          </w:tcPr>
          <w:p>
            <w:pPr>
              <w:jc w:val="left"/>
              <w:rPr>
                <w:rFonts w:hint="eastAsia" w:eastAsia="宋体"/>
                <w:szCs w:val="21"/>
                <w:lang w:eastAsia="zh-CN"/>
              </w:rPr>
            </w:pPr>
            <w:r>
              <w:rPr>
                <w:szCs w:val="21"/>
              </w:rPr>
              <w:sym w:font="Wingdings 2" w:char="0052"/>
            </w:r>
            <w:r>
              <w:rPr>
                <w:szCs w:val="21"/>
              </w:rPr>
              <w:t>首次申报项目</w:t>
            </w:r>
          </w:p>
          <w:p>
            <w:pPr>
              <w:jc w:val="left"/>
              <w:rPr>
                <w:szCs w:val="21"/>
              </w:rPr>
            </w:pPr>
            <w:r>
              <w:rPr>
                <w:szCs w:val="21"/>
              </w:rPr>
              <w:t>□不予批准后再次申报项目</w:t>
            </w:r>
          </w:p>
          <w:p>
            <w:pPr>
              <w:jc w:val="left"/>
              <w:rPr>
                <w:rFonts w:hint="eastAsia" w:eastAsia="宋体"/>
                <w:szCs w:val="21"/>
                <w:lang w:eastAsia="zh-CN"/>
              </w:rPr>
            </w:pPr>
            <w:r>
              <w:rPr>
                <w:szCs w:val="21"/>
              </w:rPr>
              <w:t>□超五年重新审核项目</w:t>
            </w:r>
          </w:p>
          <w:p>
            <w:pPr>
              <w:jc w:val="left"/>
              <w:rPr>
                <w:szCs w:val="21"/>
              </w:rPr>
            </w:pPr>
            <w:r>
              <w:rPr>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701" w:type="dxa"/>
            <w:noWrap w:val="0"/>
            <w:tcMar>
              <w:top w:w="16" w:type="dxa"/>
              <w:left w:w="16" w:type="dxa"/>
              <w:right w:w="16" w:type="dxa"/>
            </w:tcMar>
            <w:vAlign w:val="center"/>
          </w:tcPr>
          <w:p>
            <w:pPr>
              <w:adjustRightInd w:val="0"/>
              <w:snapToGrid w:val="0"/>
              <w:jc w:val="center"/>
              <w:rPr>
                <w:szCs w:val="21"/>
              </w:rPr>
            </w:pPr>
            <w:r>
              <w:rPr>
                <w:szCs w:val="21"/>
              </w:rPr>
              <w:t>项目审批（核准/</w:t>
            </w:r>
          </w:p>
          <w:p>
            <w:pPr>
              <w:adjustRightInd w:val="0"/>
              <w:snapToGrid w:val="0"/>
              <w:jc w:val="center"/>
              <w:rPr>
                <w:szCs w:val="21"/>
              </w:rPr>
            </w:pPr>
            <w:r>
              <w:rPr>
                <w:szCs w:val="21"/>
              </w:rPr>
              <w:t>备案）部门（选填）</w:t>
            </w:r>
          </w:p>
        </w:tc>
        <w:tc>
          <w:tcPr>
            <w:tcW w:w="3060" w:type="dxa"/>
            <w:noWrap w:val="0"/>
            <w:vAlign w:val="center"/>
          </w:tcPr>
          <w:p>
            <w:pPr>
              <w:adjustRightInd w:val="0"/>
              <w:snapToGrid w:val="0"/>
              <w:jc w:val="center"/>
              <w:rPr>
                <w:rFonts w:hint="eastAsia"/>
                <w:szCs w:val="21"/>
              </w:rPr>
            </w:pPr>
            <w:r>
              <w:rPr>
                <w:rFonts w:hint="eastAsia"/>
                <w:szCs w:val="21"/>
              </w:rPr>
              <w:t>/</w:t>
            </w:r>
          </w:p>
        </w:tc>
        <w:tc>
          <w:tcPr>
            <w:tcW w:w="1610" w:type="dxa"/>
            <w:noWrap w:val="0"/>
            <w:vAlign w:val="center"/>
          </w:tcPr>
          <w:p>
            <w:pPr>
              <w:adjustRightInd w:val="0"/>
              <w:snapToGrid w:val="0"/>
              <w:jc w:val="center"/>
              <w:rPr>
                <w:szCs w:val="21"/>
              </w:rPr>
            </w:pPr>
            <w:r>
              <w:rPr>
                <w:szCs w:val="21"/>
              </w:rPr>
              <w:t>项目审批（核准/</w:t>
            </w:r>
          </w:p>
          <w:p>
            <w:pPr>
              <w:adjustRightInd w:val="0"/>
              <w:snapToGrid w:val="0"/>
              <w:jc w:val="center"/>
              <w:rPr>
                <w:szCs w:val="21"/>
              </w:rPr>
            </w:pPr>
            <w:r>
              <w:rPr>
                <w:szCs w:val="21"/>
              </w:rPr>
              <w:t>备案）文号（选填）</w:t>
            </w:r>
          </w:p>
        </w:tc>
        <w:tc>
          <w:tcPr>
            <w:tcW w:w="2700" w:type="dxa"/>
            <w:noWrap w:val="0"/>
            <w:vAlign w:val="center"/>
          </w:tcPr>
          <w:p>
            <w:pPr>
              <w:jc w:val="center"/>
              <w:rPr>
                <w:rFonts w:hint="eastAsia"/>
                <w:szCs w:val="21"/>
              </w:rPr>
            </w:pPr>
            <w:r>
              <w:rPr>
                <w:rFonts w:hint="eastAsia"/>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01" w:type="dxa"/>
            <w:noWrap w:val="0"/>
            <w:tcMar>
              <w:top w:w="16" w:type="dxa"/>
              <w:left w:w="16" w:type="dxa"/>
              <w:right w:w="16" w:type="dxa"/>
            </w:tcMar>
            <w:vAlign w:val="center"/>
          </w:tcPr>
          <w:p>
            <w:pPr>
              <w:adjustRightInd w:val="0"/>
              <w:snapToGrid w:val="0"/>
              <w:jc w:val="center"/>
              <w:rPr>
                <w:szCs w:val="21"/>
              </w:rPr>
            </w:pPr>
            <w:r>
              <w:rPr>
                <w:szCs w:val="21"/>
              </w:rPr>
              <w:t>总投资（万元）</w:t>
            </w:r>
          </w:p>
        </w:tc>
        <w:tc>
          <w:tcPr>
            <w:tcW w:w="3060" w:type="dxa"/>
            <w:noWrap w:val="0"/>
            <w:vAlign w:val="center"/>
          </w:tcPr>
          <w:p>
            <w:pPr>
              <w:adjustRightInd w:val="0"/>
              <w:snapToGrid w:val="0"/>
              <w:jc w:val="center"/>
              <w:rPr>
                <w:szCs w:val="21"/>
              </w:rPr>
            </w:pPr>
            <w:r>
              <w:rPr>
                <w:rFonts w:hint="eastAsia"/>
                <w:szCs w:val="21"/>
              </w:rPr>
              <w:t>1518.93</w:t>
            </w:r>
          </w:p>
        </w:tc>
        <w:tc>
          <w:tcPr>
            <w:tcW w:w="1610" w:type="dxa"/>
            <w:noWrap w:val="0"/>
            <w:tcMar>
              <w:top w:w="16" w:type="dxa"/>
              <w:left w:w="16" w:type="dxa"/>
              <w:right w:w="16" w:type="dxa"/>
            </w:tcMar>
            <w:vAlign w:val="center"/>
          </w:tcPr>
          <w:p>
            <w:pPr>
              <w:adjustRightInd w:val="0"/>
              <w:snapToGrid w:val="0"/>
              <w:jc w:val="center"/>
              <w:rPr>
                <w:szCs w:val="21"/>
              </w:rPr>
            </w:pPr>
            <w:r>
              <w:rPr>
                <w:szCs w:val="21"/>
              </w:rPr>
              <w:t>环保投资（万元）</w:t>
            </w:r>
          </w:p>
        </w:tc>
        <w:tc>
          <w:tcPr>
            <w:tcW w:w="2700" w:type="dxa"/>
            <w:noWrap w:val="0"/>
            <w:vAlign w:val="center"/>
          </w:tcPr>
          <w:p>
            <w:pPr>
              <w:adjustRightInd w:val="0"/>
              <w:snapToGrid w:val="0"/>
              <w:jc w:val="center"/>
              <w:rPr>
                <w:szCs w:val="21"/>
              </w:rPr>
            </w:pPr>
            <w:r>
              <w:rPr>
                <w:rFonts w:hint="eastAsia"/>
                <w:szCs w:val="21"/>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01" w:type="dxa"/>
            <w:noWrap w:val="0"/>
            <w:tcMar>
              <w:top w:w="16" w:type="dxa"/>
              <w:left w:w="16" w:type="dxa"/>
              <w:right w:w="16" w:type="dxa"/>
            </w:tcMar>
            <w:vAlign w:val="center"/>
          </w:tcPr>
          <w:p>
            <w:pPr>
              <w:adjustRightInd w:val="0"/>
              <w:snapToGrid w:val="0"/>
              <w:jc w:val="center"/>
              <w:rPr>
                <w:szCs w:val="21"/>
              </w:rPr>
            </w:pPr>
            <w:r>
              <w:rPr>
                <w:szCs w:val="21"/>
              </w:rPr>
              <w:t>环保投资占比（%）</w:t>
            </w:r>
          </w:p>
        </w:tc>
        <w:tc>
          <w:tcPr>
            <w:tcW w:w="3060" w:type="dxa"/>
            <w:noWrap w:val="0"/>
            <w:vAlign w:val="center"/>
          </w:tcPr>
          <w:p>
            <w:pPr>
              <w:adjustRightInd w:val="0"/>
              <w:snapToGrid w:val="0"/>
              <w:jc w:val="center"/>
              <w:rPr>
                <w:szCs w:val="21"/>
              </w:rPr>
            </w:pPr>
            <w:r>
              <w:rPr>
                <w:rFonts w:hint="eastAsia"/>
                <w:szCs w:val="21"/>
              </w:rPr>
              <w:t>1.3</w:t>
            </w:r>
          </w:p>
        </w:tc>
        <w:tc>
          <w:tcPr>
            <w:tcW w:w="1610" w:type="dxa"/>
            <w:noWrap w:val="0"/>
            <w:tcMar>
              <w:top w:w="16" w:type="dxa"/>
              <w:left w:w="16" w:type="dxa"/>
              <w:right w:w="16" w:type="dxa"/>
            </w:tcMar>
            <w:vAlign w:val="center"/>
          </w:tcPr>
          <w:p>
            <w:pPr>
              <w:adjustRightInd w:val="0"/>
              <w:snapToGrid w:val="0"/>
              <w:jc w:val="center"/>
              <w:rPr>
                <w:color w:val="auto"/>
                <w:szCs w:val="21"/>
              </w:rPr>
            </w:pPr>
            <w:r>
              <w:rPr>
                <w:color w:val="auto"/>
                <w:szCs w:val="21"/>
              </w:rPr>
              <w:t>施工工期</w:t>
            </w:r>
          </w:p>
        </w:tc>
        <w:tc>
          <w:tcPr>
            <w:tcW w:w="2700" w:type="dxa"/>
            <w:noWrap w:val="0"/>
            <w:vAlign w:val="center"/>
          </w:tcPr>
          <w:p>
            <w:pPr>
              <w:adjustRightInd w:val="0"/>
              <w:snapToGrid w:val="0"/>
              <w:jc w:val="center"/>
              <w:rPr>
                <w:color w:val="auto"/>
                <w:szCs w:val="21"/>
              </w:rPr>
            </w:pPr>
            <w:r>
              <w:rPr>
                <w:rFonts w:hint="eastAsia"/>
                <w:color w:val="auto"/>
                <w:szCs w:val="21"/>
                <w:lang w:val="en-US" w:eastAsia="zh-CN"/>
              </w:rPr>
              <w:t>已建成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01" w:type="dxa"/>
            <w:noWrap w:val="0"/>
            <w:tcMar>
              <w:top w:w="16" w:type="dxa"/>
              <w:left w:w="16" w:type="dxa"/>
              <w:right w:w="16" w:type="dxa"/>
            </w:tcMar>
            <w:vAlign w:val="center"/>
          </w:tcPr>
          <w:p>
            <w:pPr>
              <w:adjustRightInd w:val="0"/>
              <w:snapToGrid w:val="0"/>
              <w:jc w:val="center"/>
              <w:rPr>
                <w:szCs w:val="21"/>
              </w:rPr>
            </w:pPr>
            <w:r>
              <w:rPr>
                <w:szCs w:val="21"/>
              </w:rPr>
              <w:t>是否开工建设</w:t>
            </w:r>
          </w:p>
        </w:tc>
        <w:tc>
          <w:tcPr>
            <w:tcW w:w="3060" w:type="dxa"/>
            <w:noWrap w:val="0"/>
            <w:vAlign w:val="center"/>
          </w:tcPr>
          <w:p>
            <w:pPr>
              <w:adjustRightInd w:val="0"/>
              <w:snapToGrid w:val="0"/>
              <w:rPr>
                <w:szCs w:val="21"/>
              </w:rPr>
            </w:pPr>
            <w:r>
              <w:rPr>
                <w:szCs w:val="21"/>
              </w:rPr>
              <w:sym w:font="Wingdings 2" w:char="00A3"/>
            </w:r>
            <w:r>
              <w:rPr>
                <w:szCs w:val="21"/>
              </w:rPr>
              <w:t>否</w:t>
            </w:r>
          </w:p>
          <w:p>
            <w:pPr>
              <w:adjustRightInd w:val="0"/>
              <w:snapToGrid w:val="0"/>
              <w:rPr>
                <w:rFonts w:hint="default" w:eastAsia="宋体"/>
                <w:szCs w:val="21"/>
                <w:lang w:val="en-US" w:eastAsia="zh-CN"/>
              </w:rPr>
            </w:pPr>
            <w:r>
              <w:rPr>
                <w:szCs w:val="21"/>
              </w:rPr>
              <w:sym w:font="Wingdings 2" w:char="0052"/>
            </w:r>
            <w:r>
              <w:rPr>
                <w:szCs w:val="21"/>
              </w:rPr>
              <w:t>是：</w:t>
            </w:r>
            <w:r>
              <w:rPr>
                <w:rFonts w:hint="eastAsia"/>
                <w:szCs w:val="21"/>
                <w:u w:val="single"/>
                <w:lang w:val="en-US" w:eastAsia="zh-CN"/>
              </w:rPr>
              <w:t>已建成</w:t>
            </w:r>
            <w:r>
              <w:rPr>
                <w:rFonts w:hint="eastAsia"/>
                <w:lang w:eastAsia="zh-CN"/>
              </w:rPr>
              <w:t>，</w:t>
            </w:r>
            <w:r>
              <w:rPr>
                <w:rFonts w:hint="eastAsia"/>
                <w:lang w:val="en-US" w:eastAsia="zh-CN"/>
              </w:rPr>
              <w:t>加油站成立于2001年11月19日，</w:t>
            </w:r>
            <w:r>
              <w:rPr>
                <w:rFonts w:hint="eastAsia" w:ascii="Times New Roman" w:hAnsi="Times New Roman" w:eastAsia="宋体" w:cs="Times New Roman"/>
                <w:color w:val="auto"/>
                <w:kern w:val="2"/>
                <w:sz w:val="21"/>
                <w:szCs w:val="21"/>
                <w:lang w:val="en-US" w:eastAsia="zh-CN" w:bidi="ar-SA"/>
              </w:rPr>
              <w:t>根据加油站2018年5月25日收到的</w:t>
            </w:r>
            <w:r>
              <w:rPr>
                <w:rFonts w:ascii="Times New Roman" w:cs="Times New Roman"/>
                <w:color w:val="auto"/>
                <w:kern w:val="2"/>
                <w:sz w:val="21"/>
                <w:szCs w:val="21"/>
              </w:rPr>
              <w:t>《</w:t>
            </w:r>
            <w:r>
              <w:rPr>
                <w:rFonts w:hint="eastAsia" w:ascii="Times New Roman" w:cs="Times New Roman"/>
                <w:color w:val="auto"/>
                <w:kern w:val="2"/>
                <w:sz w:val="21"/>
                <w:szCs w:val="21"/>
                <w:lang w:val="en-US" w:eastAsia="zh-CN"/>
              </w:rPr>
              <w:t>西安市环境保护局关于办理加油站环评手续有关情况的复函</w:t>
            </w:r>
            <w:r>
              <w:rPr>
                <w:rFonts w:ascii="Times New Roman" w:cs="Times New Roman"/>
                <w:color w:val="auto"/>
                <w:kern w:val="2"/>
                <w:sz w:val="21"/>
                <w:szCs w:val="21"/>
              </w:rPr>
              <w:t>》</w:t>
            </w:r>
            <w:r>
              <w:rPr>
                <w:rFonts w:hint="eastAsia" w:ascii="Times New Roman" w:cs="Times New Roman"/>
                <w:color w:val="auto"/>
                <w:kern w:val="2"/>
                <w:sz w:val="21"/>
                <w:szCs w:val="21"/>
                <w:lang w:eastAsia="zh-CN"/>
              </w:rPr>
              <w:t>，</w:t>
            </w:r>
            <w:r>
              <w:rPr>
                <w:rFonts w:hint="eastAsia" w:ascii="Times New Roman" w:cs="Times New Roman"/>
                <w:color w:val="auto"/>
                <w:kern w:val="2"/>
                <w:sz w:val="21"/>
                <w:szCs w:val="21"/>
                <w:lang w:val="en-US" w:eastAsia="zh-CN"/>
              </w:rPr>
              <w:t>因建成于</w:t>
            </w:r>
            <w:r>
              <w:rPr>
                <w:rFonts w:ascii="Times New Roman" w:cs="Times New Roman"/>
                <w:color w:val="auto"/>
                <w:kern w:val="2"/>
                <w:sz w:val="21"/>
                <w:szCs w:val="21"/>
              </w:rPr>
              <w:t>《</w:t>
            </w:r>
            <w:r>
              <w:rPr>
                <w:rFonts w:hint="eastAsia" w:ascii="Times New Roman" w:cs="Times New Roman"/>
                <w:color w:val="auto"/>
                <w:kern w:val="2"/>
                <w:sz w:val="21"/>
                <w:szCs w:val="21"/>
                <w:lang w:val="en-US" w:eastAsia="zh-CN"/>
              </w:rPr>
              <w:t>建设项目环境保护管理条例</w:t>
            </w:r>
            <w:r>
              <w:rPr>
                <w:rFonts w:ascii="Times New Roman" w:cs="Times New Roman"/>
                <w:color w:val="auto"/>
                <w:kern w:val="2"/>
                <w:sz w:val="21"/>
                <w:szCs w:val="21"/>
              </w:rPr>
              <w:t>》</w:t>
            </w:r>
            <w:r>
              <w:rPr>
                <w:rFonts w:hint="eastAsia" w:ascii="Times New Roman" w:cs="Times New Roman"/>
                <w:color w:val="auto"/>
                <w:kern w:val="2"/>
                <w:sz w:val="21"/>
                <w:szCs w:val="21"/>
                <w:lang w:val="en-US" w:eastAsia="zh-CN"/>
              </w:rPr>
              <w:t>实施后，</w:t>
            </w:r>
            <w:r>
              <w:rPr>
                <w:rFonts w:ascii="Times New Roman" w:cs="Times New Roman"/>
                <w:color w:val="auto"/>
                <w:kern w:val="2"/>
                <w:sz w:val="21"/>
                <w:szCs w:val="21"/>
              </w:rPr>
              <w:t>《</w:t>
            </w:r>
            <w:r>
              <w:rPr>
                <w:rFonts w:hint="eastAsia" w:ascii="Times New Roman" w:cs="Times New Roman"/>
                <w:color w:val="auto"/>
                <w:kern w:val="2"/>
                <w:sz w:val="21"/>
                <w:szCs w:val="21"/>
                <w:lang w:val="en-US" w:eastAsia="zh-CN"/>
              </w:rPr>
              <w:t>环境影响评价法</w:t>
            </w:r>
            <w:r>
              <w:rPr>
                <w:rFonts w:ascii="Times New Roman" w:cs="Times New Roman"/>
                <w:color w:val="auto"/>
                <w:kern w:val="2"/>
                <w:sz w:val="21"/>
                <w:szCs w:val="21"/>
              </w:rPr>
              <w:t>》</w:t>
            </w:r>
            <w:r>
              <w:rPr>
                <w:rFonts w:hint="eastAsia" w:ascii="Times New Roman" w:cs="Times New Roman"/>
                <w:color w:val="auto"/>
                <w:kern w:val="2"/>
                <w:sz w:val="21"/>
                <w:szCs w:val="21"/>
                <w:lang w:val="en-US" w:eastAsia="zh-CN"/>
              </w:rPr>
              <w:t>实施前，鉴于当时环境影响评价制度正处于建立和逐步完善时期，配套管理办法不齐全，原则上不需补办环评手续，未进行处罚。</w:t>
            </w:r>
          </w:p>
        </w:tc>
        <w:tc>
          <w:tcPr>
            <w:tcW w:w="1610" w:type="dxa"/>
            <w:noWrap w:val="0"/>
            <w:tcMar>
              <w:top w:w="16" w:type="dxa"/>
              <w:left w:w="16" w:type="dxa"/>
              <w:right w:w="16" w:type="dxa"/>
            </w:tcMar>
            <w:vAlign w:val="center"/>
          </w:tcPr>
          <w:p>
            <w:pPr>
              <w:adjustRightInd w:val="0"/>
              <w:snapToGrid w:val="0"/>
              <w:jc w:val="center"/>
              <w:rPr>
                <w:spacing w:val="-6"/>
                <w:szCs w:val="21"/>
              </w:rPr>
            </w:pPr>
            <w:r>
              <w:rPr>
                <w:spacing w:val="-6"/>
                <w:szCs w:val="21"/>
              </w:rPr>
              <w:t>用地（用海）</w:t>
            </w:r>
          </w:p>
          <w:p>
            <w:pPr>
              <w:adjustRightInd w:val="0"/>
              <w:snapToGrid w:val="0"/>
              <w:jc w:val="center"/>
              <w:rPr>
                <w:szCs w:val="21"/>
              </w:rPr>
            </w:pPr>
            <w:r>
              <w:rPr>
                <w:spacing w:val="-6"/>
                <w:szCs w:val="21"/>
              </w:rPr>
              <w:t>面积（m</w:t>
            </w:r>
            <w:r>
              <w:rPr>
                <w:spacing w:val="-6"/>
                <w:szCs w:val="21"/>
                <w:vertAlign w:val="superscript"/>
              </w:rPr>
              <w:t>2</w:t>
            </w:r>
            <w:r>
              <w:rPr>
                <w:spacing w:val="-6"/>
                <w:szCs w:val="21"/>
              </w:rPr>
              <w:t>）</w:t>
            </w:r>
          </w:p>
        </w:tc>
        <w:tc>
          <w:tcPr>
            <w:tcW w:w="2700" w:type="dxa"/>
            <w:noWrap w:val="0"/>
            <w:vAlign w:val="center"/>
          </w:tcPr>
          <w:p>
            <w:pPr>
              <w:adjustRightInd w:val="0"/>
              <w:snapToGrid w:val="0"/>
              <w:jc w:val="center"/>
              <w:rPr>
                <w:rFonts w:hint="default" w:eastAsia="宋体"/>
                <w:color w:val="FF0000"/>
                <w:szCs w:val="21"/>
                <w:lang w:val="en-US" w:eastAsia="zh-CN"/>
              </w:rPr>
            </w:pPr>
            <w:r>
              <w:rPr>
                <w:rFonts w:hint="eastAsia"/>
                <w:color w:val="auto"/>
                <w:szCs w:val="21"/>
                <w:highlight w:val="none"/>
                <w:lang w:val="en-US" w:eastAsia="zh-CN"/>
              </w:rPr>
              <w:t>4159.69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01" w:type="dxa"/>
            <w:noWrap w:val="0"/>
            <w:vAlign w:val="center"/>
          </w:tcPr>
          <w:p>
            <w:pPr>
              <w:autoSpaceDE w:val="0"/>
              <w:autoSpaceDN w:val="0"/>
              <w:adjustRightInd w:val="0"/>
              <w:snapToGrid w:val="0"/>
              <w:jc w:val="center"/>
              <w:rPr>
                <w:kern w:val="0"/>
                <w:szCs w:val="21"/>
              </w:rPr>
            </w:pPr>
            <w:r>
              <w:rPr>
                <w:kern w:val="0"/>
                <w:szCs w:val="21"/>
              </w:rPr>
              <w:t>专项评价设置情况</w:t>
            </w:r>
          </w:p>
        </w:tc>
        <w:tc>
          <w:tcPr>
            <w:tcW w:w="7370" w:type="dxa"/>
            <w:gridSpan w:val="3"/>
            <w:noWrap w:val="0"/>
            <w:vAlign w:val="center"/>
          </w:tcPr>
          <w:p>
            <w:pPr>
              <w:autoSpaceDE w:val="0"/>
              <w:autoSpaceDN w:val="0"/>
              <w:adjustRightInd w:val="0"/>
              <w:snapToGrid w:val="0"/>
              <w:ind w:firstLine="420" w:firstLineChars="200"/>
              <w:jc w:val="left"/>
              <w:rPr>
                <w:kern w:val="0"/>
                <w:szCs w:val="21"/>
              </w:rPr>
            </w:pPr>
            <w:r>
              <w:rPr>
                <w:kern w:val="0"/>
                <w:szCs w:val="21"/>
              </w:rPr>
              <w:t>根据《建设项目环境影响报告表编制技术指南》</w:t>
            </w:r>
            <w:r>
              <w:rPr>
                <w:rFonts w:hint="eastAsia"/>
                <w:kern w:val="0"/>
                <w:szCs w:val="21"/>
                <w:lang w:eastAsia="zh-CN"/>
              </w:rPr>
              <w:t>（</w:t>
            </w:r>
            <w:r>
              <w:rPr>
                <w:kern w:val="0"/>
                <w:szCs w:val="21"/>
              </w:rPr>
              <w:t>污染影响类</w:t>
            </w:r>
            <w:r>
              <w:rPr>
                <w:rFonts w:hint="eastAsia"/>
                <w:kern w:val="0"/>
                <w:szCs w:val="21"/>
                <w:lang w:eastAsia="zh-CN"/>
              </w:rPr>
              <w:t>）</w:t>
            </w:r>
            <w:r>
              <w:rPr>
                <w:kern w:val="0"/>
                <w:szCs w:val="21"/>
              </w:rPr>
              <w:t>，本项目专项评价设置判定如下表。</w:t>
            </w:r>
          </w:p>
          <w:p>
            <w:pPr>
              <w:autoSpaceDE w:val="0"/>
              <w:autoSpaceDN w:val="0"/>
              <w:adjustRightInd w:val="0"/>
              <w:snapToGrid w:val="0"/>
              <w:jc w:val="center"/>
              <w:rPr>
                <w:b/>
                <w:bCs/>
                <w:kern w:val="0"/>
                <w:szCs w:val="21"/>
              </w:rPr>
            </w:pPr>
            <w:r>
              <w:rPr>
                <w:rFonts w:hint="eastAsia"/>
                <w:b/>
                <w:bCs/>
                <w:kern w:val="0"/>
                <w:szCs w:val="21"/>
              </w:rPr>
              <w:t>表1-1专项评价设置判定一览表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7"/>
              <w:gridCol w:w="2699"/>
              <w:gridCol w:w="26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2" w:type="dxa"/>
                  <w:noWrap w:val="0"/>
                  <w:vAlign w:val="center"/>
                </w:tcPr>
                <w:p>
                  <w:pPr>
                    <w:autoSpaceDE w:val="0"/>
                    <w:autoSpaceDN w:val="0"/>
                    <w:adjustRightInd w:val="0"/>
                    <w:snapToGrid w:val="0"/>
                    <w:jc w:val="center"/>
                    <w:rPr>
                      <w:b/>
                      <w:bCs/>
                      <w:kern w:val="0"/>
                      <w:szCs w:val="21"/>
                    </w:rPr>
                  </w:pPr>
                  <w:r>
                    <w:rPr>
                      <w:b/>
                      <w:bCs/>
                      <w:kern w:val="0"/>
                      <w:szCs w:val="21"/>
                    </w:rPr>
                    <w:t>专项评价的类别</w:t>
                  </w:r>
                </w:p>
              </w:tc>
              <w:tc>
                <w:tcPr>
                  <w:tcW w:w="2571" w:type="dxa"/>
                  <w:noWrap w:val="0"/>
                  <w:vAlign w:val="center"/>
                </w:tcPr>
                <w:p>
                  <w:pPr>
                    <w:autoSpaceDE w:val="0"/>
                    <w:autoSpaceDN w:val="0"/>
                    <w:adjustRightInd w:val="0"/>
                    <w:snapToGrid w:val="0"/>
                    <w:jc w:val="center"/>
                    <w:rPr>
                      <w:b/>
                      <w:bCs/>
                      <w:kern w:val="0"/>
                      <w:szCs w:val="21"/>
                    </w:rPr>
                  </w:pPr>
                  <w:r>
                    <w:rPr>
                      <w:rFonts w:ascii="宋体" w:hAnsi="宋体" w:cs="宋体"/>
                      <w:b/>
                      <w:bCs/>
                      <w:spacing w:val="-3"/>
                      <w:szCs w:val="21"/>
                    </w:rPr>
                    <w:t>设</w:t>
                  </w:r>
                  <w:r>
                    <w:rPr>
                      <w:rFonts w:ascii="宋体" w:hAnsi="宋体" w:cs="宋体"/>
                      <w:b/>
                      <w:bCs/>
                      <w:spacing w:val="-2"/>
                      <w:szCs w:val="21"/>
                    </w:rPr>
                    <w:t>置原则</w:t>
                  </w:r>
                </w:p>
              </w:tc>
              <w:tc>
                <w:tcPr>
                  <w:tcW w:w="2526" w:type="dxa"/>
                  <w:noWrap w:val="0"/>
                  <w:vAlign w:val="center"/>
                </w:tcPr>
                <w:p>
                  <w:pPr>
                    <w:autoSpaceDE w:val="0"/>
                    <w:autoSpaceDN w:val="0"/>
                    <w:adjustRightInd w:val="0"/>
                    <w:snapToGrid w:val="0"/>
                    <w:jc w:val="center"/>
                    <w:rPr>
                      <w:b/>
                      <w:bCs/>
                      <w:kern w:val="0"/>
                      <w:szCs w:val="21"/>
                    </w:rPr>
                  </w:pPr>
                  <w:r>
                    <w:rPr>
                      <w:rFonts w:hint="eastAsia"/>
                      <w:b/>
                      <w:bCs/>
                      <w:kern w:val="0"/>
                      <w:szCs w:val="21"/>
                    </w:rPr>
                    <w:t>本项目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2" w:type="dxa"/>
                  <w:noWrap w:val="0"/>
                  <w:vAlign w:val="center"/>
                </w:tcPr>
                <w:p>
                  <w:pPr>
                    <w:autoSpaceDE w:val="0"/>
                    <w:autoSpaceDN w:val="0"/>
                    <w:adjustRightInd w:val="0"/>
                    <w:snapToGrid w:val="0"/>
                    <w:jc w:val="center"/>
                    <w:rPr>
                      <w:rFonts w:hint="eastAsia"/>
                      <w:kern w:val="0"/>
                      <w:szCs w:val="21"/>
                    </w:rPr>
                  </w:pPr>
                  <w:r>
                    <w:rPr>
                      <w:rFonts w:hint="eastAsia"/>
                      <w:kern w:val="0"/>
                      <w:szCs w:val="21"/>
                    </w:rPr>
                    <w:t>大气</w:t>
                  </w:r>
                </w:p>
              </w:tc>
              <w:tc>
                <w:tcPr>
                  <w:tcW w:w="2571" w:type="dxa"/>
                  <w:noWrap w:val="0"/>
                  <w:vAlign w:val="center"/>
                </w:tcPr>
                <w:p>
                  <w:pPr>
                    <w:autoSpaceDE w:val="0"/>
                    <w:autoSpaceDN w:val="0"/>
                    <w:adjustRightInd w:val="0"/>
                    <w:snapToGrid w:val="0"/>
                    <w:jc w:val="center"/>
                    <w:rPr>
                      <w:kern w:val="0"/>
                      <w:szCs w:val="21"/>
                    </w:rPr>
                  </w:pPr>
                  <w:r>
                    <w:rPr>
                      <w:rFonts w:hint="eastAsia"/>
                      <w:kern w:val="0"/>
                      <w:szCs w:val="21"/>
                    </w:rPr>
                    <w:t>排放废气含有毒有害污染物、二噁英、苯并[a]芘、氧化物、氯气且厂界500米范围内有环境空气保护目标的建设项目</w:t>
                  </w:r>
                </w:p>
              </w:tc>
              <w:tc>
                <w:tcPr>
                  <w:tcW w:w="2526" w:type="dxa"/>
                  <w:noWrap w:val="0"/>
                  <w:vAlign w:val="center"/>
                </w:tcPr>
                <w:p>
                  <w:pPr>
                    <w:autoSpaceDE w:val="0"/>
                    <w:autoSpaceDN w:val="0"/>
                    <w:adjustRightInd w:val="0"/>
                    <w:snapToGrid w:val="0"/>
                    <w:jc w:val="center"/>
                    <w:rPr>
                      <w:kern w:val="0"/>
                      <w:szCs w:val="21"/>
                    </w:rPr>
                  </w:pPr>
                  <w:r>
                    <w:rPr>
                      <w:rFonts w:hint="eastAsia"/>
                      <w:kern w:val="0"/>
                      <w:szCs w:val="21"/>
                    </w:rPr>
                    <w:t>本项目运营期产生的废气中主要污染因子为非甲烷总烃，不含有毒有害污染物，不需要设置大气专项评价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2" w:type="dxa"/>
                  <w:noWrap w:val="0"/>
                  <w:vAlign w:val="center"/>
                </w:tcPr>
                <w:p>
                  <w:pPr>
                    <w:autoSpaceDE w:val="0"/>
                    <w:autoSpaceDN w:val="0"/>
                    <w:adjustRightInd w:val="0"/>
                    <w:snapToGrid w:val="0"/>
                    <w:jc w:val="center"/>
                    <w:rPr>
                      <w:rFonts w:hint="eastAsia"/>
                      <w:kern w:val="0"/>
                      <w:szCs w:val="21"/>
                    </w:rPr>
                  </w:pPr>
                  <w:r>
                    <w:rPr>
                      <w:rFonts w:hint="eastAsia"/>
                      <w:kern w:val="0"/>
                      <w:szCs w:val="21"/>
                    </w:rPr>
                    <w:t>地下水</w:t>
                  </w:r>
                </w:p>
              </w:tc>
              <w:tc>
                <w:tcPr>
                  <w:tcW w:w="2571" w:type="dxa"/>
                  <w:noWrap w:val="0"/>
                  <w:vAlign w:val="center"/>
                </w:tcPr>
                <w:p>
                  <w:pPr>
                    <w:autoSpaceDE w:val="0"/>
                    <w:autoSpaceDN w:val="0"/>
                    <w:adjustRightInd w:val="0"/>
                    <w:snapToGrid w:val="0"/>
                    <w:jc w:val="center"/>
                    <w:rPr>
                      <w:rFonts w:hint="eastAsia"/>
                      <w:kern w:val="0"/>
                      <w:szCs w:val="21"/>
                    </w:rPr>
                  </w:pPr>
                  <w:r>
                    <w:rPr>
                      <w:rFonts w:hint="eastAsia"/>
                      <w:kern w:val="0"/>
                      <w:szCs w:val="21"/>
                    </w:rPr>
                    <w:t>新增工业废水直排建设项目(槽罐车外送污水处理厂的除外)；</w:t>
                  </w:r>
                </w:p>
                <w:p>
                  <w:pPr>
                    <w:autoSpaceDE w:val="0"/>
                    <w:autoSpaceDN w:val="0"/>
                    <w:adjustRightInd w:val="0"/>
                    <w:snapToGrid w:val="0"/>
                    <w:jc w:val="center"/>
                    <w:rPr>
                      <w:kern w:val="0"/>
                      <w:szCs w:val="21"/>
                    </w:rPr>
                  </w:pPr>
                  <w:r>
                    <w:rPr>
                      <w:rFonts w:hint="eastAsia"/>
                      <w:kern w:val="0"/>
                      <w:szCs w:val="21"/>
                    </w:rPr>
                    <w:t>新增废水直排的污水集中处理厂</w:t>
                  </w:r>
                </w:p>
              </w:tc>
              <w:tc>
                <w:tcPr>
                  <w:tcW w:w="2526" w:type="dxa"/>
                  <w:noWrap w:val="0"/>
                  <w:vAlign w:val="center"/>
                </w:tcPr>
                <w:p>
                  <w:pPr>
                    <w:autoSpaceDE w:val="0"/>
                    <w:autoSpaceDN w:val="0"/>
                    <w:adjustRightInd w:val="0"/>
                    <w:snapToGrid w:val="0"/>
                    <w:jc w:val="center"/>
                    <w:rPr>
                      <w:rFonts w:hint="eastAsia"/>
                      <w:kern w:val="0"/>
                      <w:szCs w:val="21"/>
                    </w:rPr>
                  </w:pPr>
                  <w:r>
                    <w:rPr>
                      <w:szCs w:val="21"/>
                    </w:rPr>
                    <w:t>本项目</w:t>
                  </w:r>
                  <w:r>
                    <w:rPr>
                      <w:rFonts w:hint="eastAsia"/>
                      <w:szCs w:val="21"/>
                      <w:lang w:val="en-US" w:eastAsia="zh-CN"/>
                    </w:rPr>
                    <w:t>洗车废水重复利用不外排，</w:t>
                  </w:r>
                  <w:r>
                    <w:rPr>
                      <w:szCs w:val="21"/>
                    </w:rPr>
                    <w:t>生活污水</w:t>
                  </w:r>
                  <w:r>
                    <w:rPr>
                      <w:rFonts w:hint="eastAsia"/>
                      <w:szCs w:val="21"/>
                      <w:lang w:val="en-US" w:eastAsia="zh-CN"/>
                    </w:rPr>
                    <w:t>通过</w:t>
                  </w:r>
                  <w:r>
                    <w:rPr>
                      <w:szCs w:val="21"/>
                    </w:rPr>
                    <w:t>化粪池</w:t>
                  </w:r>
                  <w:r>
                    <w:rPr>
                      <w:rFonts w:hint="eastAsia"/>
                      <w:szCs w:val="21"/>
                    </w:rPr>
                    <w:t>处理后排入市政污水管网</w:t>
                  </w:r>
                  <w:r>
                    <w:rPr>
                      <w:rFonts w:hint="eastAsia"/>
                      <w:kern w:val="0"/>
                      <w:szCs w:val="21"/>
                    </w:rPr>
                    <w:t>，不需要设置地表水专项评价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2" w:type="dxa"/>
                  <w:noWrap w:val="0"/>
                  <w:vAlign w:val="center"/>
                </w:tcPr>
                <w:p>
                  <w:pPr>
                    <w:autoSpaceDE w:val="0"/>
                    <w:autoSpaceDN w:val="0"/>
                    <w:adjustRightInd w:val="0"/>
                    <w:snapToGrid w:val="0"/>
                    <w:jc w:val="center"/>
                    <w:rPr>
                      <w:kern w:val="0"/>
                      <w:szCs w:val="21"/>
                    </w:rPr>
                  </w:pPr>
                  <w:r>
                    <w:rPr>
                      <w:rFonts w:hint="eastAsia"/>
                      <w:kern w:val="0"/>
                      <w:szCs w:val="21"/>
                    </w:rPr>
                    <w:t>环境风险</w:t>
                  </w:r>
                </w:p>
              </w:tc>
              <w:tc>
                <w:tcPr>
                  <w:tcW w:w="2571" w:type="dxa"/>
                  <w:noWrap w:val="0"/>
                  <w:vAlign w:val="center"/>
                </w:tcPr>
                <w:p>
                  <w:pPr>
                    <w:autoSpaceDE w:val="0"/>
                    <w:autoSpaceDN w:val="0"/>
                    <w:adjustRightInd w:val="0"/>
                    <w:snapToGrid w:val="0"/>
                    <w:jc w:val="center"/>
                    <w:rPr>
                      <w:kern w:val="0"/>
                      <w:szCs w:val="21"/>
                    </w:rPr>
                  </w:pPr>
                  <w:r>
                    <w:rPr>
                      <w:rFonts w:hint="eastAsia"/>
                      <w:kern w:val="0"/>
                      <w:szCs w:val="21"/>
                    </w:rPr>
                    <w:t>有毒有害和易燃易爆危险物质存储量超过临界量的建设项目</w:t>
                  </w:r>
                </w:p>
              </w:tc>
              <w:tc>
                <w:tcPr>
                  <w:tcW w:w="2526" w:type="dxa"/>
                  <w:noWrap w:val="0"/>
                  <w:vAlign w:val="center"/>
                </w:tcPr>
                <w:p>
                  <w:pPr>
                    <w:spacing w:before="72" w:line="233" w:lineRule="auto"/>
                    <w:ind w:left="22" w:firstLine="1"/>
                    <w:jc w:val="center"/>
                    <w:rPr>
                      <w:rFonts w:hint="eastAsia"/>
                      <w:kern w:val="0"/>
                      <w:szCs w:val="21"/>
                    </w:rPr>
                  </w:pPr>
                  <w:r>
                    <w:rPr>
                      <w:rFonts w:hint="eastAsia" w:ascii="宋体" w:hAnsi="宋体" w:cs="宋体"/>
                      <w:spacing w:val="-8"/>
                      <w:szCs w:val="21"/>
                    </w:rPr>
                    <w:t>项目储存的</w:t>
                  </w:r>
                  <w:r>
                    <w:rPr>
                      <w:rFonts w:ascii="宋体" w:hAnsi="宋体" w:cs="宋体"/>
                      <w:szCs w:val="21"/>
                    </w:rPr>
                    <w:t>易燃易爆和有毒</w:t>
                  </w:r>
                  <w:r>
                    <w:rPr>
                      <w:rFonts w:ascii="宋体" w:hAnsi="宋体" w:cs="宋体"/>
                      <w:spacing w:val="1"/>
                      <w:szCs w:val="21"/>
                    </w:rPr>
                    <w:t>有害</w:t>
                  </w:r>
                  <w:r>
                    <w:rPr>
                      <w:rFonts w:hint="eastAsia" w:ascii="宋体" w:hAnsi="宋体" w:cs="宋体"/>
                      <w:spacing w:val="-8"/>
                      <w:szCs w:val="21"/>
                    </w:rPr>
                    <w:t>物质为汽油</w:t>
                  </w:r>
                  <w:r>
                    <w:rPr>
                      <w:rFonts w:hint="eastAsia"/>
                      <w:lang w:val="en-US" w:eastAsia="zh-CN"/>
                    </w:rPr>
                    <w:t>和柴油</w:t>
                  </w:r>
                  <w:r>
                    <w:rPr>
                      <w:rFonts w:hint="eastAsia" w:ascii="宋体" w:hAnsi="宋体" w:cs="宋体"/>
                      <w:spacing w:val="-8"/>
                      <w:szCs w:val="21"/>
                    </w:rPr>
                    <w:t>，其主要分布于储罐区和加油区，</w:t>
                  </w:r>
                  <w:r>
                    <w:rPr>
                      <w:spacing w:val="-8"/>
                      <w:szCs w:val="21"/>
                      <w:highlight w:val="none"/>
                    </w:rPr>
                    <w:t>Q=</w:t>
                  </w:r>
                  <w:r>
                    <w:rPr>
                      <w:rFonts w:hint="eastAsia" w:ascii="Times New Roman" w:hAnsi="Times New Roman" w:eastAsia="宋体" w:cs="Times New Roman"/>
                      <w:b w:val="0"/>
                      <w:bCs w:val="0"/>
                      <w:color w:val="auto"/>
                      <w:highlight w:val="none"/>
                      <w:lang w:val="en-US" w:eastAsia="zh-CN"/>
                    </w:rPr>
                    <w:t>0</w:t>
                  </w:r>
                  <w:r>
                    <w:rPr>
                      <w:rFonts w:hint="eastAsia" w:ascii="Times New Roman" w:hAnsi="Times New Roman" w:eastAsia="宋体" w:cs="Times New Roman"/>
                      <w:b w:val="0"/>
                      <w:bCs w:val="0"/>
                      <w:color w:val="auto"/>
                      <w:lang w:val="en-US" w:eastAsia="zh-CN"/>
                    </w:rPr>
                    <w:t>.0541</w:t>
                  </w:r>
                  <w:r>
                    <w:rPr>
                      <w:spacing w:val="-8"/>
                      <w:szCs w:val="21"/>
                      <w:highlight w:val="none"/>
                    </w:rPr>
                    <w:t>＜1</w:t>
                  </w:r>
                  <w:r>
                    <w:rPr>
                      <w:rFonts w:ascii="宋体" w:hAnsi="宋体" w:cs="宋体"/>
                      <w:spacing w:val="-8"/>
                      <w:szCs w:val="21"/>
                      <w:highlight w:val="none"/>
                    </w:rPr>
                    <w:t>，</w:t>
                  </w:r>
                  <w:r>
                    <w:rPr>
                      <w:rFonts w:ascii="宋体" w:hAnsi="宋体" w:cs="宋体"/>
                      <w:spacing w:val="-8"/>
                      <w:szCs w:val="21"/>
                    </w:rPr>
                    <w:t>不需要</w:t>
                  </w:r>
                  <w:r>
                    <w:rPr>
                      <w:rFonts w:ascii="宋体" w:hAnsi="宋体" w:cs="宋体"/>
                      <w:spacing w:val="-2"/>
                      <w:szCs w:val="21"/>
                    </w:rPr>
                    <w:t>设</w:t>
                  </w:r>
                  <w:r>
                    <w:rPr>
                      <w:rFonts w:ascii="宋体" w:hAnsi="宋体" w:cs="宋体"/>
                      <w:spacing w:val="-1"/>
                      <w:szCs w:val="21"/>
                    </w:rPr>
                    <w:t>置环境风险专项</w:t>
                  </w:r>
                  <w:r>
                    <w:rPr>
                      <w:rFonts w:hint="eastAsia" w:ascii="宋体" w:hAnsi="宋体" w:cs="宋体"/>
                      <w:spacing w:val="-1"/>
                      <w:szCs w:val="21"/>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2" w:type="dxa"/>
                  <w:noWrap w:val="0"/>
                  <w:vAlign w:val="center"/>
                </w:tcPr>
                <w:p>
                  <w:pPr>
                    <w:autoSpaceDE w:val="0"/>
                    <w:autoSpaceDN w:val="0"/>
                    <w:adjustRightInd w:val="0"/>
                    <w:snapToGrid w:val="0"/>
                    <w:jc w:val="center"/>
                    <w:rPr>
                      <w:rFonts w:hint="eastAsia"/>
                      <w:kern w:val="0"/>
                      <w:szCs w:val="21"/>
                    </w:rPr>
                  </w:pPr>
                  <w:r>
                    <w:rPr>
                      <w:rFonts w:hint="eastAsia"/>
                      <w:kern w:val="0"/>
                      <w:szCs w:val="21"/>
                    </w:rPr>
                    <w:t>生态</w:t>
                  </w:r>
                </w:p>
              </w:tc>
              <w:tc>
                <w:tcPr>
                  <w:tcW w:w="2571" w:type="dxa"/>
                  <w:noWrap w:val="0"/>
                  <w:vAlign w:val="center"/>
                </w:tcPr>
                <w:p>
                  <w:pPr>
                    <w:autoSpaceDE w:val="0"/>
                    <w:autoSpaceDN w:val="0"/>
                    <w:adjustRightInd w:val="0"/>
                    <w:snapToGrid w:val="0"/>
                    <w:jc w:val="center"/>
                    <w:rPr>
                      <w:kern w:val="0"/>
                      <w:szCs w:val="21"/>
                    </w:rPr>
                  </w:pPr>
                  <w:r>
                    <w:rPr>
                      <w:rFonts w:hint="eastAsia"/>
                      <w:kern w:val="0"/>
                      <w:szCs w:val="21"/>
                    </w:rPr>
                    <w:t>取水口下游500米范围内有重要水生生物的自然产卵场、索饵场、越冬场和洄游通道的新增河道取水的污染类建设项目</w:t>
                  </w:r>
                </w:p>
              </w:tc>
              <w:tc>
                <w:tcPr>
                  <w:tcW w:w="2526" w:type="dxa"/>
                  <w:noWrap w:val="0"/>
                  <w:vAlign w:val="center"/>
                </w:tcPr>
                <w:p>
                  <w:pPr>
                    <w:spacing w:before="68"/>
                    <w:ind w:right="1"/>
                    <w:jc w:val="center"/>
                    <w:rPr>
                      <w:kern w:val="0"/>
                      <w:szCs w:val="21"/>
                    </w:rPr>
                  </w:pPr>
                  <w:r>
                    <w:rPr>
                      <w:rFonts w:ascii="宋体" w:hAnsi="宋体" w:cs="宋体"/>
                      <w:spacing w:val="-1"/>
                      <w:szCs w:val="21"/>
                    </w:rPr>
                    <w:t>本项目用水</w:t>
                  </w:r>
                  <w:r>
                    <w:rPr>
                      <w:rFonts w:hint="eastAsia" w:ascii="宋体" w:hAnsi="宋体" w:cs="宋体"/>
                      <w:spacing w:val="-1"/>
                      <w:szCs w:val="21"/>
                    </w:rPr>
                    <w:t>来自</w:t>
                  </w:r>
                  <w:r>
                    <w:rPr>
                      <w:rFonts w:hint="eastAsia" w:ascii="宋体" w:hAnsi="宋体" w:cs="宋体"/>
                      <w:spacing w:val="-1"/>
                      <w:szCs w:val="21"/>
                      <w:highlight w:val="none"/>
                      <w:lang w:val="en-US" w:eastAsia="zh-CN"/>
                    </w:rPr>
                    <w:t>市政供水</w:t>
                  </w:r>
                  <w:r>
                    <w:rPr>
                      <w:rFonts w:hint="eastAsia" w:ascii="宋体" w:hAnsi="宋体" w:cs="宋体"/>
                      <w:spacing w:val="-1"/>
                      <w:szCs w:val="21"/>
                      <w:highlight w:val="none"/>
                    </w:rPr>
                    <w:t>，</w:t>
                  </w:r>
                  <w:r>
                    <w:rPr>
                      <w:rFonts w:hint="eastAsia" w:ascii="宋体" w:hAnsi="宋体" w:cs="宋体"/>
                      <w:spacing w:val="-1"/>
                      <w:szCs w:val="21"/>
                    </w:rPr>
                    <w:t>不需要设置生态专项评价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02" w:type="dxa"/>
                  <w:noWrap w:val="0"/>
                  <w:vAlign w:val="center"/>
                </w:tcPr>
                <w:p>
                  <w:pPr>
                    <w:autoSpaceDE w:val="0"/>
                    <w:autoSpaceDN w:val="0"/>
                    <w:adjustRightInd w:val="0"/>
                    <w:snapToGrid w:val="0"/>
                    <w:jc w:val="center"/>
                    <w:rPr>
                      <w:rFonts w:hint="eastAsia"/>
                      <w:kern w:val="0"/>
                      <w:szCs w:val="21"/>
                    </w:rPr>
                  </w:pPr>
                  <w:r>
                    <w:rPr>
                      <w:rFonts w:hint="eastAsia"/>
                      <w:kern w:val="0"/>
                      <w:szCs w:val="21"/>
                    </w:rPr>
                    <w:t>海洋</w:t>
                  </w:r>
                </w:p>
              </w:tc>
              <w:tc>
                <w:tcPr>
                  <w:tcW w:w="2571" w:type="dxa"/>
                  <w:noWrap w:val="0"/>
                  <w:vAlign w:val="center"/>
                </w:tcPr>
                <w:p>
                  <w:pPr>
                    <w:autoSpaceDE w:val="0"/>
                    <w:autoSpaceDN w:val="0"/>
                    <w:adjustRightInd w:val="0"/>
                    <w:snapToGrid w:val="0"/>
                    <w:jc w:val="center"/>
                    <w:rPr>
                      <w:kern w:val="0"/>
                      <w:szCs w:val="21"/>
                    </w:rPr>
                  </w:pPr>
                  <w:r>
                    <w:rPr>
                      <w:rFonts w:hint="eastAsia"/>
                      <w:kern w:val="0"/>
                      <w:szCs w:val="21"/>
                    </w:rPr>
                    <w:t>直接向海排放污染物的海洋工程建设项目</w:t>
                  </w:r>
                </w:p>
              </w:tc>
              <w:tc>
                <w:tcPr>
                  <w:tcW w:w="2526" w:type="dxa"/>
                  <w:noWrap w:val="0"/>
                  <w:vAlign w:val="center"/>
                </w:tcPr>
                <w:p>
                  <w:pPr>
                    <w:spacing w:before="180"/>
                    <w:jc w:val="center"/>
                    <w:rPr>
                      <w:kern w:val="0"/>
                      <w:szCs w:val="21"/>
                    </w:rPr>
                  </w:pPr>
                  <w:r>
                    <w:rPr>
                      <w:rFonts w:ascii="宋体" w:hAnsi="宋体" w:cs="宋体"/>
                      <w:spacing w:val="-2"/>
                      <w:szCs w:val="21"/>
                    </w:rPr>
                    <w:t>不涉及</w:t>
                  </w:r>
                </w:p>
              </w:tc>
            </w:tr>
          </w:tbl>
          <w:p>
            <w:pPr>
              <w:autoSpaceDE w:val="0"/>
              <w:autoSpaceDN w:val="0"/>
              <w:adjustRightInd w:val="0"/>
              <w:snapToGrid w:val="0"/>
              <w:ind w:firstLine="420" w:firstLineChars="200"/>
              <w:jc w:val="left"/>
              <w:rPr>
                <w:kern w:val="0"/>
                <w:szCs w:val="21"/>
              </w:rPr>
            </w:pPr>
            <w:r>
              <w:rPr>
                <w:rFonts w:hint="eastAsia"/>
              </w:rPr>
              <w:t>综上，本项目不需要设置专项评价。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3" w:hRule="atLeast"/>
          <w:jc w:val="center"/>
        </w:trPr>
        <w:tc>
          <w:tcPr>
            <w:tcW w:w="1701" w:type="dxa"/>
            <w:noWrap w:val="0"/>
            <w:vAlign w:val="center"/>
          </w:tcPr>
          <w:p>
            <w:pPr>
              <w:autoSpaceDE w:val="0"/>
              <w:autoSpaceDN w:val="0"/>
              <w:adjustRightInd w:val="0"/>
              <w:snapToGrid w:val="0"/>
              <w:jc w:val="center"/>
              <w:rPr>
                <w:kern w:val="0"/>
                <w:szCs w:val="21"/>
              </w:rPr>
            </w:pPr>
            <w:r>
              <w:rPr>
                <w:szCs w:val="21"/>
              </w:rPr>
              <w:t>规划情况</w:t>
            </w:r>
          </w:p>
        </w:tc>
        <w:tc>
          <w:tcPr>
            <w:tcW w:w="7370" w:type="dxa"/>
            <w:gridSpan w:val="3"/>
            <w:noWrap w:val="0"/>
            <w:vAlign w:val="center"/>
          </w:tcPr>
          <w:p>
            <w:pPr>
              <w:autoSpaceDE w:val="0"/>
              <w:autoSpaceDN w:val="0"/>
              <w:adjustRightInd w:val="0"/>
              <w:spacing w:line="360" w:lineRule="auto"/>
              <w:jc w:val="center"/>
              <w:rPr>
                <w:kern w:val="0"/>
                <w:szCs w:val="21"/>
              </w:rPr>
            </w:pPr>
            <w:r>
              <w:rPr>
                <w:kern w:val="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7" w:hRule="atLeast"/>
          <w:jc w:val="center"/>
        </w:trPr>
        <w:tc>
          <w:tcPr>
            <w:tcW w:w="1701" w:type="dxa"/>
            <w:noWrap w:val="0"/>
            <w:vAlign w:val="center"/>
          </w:tcPr>
          <w:p>
            <w:pPr>
              <w:adjustRightInd w:val="0"/>
              <w:snapToGrid w:val="0"/>
              <w:jc w:val="center"/>
              <w:rPr>
                <w:szCs w:val="21"/>
              </w:rPr>
            </w:pPr>
            <w:r>
              <w:rPr>
                <w:szCs w:val="21"/>
              </w:rPr>
              <w:t>规划环境影响</w:t>
            </w:r>
          </w:p>
          <w:p>
            <w:pPr>
              <w:adjustRightInd w:val="0"/>
              <w:snapToGrid w:val="0"/>
              <w:jc w:val="center"/>
              <w:rPr>
                <w:kern w:val="0"/>
                <w:szCs w:val="21"/>
              </w:rPr>
            </w:pPr>
            <w:r>
              <w:rPr>
                <w:szCs w:val="21"/>
              </w:rPr>
              <w:t>评价情况</w:t>
            </w:r>
          </w:p>
        </w:tc>
        <w:tc>
          <w:tcPr>
            <w:tcW w:w="7370" w:type="dxa"/>
            <w:gridSpan w:val="3"/>
            <w:noWrap w:val="0"/>
            <w:vAlign w:val="center"/>
          </w:tcPr>
          <w:p>
            <w:pPr>
              <w:autoSpaceDE w:val="0"/>
              <w:autoSpaceDN w:val="0"/>
              <w:adjustRightInd w:val="0"/>
              <w:snapToGrid w:val="0"/>
              <w:jc w:val="center"/>
              <w:rPr>
                <w:kern w:val="0"/>
                <w:szCs w:val="21"/>
              </w:rPr>
            </w:pPr>
            <w:r>
              <w:rPr>
                <w:kern w:val="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10" w:hRule="atLeast"/>
          <w:jc w:val="center"/>
        </w:trPr>
        <w:tc>
          <w:tcPr>
            <w:tcW w:w="1701" w:type="dxa"/>
            <w:noWrap w:val="0"/>
            <w:vAlign w:val="center"/>
          </w:tcPr>
          <w:p>
            <w:pPr>
              <w:autoSpaceDE w:val="0"/>
              <w:autoSpaceDN w:val="0"/>
              <w:adjustRightInd w:val="0"/>
              <w:snapToGrid w:val="0"/>
              <w:jc w:val="center"/>
              <w:rPr>
                <w:kern w:val="0"/>
                <w:szCs w:val="21"/>
              </w:rPr>
            </w:pPr>
            <w:r>
              <w:rPr>
                <w:kern w:val="0"/>
                <w:szCs w:val="21"/>
              </w:rPr>
              <w:t>规划及规划环境</w:t>
            </w:r>
          </w:p>
          <w:p>
            <w:pPr>
              <w:autoSpaceDE w:val="0"/>
              <w:autoSpaceDN w:val="0"/>
              <w:adjustRightInd w:val="0"/>
              <w:snapToGrid w:val="0"/>
              <w:jc w:val="center"/>
              <w:rPr>
                <w:kern w:val="0"/>
                <w:szCs w:val="21"/>
              </w:rPr>
            </w:pPr>
            <w:r>
              <w:rPr>
                <w:kern w:val="0"/>
                <w:szCs w:val="21"/>
              </w:rPr>
              <w:t>影响评价符合性分析</w:t>
            </w:r>
          </w:p>
        </w:tc>
        <w:tc>
          <w:tcPr>
            <w:tcW w:w="7370" w:type="dxa"/>
            <w:gridSpan w:val="3"/>
            <w:noWrap w:val="0"/>
            <w:vAlign w:val="center"/>
          </w:tcPr>
          <w:p>
            <w:pPr>
              <w:autoSpaceDE w:val="0"/>
              <w:autoSpaceDN w:val="0"/>
              <w:adjustRightInd w:val="0"/>
              <w:spacing w:line="360" w:lineRule="auto"/>
              <w:jc w:val="center"/>
              <w:rPr>
                <w:kern w:val="0"/>
                <w:szCs w:val="21"/>
              </w:rPr>
            </w:pPr>
            <w:r>
              <w:rPr>
                <w:kern w:val="0"/>
                <w:szCs w:val="21"/>
              </w:rPr>
              <w:t>无</w:t>
            </w:r>
          </w:p>
        </w:tc>
      </w:tr>
    </w:tbl>
    <w:p>
      <w:pPr>
        <w:autoSpaceDE w:val="0"/>
        <w:autoSpaceDN w:val="0"/>
        <w:adjustRightInd w:val="0"/>
        <w:snapToGrid w:val="0"/>
        <w:jc w:val="center"/>
        <w:rPr>
          <w:kern w:val="0"/>
          <w:szCs w:val="21"/>
        </w:rPr>
        <w:sectPr>
          <w:footerReference r:id="rId3" w:type="default"/>
          <w:pgSz w:w="11906" w:h="16838"/>
          <w:pgMar w:top="1417" w:right="1417" w:bottom="1417" w:left="1417" w:header="851" w:footer="1077" w:gutter="0"/>
          <w:pgBorders>
            <w:top w:val="none" w:sz="0" w:space="0"/>
            <w:left w:val="none" w:sz="0" w:space="0"/>
            <w:bottom w:val="none" w:sz="0" w:space="0"/>
            <w:right w:val="none" w:sz="0" w:space="0"/>
          </w:pgBorders>
          <w:cols w:space="720" w:num="1"/>
          <w:docGrid w:linePitch="312" w:charSpace="0"/>
        </w:sectPr>
      </w:pPr>
    </w:p>
    <w:tbl>
      <w:tblPr>
        <w:tblStyle w:val="24"/>
        <w:tblW w:w="48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67"/>
        <w:gridCol w:w="70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49" w:hRule="atLeast"/>
          <w:jc w:val="center"/>
        </w:trPr>
        <w:tc>
          <w:tcPr>
            <w:tcW w:w="2067" w:type="dxa"/>
            <w:noWrap w:val="0"/>
            <w:vAlign w:val="center"/>
          </w:tcPr>
          <w:p>
            <w:pPr>
              <w:autoSpaceDE w:val="0"/>
              <w:autoSpaceDN w:val="0"/>
              <w:adjustRightInd w:val="0"/>
              <w:snapToGrid w:val="0"/>
              <w:jc w:val="center"/>
              <w:rPr>
                <w:kern w:val="0"/>
                <w:szCs w:val="21"/>
              </w:rPr>
            </w:pPr>
            <w:r>
              <w:rPr>
                <w:kern w:val="0"/>
                <w:szCs w:val="21"/>
              </w:rPr>
              <w:t>其他符合性分析</w:t>
            </w:r>
          </w:p>
        </w:tc>
        <w:tc>
          <w:tcPr>
            <w:tcW w:w="7030" w:type="dxa"/>
            <w:noWrap w:val="0"/>
            <w:vAlign w:val="center"/>
          </w:tcPr>
          <w:p>
            <w:pPr>
              <w:spacing w:line="360" w:lineRule="auto"/>
              <w:ind w:firstLine="422" w:firstLineChars="200"/>
              <w:rPr>
                <w:b/>
                <w:bCs/>
                <w:szCs w:val="21"/>
              </w:rPr>
            </w:pPr>
            <w:r>
              <w:rPr>
                <w:rFonts w:hint="eastAsia"/>
                <w:b/>
                <w:bCs/>
                <w:szCs w:val="21"/>
              </w:rPr>
              <w:t>1、产业政策符合性分析</w:t>
            </w:r>
          </w:p>
          <w:p>
            <w:pPr>
              <w:pStyle w:val="7"/>
              <w:spacing w:line="360" w:lineRule="auto"/>
              <w:ind w:firstLine="420" w:firstLineChars="200"/>
              <w:rPr>
                <w:rFonts w:hint="eastAsia" w:ascii="Times New Roman" w:hAnsi="Times New Roman" w:eastAsia="宋体" w:cs="Times New Roman"/>
                <w:kern w:val="2"/>
                <w:sz w:val="21"/>
                <w:szCs w:val="21"/>
                <w:highlight w:val="none"/>
                <w:lang w:val="en-US" w:eastAsia="zh-CN" w:bidi="ar"/>
              </w:rPr>
            </w:pPr>
            <w:r>
              <w:rPr>
                <w:rFonts w:hint="eastAsia" w:ascii="Times New Roman" w:hAnsi="Times New Roman" w:eastAsia="宋体" w:cs="Times New Roman"/>
                <w:kern w:val="2"/>
                <w:sz w:val="21"/>
                <w:szCs w:val="21"/>
                <w:highlight w:val="none"/>
                <w:lang w:val="en-US" w:eastAsia="zh-CN" w:bidi="ar"/>
              </w:rPr>
              <w:t>根据《国民经济行业分类》（GB/T 4754-2017），本项目行业类别属F5265机动车燃料零售业，对照中华人民共和国国家发展和改革委员会令第29号《产业结构调整指导目录（2024年本）》，本项目不属于鼓励类、限制类和淘汰类，视为允许建设项目。项目为《市场准入负面清单（2020年版）》许可准入类中“六 批发和零售业39未获得许可、配额或资质，不得从事农产品、原油等特定商品、技术、服务的经营、流通贸易和进出口（含过境）”项，需取得商务主管部门对成品油零售经营资格审批。</w:t>
            </w:r>
          </w:p>
          <w:p>
            <w:pPr>
              <w:keepNext w:val="0"/>
              <w:keepLines w:val="0"/>
              <w:pageBreakBefore w:val="0"/>
              <w:widowControl w:val="0"/>
              <w:kinsoku/>
              <w:wordWrap/>
              <w:overflowPunct/>
              <w:topLinePunct w:val="0"/>
              <w:autoSpaceDE/>
              <w:autoSpaceDN/>
              <w:bidi w:val="0"/>
              <w:adjustRightInd w:val="0"/>
              <w:snapToGrid/>
              <w:spacing w:line="360" w:lineRule="auto"/>
              <w:ind w:firstLine="420" w:firstLineChars="200"/>
              <w:jc w:val="left"/>
              <w:textAlignment w:val="auto"/>
              <w:rPr>
                <w:rFonts w:hint="default" w:ascii="Times New Roman" w:hAnsi="Times New Roman" w:eastAsia="宋体" w:cs="Times New Roman"/>
                <w:szCs w:val="21"/>
                <w:highlight w:val="none"/>
                <w:lang w:val="en-US" w:eastAsia="zh-CN" w:bidi="ar"/>
              </w:rPr>
            </w:pPr>
            <w:r>
              <w:rPr>
                <w:rFonts w:hint="eastAsia" w:ascii="Times New Roman" w:hAnsi="Times New Roman" w:eastAsia="宋体" w:cs="Times New Roman"/>
                <w:szCs w:val="21"/>
                <w:highlight w:val="none"/>
                <w:lang w:val="en-US" w:eastAsia="zh-CN" w:bidi="ar"/>
              </w:rPr>
              <w:t>本项目已于2020年9月8日取得</w:t>
            </w:r>
            <w:r>
              <w:rPr>
                <w:rFonts w:hint="eastAsia" w:ascii="Times New Roman" w:hAnsi="Times New Roman" w:eastAsia="宋体" w:cs="Times New Roman"/>
                <w:szCs w:val="21"/>
                <w:highlight w:val="none"/>
                <w:lang w:eastAsia="zh-CN" w:bidi="ar"/>
              </w:rPr>
              <w:t>西安市商务局颁发的《成品油零售经营批准证书》</w:t>
            </w:r>
            <w:r>
              <w:rPr>
                <w:rFonts w:hint="default" w:ascii="Times New Roman" w:hAnsi="Times New Roman" w:eastAsia="宋体" w:cs="Times New Roman"/>
                <w:szCs w:val="21"/>
                <w:highlight w:val="none"/>
                <w:lang w:eastAsia="zh-CN" w:bidi="ar"/>
              </w:rPr>
              <w:t>（</w:t>
            </w:r>
            <w:r>
              <w:rPr>
                <w:rFonts w:hint="eastAsia" w:ascii="Times New Roman" w:hAnsi="Times New Roman" w:eastAsia="宋体" w:cs="Times New Roman"/>
                <w:szCs w:val="21"/>
                <w:highlight w:val="none"/>
                <w:lang w:val="en-US" w:eastAsia="zh-CN" w:bidi="ar"/>
              </w:rPr>
              <w:t>油零售证书第6101111035</w:t>
            </w:r>
            <w:r>
              <w:rPr>
                <w:rFonts w:hint="default" w:ascii="Times New Roman" w:hAnsi="Times New Roman" w:eastAsia="宋体" w:cs="Times New Roman"/>
                <w:szCs w:val="21"/>
                <w:highlight w:val="none"/>
                <w:lang w:val="en-US" w:eastAsia="zh-CN" w:bidi="ar"/>
              </w:rPr>
              <w:t>号</w:t>
            </w:r>
            <w:r>
              <w:rPr>
                <w:rFonts w:hint="default" w:ascii="Times New Roman" w:hAnsi="Times New Roman" w:eastAsia="宋体" w:cs="Times New Roman"/>
                <w:szCs w:val="21"/>
                <w:highlight w:val="none"/>
                <w:lang w:eastAsia="zh-CN" w:bidi="ar"/>
              </w:rPr>
              <w:t>）</w:t>
            </w:r>
            <w:r>
              <w:rPr>
                <w:rFonts w:hint="eastAsia" w:ascii="Times New Roman" w:hAnsi="Times New Roman" w:eastAsia="宋体" w:cs="Times New Roman"/>
                <w:szCs w:val="21"/>
                <w:highlight w:val="none"/>
                <w:lang w:eastAsia="zh-CN" w:bidi="ar"/>
              </w:rPr>
              <w:t>，</w:t>
            </w:r>
            <w:r>
              <w:rPr>
                <w:rFonts w:hint="eastAsia" w:ascii="Times New Roman" w:hAnsi="Times New Roman" w:eastAsia="宋体" w:cs="Times New Roman"/>
                <w:szCs w:val="21"/>
                <w:highlight w:val="none"/>
                <w:lang w:val="en-US" w:eastAsia="zh-CN" w:bidi="ar"/>
              </w:rPr>
              <w:t>并于2022年11月30日取得了</w:t>
            </w:r>
            <w:r>
              <w:rPr>
                <w:rFonts w:hint="eastAsia" w:ascii="Times New Roman" w:hAnsi="Times New Roman" w:eastAsia="宋体" w:cs="Times New Roman"/>
                <w:szCs w:val="21"/>
                <w:highlight w:val="none"/>
                <w:lang w:eastAsia="zh-CN" w:bidi="ar"/>
              </w:rPr>
              <w:t>西安市应急管理局《危险化学品经营许可证》</w:t>
            </w:r>
            <w:r>
              <w:rPr>
                <w:rFonts w:hint="default" w:ascii="Times New Roman" w:hAnsi="Times New Roman" w:eastAsia="宋体" w:cs="Times New Roman"/>
                <w:szCs w:val="21"/>
                <w:highlight w:val="none"/>
                <w:lang w:eastAsia="zh-CN" w:bidi="ar"/>
              </w:rPr>
              <w:t>（</w:t>
            </w:r>
            <w:r>
              <w:rPr>
                <w:rFonts w:hint="default" w:ascii="Times New Roman" w:hAnsi="Times New Roman" w:eastAsia="宋体" w:cs="Times New Roman"/>
                <w:szCs w:val="21"/>
                <w:highlight w:val="none"/>
                <w:lang w:val="en-US" w:eastAsia="zh-CN" w:bidi="ar"/>
              </w:rPr>
              <w:t>陕</w:t>
            </w:r>
            <w:r>
              <w:rPr>
                <w:rFonts w:hint="eastAsia" w:ascii="Times New Roman" w:hAnsi="Times New Roman" w:eastAsia="宋体" w:cs="Times New Roman"/>
                <w:szCs w:val="21"/>
                <w:highlight w:val="none"/>
                <w:lang w:val="en-US" w:eastAsia="zh-CN" w:bidi="ar"/>
              </w:rPr>
              <w:t>西危化经字</w:t>
            </w:r>
            <w:r>
              <w:rPr>
                <w:rFonts w:hint="default" w:ascii="Times New Roman" w:hAnsi="Times New Roman" w:eastAsia="宋体" w:cs="Times New Roman"/>
                <w:szCs w:val="21"/>
                <w:highlight w:val="none"/>
                <w:lang w:eastAsia="zh-CN" w:bidi="ar"/>
              </w:rPr>
              <w:t>〔</w:t>
            </w:r>
            <w:r>
              <w:rPr>
                <w:rFonts w:hint="default" w:ascii="Times New Roman" w:hAnsi="Times New Roman" w:eastAsia="宋体" w:cs="Times New Roman"/>
                <w:szCs w:val="21"/>
                <w:highlight w:val="none"/>
                <w:lang w:val="en-US" w:eastAsia="zh-CN" w:bidi="ar"/>
              </w:rPr>
              <w:t>20</w:t>
            </w:r>
            <w:r>
              <w:rPr>
                <w:rFonts w:hint="eastAsia" w:ascii="Times New Roman" w:hAnsi="Times New Roman" w:eastAsia="宋体" w:cs="Times New Roman"/>
                <w:szCs w:val="21"/>
                <w:highlight w:val="none"/>
                <w:lang w:val="en-US" w:eastAsia="zh-CN" w:bidi="ar"/>
              </w:rPr>
              <w:t>17</w:t>
            </w:r>
            <w:r>
              <w:rPr>
                <w:rFonts w:hint="default" w:ascii="Times New Roman" w:hAnsi="Times New Roman" w:eastAsia="宋体" w:cs="Times New Roman"/>
                <w:szCs w:val="21"/>
                <w:highlight w:val="none"/>
                <w:lang w:eastAsia="zh-CN" w:bidi="ar"/>
              </w:rPr>
              <w:t>〕</w:t>
            </w:r>
            <w:r>
              <w:rPr>
                <w:rFonts w:hint="eastAsia" w:ascii="Times New Roman" w:hAnsi="Times New Roman" w:eastAsia="宋体" w:cs="Times New Roman"/>
                <w:szCs w:val="21"/>
                <w:highlight w:val="none"/>
                <w:lang w:val="en-US" w:eastAsia="zh-CN" w:bidi="ar"/>
              </w:rPr>
              <w:t>005013</w:t>
            </w:r>
            <w:r>
              <w:rPr>
                <w:rFonts w:hint="default" w:ascii="Times New Roman" w:hAnsi="Times New Roman" w:eastAsia="宋体" w:cs="Times New Roman"/>
                <w:szCs w:val="21"/>
                <w:highlight w:val="none"/>
                <w:lang w:val="en-US" w:eastAsia="zh-CN" w:bidi="ar"/>
              </w:rPr>
              <w:t>号</w:t>
            </w:r>
            <w:r>
              <w:rPr>
                <w:rFonts w:hint="default" w:ascii="Times New Roman" w:hAnsi="Times New Roman" w:eastAsia="宋体" w:cs="Times New Roman"/>
                <w:szCs w:val="21"/>
                <w:highlight w:val="none"/>
                <w:lang w:eastAsia="zh-CN" w:bidi="ar"/>
              </w:rPr>
              <w:t>）</w:t>
            </w:r>
            <w:r>
              <w:rPr>
                <w:rFonts w:hint="eastAsia" w:ascii="Times New Roman" w:hAnsi="Times New Roman" w:eastAsia="宋体" w:cs="Times New Roman"/>
                <w:szCs w:val="21"/>
                <w:highlight w:val="none"/>
                <w:lang w:eastAsia="zh-CN" w:bidi="ar"/>
              </w:rPr>
              <w:t>，视为允许建设项目。</w:t>
            </w:r>
          </w:p>
          <w:p>
            <w:pPr>
              <w:keepNext w:val="0"/>
              <w:keepLines w:val="0"/>
              <w:pageBreakBefore w:val="0"/>
              <w:widowControl w:val="0"/>
              <w:kinsoku/>
              <w:wordWrap/>
              <w:overflowPunct/>
              <w:topLinePunct w:val="0"/>
              <w:autoSpaceDE/>
              <w:autoSpaceDN/>
              <w:bidi w:val="0"/>
              <w:adjustRightInd w:val="0"/>
              <w:snapToGrid/>
              <w:spacing w:line="360" w:lineRule="auto"/>
              <w:ind w:firstLine="420" w:firstLineChars="200"/>
              <w:jc w:val="left"/>
              <w:textAlignment w:val="auto"/>
              <w:rPr>
                <w:rFonts w:hint="eastAsia" w:ascii="Times New Roman" w:hAnsi="Times New Roman" w:eastAsia="宋体" w:cs="Times New Roman"/>
                <w:szCs w:val="21"/>
                <w:highlight w:val="none"/>
                <w:lang w:val="en-US" w:eastAsia="zh-CN" w:bidi="ar"/>
              </w:rPr>
            </w:pPr>
            <w:r>
              <w:rPr>
                <w:rFonts w:hint="eastAsia" w:ascii="Times New Roman" w:hAnsi="Times New Roman" w:eastAsia="宋体" w:cs="Times New Roman"/>
                <w:szCs w:val="21"/>
                <w:highlight w:val="none"/>
                <w:lang w:eastAsia="zh-CN" w:bidi="ar"/>
              </w:rPr>
              <w:t>因此，本项目符合国家和地方产业政策。</w:t>
            </w:r>
          </w:p>
          <w:p>
            <w:pPr>
              <w:adjustRightInd w:val="0"/>
              <w:spacing w:line="360" w:lineRule="auto"/>
              <w:ind w:firstLine="422" w:firstLineChars="200"/>
              <w:rPr>
                <w:rFonts w:hint="eastAsia"/>
                <w:b/>
                <w:bCs/>
                <w:szCs w:val="21"/>
                <w:highlight w:val="none"/>
                <w:lang w:bidi="ar"/>
              </w:rPr>
            </w:pPr>
            <w:r>
              <w:rPr>
                <w:rFonts w:hint="eastAsia"/>
                <w:b/>
                <w:bCs/>
                <w:szCs w:val="21"/>
                <w:highlight w:val="none"/>
                <w:lang w:bidi="ar"/>
              </w:rPr>
              <w:t>2、与“三线一单”的符合性分析</w:t>
            </w:r>
          </w:p>
          <w:p>
            <w:pPr>
              <w:pStyle w:val="8"/>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20" w:firstLineChars="200"/>
              <w:textAlignment w:val="auto"/>
              <w:rPr>
                <w:rFonts w:hint="eastAsia"/>
                <w:color w:val="000000"/>
                <w:sz w:val="21"/>
                <w:szCs w:val="21"/>
                <w:lang w:val="en-US" w:eastAsia="zh-CN"/>
              </w:rPr>
            </w:pPr>
            <w:r>
              <w:rPr>
                <w:rFonts w:hint="default" w:ascii="Times New Roman" w:hAnsi="Times New Roman" w:eastAsia="宋体" w:cs="Times New Roman"/>
                <w:color w:val="000000"/>
                <w:sz w:val="21"/>
                <w:szCs w:val="21"/>
              </w:rPr>
              <w:t>根据西安市人民政府关于印发《“三线一单”生态环境分区管控方案》的通知（市政发〔2021〕22号）以及</w:t>
            </w:r>
            <w:r>
              <w:rPr>
                <w:rFonts w:hint="default" w:ascii="Times New Roman" w:hAnsi="Times New Roman" w:cs="Times New Roman"/>
                <w:color w:val="000000"/>
                <w:kern w:val="0"/>
                <w:sz w:val="21"/>
                <w:szCs w:val="21"/>
                <w:lang w:val="en-US" w:eastAsia="zh-CN"/>
              </w:rPr>
              <w:t>陕西省“三线一单”数据应用系统平台分析</w:t>
            </w:r>
            <w:r>
              <w:rPr>
                <w:rFonts w:hint="default" w:ascii="Times New Roman" w:hAnsi="Times New Roman" w:eastAsia="宋体" w:cs="Times New Roman"/>
                <w:color w:val="000000"/>
                <w:sz w:val="21"/>
                <w:szCs w:val="21"/>
              </w:rPr>
              <w:t>，项目所在区域属于重点管控单元。“重点管控单元应优化空间布局和产业布局，结合生态环境质量达标情况以及经济社会发展水平等，按照差别化的生态环境准</w:t>
            </w:r>
            <w:r>
              <w:rPr>
                <w:rFonts w:ascii="宋体" w:hAnsi="宋体" w:eastAsia="宋体" w:cs="宋体"/>
                <w:color w:val="000000"/>
                <w:sz w:val="21"/>
                <w:szCs w:val="21"/>
              </w:rPr>
              <w:t>入要求，加强污染物排放控制和环境风险防控，不断提升资源利用效率，稳步改善生态环境质量。”在采取评价报告提出的污染防治措施后，各污染物均能得到合理的处理与处置，做到达标排放。</w:t>
            </w:r>
          </w:p>
          <w:p>
            <w:pPr>
              <w:widowControl/>
              <w:adjustRightInd w:val="0"/>
              <w:snapToGrid w:val="0"/>
              <w:spacing w:line="360" w:lineRule="auto"/>
              <w:ind w:firstLine="420" w:firstLineChars="200"/>
              <w:jc w:val="left"/>
              <w:rPr>
                <w:rFonts w:ascii="Times New Roman" w:hAnsi="Times New Roman"/>
                <w:b/>
                <w:bCs/>
                <w:color w:val="000000"/>
              </w:rPr>
            </w:pPr>
            <w:r>
              <w:rPr>
                <w:rFonts w:ascii="Times New Roman" w:hAnsi="Times New Roman"/>
                <w:color w:val="000000"/>
              </w:rPr>
              <w:t>本项目与“三线一单”符合性分析见表1-</w:t>
            </w:r>
            <w:r>
              <w:rPr>
                <w:rFonts w:hint="eastAsia" w:ascii="Times New Roman" w:hAnsi="Times New Roman"/>
                <w:color w:val="000000"/>
                <w:lang w:val="en-US" w:eastAsia="zh-CN"/>
              </w:rPr>
              <w:t>1</w:t>
            </w:r>
            <w:r>
              <w:rPr>
                <w:rFonts w:ascii="Times New Roman" w:hAnsi="Times New Roman"/>
                <w:color w:val="000000"/>
              </w:rPr>
              <w:t>。</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ascii="Times New Roman" w:hAnsi="Times New Roman"/>
                <w:b/>
                <w:bCs/>
                <w:color w:val="000000"/>
              </w:rPr>
            </w:pPr>
            <w:r>
              <w:rPr>
                <w:rFonts w:ascii="Times New Roman" w:hAnsi="Times New Roman"/>
                <w:b/>
                <w:bCs/>
                <w:color w:val="000000"/>
              </w:rPr>
              <w:t>表1-</w:t>
            </w:r>
            <w:r>
              <w:rPr>
                <w:rFonts w:hint="eastAsia" w:ascii="Times New Roman" w:hAnsi="Times New Roman"/>
                <w:b/>
                <w:bCs/>
                <w:color w:val="000000"/>
                <w:lang w:val="en-US" w:eastAsia="zh-CN"/>
              </w:rPr>
              <w:t>1本</w:t>
            </w:r>
            <w:r>
              <w:rPr>
                <w:rFonts w:ascii="Times New Roman" w:hAnsi="Times New Roman"/>
                <w:b/>
                <w:bCs/>
                <w:color w:val="000000"/>
              </w:rPr>
              <w:t>项目</w:t>
            </w:r>
            <w:r>
              <w:rPr>
                <w:rFonts w:hint="eastAsia" w:ascii="Times New Roman" w:hAnsi="Times New Roman"/>
                <w:b/>
                <w:bCs/>
                <w:color w:val="000000"/>
                <w:lang w:eastAsia="zh-CN"/>
              </w:rPr>
              <w:t>“</w:t>
            </w:r>
            <w:r>
              <w:rPr>
                <w:rFonts w:ascii="Times New Roman" w:hAnsi="Times New Roman"/>
                <w:b/>
                <w:bCs/>
                <w:color w:val="000000"/>
              </w:rPr>
              <w:t>三线一单</w:t>
            </w:r>
            <w:r>
              <w:rPr>
                <w:rFonts w:hint="eastAsia" w:ascii="Times New Roman" w:hAnsi="Times New Roman"/>
                <w:b/>
                <w:bCs/>
                <w:color w:val="000000"/>
                <w:lang w:eastAsia="zh-CN"/>
              </w:rPr>
              <w:t>”</w:t>
            </w:r>
            <w:r>
              <w:rPr>
                <w:rFonts w:ascii="Times New Roman" w:hAnsi="Times New Roman"/>
                <w:b/>
                <w:bCs/>
                <w:color w:val="000000"/>
              </w:rPr>
              <w:t>符合性分析</w:t>
            </w:r>
          </w:p>
          <w:tbl>
            <w:tblPr>
              <w:tblStyle w:val="24"/>
              <w:tblW w:w="4999"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788"/>
              <w:gridCol w:w="4039"/>
              <w:gridCol w:w="96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38" w:hRule="atLeast"/>
                <w:jc w:val="center"/>
              </w:trPr>
              <w:tc>
                <w:tcPr>
                  <w:tcW w:w="1315"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b/>
                      <w:bCs/>
                      <w:color w:val="000000"/>
                    </w:rPr>
                  </w:pPr>
                  <w:r>
                    <w:rPr>
                      <w:rFonts w:ascii="Times New Roman" w:hAnsi="Times New Roman"/>
                      <w:b/>
                      <w:bCs/>
                      <w:color w:val="000000"/>
                    </w:rPr>
                    <w:t>“三线一单”要求</w:t>
                  </w:r>
                </w:p>
              </w:tc>
              <w:tc>
                <w:tcPr>
                  <w:tcW w:w="2973"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b/>
                      <w:bCs/>
                      <w:color w:val="000000"/>
                    </w:rPr>
                  </w:pPr>
                  <w:r>
                    <w:rPr>
                      <w:rFonts w:ascii="Times New Roman" w:hAnsi="Times New Roman"/>
                      <w:b/>
                      <w:bCs/>
                      <w:color w:val="000000"/>
                    </w:rPr>
                    <w:t>本项目情况</w:t>
                  </w:r>
                </w:p>
              </w:tc>
              <w:tc>
                <w:tcPr>
                  <w:tcW w:w="710"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b/>
                      <w:bCs/>
                      <w:color w:val="000000"/>
                    </w:rPr>
                  </w:pPr>
                  <w:r>
                    <w:rPr>
                      <w:rFonts w:ascii="Times New Roman" w:hAnsi="Times New Roman"/>
                      <w:b/>
                      <w:bCs/>
                      <w:color w:val="000000"/>
                    </w:rPr>
                    <w:t>符合性</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315"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生态保护红线</w:t>
                  </w:r>
                </w:p>
              </w:tc>
              <w:tc>
                <w:tcPr>
                  <w:tcW w:w="2973"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项目位于</w:t>
                  </w:r>
                  <w:r>
                    <w:rPr>
                      <w:rFonts w:hint="default" w:ascii="Times New Roman" w:hAnsi="Times New Roman" w:cs="Times New Roman"/>
                      <w:color w:val="auto"/>
                      <w:sz w:val="21"/>
                      <w:szCs w:val="21"/>
                      <w:u w:val="none"/>
                      <w:lang w:val="en-US" w:eastAsia="zh-CN"/>
                    </w:rPr>
                    <w:t>陕西</w:t>
                  </w:r>
                  <w:r>
                    <w:rPr>
                      <w:rFonts w:hint="default" w:ascii="Times New Roman" w:hAnsi="Times New Roman" w:cs="Times New Roman"/>
                      <w:color w:val="auto"/>
                      <w:sz w:val="21"/>
                      <w:szCs w:val="21"/>
                      <w:u w:val="none"/>
                    </w:rPr>
                    <w:t>省</w:t>
                  </w:r>
                  <w:r>
                    <w:rPr>
                      <w:rFonts w:hint="eastAsia"/>
                      <w:szCs w:val="21"/>
                      <w:u w:val="none"/>
                    </w:rPr>
                    <w:t>西安</w:t>
                  </w:r>
                  <w:r>
                    <w:rPr>
                      <w:szCs w:val="21"/>
                      <w:u w:val="none"/>
                    </w:rPr>
                    <w:t>市</w:t>
                  </w:r>
                  <w:r>
                    <w:rPr>
                      <w:rFonts w:hint="eastAsia"/>
                      <w:szCs w:val="21"/>
                      <w:u w:val="none"/>
                      <w:lang w:val="en-US" w:eastAsia="zh-CN"/>
                    </w:rPr>
                    <w:t>灞桥</w:t>
                  </w:r>
                  <w:r>
                    <w:rPr>
                      <w:szCs w:val="21"/>
                      <w:u w:val="none"/>
                    </w:rPr>
                    <w:t>区</w:t>
                  </w:r>
                  <w:r>
                    <w:rPr>
                      <w:rFonts w:hint="eastAsia"/>
                      <w:u w:val="none"/>
                      <w:lang w:val="en-US" w:eastAsia="zh-CN"/>
                    </w:rPr>
                    <w:t>咸宁东路82号</w:t>
                  </w:r>
                  <w:r>
                    <w:rPr>
                      <w:rFonts w:ascii="Times New Roman" w:hAnsi="Times New Roman"/>
                      <w:color w:val="000000"/>
                    </w:rPr>
                    <w:t>，根据《陕西省秦岭生态环境保护管理办法》及《西安市秦岭生态环境保护管理办法》</w:t>
                  </w:r>
                  <w:r>
                    <w:rPr>
                      <w:rFonts w:hint="eastAsia" w:ascii="Times New Roman" w:hAnsi="Times New Roman"/>
                      <w:color w:val="000000"/>
                      <w:lang w:val="en-US" w:eastAsia="zh-CN"/>
                    </w:rPr>
                    <w:t>以及通过</w:t>
                  </w:r>
                  <w:r>
                    <w:rPr>
                      <w:rFonts w:hint="default" w:ascii="Times New Roman" w:hAnsi="Times New Roman" w:cs="Times New Roman"/>
                      <w:color w:val="000000"/>
                      <w:kern w:val="0"/>
                      <w:sz w:val="21"/>
                      <w:szCs w:val="21"/>
                      <w:lang w:val="en-US" w:eastAsia="zh-CN"/>
                    </w:rPr>
                    <w:t>陕西省“三线一单”数据应用系统平台分析</w:t>
                  </w:r>
                  <w:r>
                    <w:rPr>
                      <w:rFonts w:hint="eastAsia" w:ascii="Times New Roman" w:hAnsi="Times New Roman" w:cs="Times New Roman"/>
                      <w:color w:val="000000"/>
                      <w:kern w:val="0"/>
                      <w:sz w:val="21"/>
                      <w:szCs w:val="21"/>
                      <w:lang w:val="en-US" w:eastAsia="zh-CN"/>
                    </w:rPr>
                    <w:t>，本项目位于西安市</w:t>
                  </w:r>
                  <w:r>
                    <w:rPr>
                      <w:rFonts w:hint="default" w:ascii="Times New Roman" w:hAnsi="Times New Roman" w:eastAsia="宋体" w:cs="Times New Roman"/>
                      <w:color w:val="000000"/>
                      <w:sz w:val="21"/>
                      <w:szCs w:val="21"/>
                    </w:rPr>
                    <w:t>重点管控单元</w:t>
                  </w:r>
                  <w:r>
                    <w:rPr>
                      <w:rFonts w:hint="eastAsia" w:ascii="Times New Roman" w:hAnsi="Times New Roman" w:eastAsia="宋体" w:cs="Times New Roman"/>
                      <w:color w:val="000000"/>
                      <w:sz w:val="21"/>
                      <w:szCs w:val="21"/>
                      <w:lang w:eastAsia="zh-CN"/>
                    </w:rPr>
                    <w:t>，</w:t>
                  </w:r>
                  <w:r>
                    <w:rPr>
                      <w:rFonts w:ascii="Times New Roman" w:hAnsi="Times New Roman"/>
                      <w:color w:val="000000"/>
                    </w:rPr>
                    <w:t>不涉及生态保护红线，本项目符合生态保护红线要求。</w:t>
                  </w:r>
                </w:p>
              </w:tc>
              <w:tc>
                <w:tcPr>
                  <w:tcW w:w="710"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315"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环境质量底线</w:t>
                  </w:r>
                </w:p>
              </w:tc>
              <w:tc>
                <w:tcPr>
                  <w:tcW w:w="2973"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本项目运营期各污染物采取相应的环保措施后能满足达标排放要求，项目建设不会改变区域环境质量，不触及环境质量底线。</w:t>
                  </w:r>
                </w:p>
              </w:tc>
              <w:tc>
                <w:tcPr>
                  <w:tcW w:w="710"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315"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资源利用上线</w:t>
                  </w:r>
                </w:p>
              </w:tc>
              <w:tc>
                <w:tcPr>
                  <w:tcW w:w="2973"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本项目用电由国家电网供给；用地规划用途为</w:t>
                  </w:r>
                  <w:r>
                    <w:rPr>
                      <w:rFonts w:hint="eastAsia" w:ascii="Times New Roman" w:hAnsi="Times New Roman"/>
                      <w:color w:val="000000"/>
                      <w:lang w:val="en-US" w:eastAsia="zh-CN"/>
                    </w:rPr>
                    <w:t>商</w:t>
                  </w:r>
                  <w:r>
                    <w:rPr>
                      <w:rFonts w:ascii="Times New Roman" w:hAnsi="Times New Roman"/>
                      <w:color w:val="000000"/>
                    </w:rPr>
                    <w:t>业用地；不触及资源利用上线。</w:t>
                  </w:r>
                </w:p>
              </w:tc>
              <w:tc>
                <w:tcPr>
                  <w:tcW w:w="710"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符合</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315"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生态环境准入清单</w:t>
                  </w:r>
                </w:p>
              </w:tc>
              <w:tc>
                <w:tcPr>
                  <w:tcW w:w="2973"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项目建设符合国家产业政策，工程布局、资源利用效率、资源配置等均不触及负面清单，且不在《陕西省国家重点生态功能区产业准入负面清单（试行）》范围内。</w:t>
                  </w:r>
                </w:p>
              </w:tc>
              <w:tc>
                <w:tcPr>
                  <w:tcW w:w="710" w:type="pct"/>
                  <w:tcBorders>
                    <w:tl2br w:val="nil"/>
                    <w:tr2bl w:val="nil"/>
                  </w:tcBorders>
                  <w:noWrap w:val="0"/>
                  <w:vAlign w:val="center"/>
                </w:tcPr>
                <w:p>
                  <w:pPr>
                    <w:widowControl/>
                    <w:adjustRightInd w:val="0"/>
                    <w:snapToGrid w:val="0"/>
                    <w:spacing w:line="240" w:lineRule="auto"/>
                    <w:ind w:left="0" w:leftChars="0" w:firstLine="0" w:firstLineChars="0"/>
                    <w:jc w:val="center"/>
                    <w:rPr>
                      <w:rFonts w:ascii="Times New Roman" w:hAnsi="Times New Roman"/>
                      <w:color w:val="000000"/>
                    </w:rPr>
                  </w:pPr>
                  <w:r>
                    <w:rPr>
                      <w:rFonts w:ascii="Times New Roman" w:hAnsi="Times New Roman"/>
                      <w:color w:val="000000"/>
                    </w:rPr>
                    <w:t>符合</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jc w:val="both"/>
              <w:textAlignment w:val="auto"/>
              <w:rPr>
                <w:rFonts w:ascii="Times New Roman" w:cs="Times New Roman"/>
                <w:b/>
                <w:bCs/>
                <w:color w:val="000000"/>
                <w:sz w:val="21"/>
                <w:szCs w:val="21"/>
              </w:rPr>
            </w:pPr>
            <w:r>
              <w:rPr>
                <w:rFonts w:hint="eastAsia" w:ascii="Times New Roman" w:hAnsi="Times New Roman" w:cs="Times New Roman"/>
                <w:color w:val="000000"/>
                <w:kern w:val="0"/>
                <w:sz w:val="21"/>
                <w:szCs w:val="21"/>
                <w:lang w:val="en-US" w:eastAsia="zh-CN"/>
              </w:rPr>
              <w:t>根据上表及本项目在西安市生态环境管控单元分布示意图，</w:t>
            </w:r>
            <w:r>
              <w:rPr>
                <w:rFonts w:ascii="Times New Roman" w:hAnsi="Times New Roman"/>
                <w:color w:val="000000"/>
              </w:rPr>
              <w:t>本项目为</w:t>
            </w:r>
            <w:r>
              <w:rPr>
                <w:rFonts w:hint="eastAsia" w:ascii="Times New Roman" w:hAnsi="Times New Roman" w:eastAsia="宋体" w:cs="Times New Roman"/>
                <w:szCs w:val="21"/>
                <w:highlight w:val="none"/>
                <w:lang w:eastAsia="zh-CN" w:bidi="ar"/>
              </w:rPr>
              <w:t>机动车燃油零售项</w:t>
            </w:r>
            <w:r>
              <w:rPr>
                <w:rFonts w:hint="eastAsia"/>
                <w:sz w:val="21"/>
                <w:szCs w:val="21"/>
              </w:rPr>
              <w:t>目</w:t>
            </w:r>
            <w:r>
              <w:rPr>
                <w:rFonts w:hint="eastAsia" w:ascii="Times New Roman" w:hAnsi="Times New Roman" w:cs="Times New Roman"/>
                <w:color w:val="000000"/>
                <w:kern w:val="0"/>
                <w:sz w:val="21"/>
                <w:szCs w:val="21"/>
                <w:lang w:val="en-US" w:eastAsia="zh-CN"/>
              </w:rPr>
              <w:t>，不属于禁止类项目；位于</w:t>
            </w:r>
            <w:r>
              <w:rPr>
                <w:rFonts w:hint="default" w:ascii="Times New Roman" w:hAnsi="Times New Roman" w:cs="Times New Roman"/>
                <w:color w:val="auto"/>
                <w:sz w:val="21"/>
                <w:szCs w:val="21"/>
                <w:u w:val="none"/>
                <w:lang w:val="en-US" w:eastAsia="zh-CN"/>
              </w:rPr>
              <w:t>陕西</w:t>
            </w:r>
            <w:r>
              <w:rPr>
                <w:rFonts w:hint="default" w:ascii="Times New Roman" w:hAnsi="Times New Roman" w:cs="Times New Roman"/>
                <w:color w:val="auto"/>
                <w:sz w:val="21"/>
                <w:szCs w:val="21"/>
                <w:u w:val="none"/>
              </w:rPr>
              <w:t>省</w:t>
            </w:r>
            <w:r>
              <w:rPr>
                <w:rFonts w:hint="eastAsia"/>
                <w:szCs w:val="21"/>
                <w:u w:val="none"/>
              </w:rPr>
              <w:t>西安</w:t>
            </w:r>
            <w:r>
              <w:rPr>
                <w:szCs w:val="21"/>
                <w:u w:val="none"/>
              </w:rPr>
              <w:t>市</w:t>
            </w:r>
            <w:r>
              <w:rPr>
                <w:rFonts w:hint="eastAsia"/>
                <w:szCs w:val="21"/>
                <w:u w:val="none"/>
                <w:lang w:val="en-US" w:eastAsia="zh-CN"/>
              </w:rPr>
              <w:t>灞桥</w:t>
            </w:r>
            <w:r>
              <w:rPr>
                <w:szCs w:val="21"/>
                <w:u w:val="none"/>
              </w:rPr>
              <w:t>区</w:t>
            </w:r>
            <w:r>
              <w:rPr>
                <w:rFonts w:hint="eastAsia"/>
                <w:u w:val="none"/>
                <w:lang w:val="en-US" w:eastAsia="zh-CN"/>
              </w:rPr>
              <w:t>咸宁东路82号</w:t>
            </w:r>
            <w:r>
              <w:rPr>
                <w:rFonts w:hint="eastAsia" w:ascii="Times New Roman" w:hAnsi="Times New Roman"/>
                <w:color w:val="000000"/>
                <w:lang w:val="en-US" w:eastAsia="zh-CN"/>
              </w:rPr>
              <w:t>，在</w:t>
            </w:r>
            <w:r>
              <w:rPr>
                <w:rFonts w:hint="eastAsia" w:ascii="Times New Roman" w:hAnsi="Times New Roman" w:cs="Times New Roman"/>
                <w:color w:val="000000"/>
                <w:kern w:val="0"/>
                <w:sz w:val="21"/>
                <w:szCs w:val="21"/>
                <w:lang w:val="en-US" w:eastAsia="zh-CN"/>
              </w:rPr>
              <w:t>重点管控单元内，符合“三线一单”区域环境管控要求。</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eastAsia" w:ascii="Times New Roman" w:hAnsi="Times New Roman" w:cs="Times New Roman"/>
                <w:color w:val="auto"/>
                <w:kern w:val="0"/>
                <w:sz w:val="21"/>
                <w:szCs w:val="21"/>
                <w:lang w:val="en-US" w:eastAsia="zh-CN"/>
              </w:rPr>
            </w:pPr>
            <w:r>
              <w:rPr>
                <w:rFonts w:hint="eastAsia" w:ascii="Times New Roman" w:hAnsi="Times New Roman" w:cs="Times New Roman"/>
                <w:color w:val="auto"/>
                <w:kern w:val="0"/>
                <w:sz w:val="21"/>
                <w:szCs w:val="21"/>
                <w:lang w:val="en-US" w:eastAsia="zh-CN"/>
              </w:rPr>
              <w:t>根据陕西省“三线一单”数据应用系统平台分析，项目位于西安市重点管控单元，如下图所示：</w:t>
            </w:r>
          </w:p>
          <w:p>
            <w:pPr>
              <w:pStyle w:val="3"/>
              <w:keepNext/>
              <w:keepLines/>
              <w:pageBreakBefore w:val="0"/>
              <w:widowControl w:val="0"/>
              <w:kinsoku/>
              <w:wordWrap/>
              <w:overflowPunct/>
              <w:topLinePunct w:val="0"/>
              <w:autoSpaceDE/>
              <w:autoSpaceDN/>
              <w:bidi w:val="0"/>
              <w:adjustRightInd/>
              <w:snapToGrid/>
              <w:spacing w:before="0" w:beforeLines="0" w:after="0" w:afterLines="0" w:line="240" w:lineRule="auto"/>
              <w:jc w:val="center"/>
              <w:textAlignment w:val="auto"/>
              <w:rPr>
                <w:rFonts w:hint="eastAsia"/>
              </w:rPr>
            </w:pPr>
            <w:r>
              <w:rPr>
                <w:sz w:val="24"/>
              </w:rPr>
              <mc:AlternateContent>
                <mc:Choice Requires="wps">
                  <w:drawing>
                    <wp:anchor distT="0" distB="0" distL="114300" distR="114300" simplePos="0" relativeHeight="251659264" behindDoc="0" locked="0" layoutInCell="1" allowOverlap="1">
                      <wp:simplePos x="0" y="0"/>
                      <wp:positionH relativeFrom="column">
                        <wp:posOffset>2044700</wp:posOffset>
                      </wp:positionH>
                      <wp:positionV relativeFrom="paragraph">
                        <wp:posOffset>882015</wp:posOffset>
                      </wp:positionV>
                      <wp:extent cx="684530" cy="333375"/>
                      <wp:effectExtent l="4445" t="4445" r="9525" b="81280"/>
                      <wp:wrapNone/>
                      <wp:docPr id="1" name="自选图形 29"/>
                      <wp:cNvGraphicFramePr/>
                      <a:graphic xmlns:a="http://schemas.openxmlformats.org/drawingml/2006/main">
                        <a:graphicData uri="http://schemas.microsoft.com/office/word/2010/wordprocessingShape">
                          <wps:wsp>
                            <wps:cNvSpPr/>
                            <wps:spPr>
                              <a:xfrm>
                                <a:off x="0" y="0"/>
                                <a:ext cx="684530" cy="333375"/>
                              </a:xfrm>
                              <a:prstGeom prst="wedgeRectCallout">
                                <a:avLst>
                                  <a:gd name="adj1" fmla="val -43750"/>
                                  <a:gd name="adj2" fmla="val 70000"/>
                                </a:avLst>
                              </a:prstGeom>
                              <a:noFill/>
                              <a:ln w="9525" cap="flat" cmpd="sng">
                                <a:solidFill>
                                  <a:srgbClr val="FFFFFF"/>
                                </a:solidFill>
                                <a:prstDash val="solid"/>
                                <a:miter/>
                                <a:headEnd type="none" w="med" len="med"/>
                                <a:tailEnd type="none" w="med" len="med"/>
                              </a:ln>
                            </wps:spPr>
                            <wps:txbx>
                              <w:txbxContent>
                                <w:p>
                                  <w:pPr>
                                    <w:rPr>
                                      <w:rFonts w:hint="eastAsia" w:eastAsia="宋体"/>
                                      <w:color w:val="auto"/>
                                      <w:lang w:val="en-US" w:eastAsia="zh-CN"/>
                                    </w:rPr>
                                  </w:pPr>
                                  <w:r>
                                    <w:rPr>
                                      <w:rFonts w:hint="eastAsia"/>
                                      <w:color w:val="auto"/>
                                      <w:lang w:val="en-US" w:eastAsia="zh-CN"/>
                                    </w:rPr>
                                    <w:t>项目地</w:t>
                                  </w:r>
                                </w:p>
                              </w:txbxContent>
                            </wps:txbx>
                            <wps:bodyPr vert="horz" wrap="square" anchor="t" anchorCtr="0" upright="1"/>
                          </wps:wsp>
                        </a:graphicData>
                      </a:graphic>
                    </wp:anchor>
                  </w:drawing>
                </mc:Choice>
                <mc:Fallback>
                  <w:pict>
                    <v:shape id="自选图形 29" o:spid="_x0000_s1026" o:spt="61" type="#_x0000_t61" style="position:absolute;left:0pt;margin-left:161pt;margin-top:69.45pt;height:26.25pt;width:53.9pt;z-index:251659264;mso-width-relative:page;mso-height-relative:page;" filled="f" stroked="t" coordsize="21600,21600" o:gfxdata="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O6/kzrXAAAACwEAAA8A&#10;AAAAAAAAAQAgAAAAIgAAAGRycy9kb3ducmV2LnhtbFBLAQIUABQAAAAIAIdO4kCPHKICUQIAAJcE&#10;AAAOAAAAAAAAAAEAIAAAACYBAABkcnMvZTJvRG9jLnhtbFBLBQYAAAAABgAGAFkBAADpBQAAAAA=&#10;" adj="1350,25920">
                      <v:fill on="f" focussize="0,0"/>
                      <v:stroke color="#FFFFFF" joinstyle="miter"/>
                      <v:imagedata o:title=""/>
                      <o:lock v:ext="edit" aspectratio="f"/>
                      <v:textbox>
                        <w:txbxContent>
                          <w:p>
                            <w:pPr>
                              <w:rPr>
                                <w:rFonts w:hint="eastAsia" w:eastAsia="宋体"/>
                                <w:color w:val="auto"/>
                                <w:lang w:val="en-US" w:eastAsia="zh-CN"/>
                              </w:rPr>
                            </w:pPr>
                            <w:r>
                              <w:rPr>
                                <w:rFonts w:hint="eastAsia"/>
                                <w:color w:val="auto"/>
                                <w:lang w:val="en-US" w:eastAsia="zh-CN"/>
                              </w:rPr>
                              <w:t>项目地</w:t>
                            </w:r>
                          </w:p>
                        </w:txbxContent>
                      </v:textbox>
                    </v:shape>
                  </w:pict>
                </mc:Fallback>
              </mc:AlternateContent>
            </w:r>
            <w:r>
              <w:rPr>
                <w:rFonts w:ascii="宋体" w:hAnsi="宋体" w:eastAsia="宋体" w:cs="宋体"/>
                <w:sz w:val="24"/>
                <w:szCs w:val="24"/>
              </w:rPr>
              <w:drawing>
                <wp:inline distT="0" distB="0" distL="114300" distR="114300">
                  <wp:extent cx="4375150" cy="2889250"/>
                  <wp:effectExtent l="0" t="0" r="6350" b="6350"/>
                  <wp:docPr id="10"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 descr="IMG_256"/>
                          <pic:cNvPicPr>
                            <a:picLocks noChangeAspect="1"/>
                          </pic:cNvPicPr>
                        </pic:nvPicPr>
                        <pic:blipFill>
                          <a:blip r:embed="rId6"/>
                          <a:stretch>
                            <a:fillRect/>
                          </a:stretch>
                        </pic:blipFill>
                        <pic:spPr>
                          <a:xfrm>
                            <a:off x="0" y="0"/>
                            <a:ext cx="4375150" cy="2889250"/>
                          </a:xfrm>
                          <a:prstGeom prst="rect">
                            <a:avLst/>
                          </a:prstGeom>
                          <a:noFill/>
                          <a:ln>
                            <a:noFill/>
                          </a:ln>
                        </pic:spPr>
                      </pic:pic>
                    </a:graphicData>
                  </a:graphic>
                </wp:inline>
              </w:drawing>
            </w:r>
          </w:p>
          <w:p>
            <w:pPr>
              <w:pStyle w:val="72"/>
              <w:rPr>
                <w:rFonts w:hint="default" w:ascii="宋体" w:hAnsi="宋体" w:eastAsia="宋体" w:cs="宋体"/>
                <w:b/>
                <w:bCs/>
                <w:color w:val="000000"/>
                <w:kern w:val="0"/>
                <w:sz w:val="21"/>
                <w:szCs w:val="21"/>
                <w:lang w:val="en-US" w:eastAsia="zh-CN" w:bidi="ar"/>
              </w:rPr>
            </w:pPr>
            <w:r>
              <w:rPr>
                <w:rFonts w:hint="eastAsia" w:ascii="宋体" w:hAnsi="宋体" w:eastAsia="宋体" w:cs="宋体"/>
                <w:b/>
                <w:bCs/>
                <w:color w:val="000000"/>
                <w:kern w:val="0"/>
                <w:sz w:val="21"/>
                <w:szCs w:val="21"/>
                <w:lang w:val="en-US" w:eastAsia="zh-CN" w:bidi="ar"/>
              </w:rPr>
              <w:t>图1-1本项目生态环境管控单元位置图</w:t>
            </w:r>
          </w:p>
          <w:p>
            <w:pPr>
              <w:keepNext w:val="0"/>
              <w:keepLines w:val="0"/>
              <w:pageBreakBefore w:val="0"/>
              <w:widowControl/>
              <w:kinsoku/>
              <w:wordWrap/>
              <w:overflowPunct/>
              <w:topLinePunct w:val="0"/>
              <w:autoSpaceDE/>
              <w:autoSpaceDN/>
              <w:bidi w:val="0"/>
              <w:adjustRightInd/>
              <w:snapToGrid/>
              <w:spacing w:line="360" w:lineRule="auto"/>
              <w:jc w:val="center"/>
              <w:textAlignment w:val="auto"/>
              <w:rPr>
                <w:b/>
                <w:bCs/>
                <w:szCs w:val="21"/>
                <w:lang w:bidi="ar"/>
              </w:rPr>
            </w:pPr>
            <w:r>
              <w:rPr>
                <w:rFonts w:hint="eastAsia"/>
                <w:sz w:val="21"/>
                <w:szCs w:val="21"/>
              </w:rPr>
              <w:t>本项目与西安市生态环境分区管控准入清单符合性分析见表1-</w:t>
            </w:r>
            <w:r>
              <w:rPr>
                <w:rFonts w:hint="eastAsia"/>
                <w:sz w:val="21"/>
                <w:szCs w:val="21"/>
                <w:lang w:val="en-US" w:eastAsia="zh-CN"/>
              </w:rPr>
              <w:t>2</w:t>
            </w:r>
            <w:r>
              <w:rPr>
                <w:rFonts w:hint="eastAsia"/>
                <w:sz w:val="21"/>
                <w:szCs w:val="21"/>
              </w:rPr>
              <w:t>。</w:t>
            </w:r>
          </w:p>
          <w:p>
            <w:pPr>
              <w:widowControl/>
              <w:jc w:val="center"/>
              <w:rPr>
                <w:rFonts w:hint="eastAsia" w:eastAsia="宋体"/>
                <w:b/>
                <w:bCs/>
                <w:szCs w:val="21"/>
                <w:lang w:val="en-US" w:eastAsia="zh-CN" w:bidi="ar"/>
              </w:rPr>
            </w:pPr>
            <w:r>
              <w:rPr>
                <w:b/>
                <w:bCs/>
                <w:szCs w:val="21"/>
                <w:lang w:bidi="ar"/>
              </w:rPr>
              <w:t>表1-</w:t>
            </w:r>
            <w:r>
              <w:rPr>
                <w:rFonts w:hint="eastAsia"/>
                <w:b/>
                <w:bCs/>
                <w:szCs w:val="21"/>
                <w:lang w:bidi="ar"/>
              </w:rPr>
              <w:t>2</w:t>
            </w:r>
            <w:r>
              <w:rPr>
                <w:rFonts w:hint="eastAsia" w:ascii="宋体" w:hAnsi="宋体" w:cs="宋体"/>
                <w:b/>
                <w:bCs/>
                <w:color w:val="000000"/>
                <w:kern w:val="0"/>
                <w:szCs w:val="21"/>
                <w:lang w:bidi="ar"/>
              </w:rPr>
              <w:t>本项目与</w:t>
            </w:r>
            <w:r>
              <w:rPr>
                <w:rFonts w:hint="eastAsia" w:ascii="宋体" w:hAnsi="宋体" w:cs="宋体"/>
                <w:b/>
                <w:bCs/>
                <w:color w:val="000000"/>
                <w:kern w:val="0"/>
                <w:szCs w:val="21"/>
                <w:lang w:val="en-US" w:eastAsia="zh-CN" w:bidi="ar"/>
              </w:rPr>
              <w:t>西安市</w:t>
            </w:r>
            <w:r>
              <w:rPr>
                <w:b/>
                <w:bCs/>
                <w:color w:val="000000"/>
                <w:kern w:val="0"/>
                <w:szCs w:val="21"/>
                <w:lang w:bidi="ar"/>
              </w:rPr>
              <w:t>“</w:t>
            </w:r>
            <w:r>
              <w:rPr>
                <w:rFonts w:hint="eastAsia" w:ascii="宋体" w:hAnsi="宋体" w:cs="宋体"/>
                <w:b/>
                <w:bCs/>
                <w:color w:val="000000"/>
                <w:kern w:val="0"/>
                <w:szCs w:val="21"/>
                <w:lang w:bidi="ar"/>
              </w:rPr>
              <w:t>三线一单</w:t>
            </w:r>
            <w:r>
              <w:rPr>
                <w:b/>
                <w:bCs/>
                <w:color w:val="000000"/>
                <w:kern w:val="0"/>
                <w:szCs w:val="21"/>
                <w:lang w:bidi="ar"/>
              </w:rPr>
              <w:t>”</w:t>
            </w:r>
            <w:r>
              <w:rPr>
                <w:rFonts w:hint="eastAsia" w:ascii="宋体" w:hAnsi="宋体" w:cs="宋体"/>
                <w:b/>
                <w:bCs/>
                <w:color w:val="000000"/>
                <w:kern w:val="0"/>
                <w:szCs w:val="21"/>
                <w:lang w:bidi="ar"/>
              </w:rPr>
              <w:t>生态环境分区管控方案的符合性分析</w:t>
            </w:r>
            <w:r>
              <w:rPr>
                <w:rFonts w:hint="eastAsia" w:ascii="宋体" w:hAnsi="宋体" w:cs="宋体"/>
                <w:b/>
                <w:bCs/>
                <w:color w:val="000000"/>
                <w:kern w:val="0"/>
                <w:szCs w:val="21"/>
                <w:lang w:val="en-US" w:eastAsia="zh-CN" w:bidi="ar"/>
              </w:rPr>
              <w:t>表</w:t>
            </w:r>
          </w:p>
          <w:tbl>
            <w:tblPr>
              <w:tblStyle w:val="76"/>
              <w:tblW w:w="6679" w:type="dxa"/>
              <w:tblInd w:w="1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Layout w:type="fixed"/>
              <w:tblCellMar>
                <w:top w:w="0" w:type="dxa"/>
                <w:left w:w="0" w:type="dxa"/>
                <w:bottom w:w="0" w:type="dxa"/>
                <w:right w:w="0" w:type="dxa"/>
              </w:tblCellMar>
            </w:tblPr>
            <w:tblGrid>
              <w:gridCol w:w="350"/>
              <w:gridCol w:w="437"/>
              <w:gridCol w:w="405"/>
              <w:gridCol w:w="351"/>
              <w:gridCol w:w="383"/>
              <w:gridCol w:w="1817"/>
              <w:gridCol w:w="1916"/>
              <w:gridCol w:w="635"/>
              <w:gridCol w:w="38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474" w:hRule="atLeast"/>
              </w:trPr>
              <w:tc>
                <w:tcPr>
                  <w:tcW w:w="350" w:type="dxa"/>
                  <w:tcBorders>
                    <w:tl2br w:val="nil"/>
                    <w:tr2bl w:val="nil"/>
                  </w:tcBorders>
                  <w:noWrap w:val="0"/>
                  <w:vAlign w:val="center"/>
                </w:tcPr>
                <w:p>
                  <w:pPr>
                    <w:pStyle w:val="79"/>
                    <w:spacing w:before="90" w:line="207" w:lineRule="auto"/>
                    <w:jc w:val="center"/>
                    <w:rPr>
                      <w:b/>
                      <w:bCs/>
                      <w:sz w:val="21"/>
                      <w:szCs w:val="21"/>
                    </w:rPr>
                  </w:pPr>
                  <w:r>
                    <w:rPr>
                      <w:b/>
                      <w:bCs/>
                      <w:spacing w:val="35"/>
                      <w:sz w:val="21"/>
                      <w:szCs w:val="21"/>
                    </w:rPr>
                    <w:t>市区县</w:t>
                  </w:r>
                </w:p>
              </w:tc>
              <w:tc>
                <w:tcPr>
                  <w:tcW w:w="437" w:type="dxa"/>
                  <w:tcBorders>
                    <w:tl2br w:val="nil"/>
                    <w:tr2bl w:val="nil"/>
                  </w:tcBorders>
                  <w:noWrap w:val="0"/>
                  <w:vAlign w:val="center"/>
                </w:tcPr>
                <w:p>
                  <w:pPr>
                    <w:pStyle w:val="79"/>
                    <w:spacing w:before="50" w:line="239" w:lineRule="auto"/>
                    <w:jc w:val="center"/>
                    <w:rPr>
                      <w:b/>
                      <w:bCs/>
                      <w:sz w:val="21"/>
                      <w:szCs w:val="21"/>
                    </w:rPr>
                  </w:pPr>
                  <w:r>
                    <w:rPr>
                      <w:b/>
                      <w:bCs/>
                      <w:spacing w:val="-4"/>
                      <w:sz w:val="21"/>
                      <w:szCs w:val="21"/>
                    </w:rPr>
                    <w:t>环境</w:t>
                  </w:r>
                  <w:r>
                    <w:rPr>
                      <w:b/>
                      <w:bCs/>
                      <w:spacing w:val="-6"/>
                      <w:sz w:val="21"/>
                      <w:szCs w:val="21"/>
                    </w:rPr>
                    <w:t>管控</w:t>
                  </w:r>
                  <w:r>
                    <w:rPr>
                      <w:b/>
                      <w:bCs/>
                      <w:spacing w:val="-5"/>
                      <w:sz w:val="21"/>
                      <w:szCs w:val="21"/>
                    </w:rPr>
                    <w:t>单位名称</w:t>
                  </w:r>
                </w:p>
              </w:tc>
              <w:tc>
                <w:tcPr>
                  <w:tcW w:w="405" w:type="dxa"/>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21"/>
                      <w:szCs w:val="21"/>
                    </w:rPr>
                  </w:pPr>
                  <w:r>
                    <w:rPr>
                      <w:b/>
                      <w:bCs/>
                      <w:spacing w:val="-6"/>
                      <w:sz w:val="21"/>
                      <w:szCs w:val="21"/>
                    </w:rPr>
                    <w:t>管控</w:t>
                  </w:r>
                  <w:r>
                    <w:rPr>
                      <w:b/>
                      <w:bCs/>
                      <w:spacing w:val="-5"/>
                      <w:sz w:val="21"/>
                      <w:szCs w:val="21"/>
                    </w:rPr>
                    <w:t>单元分类</w:t>
                  </w:r>
                </w:p>
              </w:tc>
              <w:tc>
                <w:tcPr>
                  <w:tcW w:w="351" w:type="dxa"/>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sz w:val="21"/>
                      <w:szCs w:val="21"/>
                    </w:rPr>
                  </w:pPr>
                  <w:r>
                    <w:rPr>
                      <w:b/>
                      <w:bCs/>
                      <w:spacing w:val="-5"/>
                      <w:sz w:val="21"/>
                      <w:szCs w:val="21"/>
                    </w:rPr>
                    <w:t>单元</w:t>
                  </w:r>
                  <w:r>
                    <w:rPr>
                      <w:b/>
                      <w:bCs/>
                      <w:spacing w:val="-4"/>
                      <w:sz w:val="21"/>
                      <w:szCs w:val="21"/>
                    </w:rPr>
                    <w:t>要素</w:t>
                  </w:r>
                  <w:r>
                    <w:rPr>
                      <w:b/>
                      <w:bCs/>
                      <w:spacing w:val="-5"/>
                      <w:sz w:val="21"/>
                      <w:szCs w:val="21"/>
                    </w:rPr>
                    <w:t>属性</w:t>
                  </w:r>
                </w:p>
              </w:tc>
              <w:tc>
                <w:tcPr>
                  <w:tcW w:w="2200" w:type="dxa"/>
                  <w:gridSpan w:val="2"/>
                  <w:tcBorders>
                    <w:tl2br w:val="nil"/>
                    <w:tr2bl w:val="nil"/>
                  </w:tcBorders>
                  <w:noWrap w:val="0"/>
                  <w:vAlign w:val="center"/>
                </w:tcPr>
                <w:p>
                  <w:pPr>
                    <w:pStyle w:val="79"/>
                    <w:spacing w:before="59" w:line="220" w:lineRule="auto"/>
                    <w:jc w:val="center"/>
                    <w:rPr>
                      <w:b/>
                      <w:bCs/>
                      <w:sz w:val="21"/>
                      <w:szCs w:val="21"/>
                    </w:rPr>
                  </w:pPr>
                  <w:r>
                    <w:rPr>
                      <w:b/>
                      <w:bCs/>
                      <w:spacing w:val="-3"/>
                      <w:sz w:val="21"/>
                      <w:szCs w:val="21"/>
                    </w:rPr>
                    <w:t>管控要求</w:t>
                  </w:r>
                </w:p>
              </w:tc>
              <w:tc>
                <w:tcPr>
                  <w:tcW w:w="1916" w:type="dxa"/>
                  <w:tcBorders>
                    <w:right w:val="single" w:color="000000" w:sz="4" w:space="0"/>
                    <w:tl2br w:val="nil"/>
                    <w:tr2bl w:val="nil"/>
                  </w:tcBorders>
                  <w:noWrap w:val="0"/>
                  <w:vAlign w:val="center"/>
                </w:tcPr>
                <w:p>
                  <w:pPr>
                    <w:pStyle w:val="79"/>
                    <w:spacing w:before="58" w:line="221" w:lineRule="auto"/>
                    <w:jc w:val="center"/>
                    <w:rPr>
                      <w:b/>
                      <w:bCs/>
                      <w:sz w:val="21"/>
                      <w:szCs w:val="21"/>
                    </w:rPr>
                  </w:pPr>
                  <w:r>
                    <w:rPr>
                      <w:b/>
                      <w:bCs/>
                      <w:spacing w:val="8"/>
                      <w:sz w:val="21"/>
                      <w:szCs w:val="21"/>
                    </w:rPr>
                    <w:t>项目情况</w:t>
                  </w:r>
                </w:p>
              </w:tc>
              <w:tc>
                <w:tcPr>
                  <w:tcW w:w="635" w:type="dxa"/>
                  <w:tcBorders>
                    <w:left w:val="single" w:color="000000" w:sz="4" w:space="0"/>
                    <w:tl2br w:val="nil"/>
                    <w:tr2bl w:val="nil"/>
                  </w:tcBorders>
                  <w:noWrap w:val="0"/>
                  <w:vAlign w:val="center"/>
                </w:tcPr>
                <w:p>
                  <w:pPr>
                    <w:bidi w:val="0"/>
                    <w:jc w:val="center"/>
                    <w:rPr>
                      <w:sz w:val="21"/>
                      <w:szCs w:val="21"/>
                    </w:rPr>
                  </w:pPr>
                  <w:r>
                    <w:rPr>
                      <w:b/>
                      <w:bCs/>
                      <w:spacing w:val="26"/>
                      <w:sz w:val="21"/>
                      <w:szCs w:val="21"/>
                    </w:rPr>
                    <w:t>面积</w:t>
                  </w:r>
                </w:p>
              </w:tc>
              <w:tc>
                <w:tcPr>
                  <w:tcW w:w="385" w:type="dxa"/>
                  <w:tcBorders>
                    <w:tl2br w:val="nil"/>
                    <w:tr2bl w:val="nil"/>
                  </w:tcBorders>
                  <w:noWrap w:val="0"/>
                  <w:vAlign w:val="center"/>
                </w:tcPr>
                <w:p>
                  <w:pPr>
                    <w:pStyle w:val="79"/>
                    <w:spacing w:before="138" w:line="208" w:lineRule="auto"/>
                    <w:jc w:val="center"/>
                    <w:rPr>
                      <w:b/>
                      <w:bCs/>
                      <w:sz w:val="21"/>
                      <w:szCs w:val="21"/>
                    </w:rPr>
                  </w:pPr>
                  <w:r>
                    <w:rPr>
                      <w:b/>
                      <w:bCs/>
                      <w:spacing w:val="35"/>
                      <w:sz w:val="21"/>
                      <w:szCs w:val="21"/>
                    </w:rPr>
                    <w:t>符合性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1346" w:hRule="atLeast"/>
              </w:trPr>
              <w:tc>
                <w:tcPr>
                  <w:tcW w:w="350" w:type="dxa"/>
                  <w:vMerge w:val="restart"/>
                  <w:tcBorders>
                    <w:tl2br w:val="nil"/>
                    <w:tr2bl w:val="nil"/>
                  </w:tcBorders>
                  <w:noWrap w:val="0"/>
                  <w:vAlign w:val="center"/>
                </w:tcPr>
                <w:p>
                  <w:pPr>
                    <w:pStyle w:val="79"/>
                    <w:spacing w:before="89" w:line="209" w:lineRule="auto"/>
                    <w:ind w:left="2961"/>
                    <w:jc w:val="center"/>
                    <w:rPr>
                      <w:sz w:val="21"/>
                      <w:szCs w:val="21"/>
                    </w:rPr>
                  </w:pPr>
                  <w:r>
                    <w:rPr>
                      <w:spacing w:val="44"/>
                      <w:sz w:val="21"/>
                      <w:szCs w:val="21"/>
                    </w:rPr>
                    <w:t>西安市灞桥区</w:t>
                  </w:r>
                </w:p>
              </w:tc>
              <w:tc>
                <w:tcPr>
                  <w:tcW w:w="437" w:type="dxa"/>
                  <w:vMerge w:val="restart"/>
                  <w:tcBorders>
                    <w:tl2br w:val="nil"/>
                    <w:tr2bl w:val="nil"/>
                  </w:tcBorders>
                  <w:noWrap w:val="0"/>
                  <w:vAlign w:val="center"/>
                </w:tcPr>
                <w:p>
                  <w:pPr>
                    <w:pStyle w:val="79"/>
                    <w:spacing w:before="58" w:line="239" w:lineRule="auto"/>
                    <w:jc w:val="center"/>
                    <w:rPr>
                      <w:sz w:val="21"/>
                      <w:szCs w:val="21"/>
                    </w:rPr>
                  </w:pPr>
                  <w:r>
                    <w:rPr>
                      <w:spacing w:val="-6"/>
                      <w:sz w:val="21"/>
                      <w:szCs w:val="21"/>
                    </w:rPr>
                    <w:t>西安市重</w:t>
                  </w:r>
                  <w:r>
                    <w:rPr>
                      <w:spacing w:val="-7"/>
                      <w:sz w:val="21"/>
                      <w:szCs w:val="21"/>
                    </w:rPr>
                    <w:t>点管</w:t>
                  </w:r>
                  <w:r>
                    <w:rPr>
                      <w:spacing w:val="-4"/>
                      <w:sz w:val="21"/>
                      <w:szCs w:val="21"/>
                    </w:rPr>
                    <w:t>控区</w:t>
                  </w:r>
                </w:p>
              </w:tc>
              <w:tc>
                <w:tcPr>
                  <w:tcW w:w="405" w:type="dxa"/>
                  <w:vMerge w:val="restart"/>
                  <w:tcBorders>
                    <w:tl2br w:val="nil"/>
                    <w:tr2bl w:val="nil"/>
                  </w:tcBorders>
                  <w:noWrap w:val="0"/>
                  <w:vAlign w:val="center"/>
                </w:tcPr>
                <w:p>
                  <w:pPr>
                    <w:pStyle w:val="79"/>
                    <w:spacing w:before="59" w:line="239" w:lineRule="auto"/>
                    <w:jc w:val="both"/>
                    <w:rPr>
                      <w:sz w:val="21"/>
                      <w:szCs w:val="21"/>
                    </w:rPr>
                  </w:pPr>
                  <w:r>
                    <w:rPr>
                      <w:spacing w:val="-4"/>
                      <w:sz w:val="21"/>
                      <w:szCs w:val="21"/>
                    </w:rPr>
                    <w:t>重点</w:t>
                  </w:r>
                  <w:r>
                    <w:rPr>
                      <w:spacing w:val="-6"/>
                      <w:sz w:val="21"/>
                      <w:szCs w:val="21"/>
                    </w:rPr>
                    <w:t>管控</w:t>
                  </w:r>
                  <w:r>
                    <w:rPr>
                      <w:spacing w:val="-5"/>
                      <w:sz w:val="21"/>
                      <w:szCs w:val="21"/>
                    </w:rPr>
                    <w:t>单元</w:t>
                  </w:r>
                </w:p>
              </w:tc>
              <w:tc>
                <w:tcPr>
                  <w:tcW w:w="351" w:type="dxa"/>
                  <w:vMerge w:val="restart"/>
                  <w:tcBorders>
                    <w:tl2br w:val="nil"/>
                    <w:tr2bl w:val="nil"/>
                  </w:tcBorders>
                  <w:noWrap w:val="0"/>
                  <w:vAlign w:val="center"/>
                </w:tcPr>
                <w:p>
                  <w:pPr>
                    <w:pStyle w:val="79"/>
                    <w:spacing w:before="58" w:line="239" w:lineRule="auto"/>
                    <w:jc w:val="center"/>
                    <w:rPr>
                      <w:sz w:val="21"/>
                      <w:szCs w:val="21"/>
                    </w:rPr>
                  </w:pPr>
                  <w:r>
                    <w:rPr>
                      <w:spacing w:val="-5"/>
                      <w:sz w:val="21"/>
                      <w:szCs w:val="21"/>
                    </w:rPr>
                    <w:t>大气</w:t>
                  </w:r>
                  <w:r>
                    <w:rPr>
                      <w:spacing w:val="-4"/>
                      <w:sz w:val="21"/>
                      <w:szCs w:val="21"/>
                    </w:rPr>
                    <w:t>环境</w:t>
                  </w:r>
                </w:p>
              </w:tc>
              <w:tc>
                <w:tcPr>
                  <w:tcW w:w="383" w:type="dxa"/>
                  <w:tcBorders>
                    <w:tl2br w:val="nil"/>
                    <w:tr2bl w:val="nil"/>
                  </w:tcBorders>
                  <w:noWrap w:val="0"/>
                  <w:vAlign w:val="center"/>
                </w:tcPr>
                <w:p>
                  <w:pPr>
                    <w:pStyle w:val="79"/>
                    <w:spacing w:before="117" w:line="207" w:lineRule="auto"/>
                    <w:ind w:left="29"/>
                    <w:jc w:val="center"/>
                    <w:rPr>
                      <w:sz w:val="21"/>
                      <w:szCs w:val="21"/>
                    </w:rPr>
                  </w:pPr>
                  <w:r>
                    <w:rPr>
                      <w:spacing w:val="44"/>
                      <w:sz w:val="21"/>
                      <w:szCs w:val="21"/>
                    </w:rPr>
                    <w:t>空间布局约束</w:t>
                  </w:r>
                </w:p>
              </w:tc>
              <w:tc>
                <w:tcPr>
                  <w:tcW w:w="1817" w:type="dxa"/>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snapToGrid/>
                    <w:spacing w:line="240" w:lineRule="auto"/>
                    <w:ind w:right="96"/>
                    <w:jc w:val="center"/>
                    <w:textAlignment w:val="auto"/>
                    <w:rPr>
                      <w:sz w:val="21"/>
                      <w:szCs w:val="21"/>
                    </w:rPr>
                  </w:pPr>
                  <w:r>
                    <w:rPr>
                      <w:spacing w:val="-3"/>
                      <w:sz w:val="21"/>
                      <w:szCs w:val="21"/>
                    </w:rPr>
                    <w:t>大气污染防治重</w:t>
                  </w:r>
                  <w:r>
                    <w:rPr>
                      <w:spacing w:val="-2"/>
                      <w:sz w:val="21"/>
                      <w:szCs w:val="21"/>
                    </w:rPr>
                    <w:t>点区域严禁新增</w:t>
                  </w:r>
                  <w:r>
                    <w:rPr>
                      <w:spacing w:val="-5"/>
                      <w:sz w:val="21"/>
                      <w:szCs w:val="21"/>
                    </w:rPr>
                    <w:t>钢铁、水泥熟料、</w:t>
                  </w:r>
                  <w:r>
                    <w:rPr>
                      <w:spacing w:val="-6"/>
                      <w:sz w:val="21"/>
                      <w:szCs w:val="21"/>
                    </w:rPr>
                    <w:t>平板玻璃、炼化产</w:t>
                  </w:r>
                  <w:r>
                    <w:rPr>
                      <w:spacing w:val="-3"/>
                      <w:sz w:val="21"/>
                      <w:szCs w:val="21"/>
                    </w:rPr>
                    <w:t>能。</w:t>
                  </w:r>
                </w:p>
              </w:tc>
              <w:tc>
                <w:tcPr>
                  <w:tcW w:w="1916" w:type="dxa"/>
                  <w:tcBorders>
                    <w:right w:val="single" w:color="000000" w:sz="4" w:space="0"/>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snapToGrid/>
                    <w:spacing w:line="240" w:lineRule="auto"/>
                    <w:ind w:right="62"/>
                    <w:jc w:val="center"/>
                    <w:textAlignment w:val="auto"/>
                    <w:rPr>
                      <w:sz w:val="21"/>
                      <w:szCs w:val="21"/>
                    </w:rPr>
                  </w:pPr>
                  <w:r>
                    <w:rPr>
                      <w:spacing w:val="-3"/>
                      <w:sz w:val="21"/>
                      <w:szCs w:val="21"/>
                    </w:rPr>
                    <w:t>项目属于机动车燃油零售项</w:t>
                  </w:r>
                  <w:r>
                    <w:rPr>
                      <w:spacing w:val="-11"/>
                      <w:sz w:val="21"/>
                      <w:szCs w:val="21"/>
                    </w:rPr>
                    <w:t>目，不属于重点</w:t>
                  </w:r>
                  <w:r>
                    <w:rPr>
                      <w:spacing w:val="-3"/>
                      <w:sz w:val="21"/>
                      <w:szCs w:val="21"/>
                    </w:rPr>
                    <w:t>管控区所列的</w:t>
                  </w:r>
                  <w:r>
                    <w:rPr>
                      <w:spacing w:val="-6"/>
                      <w:sz w:val="21"/>
                      <w:szCs w:val="21"/>
                    </w:rPr>
                    <w:t>严禁新增行业。</w:t>
                  </w:r>
                </w:p>
              </w:tc>
              <w:tc>
                <w:tcPr>
                  <w:tcW w:w="635" w:type="dxa"/>
                  <w:vMerge w:val="restart"/>
                  <w:tcBorders>
                    <w:left w:val="single" w:color="000000" w:sz="4" w:space="0"/>
                    <w:tl2br w:val="nil"/>
                    <w:tr2bl w:val="nil"/>
                  </w:tcBorders>
                  <w:noWrap w:val="0"/>
                  <w:vAlign w:val="center"/>
                </w:tcPr>
                <w:p>
                  <w:pPr>
                    <w:pStyle w:val="79"/>
                    <w:spacing w:before="144" w:line="236" w:lineRule="auto"/>
                    <w:ind w:left="117" w:right="60" w:firstLine="2"/>
                    <w:jc w:val="center"/>
                    <w:rPr>
                      <w:spacing w:val="-3"/>
                      <w:sz w:val="21"/>
                      <w:szCs w:val="21"/>
                    </w:rPr>
                  </w:pPr>
                  <w:r>
                    <w:rPr>
                      <w:rFonts w:hint="eastAsia" w:ascii="Times New Roman" w:hAnsi="Times New Roman" w:cs="Times New Roman"/>
                      <w:spacing w:val="1"/>
                      <w:position w:val="-2"/>
                      <w:sz w:val="21"/>
                      <w:szCs w:val="21"/>
                      <w:lang w:val="en-US" w:eastAsia="zh-CN"/>
                    </w:rPr>
                    <w:t>4159.69</w:t>
                  </w:r>
                  <w:r>
                    <w:rPr>
                      <w:rFonts w:ascii="Times New Roman" w:hAnsi="Times New Roman" w:eastAsia="Times New Roman" w:cs="Times New Roman"/>
                      <w:spacing w:val="1"/>
                      <w:position w:val="-2"/>
                      <w:sz w:val="21"/>
                      <w:szCs w:val="21"/>
                    </w:rPr>
                    <w:t>m</w:t>
                  </w:r>
                  <w:r>
                    <w:rPr>
                      <w:rFonts w:ascii="Times New Roman" w:hAnsi="Times New Roman" w:eastAsia="Times New Roman" w:cs="Times New Roman"/>
                      <w:spacing w:val="1"/>
                      <w:position w:val="3"/>
                      <w:sz w:val="21"/>
                      <w:szCs w:val="21"/>
                    </w:rPr>
                    <w:t>2</w:t>
                  </w:r>
                </w:p>
              </w:tc>
              <w:tc>
                <w:tcPr>
                  <w:tcW w:w="385" w:type="dxa"/>
                  <w:tcBorders>
                    <w:tl2br w:val="nil"/>
                    <w:tr2bl w:val="nil"/>
                  </w:tcBorders>
                  <w:noWrap w:val="0"/>
                  <w:vAlign w:val="center"/>
                </w:tcPr>
                <w:p>
                  <w:pPr>
                    <w:pStyle w:val="79"/>
                    <w:spacing w:before="128" w:line="207" w:lineRule="auto"/>
                    <w:jc w:val="center"/>
                    <w:rPr>
                      <w:rFonts w:hint="eastAsia" w:eastAsia="宋体"/>
                      <w:sz w:val="21"/>
                      <w:szCs w:val="21"/>
                      <w:lang w:eastAsia="zh-CN"/>
                    </w:rPr>
                  </w:pPr>
                  <w:r>
                    <w:rPr>
                      <w:rFonts w:hint="eastAsia"/>
                      <w:spacing w:val="26"/>
                      <w:sz w:val="21"/>
                      <w:szCs w:val="21"/>
                      <w:lang w:val="en-US" w:eastAsia="zh-CN"/>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1345" w:hRule="atLeast"/>
              </w:trPr>
              <w:tc>
                <w:tcPr>
                  <w:tcW w:w="350" w:type="dxa"/>
                  <w:vMerge w:val="continue"/>
                  <w:tcBorders>
                    <w:tl2br w:val="nil"/>
                    <w:tr2bl w:val="nil"/>
                  </w:tcBorders>
                  <w:noWrap w:val="0"/>
                  <w:vAlign w:val="center"/>
                </w:tcPr>
                <w:p>
                  <w:pPr>
                    <w:jc w:val="center"/>
                    <w:rPr>
                      <w:rFonts w:ascii="Arial"/>
                      <w:sz w:val="21"/>
                      <w:szCs w:val="21"/>
                    </w:rPr>
                  </w:pPr>
                </w:p>
              </w:tc>
              <w:tc>
                <w:tcPr>
                  <w:tcW w:w="437" w:type="dxa"/>
                  <w:vMerge w:val="continue"/>
                  <w:tcBorders>
                    <w:tl2br w:val="nil"/>
                    <w:tr2bl w:val="nil"/>
                  </w:tcBorders>
                  <w:noWrap w:val="0"/>
                  <w:vAlign w:val="center"/>
                </w:tcPr>
                <w:p>
                  <w:pPr>
                    <w:jc w:val="center"/>
                    <w:rPr>
                      <w:rFonts w:ascii="Arial"/>
                      <w:sz w:val="21"/>
                      <w:szCs w:val="21"/>
                    </w:rPr>
                  </w:pPr>
                </w:p>
              </w:tc>
              <w:tc>
                <w:tcPr>
                  <w:tcW w:w="405" w:type="dxa"/>
                  <w:vMerge w:val="continue"/>
                  <w:tcBorders>
                    <w:tl2br w:val="nil"/>
                    <w:tr2bl w:val="nil"/>
                  </w:tcBorders>
                  <w:noWrap w:val="0"/>
                  <w:vAlign w:val="center"/>
                </w:tcPr>
                <w:p>
                  <w:pPr>
                    <w:jc w:val="center"/>
                    <w:rPr>
                      <w:rFonts w:ascii="Arial"/>
                      <w:sz w:val="21"/>
                      <w:szCs w:val="21"/>
                    </w:rPr>
                  </w:pPr>
                </w:p>
              </w:tc>
              <w:tc>
                <w:tcPr>
                  <w:tcW w:w="351" w:type="dxa"/>
                  <w:vMerge w:val="continue"/>
                  <w:tcBorders>
                    <w:tl2br w:val="nil"/>
                    <w:tr2bl w:val="nil"/>
                  </w:tcBorders>
                  <w:noWrap w:val="0"/>
                  <w:vAlign w:val="center"/>
                </w:tcPr>
                <w:p>
                  <w:pPr>
                    <w:jc w:val="center"/>
                    <w:rPr>
                      <w:rFonts w:ascii="Arial"/>
                      <w:sz w:val="21"/>
                      <w:szCs w:val="21"/>
                    </w:rPr>
                  </w:pPr>
                </w:p>
              </w:tc>
              <w:tc>
                <w:tcPr>
                  <w:tcW w:w="383" w:type="dxa"/>
                  <w:tcBorders>
                    <w:tl2br w:val="nil"/>
                    <w:tr2bl w:val="nil"/>
                  </w:tcBorders>
                  <w:noWrap w:val="0"/>
                  <w:vAlign w:val="center"/>
                </w:tcPr>
                <w:p>
                  <w:pPr>
                    <w:pStyle w:val="79"/>
                    <w:spacing w:before="116" w:line="209" w:lineRule="auto"/>
                    <w:jc w:val="center"/>
                    <w:rPr>
                      <w:sz w:val="21"/>
                      <w:szCs w:val="21"/>
                    </w:rPr>
                  </w:pPr>
                  <w:r>
                    <w:rPr>
                      <w:rFonts w:ascii="宋体" w:hAnsi="宋体" w:eastAsia="宋体" w:cs="宋体"/>
                      <w:spacing w:val="44"/>
                      <w:sz w:val="21"/>
                      <w:szCs w:val="21"/>
                    </w:rPr>
                    <w:t>污染物排放管控</w:t>
                  </w:r>
                </w:p>
              </w:tc>
              <w:tc>
                <w:tcPr>
                  <w:tcW w:w="1817" w:type="dxa"/>
                  <w:tcBorders>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snapToGrid/>
                    <w:spacing w:line="240" w:lineRule="auto"/>
                    <w:ind w:right="102"/>
                    <w:jc w:val="center"/>
                    <w:textAlignment w:val="auto"/>
                    <w:rPr>
                      <w:sz w:val="21"/>
                      <w:szCs w:val="21"/>
                    </w:rPr>
                  </w:pPr>
                  <w:r>
                    <w:rPr>
                      <w:spacing w:val="-6"/>
                      <w:sz w:val="21"/>
                      <w:szCs w:val="21"/>
                    </w:rPr>
                    <w:t>控制氮氧化物、颗粒物、挥发性有机物的排放，特别是</w:t>
                  </w:r>
                  <w:r>
                    <w:rPr>
                      <w:spacing w:val="-1"/>
                      <w:sz w:val="21"/>
                      <w:szCs w:val="21"/>
                    </w:rPr>
                    <w:t>挥发性有机物的</w:t>
                  </w:r>
                  <w:r>
                    <w:rPr>
                      <w:spacing w:val="-6"/>
                      <w:sz w:val="21"/>
                      <w:szCs w:val="21"/>
                    </w:rPr>
                    <w:t>排放；污染物执行</w:t>
                  </w:r>
                  <w:r>
                    <w:rPr>
                      <w:spacing w:val="-1"/>
                      <w:sz w:val="21"/>
                      <w:szCs w:val="21"/>
                    </w:rPr>
                    <w:t>超低排放或特别</w:t>
                  </w:r>
                  <w:r>
                    <w:rPr>
                      <w:spacing w:val="-2"/>
                      <w:sz w:val="21"/>
                      <w:szCs w:val="21"/>
                    </w:rPr>
                    <w:t>排放限值。</w:t>
                  </w:r>
                </w:p>
              </w:tc>
              <w:tc>
                <w:tcPr>
                  <w:tcW w:w="1916" w:type="dxa"/>
                  <w:tcBorders>
                    <w:right w:val="single" w:color="000000" w:sz="4" w:space="0"/>
                    <w:tl2br w:val="nil"/>
                    <w:tr2bl w:val="nil"/>
                  </w:tcBorders>
                  <w:noWrap w:val="0"/>
                  <w:vAlign w:val="center"/>
                </w:tcPr>
                <w:p>
                  <w:pPr>
                    <w:pStyle w:val="79"/>
                    <w:spacing w:before="31" w:line="237" w:lineRule="auto"/>
                    <w:ind w:right="97"/>
                    <w:jc w:val="center"/>
                    <w:rPr>
                      <w:sz w:val="21"/>
                      <w:szCs w:val="21"/>
                    </w:rPr>
                  </w:pPr>
                  <w:r>
                    <w:rPr>
                      <w:spacing w:val="-2"/>
                      <w:sz w:val="21"/>
                      <w:szCs w:val="21"/>
                    </w:rPr>
                    <w:t>项目产生的非甲烷总烃经三级油气回收处</w:t>
                  </w:r>
                  <w:r>
                    <w:rPr>
                      <w:spacing w:val="-11"/>
                      <w:sz w:val="21"/>
                      <w:szCs w:val="21"/>
                    </w:rPr>
                    <w:t>理后排放，废气执行《加油站大</w:t>
                  </w:r>
                  <w:r>
                    <w:rPr>
                      <w:spacing w:val="-2"/>
                      <w:sz w:val="21"/>
                      <w:szCs w:val="21"/>
                    </w:rPr>
                    <w:t>气污染物排放</w:t>
                  </w:r>
                  <w:r>
                    <w:rPr>
                      <w:spacing w:val="-3"/>
                      <w:sz w:val="21"/>
                      <w:szCs w:val="21"/>
                    </w:rPr>
                    <w:t>标准》</w:t>
                  </w:r>
                </w:p>
                <w:p>
                  <w:pPr>
                    <w:pStyle w:val="79"/>
                    <w:spacing w:before="18" w:line="216" w:lineRule="auto"/>
                    <w:ind w:right="168" w:firstLine="13"/>
                    <w:jc w:val="center"/>
                    <w:rPr>
                      <w:sz w:val="21"/>
                      <w:szCs w:val="21"/>
                    </w:rPr>
                  </w:pPr>
                  <w:r>
                    <w:rPr>
                      <w:spacing w:val="-2"/>
                      <w:sz w:val="21"/>
                      <w:szCs w:val="21"/>
                    </w:rPr>
                    <w:t>（</w:t>
                  </w:r>
                  <w:r>
                    <w:rPr>
                      <w:rFonts w:ascii="Times New Roman" w:hAnsi="Times New Roman" w:eastAsia="Times New Roman" w:cs="Times New Roman"/>
                      <w:spacing w:val="-2"/>
                      <w:sz w:val="21"/>
                      <w:szCs w:val="21"/>
                    </w:rPr>
                    <w:t>GB20952-20</w:t>
                  </w:r>
                  <w:r>
                    <w:rPr>
                      <w:rFonts w:ascii="Times New Roman" w:hAnsi="Times New Roman" w:eastAsia="Times New Roman" w:cs="Times New Roman"/>
                      <w:spacing w:val="-1"/>
                      <w:sz w:val="21"/>
                      <w:szCs w:val="21"/>
                    </w:rPr>
                    <w:t>20</w:t>
                  </w:r>
                  <w:r>
                    <w:rPr>
                      <w:spacing w:val="-1"/>
                      <w:sz w:val="21"/>
                      <w:szCs w:val="21"/>
                    </w:rPr>
                    <w:t>）。</w:t>
                  </w:r>
                </w:p>
              </w:tc>
              <w:tc>
                <w:tcPr>
                  <w:tcW w:w="635" w:type="dxa"/>
                  <w:vMerge w:val="continue"/>
                  <w:tcBorders>
                    <w:left w:val="single" w:color="000000" w:sz="4" w:space="0"/>
                    <w:tl2br w:val="nil"/>
                    <w:tr2bl w:val="nil"/>
                  </w:tcBorders>
                  <w:noWrap w:val="0"/>
                  <w:vAlign w:val="center"/>
                </w:tcPr>
                <w:p>
                  <w:pPr>
                    <w:pStyle w:val="79"/>
                    <w:spacing w:before="18" w:line="216" w:lineRule="auto"/>
                    <w:ind w:right="168" w:firstLine="13"/>
                    <w:jc w:val="center"/>
                    <w:rPr>
                      <w:spacing w:val="-2"/>
                      <w:sz w:val="21"/>
                      <w:szCs w:val="21"/>
                    </w:rPr>
                  </w:pPr>
                </w:p>
              </w:tc>
              <w:tc>
                <w:tcPr>
                  <w:tcW w:w="385" w:type="dxa"/>
                  <w:tcBorders>
                    <w:tl2br w:val="nil"/>
                    <w:tr2bl w:val="nil"/>
                  </w:tcBorders>
                  <w:noWrap w:val="0"/>
                  <w:vAlign w:val="center"/>
                </w:tcPr>
                <w:p>
                  <w:pPr>
                    <w:pStyle w:val="79"/>
                    <w:spacing w:before="128" w:line="207" w:lineRule="auto"/>
                    <w:jc w:val="center"/>
                    <w:rPr>
                      <w:sz w:val="21"/>
                      <w:szCs w:val="21"/>
                    </w:rPr>
                  </w:pPr>
                  <w:r>
                    <w:rPr>
                      <w:spacing w:val="26"/>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99" w:hRule="atLeast"/>
              </w:trPr>
              <w:tc>
                <w:tcPr>
                  <w:tcW w:w="350" w:type="dxa"/>
                  <w:vMerge w:val="continue"/>
                  <w:tcBorders>
                    <w:tl2br w:val="nil"/>
                    <w:tr2bl w:val="nil"/>
                  </w:tcBorders>
                  <w:noWrap w:val="0"/>
                  <w:vAlign w:val="center"/>
                </w:tcPr>
                <w:p>
                  <w:pPr>
                    <w:jc w:val="center"/>
                    <w:rPr>
                      <w:rFonts w:ascii="Arial"/>
                      <w:sz w:val="21"/>
                      <w:szCs w:val="21"/>
                    </w:rPr>
                  </w:pPr>
                </w:p>
              </w:tc>
              <w:tc>
                <w:tcPr>
                  <w:tcW w:w="437" w:type="dxa"/>
                  <w:vMerge w:val="continue"/>
                  <w:tcBorders>
                    <w:tl2br w:val="nil"/>
                    <w:tr2bl w:val="nil"/>
                  </w:tcBorders>
                  <w:noWrap w:val="0"/>
                  <w:vAlign w:val="center"/>
                </w:tcPr>
                <w:p>
                  <w:pPr>
                    <w:jc w:val="center"/>
                    <w:rPr>
                      <w:rFonts w:ascii="Arial"/>
                      <w:sz w:val="21"/>
                      <w:szCs w:val="21"/>
                    </w:rPr>
                  </w:pPr>
                </w:p>
              </w:tc>
              <w:tc>
                <w:tcPr>
                  <w:tcW w:w="405" w:type="dxa"/>
                  <w:vMerge w:val="continue"/>
                  <w:tcBorders>
                    <w:tl2br w:val="nil"/>
                    <w:tr2bl w:val="nil"/>
                  </w:tcBorders>
                  <w:noWrap w:val="0"/>
                  <w:vAlign w:val="center"/>
                </w:tcPr>
                <w:p>
                  <w:pPr>
                    <w:jc w:val="center"/>
                    <w:rPr>
                      <w:rFonts w:ascii="Arial"/>
                      <w:sz w:val="21"/>
                      <w:szCs w:val="21"/>
                    </w:rPr>
                  </w:pPr>
                </w:p>
              </w:tc>
              <w:tc>
                <w:tcPr>
                  <w:tcW w:w="351" w:type="dxa"/>
                  <w:vMerge w:val="restart"/>
                  <w:tcBorders>
                    <w:tl2br w:val="nil"/>
                    <w:tr2bl w:val="nil"/>
                  </w:tcBorders>
                  <w:noWrap w:val="0"/>
                  <w:vAlign w:val="center"/>
                </w:tcPr>
                <w:p>
                  <w:pPr>
                    <w:pStyle w:val="79"/>
                    <w:spacing w:before="59" w:line="241" w:lineRule="auto"/>
                    <w:jc w:val="center"/>
                    <w:rPr>
                      <w:sz w:val="21"/>
                      <w:szCs w:val="21"/>
                    </w:rPr>
                  </w:pPr>
                  <w:r>
                    <w:rPr>
                      <w:spacing w:val="-5"/>
                      <w:sz w:val="21"/>
                      <w:szCs w:val="21"/>
                    </w:rPr>
                    <w:t>水环</w:t>
                  </w:r>
                  <w:r>
                    <w:rPr>
                      <w:sz w:val="21"/>
                      <w:szCs w:val="21"/>
                    </w:rPr>
                    <w:t>境</w:t>
                  </w:r>
                </w:p>
              </w:tc>
              <w:tc>
                <w:tcPr>
                  <w:tcW w:w="383" w:type="dxa"/>
                  <w:tcBorders>
                    <w:tl2br w:val="nil"/>
                    <w:tr2bl w:val="nil"/>
                  </w:tcBorders>
                  <w:noWrap w:val="0"/>
                  <w:vAlign w:val="center"/>
                </w:tcPr>
                <w:p>
                  <w:pPr>
                    <w:pStyle w:val="79"/>
                    <w:spacing w:before="117" w:line="207" w:lineRule="auto"/>
                    <w:ind w:left="42"/>
                    <w:jc w:val="center"/>
                    <w:rPr>
                      <w:sz w:val="21"/>
                      <w:szCs w:val="21"/>
                    </w:rPr>
                  </w:pPr>
                  <w:r>
                    <w:rPr>
                      <w:spacing w:val="44"/>
                      <w:sz w:val="21"/>
                      <w:szCs w:val="21"/>
                    </w:rPr>
                    <w:t>空间布局约束</w:t>
                  </w:r>
                </w:p>
              </w:tc>
              <w:tc>
                <w:tcPr>
                  <w:tcW w:w="1817" w:type="dxa"/>
                  <w:tcBorders>
                    <w:tl2br w:val="nil"/>
                    <w:tr2bl w:val="nil"/>
                  </w:tcBorders>
                  <w:noWrap w:val="0"/>
                  <w:vAlign w:val="center"/>
                </w:tcPr>
                <w:p>
                  <w:pPr>
                    <w:pStyle w:val="79"/>
                    <w:spacing w:before="39" w:line="231" w:lineRule="auto"/>
                    <w:ind w:right="96"/>
                    <w:jc w:val="center"/>
                    <w:rPr>
                      <w:sz w:val="21"/>
                      <w:szCs w:val="21"/>
                    </w:rPr>
                  </w:pPr>
                  <w:r>
                    <w:rPr>
                      <w:spacing w:val="-6"/>
                      <w:sz w:val="21"/>
                      <w:szCs w:val="21"/>
                    </w:rPr>
                    <w:t>严格控制新建、扩</w:t>
                  </w:r>
                  <w:r>
                    <w:rPr>
                      <w:spacing w:val="-5"/>
                      <w:sz w:val="21"/>
                      <w:szCs w:val="21"/>
                    </w:rPr>
                    <w:t>建化学制浆造纸、</w:t>
                  </w:r>
                  <w:r>
                    <w:rPr>
                      <w:spacing w:val="-6"/>
                      <w:sz w:val="21"/>
                      <w:szCs w:val="21"/>
                    </w:rPr>
                    <w:t>化工、印染、果汁</w:t>
                  </w:r>
                  <w:r>
                    <w:rPr>
                      <w:spacing w:val="-3"/>
                      <w:sz w:val="21"/>
                      <w:szCs w:val="21"/>
                    </w:rPr>
                    <w:t>和淀粉加工等高耗水、高污染项</w:t>
                  </w:r>
                  <w:r>
                    <w:rPr>
                      <w:spacing w:val="-4"/>
                      <w:sz w:val="21"/>
                      <w:szCs w:val="21"/>
                    </w:rPr>
                    <w:t>目。</w:t>
                  </w:r>
                </w:p>
              </w:tc>
              <w:tc>
                <w:tcPr>
                  <w:tcW w:w="1916" w:type="dxa"/>
                  <w:tcBorders>
                    <w:right w:val="single" w:color="000000" w:sz="4" w:space="0"/>
                    <w:tl2br w:val="nil"/>
                    <w:tr2bl w:val="nil"/>
                  </w:tcBorders>
                  <w:noWrap w:val="0"/>
                  <w:vAlign w:val="center"/>
                </w:tcPr>
                <w:p>
                  <w:pPr>
                    <w:pStyle w:val="79"/>
                    <w:keepNext w:val="0"/>
                    <w:keepLines w:val="0"/>
                    <w:pageBreakBefore w:val="0"/>
                    <w:widowControl w:val="0"/>
                    <w:kinsoku/>
                    <w:wordWrap/>
                    <w:overflowPunct/>
                    <w:topLinePunct w:val="0"/>
                    <w:autoSpaceDE/>
                    <w:autoSpaceDN/>
                    <w:bidi w:val="0"/>
                    <w:adjustRightInd/>
                    <w:snapToGrid/>
                    <w:spacing w:line="240" w:lineRule="auto"/>
                    <w:ind w:right="96"/>
                    <w:jc w:val="center"/>
                    <w:textAlignment w:val="auto"/>
                    <w:rPr>
                      <w:sz w:val="21"/>
                      <w:szCs w:val="21"/>
                    </w:rPr>
                  </w:pPr>
                  <w:r>
                    <w:rPr>
                      <w:spacing w:val="-2"/>
                      <w:sz w:val="21"/>
                      <w:szCs w:val="21"/>
                    </w:rPr>
                    <w:t>项目不属于重点管控区所列</w:t>
                  </w:r>
                  <w:r>
                    <w:rPr>
                      <w:spacing w:val="-12"/>
                      <w:sz w:val="21"/>
                      <w:szCs w:val="21"/>
                    </w:rPr>
                    <w:t>的高耗水、高污</w:t>
                  </w:r>
                  <w:r>
                    <w:rPr>
                      <w:spacing w:val="-3"/>
                      <w:sz w:val="21"/>
                      <w:szCs w:val="21"/>
                    </w:rPr>
                    <w:t>染项目。</w:t>
                  </w:r>
                </w:p>
              </w:tc>
              <w:tc>
                <w:tcPr>
                  <w:tcW w:w="635" w:type="dxa"/>
                  <w:vMerge w:val="continue"/>
                  <w:tcBorders>
                    <w:left w:val="single" w:color="000000" w:sz="4" w:space="0"/>
                    <w:tl2br w:val="nil"/>
                    <w:tr2bl w:val="nil"/>
                  </w:tcBorders>
                  <w:noWrap w:val="0"/>
                  <w:vAlign w:val="center"/>
                </w:tcPr>
                <w:p>
                  <w:pPr>
                    <w:pStyle w:val="79"/>
                    <w:spacing w:before="276" w:line="234" w:lineRule="auto"/>
                    <w:ind w:left="119" w:right="97"/>
                    <w:jc w:val="center"/>
                    <w:rPr>
                      <w:spacing w:val="-2"/>
                      <w:sz w:val="21"/>
                      <w:szCs w:val="21"/>
                    </w:rPr>
                  </w:pPr>
                </w:p>
              </w:tc>
              <w:tc>
                <w:tcPr>
                  <w:tcW w:w="385" w:type="dxa"/>
                  <w:tcBorders>
                    <w:tl2br w:val="nil"/>
                    <w:tr2bl w:val="nil"/>
                  </w:tcBorders>
                  <w:noWrap w:val="0"/>
                  <w:vAlign w:val="center"/>
                </w:tcPr>
                <w:p>
                  <w:pPr>
                    <w:pStyle w:val="79"/>
                    <w:spacing w:before="128" w:line="207" w:lineRule="auto"/>
                    <w:jc w:val="center"/>
                    <w:rPr>
                      <w:sz w:val="21"/>
                      <w:szCs w:val="21"/>
                    </w:rPr>
                  </w:pPr>
                  <w:r>
                    <w:rPr>
                      <w:spacing w:val="26"/>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0" w:type="dxa"/>
                  <w:left w:w="0" w:type="dxa"/>
                  <w:bottom w:w="0" w:type="dxa"/>
                  <w:right w:w="0" w:type="dxa"/>
                </w:tblCellMar>
              </w:tblPrEx>
              <w:trPr>
                <w:trHeight w:val="2007" w:hRule="atLeast"/>
              </w:trPr>
              <w:tc>
                <w:tcPr>
                  <w:tcW w:w="350" w:type="dxa"/>
                  <w:vMerge w:val="continue"/>
                  <w:tcBorders>
                    <w:tl2br w:val="nil"/>
                    <w:tr2bl w:val="nil"/>
                  </w:tcBorders>
                  <w:noWrap w:val="0"/>
                  <w:vAlign w:val="center"/>
                </w:tcPr>
                <w:p>
                  <w:pPr>
                    <w:jc w:val="center"/>
                    <w:rPr>
                      <w:rFonts w:ascii="Arial"/>
                      <w:sz w:val="21"/>
                      <w:szCs w:val="21"/>
                    </w:rPr>
                  </w:pPr>
                </w:p>
              </w:tc>
              <w:tc>
                <w:tcPr>
                  <w:tcW w:w="437" w:type="dxa"/>
                  <w:vMerge w:val="continue"/>
                  <w:tcBorders>
                    <w:tl2br w:val="nil"/>
                    <w:tr2bl w:val="nil"/>
                  </w:tcBorders>
                  <w:noWrap w:val="0"/>
                  <w:vAlign w:val="center"/>
                </w:tcPr>
                <w:p>
                  <w:pPr>
                    <w:jc w:val="center"/>
                    <w:rPr>
                      <w:rFonts w:ascii="Arial"/>
                      <w:sz w:val="21"/>
                      <w:szCs w:val="21"/>
                    </w:rPr>
                  </w:pPr>
                </w:p>
              </w:tc>
              <w:tc>
                <w:tcPr>
                  <w:tcW w:w="405" w:type="dxa"/>
                  <w:vMerge w:val="continue"/>
                  <w:tcBorders>
                    <w:tl2br w:val="nil"/>
                    <w:tr2bl w:val="nil"/>
                  </w:tcBorders>
                  <w:noWrap w:val="0"/>
                  <w:vAlign w:val="center"/>
                </w:tcPr>
                <w:p>
                  <w:pPr>
                    <w:jc w:val="center"/>
                    <w:rPr>
                      <w:rFonts w:ascii="Arial"/>
                      <w:sz w:val="21"/>
                      <w:szCs w:val="21"/>
                    </w:rPr>
                  </w:pPr>
                </w:p>
              </w:tc>
              <w:tc>
                <w:tcPr>
                  <w:tcW w:w="351" w:type="dxa"/>
                  <w:vMerge w:val="continue"/>
                  <w:tcBorders>
                    <w:tl2br w:val="nil"/>
                    <w:tr2bl w:val="nil"/>
                  </w:tcBorders>
                  <w:noWrap w:val="0"/>
                  <w:vAlign w:val="center"/>
                </w:tcPr>
                <w:p>
                  <w:pPr>
                    <w:jc w:val="center"/>
                    <w:rPr>
                      <w:rFonts w:ascii="Arial"/>
                      <w:sz w:val="21"/>
                      <w:szCs w:val="21"/>
                    </w:rPr>
                  </w:pPr>
                </w:p>
              </w:tc>
              <w:tc>
                <w:tcPr>
                  <w:tcW w:w="383" w:type="dxa"/>
                  <w:tcBorders>
                    <w:tl2br w:val="nil"/>
                    <w:tr2bl w:val="nil"/>
                  </w:tcBorders>
                  <w:noWrap w:val="0"/>
                  <w:vAlign w:val="center"/>
                </w:tcPr>
                <w:p>
                  <w:pPr>
                    <w:pStyle w:val="79"/>
                    <w:spacing w:before="116" w:line="209" w:lineRule="auto"/>
                    <w:jc w:val="center"/>
                    <w:rPr>
                      <w:sz w:val="21"/>
                      <w:szCs w:val="21"/>
                    </w:rPr>
                  </w:pPr>
                  <w:r>
                    <w:rPr>
                      <w:rFonts w:ascii="宋体" w:hAnsi="宋体" w:eastAsia="宋体" w:cs="宋体"/>
                      <w:spacing w:val="44"/>
                      <w:sz w:val="21"/>
                      <w:szCs w:val="21"/>
                    </w:rPr>
                    <w:t>污染物排放管控</w:t>
                  </w:r>
                </w:p>
              </w:tc>
              <w:tc>
                <w:tcPr>
                  <w:tcW w:w="1817" w:type="dxa"/>
                  <w:tcBorders>
                    <w:tl2br w:val="nil"/>
                    <w:tr2bl w:val="nil"/>
                  </w:tcBorders>
                  <w:noWrap w:val="0"/>
                  <w:vAlign w:val="center"/>
                </w:tcPr>
                <w:p>
                  <w:pPr>
                    <w:pStyle w:val="79"/>
                    <w:spacing w:before="46" w:line="236" w:lineRule="auto"/>
                    <w:ind w:right="101"/>
                    <w:jc w:val="center"/>
                    <w:rPr>
                      <w:sz w:val="21"/>
                      <w:szCs w:val="21"/>
                    </w:rPr>
                  </w:pPr>
                  <w:r>
                    <w:rPr>
                      <w:spacing w:val="-3"/>
                      <w:sz w:val="21"/>
                      <w:szCs w:val="21"/>
                    </w:rPr>
                    <w:t>到</w:t>
                  </w:r>
                  <w:r>
                    <w:rPr>
                      <w:rFonts w:ascii="Times New Roman" w:hAnsi="Times New Roman" w:eastAsia="Times New Roman" w:cs="Times New Roman"/>
                      <w:spacing w:val="-3"/>
                      <w:sz w:val="21"/>
                      <w:szCs w:val="21"/>
                    </w:rPr>
                    <w:t>2025</w:t>
                  </w:r>
                  <w:r>
                    <w:rPr>
                      <w:spacing w:val="-3"/>
                      <w:sz w:val="21"/>
                      <w:szCs w:val="21"/>
                    </w:rPr>
                    <w:t>年，基本</w:t>
                  </w:r>
                  <w:r>
                    <w:rPr>
                      <w:spacing w:val="-1"/>
                      <w:sz w:val="21"/>
                      <w:szCs w:val="21"/>
                    </w:rPr>
                    <w:t>消除城市建成区生活污水直排口和收集处理设施</w:t>
                  </w:r>
                  <w:r>
                    <w:rPr>
                      <w:spacing w:val="-6"/>
                      <w:sz w:val="21"/>
                      <w:szCs w:val="21"/>
                    </w:rPr>
                    <w:t>空白区，城市和县</w:t>
                  </w:r>
                  <w:r>
                    <w:rPr>
                      <w:spacing w:val="-1"/>
                      <w:sz w:val="21"/>
                      <w:szCs w:val="21"/>
                    </w:rPr>
                    <w:t>城污水处理能力基本满足经济社</w:t>
                  </w:r>
                  <w:r>
                    <w:rPr>
                      <w:spacing w:val="-6"/>
                      <w:sz w:val="21"/>
                      <w:szCs w:val="21"/>
                    </w:rPr>
                    <w:t>会发展需要，县城</w:t>
                  </w:r>
                  <w:r>
                    <w:rPr>
                      <w:spacing w:val="-1"/>
                      <w:sz w:val="21"/>
                      <w:szCs w:val="21"/>
                    </w:rPr>
                    <w:t>污水处理率达到</w:t>
                  </w:r>
                  <w:r>
                    <w:rPr>
                      <w:rFonts w:ascii="Times New Roman" w:hAnsi="Times New Roman" w:eastAsia="Times New Roman" w:cs="Times New Roman"/>
                      <w:spacing w:val="-2"/>
                      <w:sz w:val="21"/>
                      <w:szCs w:val="21"/>
                    </w:rPr>
                    <w:t>95%</w:t>
                  </w:r>
                  <w:r>
                    <w:rPr>
                      <w:spacing w:val="-2"/>
                      <w:sz w:val="21"/>
                      <w:szCs w:val="21"/>
                    </w:rPr>
                    <w:t>以上。</w:t>
                  </w:r>
                </w:p>
              </w:tc>
              <w:tc>
                <w:tcPr>
                  <w:tcW w:w="1916" w:type="dxa"/>
                  <w:tcBorders>
                    <w:right w:val="single" w:color="000000" w:sz="4" w:space="0"/>
                    <w:tl2br w:val="nil"/>
                    <w:tr2bl w:val="nil"/>
                  </w:tcBorders>
                  <w:noWrap w:val="0"/>
                  <w:vAlign w:val="center"/>
                </w:tcPr>
                <w:p>
                  <w:pPr>
                    <w:pStyle w:val="79"/>
                    <w:spacing w:before="59" w:line="236" w:lineRule="auto"/>
                    <w:ind w:right="97"/>
                    <w:jc w:val="center"/>
                    <w:rPr>
                      <w:sz w:val="21"/>
                      <w:szCs w:val="21"/>
                    </w:rPr>
                  </w:pPr>
                  <w:r>
                    <w:rPr>
                      <w:rFonts w:ascii="宋体" w:hAnsi="宋体" w:eastAsia="宋体" w:cs="宋体"/>
                      <w:spacing w:val="-11"/>
                      <w:sz w:val="21"/>
                      <w:szCs w:val="21"/>
                    </w:rPr>
                    <w:t>本项目</w:t>
                  </w:r>
                  <w:r>
                    <w:rPr>
                      <w:rFonts w:hint="eastAsia" w:ascii="宋体" w:hAnsi="宋体" w:eastAsia="宋体" w:cs="宋体"/>
                      <w:spacing w:val="-11"/>
                      <w:sz w:val="21"/>
                      <w:szCs w:val="21"/>
                      <w:lang w:val="en-US" w:eastAsia="zh-CN"/>
                    </w:rPr>
                    <w:t>洗车废水重复利用不外排，</w:t>
                  </w:r>
                  <w:r>
                    <w:rPr>
                      <w:rFonts w:ascii="宋体" w:hAnsi="宋体" w:eastAsia="宋体" w:cs="宋体"/>
                      <w:spacing w:val="-11"/>
                      <w:sz w:val="21"/>
                      <w:szCs w:val="21"/>
                    </w:rPr>
                    <w:t>生活污水经化粪池处理后，经市政</w:t>
                  </w:r>
                  <w:r>
                    <w:rPr>
                      <w:spacing w:val="-11"/>
                      <w:sz w:val="21"/>
                      <w:szCs w:val="21"/>
                    </w:rPr>
                    <w:t>管</w:t>
                  </w:r>
                  <w:r>
                    <w:rPr>
                      <w:spacing w:val="-2"/>
                      <w:sz w:val="21"/>
                      <w:szCs w:val="21"/>
                    </w:rPr>
                    <w:t>网排至西安市第三污水处理</w:t>
                  </w:r>
                  <w:r>
                    <w:rPr>
                      <w:spacing w:val="-4"/>
                      <w:sz w:val="21"/>
                      <w:szCs w:val="21"/>
                    </w:rPr>
                    <w:t>厂。</w:t>
                  </w:r>
                </w:p>
              </w:tc>
              <w:tc>
                <w:tcPr>
                  <w:tcW w:w="635" w:type="dxa"/>
                  <w:vMerge w:val="continue"/>
                  <w:tcBorders>
                    <w:left w:val="single" w:color="000000" w:sz="4" w:space="0"/>
                    <w:tl2br w:val="nil"/>
                    <w:tr2bl w:val="nil"/>
                  </w:tcBorders>
                  <w:noWrap w:val="0"/>
                  <w:vAlign w:val="center"/>
                </w:tcPr>
                <w:p>
                  <w:pPr>
                    <w:pStyle w:val="79"/>
                    <w:spacing w:before="59" w:line="236" w:lineRule="auto"/>
                    <w:ind w:left="116" w:right="97"/>
                    <w:jc w:val="center"/>
                    <w:rPr>
                      <w:spacing w:val="-2"/>
                      <w:sz w:val="21"/>
                      <w:szCs w:val="21"/>
                    </w:rPr>
                  </w:pPr>
                </w:p>
              </w:tc>
              <w:tc>
                <w:tcPr>
                  <w:tcW w:w="385" w:type="dxa"/>
                  <w:tcBorders>
                    <w:tl2br w:val="nil"/>
                    <w:tr2bl w:val="nil"/>
                  </w:tcBorders>
                  <w:noWrap w:val="0"/>
                  <w:vAlign w:val="center"/>
                </w:tcPr>
                <w:p>
                  <w:pPr>
                    <w:pStyle w:val="79"/>
                    <w:spacing w:before="128" w:line="207" w:lineRule="auto"/>
                    <w:jc w:val="center"/>
                    <w:rPr>
                      <w:sz w:val="21"/>
                      <w:szCs w:val="21"/>
                    </w:rPr>
                  </w:pPr>
                  <w:r>
                    <w:rPr>
                      <w:spacing w:val="26"/>
                      <w:sz w:val="21"/>
                      <w:szCs w:val="21"/>
                    </w:rPr>
                    <w:t>符合</w:t>
                  </w:r>
                </w:p>
              </w:tc>
            </w:tr>
          </w:tbl>
          <w:p>
            <w:pPr>
              <w:spacing w:line="360" w:lineRule="auto"/>
              <w:ind w:left="0" w:leftChars="0" w:firstLine="420" w:firstLineChars="200"/>
              <w:jc w:val="left"/>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根据表1-2对照分析结果，本项目符合西安市生态环境分区管控准入清单的管控要求。</w:t>
            </w:r>
          </w:p>
          <w:p>
            <w:pPr>
              <w:ind w:firstLine="422" w:firstLineChars="200"/>
              <w:jc w:val="left"/>
              <w:rPr>
                <w:b/>
                <w:bCs/>
              </w:rPr>
            </w:pPr>
            <w:r>
              <w:rPr>
                <w:rFonts w:hint="eastAsia"/>
                <w:b/>
                <w:bCs/>
              </w:rPr>
              <w:t>3</w:t>
            </w:r>
            <w:r>
              <w:rPr>
                <w:b/>
                <w:bCs/>
              </w:rPr>
              <w:t>、项目与《加油站地下水污染防治技术指南》（试行）符合性分析</w:t>
            </w:r>
          </w:p>
          <w:p>
            <w:pPr>
              <w:snapToGrid w:val="0"/>
              <w:spacing w:before="120" w:beforeLines="50"/>
              <w:jc w:val="center"/>
              <w:rPr>
                <w:b/>
                <w:szCs w:val="21"/>
              </w:rPr>
            </w:pPr>
            <w:r>
              <w:rPr>
                <w:b/>
                <w:szCs w:val="21"/>
              </w:rPr>
              <w:t>表1-</w:t>
            </w:r>
            <w:r>
              <w:rPr>
                <w:rFonts w:hint="eastAsia"/>
                <w:b/>
                <w:szCs w:val="21"/>
              </w:rPr>
              <w:t>3</w:t>
            </w:r>
            <w:r>
              <w:rPr>
                <w:b/>
                <w:szCs w:val="21"/>
              </w:rPr>
              <w:t>《加油站地下水污染防治技术指南》符合性分析一览表</w:t>
            </w:r>
          </w:p>
          <w:tbl>
            <w:tblPr>
              <w:tblStyle w:val="24"/>
              <w:tblW w:w="5000" w:type="pct"/>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4"/>
              <w:gridCol w:w="4139"/>
              <w:gridCol w:w="1440"/>
              <w:gridCol w:w="6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6" w:hRule="atLeast"/>
              </w:trPr>
              <w:tc>
                <w:tcPr>
                  <w:tcW w:w="422" w:type="pct"/>
                  <w:noWrap w:val="0"/>
                  <w:vAlign w:val="center"/>
                </w:tcPr>
                <w:p>
                  <w:pPr>
                    <w:pStyle w:val="6"/>
                    <w:adjustRightInd w:val="0"/>
                    <w:jc w:val="center"/>
                    <w:rPr>
                      <w:rFonts w:eastAsia="宋体"/>
                      <w:b/>
                      <w:bCs/>
                      <w:sz w:val="21"/>
                      <w:szCs w:val="21"/>
                    </w:rPr>
                  </w:pPr>
                  <w:r>
                    <w:rPr>
                      <w:rFonts w:eastAsia="宋体"/>
                      <w:b/>
                      <w:bCs/>
                      <w:sz w:val="21"/>
                      <w:szCs w:val="21"/>
                    </w:rPr>
                    <w:t>内容</w:t>
                  </w:r>
                </w:p>
              </w:tc>
              <w:tc>
                <w:tcPr>
                  <w:tcW w:w="3040" w:type="pct"/>
                  <w:noWrap w:val="0"/>
                  <w:vAlign w:val="center"/>
                </w:tcPr>
                <w:p>
                  <w:pPr>
                    <w:pStyle w:val="6"/>
                    <w:adjustRightInd w:val="0"/>
                    <w:jc w:val="center"/>
                    <w:rPr>
                      <w:rFonts w:eastAsia="宋体"/>
                      <w:b/>
                      <w:bCs/>
                      <w:sz w:val="21"/>
                      <w:szCs w:val="21"/>
                    </w:rPr>
                  </w:pPr>
                  <w:r>
                    <w:rPr>
                      <w:rFonts w:eastAsia="宋体"/>
                      <w:b/>
                      <w:bCs/>
                      <w:sz w:val="21"/>
                      <w:szCs w:val="21"/>
                    </w:rPr>
                    <w:t>规范要求</w:t>
                  </w:r>
                </w:p>
              </w:tc>
              <w:tc>
                <w:tcPr>
                  <w:tcW w:w="1057" w:type="pct"/>
                  <w:noWrap w:val="0"/>
                  <w:vAlign w:val="center"/>
                </w:tcPr>
                <w:p>
                  <w:pPr>
                    <w:pStyle w:val="6"/>
                    <w:adjustRightInd w:val="0"/>
                    <w:jc w:val="center"/>
                    <w:rPr>
                      <w:rFonts w:eastAsia="宋体"/>
                      <w:b/>
                      <w:bCs/>
                      <w:sz w:val="21"/>
                      <w:szCs w:val="21"/>
                    </w:rPr>
                  </w:pPr>
                  <w:r>
                    <w:rPr>
                      <w:rFonts w:eastAsia="宋体"/>
                      <w:b/>
                      <w:bCs/>
                      <w:sz w:val="21"/>
                      <w:szCs w:val="21"/>
                    </w:rPr>
                    <w:t>本项目</w:t>
                  </w:r>
                </w:p>
              </w:tc>
              <w:tc>
                <w:tcPr>
                  <w:tcW w:w="478" w:type="pct"/>
                  <w:noWrap w:val="0"/>
                  <w:vAlign w:val="center"/>
                </w:tcPr>
                <w:p>
                  <w:pPr>
                    <w:pStyle w:val="6"/>
                    <w:adjustRightInd w:val="0"/>
                    <w:jc w:val="center"/>
                    <w:rPr>
                      <w:rFonts w:eastAsia="宋体"/>
                      <w:b/>
                      <w:bCs/>
                      <w:sz w:val="21"/>
                      <w:szCs w:val="21"/>
                    </w:rPr>
                  </w:pPr>
                  <w:r>
                    <w:rPr>
                      <w:rFonts w:eastAsia="宋体"/>
                      <w:b/>
                      <w:bCs/>
                      <w:sz w:val="21"/>
                      <w:szCs w:val="21"/>
                    </w:rPr>
                    <w:t>符合性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6" w:hRule="atLeast"/>
              </w:trPr>
              <w:tc>
                <w:tcPr>
                  <w:tcW w:w="422" w:type="pct"/>
                  <w:vMerge w:val="restart"/>
                  <w:noWrap w:val="0"/>
                  <w:vAlign w:val="center"/>
                </w:tcPr>
                <w:p>
                  <w:pPr>
                    <w:pStyle w:val="6"/>
                    <w:adjustRightInd w:val="0"/>
                    <w:jc w:val="center"/>
                    <w:rPr>
                      <w:rFonts w:eastAsia="宋体"/>
                      <w:sz w:val="21"/>
                      <w:szCs w:val="21"/>
                    </w:rPr>
                  </w:pPr>
                  <w:r>
                    <w:rPr>
                      <w:rFonts w:eastAsia="宋体"/>
                      <w:sz w:val="21"/>
                      <w:szCs w:val="21"/>
                    </w:rPr>
                    <w:t>双层罐设置</w:t>
                  </w:r>
                </w:p>
              </w:tc>
              <w:tc>
                <w:tcPr>
                  <w:tcW w:w="3040" w:type="pct"/>
                  <w:noWrap w:val="0"/>
                  <w:vAlign w:val="center"/>
                </w:tcPr>
                <w:p>
                  <w:pPr>
                    <w:pStyle w:val="6"/>
                    <w:adjustRightInd w:val="0"/>
                    <w:jc w:val="left"/>
                    <w:rPr>
                      <w:rFonts w:eastAsia="宋体"/>
                      <w:sz w:val="21"/>
                      <w:szCs w:val="21"/>
                    </w:rPr>
                  </w:pPr>
                  <w:r>
                    <w:rPr>
                      <w:rFonts w:eastAsia="宋体"/>
                      <w:sz w:val="21"/>
                      <w:szCs w:val="21"/>
                    </w:rPr>
                    <w:t>埋地油罐采用双层油罐时，可采用双层钢制油罐、双层玻璃纤维增强塑料油罐、内钢外玻璃纤维增强塑料双层油罐。既有加油站的埋地单层钢制油罐改造为双层油罐时，可采用玻璃纤维增强塑料等满足强度和防渗要求的材料进行衬里改造。</w:t>
                  </w:r>
                </w:p>
              </w:tc>
              <w:tc>
                <w:tcPr>
                  <w:tcW w:w="1057" w:type="pct"/>
                  <w:noWrap w:val="0"/>
                  <w:vAlign w:val="center"/>
                </w:tcPr>
                <w:p>
                  <w:pPr>
                    <w:pStyle w:val="6"/>
                    <w:ind w:left="-105" w:leftChars="-50" w:right="-105" w:rightChars="-50"/>
                    <w:rPr>
                      <w:rFonts w:hint="eastAsia" w:eastAsia="宋体"/>
                      <w:sz w:val="21"/>
                      <w:szCs w:val="21"/>
                      <w:lang w:eastAsia="zh-CN"/>
                    </w:rPr>
                  </w:pPr>
                  <w:r>
                    <w:rPr>
                      <w:rFonts w:eastAsia="宋体"/>
                      <w:sz w:val="21"/>
                      <w:szCs w:val="21"/>
                    </w:rPr>
                    <w:t>本项目</w:t>
                  </w:r>
                  <w:r>
                    <w:rPr>
                      <w:rFonts w:hint="eastAsia" w:eastAsia="宋体"/>
                      <w:sz w:val="21"/>
                      <w:szCs w:val="21"/>
                    </w:rPr>
                    <w:t>油罐均为SF双层油罐（内钢外玻璃双层油罐，双层油罐自带渗漏检测立管）</w:t>
                  </w:r>
                  <w:r>
                    <w:rPr>
                      <w:rFonts w:hint="eastAsia" w:eastAsia="宋体"/>
                      <w:sz w:val="21"/>
                      <w:szCs w:val="21"/>
                      <w:lang w:eastAsia="zh-CN"/>
                    </w:rPr>
                    <w:t>。</w:t>
                  </w:r>
                </w:p>
              </w:tc>
              <w:tc>
                <w:tcPr>
                  <w:tcW w:w="478" w:type="pct"/>
                  <w:noWrap w:val="0"/>
                  <w:vAlign w:val="center"/>
                </w:tcPr>
                <w:p>
                  <w:pPr>
                    <w:pStyle w:val="6"/>
                    <w:adjustRightInd w:val="0"/>
                    <w:jc w:val="center"/>
                    <w:rPr>
                      <w:rFonts w:eastAsia="宋体"/>
                      <w:sz w:val="21"/>
                      <w:szCs w:val="21"/>
                    </w:rPr>
                  </w:pPr>
                  <w:r>
                    <w:rPr>
                      <w:rFonts w:eastAsia="宋体"/>
                      <w:sz w:val="21"/>
                      <w:szCs w:val="21"/>
                    </w:rPr>
                    <w:t>符合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4" w:hRule="atLeast"/>
              </w:trPr>
              <w:tc>
                <w:tcPr>
                  <w:tcW w:w="422" w:type="pct"/>
                  <w:vMerge w:val="continue"/>
                  <w:noWrap w:val="0"/>
                  <w:vAlign w:val="center"/>
                </w:tcPr>
                <w:p>
                  <w:pPr>
                    <w:pStyle w:val="6"/>
                    <w:adjustRightInd w:val="0"/>
                    <w:jc w:val="center"/>
                    <w:rPr>
                      <w:rFonts w:eastAsia="宋体"/>
                      <w:sz w:val="21"/>
                      <w:szCs w:val="21"/>
                    </w:rPr>
                  </w:pPr>
                </w:p>
              </w:tc>
              <w:tc>
                <w:tcPr>
                  <w:tcW w:w="3040" w:type="pct"/>
                  <w:noWrap w:val="0"/>
                  <w:vAlign w:val="center"/>
                </w:tcPr>
                <w:p>
                  <w:pPr>
                    <w:pStyle w:val="6"/>
                    <w:adjustRightInd w:val="0"/>
                    <w:jc w:val="left"/>
                    <w:rPr>
                      <w:rFonts w:eastAsia="宋体"/>
                      <w:sz w:val="21"/>
                      <w:szCs w:val="21"/>
                    </w:rPr>
                  </w:pPr>
                  <w:r>
                    <w:rPr>
                      <w:rFonts w:eastAsia="宋体"/>
                      <w:sz w:val="21"/>
                      <w:szCs w:val="21"/>
                    </w:rPr>
                    <w:t>与土壤接触的钢制油罐外表面，其防腐设计应符合现行行业标准《</w:t>
                  </w:r>
                  <w:r>
                    <w:rPr>
                      <w:rFonts w:hint="eastAsia" w:eastAsia="宋体"/>
                      <w:sz w:val="21"/>
                      <w:szCs w:val="21"/>
                    </w:rPr>
                    <w:t>石油化工设备和管道涂料防腐蚀设计标准</w:t>
                  </w:r>
                  <w:r>
                    <w:rPr>
                      <w:rFonts w:eastAsia="宋体"/>
                      <w:sz w:val="21"/>
                      <w:szCs w:val="21"/>
                    </w:rPr>
                    <w:t>》（</w:t>
                  </w:r>
                  <w:r>
                    <w:rPr>
                      <w:rFonts w:hint="eastAsia" w:eastAsia="宋体"/>
                      <w:sz w:val="21"/>
                      <w:szCs w:val="21"/>
                    </w:rPr>
                    <w:t>SH/T3022-2019</w:t>
                  </w:r>
                  <w:r>
                    <w:rPr>
                      <w:rFonts w:eastAsia="宋体"/>
                      <w:sz w:val="21"/>
                      <w:szCs w:val="21"/>
                    </w:rPr>
                    <w:t>）的有关规定，且防腐等级不应低于加强级。</w:t>
                  </w:r>
                </w:p>
              </w:tc>
              <w:tc>
                <w:tcPr>
                  <w:tcW w:w="1057" w:type="pct"/>
                  <w:noWrap w:val="0"/>
                  <w:vAlign w:val="center"/>
                </w:tcPr>
                <w:p>
                  <w:pPr>
                    <w:pStyle w:val="6"/>
                    <w:ind w:left="-105" w:leftChars="-50" w:right="-105" w:rightChars="-50"/>
                    <w:rPr>
                      <w:rFonts w:hint="eastAsia" w:eastAsia="宋体"/>
                      <w:sz w:val="21"/>
                      <w:szCs w:val="21"/>
                      <w:lang w:eastAsia="zh-CN"/>
                    </w:rPr>
                  </w:pPr>
                  <w:r>
                    <w:rPr>
                      <w:rFonts w:eastAsia="宋体"/>
                      <w:sz w:val="21"/>
                      <w:szCs w:val="21"/>
                    </w:rPr>
                    <w:t>本项目油罐外表面采用的是强化玻璃纤维层，具有耐腐蚀性，防腐蚀等级为特加强级</w:t>
                  </w:r>
                  <w:r>
                    <w:rPr>
                      <w:rFonts w:hint="eastAsia" w:eastAsia="宋体"/>
                      <w:sz w:val="21"/>
                      <w:szCs w:val="21"/>
                      <w:lang w:eastAsia="zh-CN"/>
                    </w:rPr>
                    <w:t>。</w:t>
                  </w:r>
                </w:p>
              </w:tc>
              <w:tc>
                <w:tcPr>
                  <w:tcW w:w="478" w:type="pct"/>
                  <w:noWrap w:val="0"/>
                  <w:vAlign w:val="center"/>
                </w:tcPr>
                <w:p>
                  <w:pPr>
                    <w:pStyle w:val="6"/>
                    <w:adjustRightInd w:val="0"/>
                    <w:jc w:val="center"/>
                    <w:rPr>
                      <w:rFonts w:eastAsia="宋体"/>
                      <w:sz w:val="21"/>
                      <w:szCs w:val="21"/>
                    </w:rPr>
                  </w:pPr>
                  <w:r>
                    <w:rPr>
                      <w:rFonts w:eastAsia="宋体"/>
                      <w:sz w:val="21"/>
                      <w:szCs w:val="21"/>
                    </w:rPr>
                    <w:t>符合</w:t>
                  </w:r>
                </w:p>
              </w:tc>
            </w:tr>
          </w:tbl>
          <w:p>
            <w:pPr>
              <w:pStyle w:val="64"/>
              <w:spacing w:line="360" w:lineRule="auto"/>
              <w:ind w:firstLine="422"/>
              <w:rPr>
                <w:b/>
                <w:bCs/>
                <w:sz w:val="21"/>
                <w:szCs w:val="21"/>
              </w:rPr>
            </w:pPr>
            <w:r>
              <w:rPr>
                <w:rFonts w:hint="eastAsia"/>
                <w:b/>
                <w:bCs/>
                <w:sz w:val="21"/>
                <w:szCs w:val="20"/>
              </w:rPr>
              <w:t>4</w:t>
            </w:r>
            <w:r>
              <w:rPr>
                <w:b/>
                <w:bCs/>
                <w:sz w:val="21"/>
                <w:szCs w:val="20"/>
              </w:rPr>
              <w:t>、</w:t>
            </w:r>
            <w:r>
              <w:rPr>
                <w:b/>
                <w:bCs/>
                <w:sz w:val="21"/>
                <w:szCs w:val="20"/>
                <w:lang w:val="en-GB"/>
              </w:rPr>
              <w:t>与相关技术政策、文件</w:t>
            </w:r>
            <w:r>
              <w:rPr>
                <w:b/>
                <w:bCs/>
                <w:sz w:val="21"/>
                <w:szCs w:val="21"/>
              </w:rPr>
              <w:t>的相符性分析</w:t>
            </w:r>
          </w:p>
          <w:p>
            <w:pPr>
              <w:pStyle w:val="64"/>
              <w:spacing w:line="360" w:lineRule="auto"/>
              <w:ind w:firstLine="420"/>
              <w:rPr>
                <w:sz w:val="21"/>
                <w:szCs w:val="21"/>
              </w:rPr>
            </w:pPr>
            <w:r>
              <w:rPr>
                <w:sz w:val="21"/>
                <w:szCs w:val="21"/>
              </w:rPr>
              <w:t>本项目与相关技术政策、文件的符合性分析见下表。</w:t>
            </w:r>
          </w:p>
          <w:p>
            <w:pPr>
              <w:pStyle w:val="64"/>
              <w:ind w:firstLine="0" w:firstLineChars="0"/>
              <w:jc w:val="center"/>
              <w:rPr>
                <w:b/>
                <w:bCs/>
                <w:sz w:val="21"/>
                <w:szCs w:val="21"/>
              </w:rPr>
            </w:pPr>
            <w:r>
              <w:rPr>
                <w:b/>
                <w:bCs/>
                <w:sz w:val="21"/>
                <w:szCs w:val="21"/>
              </w:rPr>
              <w:t>表</w:t>
            </w:r>
            <w:r>
              <w:rPr>
                <w:b/>
                <w:bCs/>
                <w:sz w:val="21"/>
                <w:szCs w:val="21"/>
                <w:lang w:val="en-GB"/>
              </w:rPr>
              <w:t>1-</w:t>
            </w:r>
            <w:r>
              <w:rPr>
                <w:rFonts w:hint="eastAsia"/>
                <w:b/>
                <w:bCs/>
                <w:sz w:val="21"/>
                <w:szCs w:val="21"/>
              </w:rPr>
              <w:t>4</w:t>
            </w:r>
            <w:r>
              <w:rPr>
                <w:b/>
                <w:bCs/>
                <w:sz w:val="21"/>
                <w:szCs w:val="21"/>
              </w:rPr>
              <w:t>与相关技术政策、文件的相符性分析</w:t>
            </w:r>
          </w:p>
          <w:tbl>
            <w:tblPr>
              <w:tblStyle w:val="24"/>
              <w:tblpPr w:leftFromText="180" w:rightFromText="180" w:vertAnchor="text" w:tblpXSpec="center" w:tblpY="1"/>
              <w:tblOverlap w:val="never"/>
              <w:tblW w:w="68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2"/>
              <w:gridCol w:w="3095"/>
              <w:gridCol w:w="1833"/>
              <w:gridCol w:w="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noWrap w:val="0"/>
                  <w:vAlign w:val="center"/>
                </w:tcPr>
                <w:p>
                  <w:pPr>
                    <w:autoSpaceDE w:val="0"/>
                    <w:autoSpaceDN w:val="0"/>
                    <w:ind w:left="-28" w:right="-28"/>
                    <w:jc w:val="center"/>
                    <w:rPr>
                      <w:b/>
                      <w:bCs/>
                      <w:color w:val="auto"/>
                      <w:kern w:val="0"/>
                      <w:szCs w:val="21"/>
                    </w:rPr>
                  </w:pPr>
                  <w:r>
                    <w:rPr>
                      <w:b/>
                      <w:bCs/>
                      <w:color w:val="auto"/>
                      <w:kern w:val="0"/>
                      <w:szCs w:val="21"/>
                    </w:rPr>
                    <w:t>文件</w:t>
                  </w:r>
                </w:p>
              </w:tc>
              <w:tc>
                <w:tcPr>
                  <w:tcW w:w="3095" w:type="dxa"/>
                  <w:noWrap w:val="0"/>
                  <w:vAlign w:val="center"/>
                </w:tcPr>
                <w:p>
                  <w:pPr>
                    <w:autoSpaceDE w:val="0"/>
                    <w:autoSpaceDN w:val="0"/>
                    <w:ind w:left="-28" w:right="-28"/>
                    <w:jc w:val="center"/>
                    <w:rPr>
                      <w:b/>
                      <w:bCs/>
                      <w:color w:val="auto"/>
                      <w:kern w:val="0"/>
                      <w:szCs w:val="21"/>
                    </w:rPr>
                  </w:pPr>
                  <w:r>
                    <w:rPr>
                      <w:b/>
                      <w:bCs/>
                      <w:color w:val="auto"/>
                      <w:kern w:val="0"/>
                      <w:szCs w:val="21"/>
                    </w:rPr>
                    <w:t>文件要求</w:t>
                  </w:r>
                </w:p>
              </w:tc>
              <w:tc>
                <w:tcPr>
                  <w:tcW w:w="1833" w:type="dxa"/>
                  <w:noWrap w:val="0"/>
                  <w:vAlign w:val="center"/>
                </w:tcPr>
                <w:p>
                  <w:pPr>
                    <w:autoSpaceDE w:val="0"/>
                    <w:autoSpaceDN w:val="0"/>
                    <w:ind w:left="-28" w:right="-28"/>
                    <w:jc w:val="center"/>
                    <w:rPr>
                      <w:b/>
                      <w:bCs/>
                      <w:color w:val="auto"/>
                      <w:kern w:val="0"/>
                      <w:szCs w:val="21"/>
                    </w:rPr>
                  </w:pPr>
                  <w:r>
                    <w:rPr>
                      <w:b/>
                      <w:bCs/>
                      <w:color w:val="auto"/>
                      <w:kern w:val="0"/>
                      <w:szCs w:val="21"/>
                    </w:rPr>
                    <w:t>本项目情况</w:t>
                  </w:r>
                </w:p>
              </w:tc>
              <w:tc>
                <w:tcPr>
                  <w:tcW w:w="695" w:type="dxa"/>
                  <w:noWrap w:val="0"/>
                  <w:vAlign w:val="center"/>
                </w:tcPr>
                <w:p>
                  <w:pPr>
                    <w:autoSpaceDE w:val="0"/>
                    <w:autoSpaceDN w:val="0"/>
                    <w:ind w:left="-28" w:right="-28"/>
                    <w:jc w:val="center"/>
                    <w:rPr>
                      <w:b/>
                      <w:bCs/>
                      <w:color w:val="auto"/>
                      <w:kern w:val="0"/>
                      <w:szCs w:val="21"/>
                    </w:rPr>
                  </w:pPr>
                  <w:r>
                    <w:rPr>
                      <w:b/>
                      <w:bCs/>
                      <w:color w:val="auto"/>
                      <w:kern w:val="0"/>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8" w:hRule="atLeast"/>
                <w:jc w:val="center"/>
              </w:trPr>
              <w:tc>
                <w:tcPr>
                  <w:tcW w:w="1182" w:type="dxa"/>
                  <w:noWrap w:val="0"/>
                  <w:vAlign w:val="center"/>
                </w:tcPr>
                <w:p>
                  <w:pPr>
                    <w:snapToGrid w:val="0"/>
                    <w:ind w:left="-28" w:right="-28"/>
                    <w:jc w:val="center"/>
                    <w:rPr>
                      <w:color w:val="auto"/>
                      <w:szCs w:val="21"/>
                    </w:rPr>
                  </w:pPr>
                  <w:r>
                    <w:rPr>
                      <w:color w:val="auto"/>
                      <w:szCs w:val="21"/>
                    </w:rPr>
                    <w:t>《国务院关于印发大气污染防治行动计划的通知》（国发﹝2013﹞37号）</w:t>
                  </w:r>
                </w:p>
              </w:tc>
              <w:tc>
                <w:tcPr>
                  <w:tcW w:w="3095" w:type="dxa"/>
                  <w:noWrap w:val="0"/>
                  <w:vAlign w:val="center"/>
                </w:tcPr>
                <w:p>
                  <w:pPr>
                    <w:snapToGrid w:val="0"/>
                    <w:ind w:left="-28" w:right="-28"/>
                    <w:jc w:val="center"/>
                    <w:rPr>
                      <w:color w:val="auto"/>
                      <w:kern w:val="0"/>
                      <w:szCs w:val="21"/>
                    </w:rPr>
                  </w:pPr>
                  <w:r>
                    <w:rPr>
                      <w:color w:val="auto"/>
                      <w:kern w:val="0"/>
                      <w:szCs w:val="21"/>
                    </w:rPr>
                    <w:t>限时完成加油站、储油库、油罐车的油气回收治理，在原油成品油源头积极开展油气回收治理。</w:t>
                  </w:r>
                </w:p>
              </w:tc>
              <w:tc>
                <w:tcPr>
                  <w:tcW w:w="1833" w:type="dxa"/>
                  <w:noWrap w:val="0"/>
                  <w:vAlign w:val="center"/>
                </w:tcPr>
                <w:p>
                  <w:pPr>
                    <w:snapToGrid w:val="0"/>
                    <w:ind w:left="-28" w:right="-28"/>
                    <w:rPr>
                      <w:color w:val="auto"/>
                      <w:szCs w:val="21"/>
                    </w:rPr>
                  </w:pPr>
                  <w:r>
                    <w:rPr>
                      <w:color w:val="auto"/>
                      <w:szCs w:val="21"/>
                    </w:rPr>
                    <w:t>本项目</w:t>
                  </w:r>
                  <w:r>
                    <w:rPr>
                      <w:rFonts w:hint="eastAsia"/>
                      <w:color w:val="auto"/>
                      <w:szCs w:val="21"/>
                      <w:lang w:val="en-US" w:eastAsia="zh-CN"/>
                    </w:rPr>
                    <w:t>加油站</w:t>
                  </w:r>
                  <w:r>
                    <w:rPr>
                      <w:rFonts w:hint="eastAsia"/>
                      <w:color w:val="auto"/>
                      <w:szCs w:val="21"/>
                    </w:rPr>
                    <w:t>设置</w:t>
                  </w:r>
                  <w:r>
                    <w:rPr>
                      <w:color w:val="auto"/>
                    </w:rPr>
                    <w:t>卸油油气回收系统、加油油气回收（分散式）系统、三次油气回收系统</w:t>
                  </w:r>
                  <w:r>
                    <w:rPr>
                      <w:color w:val="auto"/>
                      <w:szCs w:val="21"/>
                    </w:rPr>
                    <w:t>。</w:t>
                  </w:r>
                </w:p>
              </w:tc>
              <w:tc>
                <w:tcPr>
                  <w:tcW w:w="695" w:type="dxa"/>
                  <w:noWrap w:val="0"/>
                  <w:vAlign w:val="center"/>
                </w:tcPr>
                <w:p>
                  <w:pPr>
                    <w:snapToGrid w:val="0"/>
                    <w:ind w:left="-28" w:right="-28"/>
                    <w:jc w:val="center"/>
                    <w:rPr>
                      <w:rFonts w:hint="eastAsia"/>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1182" w:type="dxa"/>
                  <w:noWrap w:val="0"/>
                  <w:vAlign w:val="center"/>
                </w:tcPr>
                <w:p>
                  <w:pPr>
                    <w:snapToGrid w:val="0"/>
                    <w:ind w:left="-28" w:right="-28"/>
                    <w:jc w:val="center"/>
                    <w:rPr>
                      <w:color w:val="auto"/>
                      <w:szCs w:val="21"/>
                    </w:rPr>
                  </w:pPr>
                  <w:r>
                    <w:rPr>
                      <w:color w:val="auto"/>
                      <w:szCs w:val="21"/>
                      <w:highlight w:val="none"/>
                    </w:rPr>
                    <w:t>《陕西省加油站三次油气回收设施运行管理办法》</w:t>
                  </w:r>
                </w:p>
              </w:tc>
              <w:tc>
                <w:tcPr>
                  <w:tcW w:w="3095" w:type="dxa"/>
                  <w:noWrap w:val="0"/>
                  <w:vAlign w:val="center"/>
                </w:tcPr>
                <w:p>
                  <w:pPr>
                    <w:snapToGrid w:val="0"/>
                    <w:ind w:left="-28" w:right="-28"/>
                    <w:jc w:val="center"/>
                    <w:rPr>
                      <w:color w:val="auto"/>
                      <w:kern w:val="0"/>
                      <w:szCs w:val="21"/>
                    </w:rPr>
                  </w:pPr>
                  <w:r>
                    <w:rPr>
                      <w:rFonts w:ascii="Times New Roman" w:hAnsi="Times New Roman" w:eastAsia="宋体" w:cs="Times New Roman"/>
                      <w:color w:val="auto"/>
                      <w:kern w:val="0"/>
                      <w:szCs w:val="21"/>
                    </w:rPr>
                    <w:t>加油站应明确安排专人负责三次油气回收设施的运行维护及管理工作，并建立三次油气回收设施管理制度和岗位操作规程，严格执行，加油站需存放三次回收装置合格证、监测报告等油气回收验收、检定资料以备查验，并在三次回收装置后悬挂操作流程，设置操作标识。</w:t>
                  </w:r>
                </w:p>
              </w:tc>
              <w:tc>
                <w:tcPr>
                  <w:tcW w:w="1833" w:type="dxa"/>
                  <w:noWrap w:val="0"/>
                  <w:vAlign w:val="center"/>
                </w:tcPr>
                <w:p>
                  <w:pPr>
                    <w:snapToGrid w:val="0"/>
                    <w:ind w:left="-28" w:right="-28"/>
                    <w:rPr>
                      <w:color w:val="auto"/>
                      <w:szCs w:val="21"/>
                    </w:rPr>
                  </w:pPr>
                  <w:r>
                    <w:rPr>
                      <w:color w:val="auto"/>
                      <w:szCs w:val="21"/>
                      <w:highlight w:val="none"/>
                    </w:rPr>
                    <w:t>本项目加油站已经严格按照规范要求建设，</w:t>
                  </w:r>
                  <w:r>
                    <w:rPr>
                      <w:rFonts w:hint="eastAsia"/>
                      <w:color w:val="auto"/>
                      <w:szCs w:val="21"/>
                      <w:highlight w:val="none"/>
                    </w:rPr>
                    <w:t>于201</w:t>
                  </w:r>
                  <w:r>
                    <w:rPr>
                      <w:rFonts w:hint="eastAsia"/>
                      <w:color w:val="auto"/>
                      <w:szCs w:val="21"/>
                      <w:highlight w:val="none"/>
                      <w:lang w:val="en-US" w:eastAsia="zh-CN"/>
                    </w:rPr>
                    <w:t>7</w:t>
                  </w:r>
                  <w:r>
                    <w:rPr>
                      <w:rFonts w:hint="eastAsia"/>
                      <w:color w:val="auto"/>
                      <w:szCs w:val="21"/>
                      <w:highlight w:val="none"/>
                    </w:rPr>
                    <w:t>年安装完成油气回收装置。</w:t>
                  </w:r>
                  <w:r>
                    <w:rPr>
                      <w:color w:val="auto"/>
                      <w:szCs w:val="21"/>
                      <w:highlight w:val="none"/>
                    </w:rPr>
                    <w:t>加油站严格按照</w:t>
                  </w:r>
                  <w:r>
                    <w:rPr>
                      <w:rFonts w:hint="eastAsia"/>
                      <w:color w:val="auto"/>
                      <w:szCs w:val="21"/>
                      <w:highlight w:val="none"/>
                    </w:rPr>
                    <w:t>“管理办法”</w:t>
                  </w:r>
                  <w:r>
                    <w:rPr>
                      <w:color w:val="auto"/>
                      <w:szCs w:val="21"/>
                      <w:highlight w:val="none"/>
                    </w:rPr>
                    <w:t>中规定的要求去管理</w:t>
                  </w:r>
                  <w:r>
                    <w:rPr>
                      <w:rFonts w:hint="eastAsia"/>
                      <w:color w:val="auto"/>
                      <w:szCs w:val="21"/>
                      <w:highlight w:val="none"/>
                    </w:rPr>
                    <w:t>，</w:t>
                  </w:r>
                  <w:r>
                    <w:rPr>
                      <w:color w:val="auto"/>
                      <w:szCs w:val="21"/>
                      <w:highlight w:val="none"/>
                    </w:rPr>
                    <w:t>建立</w:t>
                  </w:r>
                  <w:r>
                    <w:rPr>
                      <w:rFonts w:hint="eastAsia"/>
                      <w:color w:val="auto"/>
                      <w:szCs w:val="21"/>
                      <w:highlight w:val="none"/>
                    </w:rPr>
                    <w:t>了</w:t>
                  </w:r>
                  <w:r>
                    <w:rPr>
                      <w:color w:val="auto"/>
                      <w:szCs w:val="21"/>
                      <w:highlight w:val="none"/>
                    </w:rPr>
                    <w:t>三次油气回收设施管理制度和岗位操作规程</w:t>
                  </w:r>
                  <w:r>
                    <w:rPr>
                      <w:rFonts w:hint="eastAsia"/>
                      <w:color w:val="auto"/>
                      <w:szCs w:val="21"/>
                      <w:highlight w:val="none"/>
                    </w:rPr>
                    <w:t>。</w:t>
                  </w:r>
                </w:p>
              </w:tc>
              <w:tc>
                <w:tcPr>
                  <w:tcW w:w="695" w:type="dxa"/>
                  <w:noWrap w:val="0"/>
                  <w:vAlign w:val="center"/>
                </w:tcPr>
                <w:p>
                  <w:pPr>
                    <w:snapToGrid w:val="0"/>
                    <w:ind w:left="-28" w:right="-28"/>
                    <w:jc w:val="center"/>
                    <w:rPr>
                      <w:rFonts w:hint="eastAsia"/>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4" w:hRule="atLeast"/>
                <w:jc w:val="center"/>
              </w:trPr>
              <w:tc>
                <w:tcPr>
                  <w:tcW w:w="1182" w:type="dxa"/>
                  <w:vMerge w:val="restart"/>
                  <w:noWrap w:val="0"/>
                  <w:vAlign w:val="center"/>
                </w:tcPr>
                <w:p>
                  <w:pPr>
                    <w:snapToGrid w:val="0"/>
                    <w:ind w:left="-28" w:right="-28"/>
                    <w:jc w:val="center"/>
                    <w:rPr>
                      <w:color w:val="auto"/>
                      <w:szCs w:val="21"/>
                      <w:highlight w:val="none"/>
                    </w:rPr>
                  </w:pPr>
                  <w:r>
                    <w:rPr>
                      <w:rFonts w:ascii="Times New Roman" w:hAnsi="Times New Roman" w:eastAsia="宋体" w:cs="Times New Roman"/>
                      <w:color w:val="auto"/>
                      <w:szCs w:val="21"/>
                      <w:highlight w:val="none"/>
                      <w:lang w:val="en-US" w:eastAsia="zh-CN"/>
                    </w:rPr>
                    <w:t>《加油站地下水污染防治技术指南》</w:t>
                  </w:r>
                </w:p>
              </w:tc>
              <w:tc>
                <w:tcPr>
                  <w:tcW w:w="3095" w:type="dxa"/>
                  <w:noWrap w:val="0"/>
                  <w:vAlign w:val="center"/>
                </w:tcPr>
                <w:p>
                  <w:pPr>
                    <w:snapToGrid w:val="0"/>
                    <w:ind w:left="-28" w:right="-28"/>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埋地油罐采用双层油罐时，可采用双层钢制油罐、双层玻璃纤维增强塑料油罐、内钢外玻璃纤维增强塑料双层油罐。既有加油站的埋地单层钢制油罐改为双层油罐时，可采用玻璃纤维增强塑料等满足强度和防渗要求的材料进行衬里改造。</w:t>
                  </w:r>
                </w:p>
              </w:tc>
              <w:tc>
                <w:tcPr>
                  <w:tcW w:w="1833" w:type="dxa"/>
                  <w:vMerge w:val="restart"/>
                  <w:noWrap w:val="0"/>
                  <w:vAlign w:val="center"/>
                </w:tcPr>
                <w:p>
                  <w:pPr>
                    <w:bidi w:val="0"/>
                    <w:jc w:val="left"/>
                    <w:rPr>
                      <w:color w:val="auto"/>
                      <w:lang w:val="en-US" w:eastAsia="zh-CN"/>
                    </w:rPr>
                  </w:pPr>
                  <w:r>
                    <w:rPr>
                      <w:rFonts w:hint="eastAsia" w:ascii="Times New Roman" w:hAnsi="Times New Roman" w:eastAsia="宋体" w:cs="Times New Roman"/>
                      <w:color w:val="auto"/>
                      <w:kern w:val="0"/>
                      <w:szCs w:val="21"/>
                      <w:lang w:val="en-US" w:eastAsia="zh-CN"/>
                    </w:rPr>
                    <w:t>本项目加油站油罐已更新为SF双层油罐（内钢外玻璃双层油罐，双层油罐自带渗漏检测立管）；项目双层储罐和管道系统的渗漏检测采用在线监测系统；储罐设液位监测系统、高液位报警装置，对储罐内的液位监控显示及报警功能。</w:t>
                  </w:r>
                </w:p>
              </w:tc>
              <w:tc>
                <w:tcPr>
                  <w:tcW w:w="695" w:type="dxa"/>
                  <w:vMerge w:val="restart"/>
                  <w:noWrap w:val="0"/>
                  <w:vAlign w:val="center"/>
                </w:tcPr>
                <w:p>
                  <w:pPr>
                    <w:snapToGrid w:val="0"/>
                    <w:ind w:left="-28" w:right="-28"/>
                    <w:jc w:val="center"/>
                    <w:rPr>
                      <w:rFonts w:hint="eastAsia"/>
                      <w:color w:val="auto"/>
                      <w:szCs w:val="21"/>
                    </w:rPr>
                  </w:pPr>
                  <w:r>
                    <w:rPr>
                      <w:rFonts w:hint="eastAsia" w:ascii="Times New Roman" w:hAnsi="Times New Roman" w:eastAsia="宋体" w:cs="Times New Roman"/>
                      <w:color w:val="auto"/>
                      <w:kern w:val="0"/>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1182" w:type="dxa"/>
                  <w:vMerge w:val="continue"/>
                  <w:noWrap w:val="0"/>
                  <w:vAlign w:val="center"/>
                </w:tcPr>
                <w:p>
                  <w:pPr>
                    <w:snapToGrid w:val="0"/>
                    <w:ind w:left="-28" w:right="-28"/>
                    <w:jc w:val="center"/>
                    <w:rPr>
                      <w:rFonts w:ascii="Times New Roman" w:hAnsi="Times New Roman" w:eastAsia="宋体" w:cs="Times New Roman"/>
                      <w:color w:val="auto"/>
                      <w:szCs w:val="21"/>
                      <w:lang w:val="en-US" w:eastAsia="zh-CN"/>
                    </w:rPr>
                  </w:pPr>
                </w:p>
              </w:tc>
              <w:tc>
                <w:tcPr>
                  <w:tcW w:w="3095" w:type="dxa"/>
                  <w:noWrap w:val="0"/>
                  <w:vAlign w:val="center"/>
                </w:tcPr>
                <w:p>
                  <w:pPr>
                    <w:snapToGrid w:val="0"/>
                    <w:ind w:left="-28" w:right="-28"/>
                    <w:jc w:val="center"/>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lang w:val="en-US" w:eastAsia="zh-CN"/>
                    </w:rPr>
                    <w:t>防渗池的各隔池内应设检测立管</w:t>
                  </w:r>
                  <w:r>
                    <w:rPr>
                      <w:rFonts w:hint="eastAsia" w:ascii="Times New Roman" w:hAnsi="Times New Roman" w:eastAsia="宋体" w:cs="Times New Roman"/>
                      <w:color w:val="auto"/>
                      <w:kern w:val="0"/>
                      <w:szCs w:val="21"/>
                      <w:lang w:val="en-US" w:eastAsia="zh-CN"/>
                    </w:rPr>
                    <w:t>；采取防渗漏措施的加油站，其埋地加油管道应采用双层管道。具体设计要求应符合《汽车加油加气站设计与施工规范》（GB 50156）的规定。双层油罐、防渗池和管道系统的渗漏检测宜采用在线监测系统。</w:t>
                  </w:r>
                </w:p>
              </w:tc>
              <w:tc>
                <w:tcPr>
                  <w:tcW w:w="1833" w:type="dxa"/>
                  <w:vMerge w:val="continue"/>
                  <w:noWrap w:val="0"/>
                  <w:vAlign w:val="center"/>
                </w:tcPr>
                <w:p>
                  <w:pPr>
                    <w:bidi w:val="0"/>
                    <w:jc w:val="left"/>
                    <w:rPr>
                      <w:rFonts w:hint="eastAsia" w:ascii="Times New Roman" w:hAnsi="Times New Roman" w:eastAsia="宋体" w:cs="Times New Roman"/>
                      <w:color w:val="auto"/>
                      <w:kern w:val="0"/>
                      <w:szCs w:val="21"/>
                      <w:lang w:val="en-US" w:eastAsia="zh-CN"/>
                    </w:rPr>
                  </w:pPr>
                </w:p>
              </w:tc>
              <w:tc>
                <w:tcPr>
                  <w:tcW w:w="695" w:type="dxa"/>
                  <w:vMerge w:val="continue"/>
                  <w:noWrap w:val="0"/>
                  <w:vAlign w:val="center"/>
                </w:tcPr>
                <w:p>
                  <w:pPr>
                    <w:snapToGrid w:val="0"/>
                    <w:ind w:left="-28" w:right="-28"/>
                    <w:jc w:val="center"/>
                    <w:rPr>
                      <w:rFonts w:hint="eastAsia" w:ascii="Times New Roman" w:hAnsi="Times New Roman" w:eastAsia="宋体" w:cs="Times New Roman"/>
                      <w:color w:val="auto"/>
                      <w:kern w:val="0"/>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1182" w:type="dxa"/>
                  <w:noWrap w:val="0"/>
                  <w:vAlign w:val="center"/>
                </w:tcPr>
                <w:p>
                  <w:pPr>
                    <w:snapToGrid w:val="0"/>
                    <w:ind w:left="-28" w:right="-28"/>
                    <w:jc w:val="center"/>
                    <w:rPr>
                      <w:color w:val="auto"/>
                      <w:szCs w:val="21"/>
                    </w:rPr>
                  </w:pPr>
                  <w:r>
                    <w:rPr>
                      <w:color w:val="auto"/>
                      <w:szCs w:val="21"/>
                    </w:rPr>
                    <w:t>《中华人民共和国大气污染防治法》（</w:t>
                  </w:r>
                  <w:r>
                    <w:rPr>
                      <w:rFonts w:hint="eastAsia"/>
                      <w:color w:val="auto"/>
                      <w:szCs w:val="21"/>
                    </w:rPr>
                    <w:t>2018年10月26日第二次修正</w:t>
                  </w:r>
                  <w:r>
                    <w:rPr>
                      <w:color w:val="auto"/>
                      <w:szCs w:val="21"/>
                    </w:rPr>
                    <w:t>）</w:t>
                  </w:r>
                </w:p>
              </w:tc>
              <w:tc>
                <w:tcPr>
                  <w:tcW w:w="3095" w:type="dxa"/>
                  <w:noWrap w:val="0"/>
                  <w:vAlign w:val="center"/>
                </w:tcPr>
                <w:p>
                  <w:pPr>
                    <w:snapToGrid w:val="0"/>
                    <w:ind w:left="-28" w:right="-28"/>
                    <w:jc w:val="center"/>
                    <w:rPr>
                      <w:color w:val="auto"/>
                      <w:kern w:val="0"/>
                      <w:szCs w:val="21"/>
                    </w:rPr>
                  </w:pPr>
                  <w:r>
                    <w:rPr>
                      <w:color w:val="auto"/>
                      <w:kern w:val="0"/>
                      <w:szCs w:val="21"/>
                    </w:rPr>
                    <w:t>储油储气库、加油加气站、原油成品油码头、原油成品油运输船舶和油罐车、气罐车等，应当按照国家有关规定安装油气回收装置并保持正常使用。</w:t>
                  </w:r>
                </w:p>
              </w:tc>
              <w:tc>
                <w:tcPr>
                  <w:tcW w:w="1833" w:type="dxa"/>
                  <w:noWrap w:val="0"/>
                  <w:vAlign w:val="center"/>
                </w:tcPr>
                <w:p>
                  <w:pPr>
                    <w:snapToGrid w:val="0"/>
                    <w:ind w:left="-28" w:right="-28"/>
                    <w:rPr>
                      <w:color w:val="auto"/>
                      <w:szCs w:val="21"/>
                    </w:rPr>
                  </w:pPr>
                  <w:r>
                    <w:rPr>
                      <w:color w:val="auto"/>
                      <w:szCs w:val="21"/>
                    </w:rPr>
                    <w:t>本项目</w:t>
                  </w:r>
                  <w:r>
                    <w:rPr>
                      <w:rFonts w:hint="eastAsia"/>
                      <w:color w:val="auto"/>
                      <w:szCs w:val="21"/>
                      <w:lang w:val="en-US" w:eastAsia="zh-CN"/>
                    </w:rPr>
                    <w:t>加油站</w:t>
                  </w:r>
                  <w:r>
                    <w:rPr>
                      <w:color w:val="auto"/>
                      <w:szCs w:val="21"/>
                    </w:rPr>
                    <w:t>设</w:t>
                  </w:r>
                  <w:r>
                    <w:rPr>
                      <w:rFonts w:hint="eastAsia"/>
                      <w:color w:val="auto"/>
                      <w:szCs w:val="21"/>
                      <w:lang w:val="en-US" w:eastAsia="zh-CN"/>
                    </w:rPr>
                    <w:t>置</w:t>
                  </w:r>
                  <w:r>
                    <w:rPr>
                      <w:color w:val="auto"/>
                      <w:szCs w:val="21"/>
                    </w:rPr>
                    <w:t>有</w:t>
                  </w:r>
                  <w:r>
                    <w:rPr>
                      <w:color w:val="auto"/>
                    </w:rPr>
                    <w:t>卸油油气回收系统、加油油气回收（分散式）系统、三次油气回收系统</w:t>
                  </w:r>
                  <w:r>
                    <w:rPr>
                      <w:color w:val="auto"/>
                      <w:szCs w:val="21"/>
                    </w:rPr>
                    <w:t>。</w:t>
                  </w:r>
                </w:p>
              </w:tc>
              <w:tc>
                <w:tcPr>
                  <w:tcW w:w="695" w:type="dxa"/>
                  <w:noWrap w:val="0"/>
                  <w:vAlign w:val="center"/>
                </w:tcPr>
                <w:p>
                  <w:pPr>
                    <w:snapToGrid w:val="0"/>
                    <w:ind w:left="-28" w:right="-28"/>
                    <w:jc w:val="center"/>
                    <w:rPr>
                      <w:rFonts w:hint="eastAsia"/>
                      <w:color w:val="auto"/>
                      <w:szCs w:val="21"/>
                    </w:rPr>
                  </w:pPr>
                  <w:r>
                    <w:rPr>
                      <w:rFonts w:hint="eastAsia"/>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1182" w:type="dxa"/>
                  <w:noWrap w:val="0"/>
                  <w:vAlign w:val="center"/>
                </w:tcPr>
                <w:p>
                  <w:pPr>
                    <w:snapToGrid w:val="0"/>
                    <w:ind w:left="-28" w:right="-28"/>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《陕西省大气污染防治条例》（2019修正版）</w:t>
                  </w:r>
                </w:p>
              </w:tc>
              <w:tc>
                <w:tcPr>
                  <w:tcW w:w="3095" w:type="dxa"/>
                  <w:noWrap w:val="0"/>
                  <w:vAlign w:val="center"/>
                </w:tcPr>
                <w:p>
                  <w:pPr>
                    <w:snapToGrid w:val="0"/>
                    <w:ind w:left="-28" w:right="-28"/>
                    <w:jc w:val="center"/>
                    <w:rPr>
                      <w:rFonts w:hint="eastAsia" w:ascii="Times New Roman" w:hAnsi="Times New Roman" w:eastAsia="宋体" w:cs="Times New Roman"/>
                      <w:color w:val="auto"/>
                      <w:kern w:val="0"/>
                      <w:szCs w:val="21"/>
                      <w:lang w:eastAsia="zh-CN"/>
                    </w:rPr>
                  </w:pPr>
                  <w:r>
                    <w:rPr>
                      <w:rFonts w:ascii="Times New Roman" w:hAnsi="Times New Roman" w:eastAsia="宋体" w:cs="Times New Roman"/>
                      <w:color w:val="auto"/>
                      <w:kern w:val="0"/>
                      <w:szCs w:val="21"/>
                    </w:rPr>
                    <w:t>含挥发性有机物废气的生产经营单位，在密闭环境中进行作业，安装使用污染治理设备和废气收集系统</w:t>
                  </w:r>
                  <w:r>
                    <w:rPr>
                      <w:rFonts w:hint="eastAsia" w:ascii="Times New Roman" w:hAnsi="Times New Roman" w:eastAsia="宋体" w:cs="Times New Roman"/>
                      <w:color w:val="auto"/>
                      <w:kern w:val="0"/>
                      <w:szCs w:val="21"/>
                      <w:lang w:eastAsia="zh-CN"/>
                    </w:rPr>
                    <w:t>。</w:t>
                  </w:r>
                </w:p>
              </w:tc>
              <w:tc>
                <w:tcPr>
                  <w:tcW w:w="1833" w:type="dxa"/>
                  <w:noWrap w:val="0"/>
                  <w:vAlign w:val="center"/>
                </w:tcPr>
                <w:p>
                  <w:pPr>
                    <w:snapToGrid w:val="0"/>
                    <w:ind w:left="-28" w:right="-28"/>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本项目已设置三</w:t>
                  </w:r>
                  <w:r>
                    <w:rPr>
                      <w:rFonts w:hint="eastAsia" w:ascii="Times New Roman" w:hAnsi="Times New Roman" w:eastAsia="宋体" w:cs="Times New Roman"/>
                      <w:color w:val="auto"/>
                      <w:kern w:val="0"/>
                      <w:szCs w:val="21"/>
                    </w:rPr>
                    <w:t>次</w:t>
                  </w:r>
                  <w:r>
                    <w:rPr>
                      <w:rFonts w:ascii="Times New Roman" w:hAnsi="Times New Roman" w:eastAsia="宋体" w:cs="Times New Roman"/>
                      <w:color w:val="auto"/>
                      <w:kern w:val="0"/>
                      <w:szCs w:val="21"/>
                    </w:rPr>
                    <w:t>油气回收设施，可有效降低VOCs排放。</w:t>
                  </w:r>
                </w:p>
              </w:tc>
              <w:tc>
                <w:tcPr>
                  <w:tcW w:w="695" w:type="dxa"/>
                  <w:noWrap w:val="0"/>
                  <w:vAlign w:val="center"/>
                </w:tcPr>
                <w:p>
                  <w:pPr>
                    <w:snapToGrid w:val="0"/>
                    <w:ind w:left="-28" w:right="-28"/>
                    <w:jc w:val="center"/>
                    <w:rPr>
                      <w:rFonts w:hint="eastAsia" w:ascii="Times New Roman" w:hAnsi="Times New Roman" w:eastAsia="宋体" w:cs="Times New Roman"/>
                      <w:color w:val="auto"/>
                      <w:kern w:val="0"/>
                      <w:szCs w:val="21"/>
                    </w:rPr>
                  </w:pPr>
                  <w:r>
                    <w:rPr>
                      <w:rFonts w:ascii="Times New Roman" w:hAnsi="Times New Roman" w:eastAsia="宋体" w:cs="Times New Roman"/>
                      <w:color w:val="auto"/>
                      <w:kern w:val="0"/>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1182" w:type="dxa"/>
                  <w:noWrap w:val="0"/>
                  <w:vAlign w:val="center"/>
                </w:tcPr>
                <w:p>
                  <w:pPr>
                    <w:snapToGrid w:val="0"/>
                    <w:ind w:left="-28" w:right="-28"/>
                    <w:jc w:val="center"/>
                    <w:rPr>
                      <w:color w:val="auto"/>
                      <w:szCs w:val="21"/>
                    </w:rPr>
                  </w:pPr>
                  <w:r>
                    <w:rPr>
                      <w:color w:val="auto"/>
                      <w:szCs w:val="21"/>
                    </w:rPr>
                    <w:t>《水污染防治行动计划》（水十条）（国发</w:t>
                  </w:r>
                  <w:r>
                    <w:rPr>
                      <w:rFonts w:hint="eastAsia"/>
                      <w:color w:val="auto"/>
                      <w:szCs w:val="21"/>
                    </w:rPr>
                    <w:t>〔</w:t>
                  </w:r>
                  <w:r>
                    <w:rPr>
                      <w:color w:val="auto"/>
                      <w:szCs w:val="21"/>
                    </w:rPr>
                    <w:t>2015</w:t>
                  </w:r>
                  <w:r>
                    <w:rPr>
                      <w:rFonts w:hint="eastAsia"/>
                      <w:color w:val="auto"/>
                      <w:szCs w:val="21"/>
                    </w:rPr>
                    <w:t>〕</w:t>
                  </w:r>
                  <w:r>
                    <w:rPr>
                      <w:color w:val="auto"/>
                      <w:szCs w:val="21"/>
                    </w:rPr>
                    <w:t>17号）2015年4月16日</w:t>
                  </w:r>
                </w:p>
              </w:tc>
              <w:tc>
                <w:tcPr>
                  <w:tcW w:w="3095" w:type="dxa"/>
                  <w:noWrap w:val="0"/>
                  <w:vAlign w:val="center"/>
                </w:tcPr>
                <w:p>
                  <w:pPr>
                    <w:snapToGrid w:val="0"/>
                    <w:ind w:left="-28" w:right="-28"/>
                    <w:jc w:val="center"/>
                    <w:rPr>
                      <w:rFonts w:hint="eastAsia"/>
                      <w:color w:val="auto"/>
                      <w:szCs w:val="21"/>
                    </w:rPr>
                  </w:pPr>
                  <w:r>
                    <w:rPr>
                      <w:color w:val="auto"/>
                      <w:kern w:val="0"/>
                      <w:szCs w:val="21"/>
                    </w:rPr>
                    <w:t>加油站地下油罐应于2017年底前全部更新为双层罐或完成防渗池设置</w:t>
                  </w:r>
                  <w:r>
                    <w:rPr>
                      <w:rFonts w:hint="eastAsia"/>
                      <w:color w:val="auto"/>
                      <w:kern w:val="0"/>
                      <w:szCs w:val="21"/>
                    </w:rPr>
                    <w:t>。</w:t>
                  </w:r>
                </w:p>
              </w:tc>
              <w:tc>
                <w:tcPr>
                  <w:tcW w:w="1833" w:type="dxa"/>
                  <w:noWrap w:val="0"/>
                  <w:vAlign w:val="center"/>
                </w:tcPr>
                <w:p>
                  <w:pPr>
                    <w:snapToGrid w:val="0"/>
                    <w:ind w:left="-28" w:right="-28"/>
                    <w:rPr>
                      <w:rFonts w:hint="eastAsia" w:eastAsia="宋体"/>
                      <w:color w:val="auto"/>
                      <w:kern w:val="0"/>
                      <w:szCs w:val="21"/>
                      <w:lang w:eastAsia="zh-CN"/>
                    </w:rPr>
                  </w:pPr>
                  <w:r>
                    <w:rPr>
                      <w:color w:val="auto"/>
                      <w:szCs w:val="21"/>
                    </w:rPr>
                    <w:t>本项目</w:t>
                  </w:r>
                  <w:r>
                    <w:rPr>
                      <w:rFonts w:hint="eastAsia"/>
                      <w:color w:val="auto"/>
                      <w:szCs w:val="21"/>
                      <w:lang w:val="en-US" w:eastAsia="zh-CN"/>
                    </w:rPr>
                    <w:t>加油站</w:t>
                  </w:r>
                  <w:r>
                    <w:rPr>
                      <w:color w:val="auto"/>
                      <w:kern w:val="0"/>
                    </w:rPr>
                    <w:t>油罐</w:t>
                  </w:r>
                  <w:r>
                    <w:rPr>
                      <w:rFonts w:hint="eastAsia"/>
                      <w:color w:val="auto"/>
                      <w:kern w:val="0"/>
                      <w:lang w:val="en-US" w:eastAsia="zh-CN"/>
                    </w:rPr>
                    <w:t>已更新</w:t>
                  </w:r>
                  <w:r>
                    <w:rPr>
                      <w:color w:val="auto"/>
                      <w:kern w:val="0"/>
                    </w:rPr>
                    <w:t>为</w:t>
                  </w:r>
                  <w:r>
                    <w:rPr>
                      <w:rFonts w:hint="eastAsia"/>
                      <w:color w:val="auto"/>
                      <w:kern w:val="0"/>
                    </w:rPr>
                    <w:t>S</w:t>
                  </w:r>
                  <w:r>
                    <w:rPr>
                      <w:color w:val="auto"/>
                      <w:kern w:val="0"/>
                    </w:rPr>
                    <w:t>F双层油罐（</w:t>
                  </w:r>
                  <w:r>
                    <w:rPr>
                      <w:rFonts w:hint="eastAsia"/>
                      <w:color w:val="auto"/>
                      <w:kern w:val="0"/>
                    </w:rPr>
                    <w:t>内钢外玻璃</w:t>
                  </w:r>
                  <w:r>
                    <w:rPr>
                      <w:color w:val="auto"/>
                      <w:kern w:val="0"/>
                    </w:rPr>
                    <w:t>双层油罐，双层油罐自带渗漏检测立管）</w:t>
                  </w:r>
                  <w:r>
                    <w:rPr>
                      <w:rFonts w:hint="eastAsia"/>
                      <w:color w:val="auto"/>
                      <w:kern w:val="0"/>
                      <w:lang w:eastAsia="zh-CN"/>
                    </w:rPr>
                    <w:t>。</w:t>
                  </w:r>
                </w:p>
              </w:tc>
              <w:tc>
                <w:tcPr>
                  <w:tcW w:w="695" w:type="dxa"/>
                  <w:noWrap w:val="0"/>
                  <w:vAlign w:val="center"/>
                </w:tcPr>
                <w:p>
                  <w:pPr>
                    <w:snapToGrid w:val="0"/>
                    <w:ind w:left="-28" w:right="-28"/>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noWrap w:val="0"/>
                  <w:vAlign w:val="center"/>
                </w:tcPr>
                <w:p>
                  <w:pPr>
                    <w:snapToGrid w:val="0"/>
                    <w:ind w:left="-28" w:right="-28"/>
                    <w:jc w:val="center"/>
                    <w:rPr>
                      <w:color w:val="auto"/>
                      <w:szCs w:val="21"/>
                    </w:rPr>
                  </w:pPr>
                  <w:r>
                    <w:rPr>
                      <w:bCs/>
                      <w:color w:val="auto"/>
                      <w:szCs w:val="21"/>
                    </w:rPr>
                    <w:t>《挥发性有机物（VOCs）污染防治技术政策》环保部公告2013年第31号</w:t>
                  </w:r>
                </w:p>
              </w:tc>
              <w:tc>
                <w:tcPr>
                  <w:tcW w:w="3095" w:type="dxa"/>
                  <w:noWrap w:val="0"/>
                  <w:vAlign w:val="center"/>
                </w:tcPr>
                <w:p>
                  <w:pPr>
                    <w:snapToGrid w:val="0"/>
                    <w:ind w:left="-28" w:right="-28"/>
                    <w:jc w:val="center"/>
                    <w:rPr>
                      <w:rFonts w:hint="eastAsia"/>
                      <w:color w:val="auto"/>
                      <w:szCs w:val="21"/>
                      <w:lang w:val="en-GB"/>
                    </w:rPr>
                  </w:pPr>
                  <w:r>
                    <w:rPr>
                      <w:bCs/>
                      <w:color w:val="auto"/>
                      <w:szCs w:val="21"/>
                    </w:rPr>
                    <w:t>VOCs污染防治应遵循源头和过程控制与末端治理相结合的综合防治原则。在工业生产中采用清洁生产技术，严格控制含VOCs原料与产品在生产和储运销售过程中的VOCs排放，鼓励对资源和能源的回收利用</w:t>
                  </w:r>
                  <w:r>
                    <w:rPr>
                      <w:rFonts w:hint="eastAsia"/>
                      <w:bCs/>
                      <w:color w:val="auto"/>
                      <w:szCs w:val="21"/>
                    </w:rPr>
                    <w:t>。</w:t>
                  </w:r>
                </w:p>
              </w:tc>
              <w:tc>
                <w:tcPr>
                  <w:tcW w:w="1833" w:type="dxa"/>
                  <w:noWrap w:val="0"/>
                  <w:vAlign w:val="center"/>
                </w:tcPr>
                <w:p>
                  <w:pPr>
                    <w:snapToGrid w:val="0"/>
                    <w:ind w:left="-28" w:right="-28"/>
                    <w:rPr>
                      <w:rFonts w:hint="eastAsia" w:eastAsia="宋体"/>
                      <w:color w:val="auto"/>
                      <w:szCs w:val="21"/>
                      <w:lang w:eastAsia="zh-CN"/>
                    </w:rPr>
                  </w:pPr>
                  <w:r>
                    <w:rPr>
                      <w:color w:val="auto"/>
                      <w:szCs w:val="21"/>
                    </w:rPr>
                    <w:t>本项目</w:t>
                  </w:r>
                  <w:r>
                    <w:rPr>
                      <w:rFonts w:hint="eastAsia"/>
                      <w:color w:val="auto"/>
                      <w:szCs w:val="21"/>
                    </w:rPr>
                    <w:t>采取</w:t>
                  </w:r>
                  <w:r>
                    <w:rPr>
                      <w:color w:val="auto"/>
                    </w:rPr>
                    <w:t>三次油气回收系统</w:t>
                  </w:r>
                  <w:r>
                    <w:rPr>
                      <w:color w:val="auto"/>
                      <w:szCs w:val="21"/>
                    </w:rPr>
                    <w:t>对项目产生的VOCs进行控制</w:t>
                  </w:r>
                  <w:r>
                    <w:rPr>
                      <w:rFonts w:hint="eastAsia"/>
                      <w:color w:val="auto"/>
                      <w:szCs w:val="21"/>
                      <w:lang w:eastAsia="zh-CN"/>
                    </w:rPr>
                    <w:t>。</w:t>
                  </w:r>
                </w:p>
              </w:tc>
              <w:tc>
                <w:tcPr>
                  <w:tcW w:w="695" w:type="dxa"/>
                  <w:noWrap w:val="0"/>
                  <w:vAlign w:val="center"/>
                </w:tcPr>
                <w:p>
                  <w:pPr>
                    <w:snapToGrid w:val="0"/>
                    <w:ind w:left="-28" w:right="-28"/>
                    <w:jc w:val="center"/>
                    <w:rPr>
                      <w:color w:val="auto"/>
                      <w:kern w:val="0"/>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restart"/>
                  <w:noWrap w:val="0"/>
                  <w:vAlign w:val="center"/>
                </w:tcPr>
                <w:p>
                  <w:pPr>
                    <w:snapToGrid w:val="0"/>
                    <w:ind w:left="-28" w:right="-28"/>
                    <w:jc w:val="center"/>
                    <w:rPr>
                      <w:rFonts w:hint="eastAsia"/>
                      <w:bCs/>
                      <w:color w:val="auto"/>
                      <w:szCs w:val="21"/>
                    </w:rPr>
                  </w:pPr>
                  <w:r>
                    <w:rPr>
                      <w:bCs/>
                      <w:color w:val="auto"/>
                      <w:szCs w:val="21"/>
                    </w:rPr>
                    <w:t>《重点行业挥发性有机物综合治理方案》（环大气〔2019〕53号</w:t>
                  </w:r>
                  <w:r>
                    <w:rPr>
                      <w:rFonts w:hint="eastAsia"/>
                      <w:bCs/>
                      <w:color w:val="auto"/>
                      <w:szCs w:val="21"/>
                    </w:rPr>
                    <w:t>）</w:t>
                  </w:r>
                </w:p>
              </w:tc>
              <w:tc>
                <w:tcPr>
                  <w:tcW w:w="3095" w:type="dxa"/>
                  <w:noWrap w:val="0"/>
                  <w:vAlign w:val="center"/>
                </w:tcPr>
                <w:p>
                  <w:pPr>
                    <w:snapToGrid w:val="0"/>
                    <w:ind w:left="-28" w:right="-28"/>
                    <w:jc w:val="center"/>
                    <w:rPr>
                      <w:color w:val="auto"/>
                      <w:szCs w:val="21"/>
                    </w:rPr>
                  </w:pPr>
                  <w:r>
                    <w:rPr>
                      <w:color w:val="auto"/>
                      <w:szCs w:val="21"/>
                    </w:rPr>
                    <w:t>油品储运销VOCs综合治理。加大汽油（含乙醇汽油）、石脑油、煤油（含航空煤油）以及原油等VOCs排放控制，重点推进加油站、油罐车、储油库油气回收治理。</w:t>
                  </w:r>
                </w:p>
              </w:tc>
              <w:tc>
                <w:tcPr>
                  <w:tcW w:w="1833" w:type="dxa"/>
                  <w:noWrap w:val="0"/>
                  <w:vAlign w:val="center"/>
                </w:tcPr>
                <w:p>
                  <w:pPr>
                    <w:snapToGrid w:val="0"/>
                    <w:ind w:left="-28" w:right="-28"/>
                    <w:rPr>
                      <w:color w:val="auto"/>
                      <w:szCs w:val="21"/>
                    </w:rPr>
                  </w:pPr>
                  <w:r>
                    <w:rPr>
                      <w:color w:val="auto"/>
                      <w:szCs w:val="21"/>
                    </w:rPr>
                    <w:t>本项目设</w:t>
                  </w:r>
                  <w:r>
                    <w:rPr>
                      <w:color w:val="auto"/>
                    </w:rPr>
                    <w:t>三次油气回收系统</w:t>
                  </w:r>
                  <w:r>
                    <w:rPr>
                      <w:color w:val="auto"/>
                      <w:szCs w:val="21"/>
                    </w:rPr>
                    <w:t>对加油站、油罐车、储油库油气回收治理。</w:t>
                  </w:r>
                </w:p>
              </w:tc>
              <w:tc>
                <w:tcPr>
                  <w:tcW w:w="695" w:type="dxa"/>
                  <w:noWrap w:val="0"/>
                  <w:vAlign w:val="center"/>
                </w:tcPr>
                <w:p>
                  <w:pPr>
                    <w:snapToGrid w:val="0"/>
                    <w:ind w:left="-28" w:right="-28"/>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noWrap w:val="0"/>
                  <w:vAlign w:val="center"/>
                </w:tcPr>
                <w:p>
                  <w:pPr>
                    <w:snapToGrid w:val="0"/>
                    <w:ind w:left="-28" w:right="-28"/>
                    <w:jc w:val="center"/>
                    <w:rPr>
                      <w:bCs/>
                      <w:color w:val="auto"/>
                      <w:szCs w:val="21"/>
                    </w:rPr>
                  </w:pPr>
                </w:p>
              </w:tc>
              <w:tc>
                <w:tcPr>
                  <w:tcW w:w="3095" w:type="dxa"/>
                  <w:noWrap w:val="0"/>
                  <w:vAlign w:val="center"/>
                </w:tcPr>
                <w:p>
                  <w:pPr>
                    <w:snapToGrid w:val="0"/>
                    <w:ind w:left="-28" w:right="-28"/>
                    <w:jc w:val="center"/>
                    <w:rPr>
                      <w:color w:val="auto"/>
                      <w:szCs w:val="21"/>
                    </w:rPr>
                  </w:pPr>
                  <w:r>
                    <w:rPr>
                      <w:color w:val="auto"/>
                      <w:szCs w:val="21"/>
                    </w:rPr>
                    <w:t>深化加油站油气回收工作。O</w:t>
                  </w:r>
                  <w:r>
                    <w:rPr>
                      <w:color w:val="auto"/>
                      <w:szCs w:val="21"/>
                      <w:vertAlign w:val="subscript"/>
                    </w:rPr>
                    <w:t>3</w:t>
                  </w:r>
                  <w:r>
                    <w:rPr>
                      <w:color w:val="auto"/>
                      <w:szCs w:val="21"/>
                    </w:rPr>
                    <w:t>污染较重的地区，行政区域内大力推进加油站储油、加油油气回收治理工作。</w:t>
                  </w:r>
                </w:p>
              </w:tc>
              <w:tc>
                <w:tcPr>
                  <w:tcW w:w="1833" w:type="dxa"/>
                  <w:noWrap w:val="0"/>
                  <w:vAlign w:val="center"/>
                </w:tcPr>
                <w:p>
                  <w:pPr>
                    <w:snapToGrid w:val="0"/>
                    <w:ind w:left="-28" w:right="-28"/>
                    <w:rPr>
                      <w:color w:val="auto"/>
                      <w:szCs w:val="21"/>
                    </w:rPr>
                  </w:pPr>
                  <w:r>
                    <w:rPr>
                      <w:color w:val="auto"/>
                      <w:szCs w:val="21"/>
                    </w:rPr>
                    <w:t>本项目加油油气回收系统和储油油罐油气回收系统，针对加油站储油、加油油气</w:t>
                  </w:r>
                  <w:r>
                    <w:rPr>
                      <w:rFonts w:hint="eastAsia"/>
                      <w:color w:val="auto"/>
                      <w:szCs w:val="21"/>
                    </w:rPr>
                    <w:t>进行控制。</w:t>
                  </w:r>
                </w:p>
              </w:tc>
              <w:tc>
                <w:tcPr>
                  <w:tcW w:w="695" w:type="dxa"/>
                  <w:noWrap w:val="0"/>
                  <w:vAlign w:val="center"/>
                </w:tcPr>
                <w:p>
                  <w:pPr>
                    <w:snapToGrid w:val="0"/>
                    <w:ind w:left="-28" w:right="-28"/>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2" w:type="dxa"/>
                  <w:vMerge w:val="continue"/>
                  <w:noWrap w:val="0"/>
                  <w:vAlign w:val="center"/>
                </w:tcPr>
                <w:p>
                  <w:pPr>
                    <w:snapToGrid w:val="0"/>
                    <w:ind w:left="-28" w:right="-28"/>
                    <w:jc w:val="center"/>
                    <w:rPr>
                      <w:bCs/>
                      <w:color w:val="auto"/>
                      <w:szCs w:val="21"/>
                    </w:rPr>
                  </w:pPr>
                </w:p>
              </w:tc>
              <w:tc>
                <w:tcPr>
                  <w:tcW w:w="3095" w:type="dxa"/>
                  <w:noWrap w:val="0"/>
                  <w:vAlign w:val="center"/>
                </w:tcPr>
                <w:p>
                  <w:pPr>
                    <w:snapToGrid w:val="0"/>
                    <w:ind w:left="-28" w:right="-28"/>
                    <w:rPr>
                      <w:color w:val="auto"/>
                      <w:szCs w:val="21"/>
                    </w:rPr>
                  </w:pPr>
                  <w:r>
                    <w:rPr>
                      <w:color w:val="auto"/>
                      <w:szCs w:val="21"/>
                    </w:rPr>
                    <w:t>埋地油罐全面采用电子液位仪进行汽油密闭测量。</w:t>
                  </w:r>
                </w:p>
              </w:tc>
              <w:tc>
                <w:tcPr>
                  <w:tcW w:w="1833" w:type="dxa"/>
                  <w:noWrap w:val="0"/>
                  <w:vAlign w:val="center"/>
                </w:tcPr>
                <w:p>
                  <w:pPr>
                    <w:snapToGrid w:val="0"/>
                    <w:ind w:left="-28" w:right="-28"/>
                    <w:rPr>
                      <w:color w:val="auto"/>
                      <w:szCs w:val="21"/>
                    </w:rPr>
                  </w:pPr>
                  <w:r>
                    <w:rPr>
                      <w:color w:val="auto"/>
                      <w:szCs w:val="21"/>
                    </w:rPr>
                    <w:t>本项目双层储罐和管道系统的渗漏检测采用在线监测系统；储罐设液位监测系统、高液位报警装置，对储罐内的液位监控显示及报警功能。</w:t>
                  </w:r>
                </w:p>
              </w:tc>
              <w:tc>
                <w:tcPr>
                  <w:tcW w:w="695" w:type="dxa"/>
                  <w:noWrap w:val="0"/>
                  <w:vAlign w:val="center"/>
                </w:tcPr>
                <w:p>
                  <w:pPr>
                    <w:snapToGrid w:val="0"/>
                    <w:ind w:left="-28" w:right="-28"/>
                    <w:jc w:val="center"/>
                    <w:rPr>
                      <w:color w:val="auto"/>
                      <w:szCs w:val="21"/>
                    </w:rPr>
                  </w:pPr>
                  <w:r>
                    <w:rPr>
                      <w:color w:val="auto"/>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82" w:type="dxa"/>
                  <w:tcBorders>
                    <w:bottom w:val="single" w:color="000000" w:sz="4" w:space="0"/>
                  </w:tcBorders>
                  <w:noWrap w:val="0"/>
                  <w:vAlign w:val="center"/>
                </w:tcPr>
                <w:p>
                  <w:pPr>
                    <w:snapToGrid w:val="0"/>
                    <w:ind w:left="-28" w:right="-28"/>
                    <w:jc w:val="center"/>
                    <w:rPr>
                      <w:rFonts w:hint="eastAsia" w:eastAsia="宋体"/>
                      <w:bCs/>
                      <w:color w:val="auto"/>
                      <w:szCs w:val="21"/>
                      <w:highlight w:val="none"/>
                      <w:lang w:eastAsia="zh-CN"/>
                    </w:rPr>
                  </w:pPr>
                  <w:r>
                    <w:rPr>
                      <w:bCs/>
                      <w:color w:val="auto"/>
                      <w:szCs w:val="21"/>
                      <w:highlight w:val="none"/>
                    </w:rPr>
                    <w:t>《</w:t>
                  </w:r>
                  <w:r>
                    <w:rPr>
                      <w:rFonts w:hint="eastAsia"/>
                      <w:bCs/>
                      <w:color w:val="auto"/>
                      <w:szCs w:val="21"/>
                      <w:highlight w:val="none"/>
                    </w:rPr>
                    <w:t>西安市蓝天保卫战2022年工作方案</w:t>
                  </w:r>
                  <w:r>
                    <w:rPr>
                      <w:bCs/>
                      <w:color w:val="auto"/>
                      <w:szCs w:val="21"/>
                      <w:highlight w:val="none"/>
                    </w:rPr>
                    <w:t>》</w:t>
                  </w:r>
                </w:p>
              </w:tc>
              <w:tc>
                <w:tcPr>
                  <w:tcW w:w="3095" w:type="dxa"/>
                  <w:tcBorders>
                    <w:bottom w:val="single" w:color="000000" w:sz="4" w:space="0"/>
                  </w:tcBorders>
                  <w:noWrap w:val="0"/>
                  <w:vAlign w:val="center"/>
                </w:tcPr>
                <w:p>
                  <w:pPr>
                    <w:snapToGrid w:val="0"/>
                    <w:ind w:left="-28" w:right="-28"/>
                    <w:rPr>
                      <w:rFonts w:hint="eastAsia" w:eastAsia="宋体"/>
                      <w:color w:val="auto"/>
                      <w:szCs w:val="21"/>
                      <w:highlight w:val="none"/>
                      <w:lang w:eastAsia="zh-CN"/>
                    </w:rPr>
                  </w:pPr>
                  <w:r>
                    <w:rPr>
                      <w:rFonts w:hint="eastAsia"/>
                      <w:color w:val="auto"/>
                      <w:szCs w:val="21"/>
                      <w:highlight w:val="none"/>
                    </w:rPr>
                    <w:t>强化VOCs无组织排放整治。全面排查含VOCs物料储存、转移和输送、设备与管线组件、敞开液面以及工艺过程等环节无组织排放情况</w:t>
                  </w:r>
                  <w:r>
                    <w:rPr>
                      <w:rFonts w:hint="eastAsia"/>
                      <w:color w:val="auto"/>
                      <w:szCs w:val="21"/>
                      <w:highlight w:val="none"/>
                      <w:lang w:eastAsia="zh-CN"/>
                    </w:rPr>
                    <w:t>。</w:t>
                  </w:r>
                </w:p>
              </w:tc>
              <w:tc>
                <w:tcPr>
                  <w:tcW w:w="1833" w:type="dxa"/>
                  <w:tcBorders>
                    <w:bottom w:val="single" w:color="000000" w:sz="4" w:space="0"/>
                  </w:tcBorders>
                  <w:noWrap w:val="0"/>
                  <w:vAlign w:val="center"/>
                </w:tcPr>
                <w:p>
                  <w:pPr>
                    <w:snapToGrid w:val="0"/>
                    <w:ind w:left="-28" w:right="-28"/>
                    <w:rPr>
                      <w:rFonts w:hint="default" w:eastAsia="宋体"/>
                      <w:color w:val="auto"/>
                      <w:szCs w:val="21"/>
                      <w:highlight w:val="none"/>
                      <w:lang w:val="en-US" w:eastAsia="zh-CN"/>
                    </w:rPr>
                  </w:pPr>
                  <w:r>
                    <w:rPr>
                      <w:rFonts w:hint="eastAsia"/>
                      <w:color w:val="auto"/>
                      <w:szCs w:val="21"/>
                      <w:highlight w:val="none"/>
                      <w:lang w:val="en-US" w:eastAsia="zh-CN"/>
                    </w:rPr>
                    <w:t>本项目卸油采取密闭卸油方式，并设置有卸油油气回收系统、加油油气回收系统以及储油油气回收系统。</w:t>
                  </w:r>
                </w:p>
              </w:tc>
              <w:tc>
                <w:tcPr>
                  <w:tcW w:w="695" w:type="dxa"/>
                  <w:tcBorders>
                    <w:bottom w:val="single" w:color="000000" w:sz="4" w:space="0"/>
                  </w:tcBorders>
                  <w:noWrap w:val="0"/>
                  <w:vAlign w:val="center"/>
                </w:tcPr>
                <w:p>
                  <w:pPr>
                    <w:snapToGrid w:val="0"/>
                    <w:ind w:left="-28" w:right="-28"/>
                    <w:jc w:val="center"/>
                    <w:rPr>
                      <w:rFonts w:hint="eastAsia" w:eastAsia="宋体"/>
                      <w:color w:val="auto"/>
                      <w:szCs w:val="21"/>
                      <w:lang w:val="en-US" w:eastAsia="zh-CN"/>
                    </w:rPr>
                  </w:pPr>
                  <w:r>
                    <w:rPr>
                      <w:rFonts w:hint="eastAsia"/>
                      <w:color w:val="auto"/>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jc w:val="center"/>
              </w:trPr>
              <w:tc>
                <w:tcPr>
                  <w:tcW w:w="1182" w:type="dxa"/>
                  <w:tcBorders>
                    <w:top w:val="single" w:color="000000" w:sz="4" w:space="0"/>
                    <w:bottom w:val="single" w:color="000000" w:sz="4" w:space="0"/>
                  </w:tcBorders>
                  <w:noWrap w:val="0"/>
                  <w:vAlign w:val="center"/>
                </w:tcPr>
                <w:p>
                  <w:pPr>
                    <w:snapToGrid w:val="0"/>
                    <w:ind w:left="-28" w:right="-28"/>
                    <w:jc w:val="center"/>
                    <w:rPr>
                      <w:bCs/>
                      <w:color w:val="auto"/>
                      <w:szCs w:val="21"/>
                      <w:highlight w:val="none"/>
                    </w:rPr>
                  </w:pPr>
                  <w:r>
                    <w:rPr>
                      <w:rFonts w:hint="eastAsia" w:ascii="Times New Roman" w:hAnsi="Times New Roman" w:eastAsia="宋体" w:cs="Times New Roman"/>
                      <w:color w:val="auto"/>
                      <w:kern w:val="2"/>
                      <w:sz w:val="21"/>
                      <w:szCs w:val="24"/>
                      <w:lang w:val="en-US" w:eastAsia="zh-CN" w:bidi="ar-SA"/>
                    </w:rPr>
                    <w:t>《陕西省大气污染治理专项行动方案（2023-2027）》</w:t>
                  </w:r>
                </w:p>
              </w:tc>
              <w:tc>
                <w:tcPr>
                  <w:tcW w:w="3095" w:type="dxa"/>
                  <w:tcBorders>
                    <w:top w:val="single" w:color="000000" w:sz="4" w:space="0"/>
                    <w:bottom w:val="single" w:color="000000" w:sz="4" w:space="0"/>
                  </w:tcBorders>
                  <w:noWrap w:val="0"/>
                  <w:vAlign w:val="center"/>
                </w:tcPr>
                <w:p>
                  <w:pPr>
                    <w:snapToGrid w:val="0"/>
                    <w:ind w:left="-28" w:right="-28"/>
                    <w:rPr>
                      <w:rFonts w:hint="eastAsia"/>
                      <w:color w:val="auto"/>
                      <w:szCs w:val="21"/>
                      <w:highlight w:val="none"/>
                    </w:rPr>
                  </w:pPr>
                  <w:r>
                    <w:rPr>
                      <w:rFonts w:hint="eastAsia" w:ascii="Times New Roman" w:hAnsi="Times New Roman" w:eastAsia="宋体" w:cs="Times New Roman"/>
                      <w:color w:val="auto"/>
                      <w:kern w:val="2"/>
                      <w:sz w:val="21"/>
                      <w:szCs w:val="24"/>
                      <w:lang w:val="en-US" w:eastAsia="zh-CN" w:bidi="ar-SA"/>
                    </w:rPr>
                    <w:t>动态更新挥发性有机物治理设施台账，开展简易低效挥发性有机物治理设施清理整治、涉活性炭挥发性有机物处理工艺专项整治行动，强化挥发性有机物无组织排放整治，确保达到相关标准要求。</w:t>
                  </w:r>
                </w:p>
              </w:tc>
              <w:tc>
                <w:tcPr>
                  <w:tcW w:w="1833" w:type="dxa"/>
                  <w:tcBorders>
                    <w:top w:val="single" w:color="000000" w:sz="4" w:space="0"/>
                    <w:bottom w:val="single" w:color="000000" w:sz="4" w:space="0"/>
                  </w:tcBorders>
                  <w:noWrap w:val="0"/>
                  <w:vAlign w:val="center"/>
                </w:tcPr>
                <w:p>
                  <w:pPr>
                    <w:pStyle w:val="79"/>
                    <w:spacing w:before="31" w:line="237" w:lineRule="auto"/>
                    <w:ind w:right="97"/>
                    <w:jc w:val="center"/>
                    <w:rPr>
                      <w:color w:val="auto"/>
                      <w:sz w:val="21"/>
                      <w:szCs w:val="21"/>
                    </w:rPr>
                  </w:pPr>
                  <w:r>
                    <w:rPr>
                      <w:color w:val="auto"/>
                      <w:spacing w:val="-2"/>
                      <w:sz w:val="21"/>
                      <w:szCs w:val="21"/>
                    </w:rPr>
                    <w:t>项目产生的非甲烷总烃经三级油气回收处</w:t>
                  </w:r>
                  <w:r>
                    <w:rPr>
                      <w:color w:val="auto"/>
                      <w:spacing w:val="-11"/>
                      <w:sz w:val="21"/>
                      <w:szCs w:val="21"/>
                    </w:rPr>
                    <w:t>理后排放，废气执行《加油站大</w:t>
                  </w:r>
                  <w:r>
                    <w:rPr>
                      <w:color w:val="auto"/>
                      <w:spacing w:val="-2"/>
                      <w:sz w:val="21"/>
                      <w:szCs w:val="21"/>
                    </w:rPr>
                    <w:t>气污染物排放</w:t>
                  </w:r>
                  <w:r>
                    <w:rPr>
                      <w:color w:val="auto"/>
                      <w:spacing w:val="-3"/>
                      <w:sz w:val="21"/>
                      <w:szCs w:val="21"/>
                    </w:rPr>
                    <w:t>标准》</w:t>
                  </w:r>
                </w:p>
                <w:p>
                  <w:pPr>
                    <w:snapToGrid w:val="0"/>
                    <w:ind w:left="-28" w:right="-28"/>
                    <w:rPr>
                      <w:rFonts w:hint="eastAsia"/>
                      <w:color w:val="auto"/>
                      <w:szCs w:val="21"/>
                      <w:highlight w:val="none"/>
                      <w:lang w:val="en-US" w:eastAsia="zh-CN"/>
                    </w:rPr>
                  </w:pPr>
                  <w:r>
                    <w:rPr>
                      <w:color w:val="auto"/>
                      <w:spacing w:val="-2"/>
                      <w:sz w:val="21"/>
                      <w:szCs w:val="21"/>
                    </w:rPr>
                    <w:t>（</w:t>
                  </w:r>
                  <w:r>
                    <w:rPr>
                      <w:rFonts w:ascii="Times New Roman" w:hAnsi="Times New Roman" w:eastAsia="Times New Roman" w:cs="Times New Roman"/>
                      <w:color w:val="auto"/>
                      <w:spacing w:val="-2"/>
                      <w:sz w:val="21"/>
                      <w:szCs w:val="21"/>
                    </w:rPr>
                    <w:t>GB20952-20</w:t>
                  </w:r>
                  <w:r>
                    <w:rPr>
                      <w:rFonts w:ascii="Times New Roman" w:hAnsi="Times New Roman" w:eastAsia="Times New Roman" w:cs="Times New Roman"/>
                      <w:color w:val="auto"/>
                      <w:spacing w:val="-1"/>
                      <w:sz w:val="21"/>
                      <w:szCs w:val="21"/>
                    </w:rPr>
                    <w:t>20</w:t>
                  </w:r>
                  <w:r>
                    <w:rPr>
                      <w:color w:val="auto"/>
                      <w:spacing w:val="-1"/>
                      <w:sz w:val="21"/>
                      <w:szCs w:val="21"/>
                    </w:rPr>
                    <w:t>）。</w:t>
                  </w:r>
                </w:p>
              </w:tc>
              <w:tc>
                <w:tcPr>
                  <w:tcW w:w="695" w:type="dxa"/>
                  <w:tcBorders>
                    <w:top w:val="single" w:color="000000" w:sz="4" w:space="0"/>
                    <w:bottom w:val="single" w:color="000000" w:sz="4" w:space="0"/>
                  </w:tcBorders>
                  <w:noWrap w:val="0"/>
                  <w:vAlign w:val="center"/>
                </w:tcPr>
                <w:p>
                  <w:pPr>
                    <w:snapToGrid w:val="0"/>
                    <w:ind w:left="-28" w:right="-28"/>
                    <w:jc w:val="center"/>
                    <w:rPr>
                      <w:rFonts w:hint="eastAsia"/>
                      <w:color w:val="auto"/>
                      <w:szCs w:val="21"/>
                      <w:lang w:val="en-US" w:eastAsia="zh-CN"/>
                    </w:rPr>
                  </w:pPr>
                  <w:r>
                    <w:rPr>
                      <w:rFonts w:hint="eastAsia"/>
                      <w:color w:val="auto"/>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182" w:type="dxa"/>
                  <w:tcBorders>
                    <w:top w:val="single" w:color="000000" w:sz="4" w:space="0"/>
                    <w:bottom w:val="single" w:color="000000" w:sz="4" w:space="0"/>
                  </w:tcBorders>
                  <w:noWrap w:val="0"/>
                  <w:vAlign w:val="center"/>
                </w:tcPr>
                <w:p>
                  <w:pPr>
                    <w:snapToGrid w:val="0"/>
                    <w:ind w:left="-28" w:right="-28"/>
                    <w:jc w:val="center"/>
                    <w:rPr>
                      <w:bCs/>
                      <w:color w:val="auto"/>
                      <w:szCs w:val="21"/>
                      <w:highlight w:val="none"/>
                    </w:rPr>
                  </w:pPr>
                  <w:r>
                    <w:rPr>
                      <w:rFonts w:hint="eastAsia" w:ascii="Times New Roman" w:hAnsi="Times New Roman" w:eastAsia="宋体" w:cs="Times New Roman"/>
                      <w:color w:val="auto"/>
                      <w:kern w:val="2"/>
                      <w:sz w:val="21"/>
                      <w:szCs w:val="24"/>
                      <w:lang w:val="en-US" w:eastAsia="zh-CN" w:bidi="ar-SA"/>
                    </w:rPr>
                    <w:t>《西安市大气污染治理专项行动方案（2023-2027）》</w:t>
                  </w:r>
                </w:p>
              </w:tc>
              <w:tc>
                <w:tcPr>
                  <w:tcW w:w="3095" w:type="dxa"/>
                  <w:tcBorders>
                    <w:top w:val="single" w:color="000000" w:sz="4" w:space="0"/>
                    <w:bottom w:val="single" w:color="000000" w:sz="4" w:space="0"/>
                  </w:tcBorders>
                  <w:noWrap w:val="0"/>
                  <w:vAlign w:val="center"/>
                </w:tcPr>
                <w:p>
                  <w:pPr>
                    <w:snapToGrid w:val="0"/>
                    <w:ind w:left="-28" w:right="-28"/>
                    <w:rPr>
                      <w:rFonts w:hint="eastAsia"/>
                      <w:color w:val="auto"/>
                      <w:szCs w:val="21"/>
                      <w:highlight w:val="none"/>
                    </w:rPr>
                  </w:pPr>
                  <w:r>
                    <w:rPr>
                      <w:rFonts w:hint="eastAsia" w:ascii="Times New Roman" w:hAnsi="Times New Roman" w:eastAsia="宋体" w:cs="Times New Roman"/>
                      <w:color w:val="auto"/>
                      <w:kern w:val="2"/>
                      <w:sz w:val="21"/>
                      <w:szCs w:val="24"/>
                      <w:lang w:val="en-US" w:eastAsia="zh-CN" w:bidi="ar-SA"/>
                    </w:rPr>
                    <w:t>动态更新挥发性有机物治理设施台账，开展简易低效挥发性有机物治理设施清理整治、涉活性炭挥发性有机物处理工艺专项整治行动，强化挥发性有机物无组织排放整治，确保达到相关标准要求。</w:t>
                  </w:r>
                </w:p>
              </w:tc>
              <w:tc>
                <w:tcPr>
                  <w:tcW w:w="1833" w:type="dxa"/>
                  <w:tcBorders>
                    <w:top w:val="single" w:color="000000" w:sz="4" w:space="0"/>
                    <w:bottom w:val="single" w:color="000000" w:sz="4" w:space="0"/>
                  </w:tcBorders>
                  <w:noWrap w:val="0"/>
                  <w:vAlign w:val="center"/>
                </w:tcPr>
                <w:p>
                  <w:pPr>
                    <w:pStyle w:val="79"/>
                    <w:spacing w:before="31" w:line="237" w:lineRule="auto"/>
                    <w:ind w:right="97"/>
                    <w:jc w:val="center"/>
                    <w:rPr>
                      <w:color w:val="auto"/>
                      <w:sz w:val="21"/>
                      <w:szCs w:val="21"/>
                    </w:rPr>
                  </w:pPr>
                  <w:r>
                    <w:rPr>
                      <w:color w:val="auto"/>
                      <w:spacing w:val="-2"/>
                      <w:sz w:val="21"/>
                      <w:szCs w:val="21"/>
                    </w:rPr>
                    <w:t>项目产生的非甲烷总烃经三级油气回收处</w:t>
                  </w:r>
                  <w:r>
                    <w:rPr>
                      <w:color w:val="auto"/>
                      <w:spacing w:val="-11"/>
                      <w:sz w:val="21"/>
                      <w:szCs w:val="21"/>
                    </w:rPr>
                    <w:t>理后排放，废气执行《加油站大</w:t>
                  </w:r>
                  <w:r>
                    <w:rPr>
                      <w:color w:val="auto"/>
                      <w:spacing w:val="-2"/>
                      <w:sz w:val="21"/>
                      <w:szCs w:val="21"/>
                    </w:rPr>
                    <w:t>气污染物排放</w:t>
                  </w:r>
                  <w:r>
                    <w:rPr>
                      <w:color w:val="auto"/>
                      <w:spacing w:val="-3"/>
                      <w:sz w:val="21"/>
                      <w:szCs w:val="21"/>
                    </w:rPr>
                    <w:t>标准》</w:t>
                  </w:r>
                </w:p>
                <w:p>
                  <w:pPr>
                    <w:snapToGrid w:val="0"/>
                    <w:ind w:left="-28" w:right="-28"/>
                    <w:rPr>
                      <w:rFonts w:hint="eastAsia"/>
                      <w:color w:val="auto"/>
                      <w:szCs w:val="21"/>
                      <w:highlight w:val="none"/>
                      <w:lang w:val="en-US" w:eastAsia="zh-CN"/>
                    </w:rPr>
                  </w:pPr>
                  <w:r>
                    <w:rPr>
                      <w:color w:val="auto"/>
                      <w:spacing w:val="-2"/>
                      <w:sz w:val="21"/>
                      <w:szCs w:val="21"/>
                    </w:rPr>
                    <w:t>（</w:t>
                  </w:r>
                  <w:r>
                    <w:rPr>
                      <w:rFonts w:ascii="Times New Roman" w:hAnsi="Times New Roman" w:eastAsia="Times New Roman" w:cs="Times New Roman"/>
                      <w:color w:val="auto"/>
                      <w:spacing w:val="-2"/>
                      <w:sz w:val="21"/>
                      <w:szCs w:val="21"/>
                    </w:rPr>
                    <w:t>GB20952-20</w:t>
                  </w:r>
                  <w:r>
                    <w:rPr>
                      <w:rFonts w:ascii="Times New Roman" w:hAnsi="Times New Roman" w:eastAsia="Times New Roman" w:cs="Times New Roman"/>
                      <w:color w:val="auto"/>
                      <w:spacing w:val="-1"/>
                      <w:sz w:val="21"/>
                      <w:szCs w:val="21"/>
                    </w:rPr>
                    <w:t>20</w:t>
                  </w:r>
                  <w:r>
                    <w:rPr>
                      <w:color w:val="auto"/>
                      <w:spacing w:val="-1"/>
                      <w:sz w:val="21"/>
                      <w:szCs w:val="21"/>
                    </w:rPr>
                    <w:t>）。</w:t>
                  </w:r>
                </w:p>
              </w:tc>
              <w:tc>
                <w:tcPr>
                  <w:tcW w:w="695" w:type="dxa"/>
                  <w:tcBorders>
                    <w:top w:val="single" w:color="000000" w:sz="4" w:space="0"/>
                    <w:bottom w:val="single" w:color="000000" w:sz="4" w:space="0"/>
                  </w:tcBorders>
                  <w:noWrap w:val="0"/>
                  <w:vAlign w:val="center"/>
                </w:tcPr>
                <w:p>
                  <w:pPr>
                    <w:snapToGrid w:val="0"/>
                    <w:ind w:left="-28" w:right="-28"/>
                    <w:jc w:val="center"/>
                    <w:rPr>
                      <w:rFonts w:hint="eastAsia"/>
                      <w:color w:val="auto"/>
                      <w:szCs w:val="21"/>
                      <w:lang w:val="en-US" w:eastAsia="zh-CN"/>
                    </w:rPr>
                  </w:pPr>
                  <w:r>
                    <w:rPr>
                      <w:rFonts w:hint="eastAsia"/>
                      <w:color w:val="auto"/>
                      <w:szCs w:val="21"/>
                      <w:lang w:val="en-US" w:eastAsia="zh-CN"/>
                    </w:rPr>
                    <w:t>符合</w:t>
                  </w:r>
                </w:p>
              </w:tc>
            </w:tr>
          </w:tbl>
          <w:p>
            <w:pPr>
              <w:adjustRightInd w:val="0"/>
              <w:spacing w:line="360" w:lineRule="auto"/>
              <w:ind w:firstLine="422" w:firstLineChars="200"/>
              <w:rPr>
                <w:b/>
                <w:bCs/>
                <w:szCs w:val="21"/>
              </w:rPr>
            </w:pPr>
            <w:r>
              <w:rPr>
                <w:rFonts w:hint="eastAsia"/>
                <w:b/>
                <w:bCs/>
                <w:szCs w:val="21"/>
              </w:rPr>
              <w:t>5</w:t>
            </w:r>
            <w:r>
              <w:rPr>
                <w:b/>
                <w:bCs/>
                <w:szCs w:val="21"/>
              </w:rPr>
              <w:t>、选址合理性分析</w:t>
            </w:r>
          </w:p>
          <w:p>
            <w:pPr>
              <w:spacing w:line="360" w:lineRule="auto"/>
              <w:ind w:firstLine="420" w:firstLineChars="200"/>
              <w:rPr>
                <w:rFonts w:hint="eastAsia" w:ascii="宋体" w:hAnsi="宋体" w:eastAsia="宋体" w:cs="宋体"/>
                <w:snapToGrid w:val="0"/>
                <w:color w:val="auto"/>
                <w:kern w:val="0"/>
                <w:sz w:val="21"/>
                <w:szCs w:val="21"/>
              </w:rPr>
            </w:pPr>
            <w:r>
              <w:rPr>
                <w:rFonts w:hint="eastAsia" w:ascii="宋体" w:hAnsi="宋体" w:eastAsia="宋体" w:cs="宋体"/>
                <w:bCs/>
                <w:color w:val="auto"/>
                <w:sz w:val="21"/>
                <w:szCs w:val="21"/>
              </w:rPr>
              <w:t>本</w:t>
            </w:r>
            <w:r>
              <w:rPr>
                <w:rFonts w:hint="eastAsia" w:ascii="宋体" w:hAnsi="宋体" w:eastAsia="宋体" w:cs="宋体"/>
                <w:color w:val="auto"/>
                <w:sz w:val="21"/>
                <w:szCs w:val="21"/>
                <w:lang w:val="en-GB"/>
              </w:rPr>
              <w:t>项目</w:t>
            </w:r>
            <w:r>
              <w:rPr>
                <w:rFonts w:hint="eastAsia" w:ascii="宋体" w:hAnsi="宋体" w:eastAsia="宋体" w:cs="宋体"/>
                <w:bCs/>
                <w:color w:val="auto"/>
                <w:sz w:val="21"/>
                <w:szCs w:val="21"/>
                <w:lang w:val="en-GB"/>
              </w:rPr>
              <w:t>位于</w:t>
            </w:r>
            <w:r>
              <w:rPr>
                <w:rFonts w:hint="eastAsia" w:ascii="宋体" w:hAnsi="宋体" w:eastAsia="宋体" w:cs="宋体"/>
                <w:color w:val="auto"/>
                <w:sz w:val="21"/>
                <w:szCs w:val="21"/>
                <w:u w:val="none"/>
              </w:rPr>
              <w:t>陕西省西安市</w:t>
            </w:r>
            <w:r>
              <w:rPr>
                <w:rFonts w:hint="eastAsia" w:ascii="宋体" w:hAnsi="宋体" w:eastAsia="宋体" w:cs="宋体"/>
                <w:color w:val="auto"/>
                <w:sz w:val="21"/>
                <w:szCs w:val="21"/>
                <w:u w:val="none"/>
                <w:lang w:val="en-US" w:eastAsia="zh-CN"/>
              </w:rPr>
              <w:t>灞桥</w:t>
            </w:r>
            <w:r>
              <w:rPr>
                <w:rFonts w:hint="eastAsia" w:ascii="宋体" w:hAnsi="宋体" w:eastAsia="宋体" w:cs="宋体"/>
                <w:color w:val="auto"/>
                <w:sz w:val="21"/>
                <w:szCs w:val="21"/>
                <w:u w:val="none"/>
              </w:rPr>
              <w:t>区</w:t>
            </w:r>
            <w:r>
              <w:rPr>
                <w:rFonts w:hint="eastAsia" w:ascii="宋体" w:hAnsi="宋体" w:eastAsia="宋体" w:cs="宋体"/>
                <w:color w:val="auto"/>
                <w:sz w:val="21"/>
                <w:szCs w:val="21"/>
                <w:u w:val="none"/>
                <w:lang w:val="en-US" w:eastAsia="zh-CN"/>
              </w:rPr>
              <w:t>咸</w:t>
            </w:r>
            <w:r>
              <w:rPr>
                <w:rFonts w:hint="default" w:ascii="Times New Roman" w:hAnsi="Times New Roman" w:eastAsia="宋体" w:cs="Times New Roman"/>
                <w:color w:val="auto"/>
                <w:sz w:val="21"/>
                <w:szCs w:val="21"/>
                <w:u w:val="none"/>
                <w:lang w:val="en-US" w:eastAsia="zh-CN"/>
              </w:rPr>
              <w:t>宁东路82号</w:t>
            </w:r>
            <w:r>
              <w:rPr>
                <w:rFonts w:hint="default" w:ascii="Times New Roman" w:hAnsi="Times New Roman" w:eastAsia="宋体" w:cs="Times New Roman"/>
                <w:color w:val="auto"/>
                <w:sz w:val="21"/>
                <w:szCs w:val="21"/>
                <w:lang w:val="en-GB"/>
              </w:rPr>
              <w:t>，</w:t>
            </w:r>
            <w:r>
              <w:rPr>
                <w:rFonts w:hint="eastAsia"/>
                <w:color w:val="auto"/>
                <w:szCs w:val="21"/>
                <w:lang w:val="en-US" w:eastAsia="zh-CN"/>
              </w:rPr>
              <w:t>项目租用西安市灞桥区红旗街道穆将王村土地进行建设，</w:t>
            </w:r>
            <w:r>
              <w:rPr>
                <w:rFonts w:hint="default" w:ascii="Times New Roman" w:hAnsi="Times New Roman" w:eastAsia="宋体" w:cs="Times New Roman"/>
                <w:color w:val="auto"/>
                <w:sz w:val="21"/>
                <w:szCs w:val="21"/>
              </w:rPr>
              <w:t>占地面积约为</w:t>
            </w:r>
            <w:r>
              <w:rPr>
                <w:rFonts w:hint="default" w:ascii="Times New Roman" w:hAnsi="Times New Roman" w:eastAsia="宋体" w:cs="Times New Roman"/>
                <w:color w:val="auto"/>
                <w:sz w:val="21"/>
                <w:szCs w:val="21"/>
                <w:highlight w:val="none"/>
                <w:lang w:val="en-US" w:eastAsia="zh-CN"/>
              </w:rPr>
              <w:t>4159.69</w:t>
            </w:r>
            <w:r>
              <w:rPr>
                <w:rFonts w:hint="default" w:ascii="Times New Roman" w:hAnsi="Times New Roman" w:eastAsia="宋体" w:cs="Times New Roman"/>
                <w:color w:val="auto"/>
                <w:sz w:val="21"/>
                <w:szCs w:val="21"/>
                <w:lang w:val="en-GB"/>
              </w:rPr>
              <w:t>m</w:t>
            </w:r>
            <w:r>
              <w:rPr>
                <w:rFonts w:hint="default" w:ascii="Times New Roman" w:hAnsi="Times New Roman" w:eastAsia="宋体" w:cs="Times New Roman"/>
                <w:color w:val="auto"/>
                <w:sz w:val="21"/>
                <w:szCs w:val="21"/>
                <w:vertAlign w:val="superscript"/>
                <w:lang w:val="en-GB"/>
              </w:rPr>
              <w:t>2</w:t>
            </w:r>
            <w:r>
              <w:rPr>
                <w:rFonts w:hint="default" w:ascii="Times New Roman" w:hAnsi="Times New Roman" w:eastAsia="宋体" w:cs="Times New Roman"/>
                <w:color w:val="auto"/>
                <w:sz w:val="21"/>
                <w:szCs w:val="21"/>
              </w:rPr>
              <w:t>，中心地理坐标为E10</w:t>
            </w:r>
            <w:r>
              <w:rPr>
                <w:rFonts w:hint="default" w:ascii="Times New Roman" w:hAnsi="Times New Roman" w:eastAsia="宋体" w:cs="Times New Roman"/>
                <w:color w:val="auto"/>
                <w:sz w:val="21"/>
                <w:szCs w:val="21"/>
                <w:lang w:val="en-US" w:eastAsia="zh-CN"/>
              </w:rPr>
              <w:t>9</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3.681</w:t>
            </w:r>
            <w:r>
              <w:rPr>
                <w:rFonts w:hint="default" w:ascii="Times New Roman" w:hAnsi="Times New Roman" w:eastAsia="宋体" w:cs="Times New Roman"/>
                <w:color w:val="auto"/>
                <w:sz w:val="21"/>
                <w:szCs w:val="21"/>
              </w:rPr>
              <w:t>″，N34°1</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2.674</w:t>
            </w:r>
            <w:r>
              <w:rPr>
                <w:rFonts w:hint="default" w:ascii="Times New Roman" w:hAnsi="Times New Roman" w:eastAsia="宋体" w:cs="Times New Roman"/>
                <w:color w:val="auto"/>
                <w:sz w:val="21"/>
                <w:szCs w:val="21"/>
              </w:rPr>
              <w:t>″。</w:t>
            </w:r>
            <w:r>
              <w:rPr>
                <w:rFonts w:hint="eastAsia" w:ascii="宋体" w:hAnsi="宋体" w:eastAsia="宋体" w:cs="宋体"/>
                <w:snapToGrid w:val="0"/>
                <w:color w:val="auto"/>
                <w:kern w:val="0"/>
                <w:sz w:val="21"/>
                <w:szCs w:val="21"/>
                <w:lang w:val="en-US" w:eastAsia="zh-CN"/>
              </w:rPr>
              <w:t>根据</w:t>
            </w:r>
            <w:r>
              <w:rPr>
                <w:rFonts w:hint="eastAsia"/>
                <w:color w:val="auto"/>
              </w:rPr>
              <w:t>《</w:t>
            </w:r>
            <w:r>
              <w:rPr>
                <w:rFonts w:hint="eastAsia"/>
                <w:color w:val="auto"/>
                <w:szCs w:val="21"/>
                <w:lang w:val="en-US" w:eastAsia="zh-CN"/>
              </w:rPr>
              <w:t>灞桥区国土空间总体规划</w:t>
            </w:r>
            <w:r>
              <w:rPr>
                <w:rFonts w:hint="eastAsia"/>
                <w:color w:val="auto"/>
              </w:rPr>
              <w:t>》（</w:t>
            </w:r>
            <w:r>
              <w:rPr>
                <w:rFonts w:hint="eastAsia"/>
                <w:color w:val="auto"/>
                <w:lang w:val="en-US" w:eastAsia="zh-CN"/>
              </w:rPr>
              <w:t>2021</w:t>
            </w:r>
            <w:r>
              <w:rPr>
                <w:rFonts w:hint="eastAsia"/>
                <w:color w:val="auto"/>
              </w:rPr>
              <w:t>-20</w:t>
            </w:r>
            <w:r>
              <w:rPr>
                <w:rFonts w:hint="eastAsia"/>
                <w:color w:val="auto"/>
                <w:lang w:val="en-US" w:eastAsia="zh-CN"/>
              </w:rPr>
              <w:t>35</w:t>
            </w:r>
            <w:r>
              <w:rPr>
                <w:rFonts w:hint="eastAsia"/>
                <w:color w:val="auto"/>
              </w:rPr>
              <w:t>）</w:t>
            </w:r>
            <w:r>
              <w:rPr>
                <w:rFonts w:hint="eastAsia"/>
                <w:color w:val="auto"/>
                <w:lang w:val="en-US" w:eastAsia="zh-CN"/>
              </w:rPr>
              <w:t>中灞桥区功能结构分区，本项目位于城东生活服务区，加油站属于生活服务配套项目，</w:t>
            </w:r>
            <w:r>
              <w:rPr>
                <w:rFonts w:hint="eastAsia" w:ascii="宋体" w:hAnsi="宋体" w:eastAsia="宋体" w:cs="宋体"/>
                <w:snapToGrid w:val="0"/>
                <w:color w:val="auto"/>
                <w:kern w:val="0"/>
                <w:sz w:val="21"/>
                <w:szCs w:val="21"/>
              </w:rPr>
              <w:t>符合规划要求</w:t>
            </w:r>
            <w:r>
              <w:rPr>
                <w:rFonts w:hint="eastAsia" w:ascii="宋体" w:hAnsi="宋体" w:eastAsia="宋体" w:cs="宋体"/>
                <w:snapToGrid w:val="0"/>
                <w:color w:val="auto"/>
                <w:kern w:val="0"/>
                <w:sz w:val="21"/>
                <w:szCs w:val="21"/>
                <w:lang w:eastAsia="zh-CN"/>
              </w:rPr>
              <w:t>。</w:t>
            </w:r>
            <w:r>
              <w:rPr>
                <w:rFonts w:hint="eastAsia"/>
                <w:color w:val="auto"/>
                <w:lang w:val="en-US" w:eastAsia="zh-CN"/>
              </w:rPr>
              <w:t>灞桥区功能结构分区图见图1-2</w:t>
            </w:r>
            <w:r>
              <w:rPr>
                <w:rFonts w:hint="eastAsia" w:ascii="宋体" w:hAnsi="宋体" w:eastAsia="宋体" w:cs="宋体"/>
                <w:snapToGrid w:val="0"/>
                <w:color w:val="auto"/>
                <w:kern w:val="0"/>
                <w:sz w:val="21"/>
                <w:szCs w:val="21"/>
              </w:rPr>
              <w:t>。</w:t>
            </w:r>
            <w:r>
              <w:rPr>
                <w:rFonts w:hint="default" w:ascii="Times New Roman" w:hAnsi="Times New Roman" w:eastAsia="宋体" w:cs="Times New Roman"/>
                <w:snapToGrid w:val="0"/>
                <w:color w:val="auto"/>
                <w:kern w:val="0"/>
                <w:sz w:val="21"/>
                <w:szCs w:val="21"/>
              </w:rPr>
              <w:t>根据</w:t>
            </w:r>
            <w:r>
              <w:rPr>
                <w:rFonts w:hint="eastAsia" w:ascii="Times New Roman" w:hAnsi="Times New Roman" w:eastAsia="宋体" w:cs="Times New Roman"/>
                <w:snapToGrid w:val="0"/>
                <w:color w:val="auto"/>
                <w:kern w:val="0"/>
                <w:sz w:val="21"/>
                <w:szCs w:val="21"/>
                <w:lang w:val="en-US" w:eastAsia="zh-CN"/>
              </w:rPr>
              <w:t>灞桥区分区规划总体土地利用规划图见图1-3</w:t>
            </w:r>
            <w:r>
              <w:rPr>
                <w:rFonts w:hint="default" w:ascii="Times New Roman" w:hAnsi="Times New Roman" w:eastAsia="宋体" w:cs="Times New Roman"/>
                <w:snapToGrid w:val="0"/>
                <w:color w:val="auto"/>
                <w:kern w:val="0"/>
                <w:sz w:val="21"/>
                <w:szCs w:val="21"/>
              </w:rPr>
              <w:t>，项</w:t>
            </w:r>
            <w:r>
              <w:rPr>
                <w:rFonts w:hint="eastAsia" w:ascii="宋体" w:hAnsi="宋体" w:eastAsia="宋体" w:cs="宋体"/>
                <w:snapToGrid w:val="0"/>
                <w:color w:val="auto"/>
                <w:kern w:val="0"/>
                <w:sz w:val="21"/>
                <w:szCs w:val="21"/>
              </w:rPr>
              <w:t>目土地性质为</w:t>
            </w:r>
            <w:r>
              <w:rPr>
                <w:rFonts w:hint="eastAsia" w:ascii="宋体" w:hAnsi="宋体" w:eastAsia="宋体" w:cs="宋体"/>
                <w:snapToGrid w:val="0"/>
                <w:color w:val="auto"/>
                <w:kern w:val="0"/>
                <w:sz w:val="21"/>
                <w:szCs w:val="21"/>
                <w:lang w:val="en-US" w:eastAsia="zh-CN"/>
              </w:rPr>
              <w:t>市政用地（加油站）</w:t>
            </w:r>
            <w:r>
              <w:rPr>
                <w:rFonts w:hint="eastAsia" w:ascii="宋体" w:hAnsi="宋体" w:eastAsia="宋体" w:cs="宋体"/>
                <w:snapToGrid w:val="0"/>
                <w:color w:val="auto"/>
                <w:kern w:val="0"/>
                <w:sz w:val="21"/>
                <w:szCs w:val="21"/>
              </w:rPr>
              <w:t>，符合规划要求</w:t>
            </w:r>
            <w:r>
              <w:rPr>
                <w:rFonts w:hint="eastAsia" w:ascii="宋体" w:hAnsi="宋体" w:eastAsia="宋体" w:cs="宋体"/>
                <w:snapToGrid w:val="0"/>
                <w:color w:val="auto"/>
                <w:kern w:val="0"/>
                <w:sz w:val="21"/>
                <w:szCs w:val="21"/>
                <w:lang w:eastAsia="zh-CN"/>
              </w:rPr>
              <w:t>。</w:t>
            </w:r>
          </w:p>
          <w:tbl>
            <w:tblPr>
              <w:tblStyle w:val="25"/>
              <w:tblW w:w="0" w:type="auto"/>
              <w:tblInd w:w="-17" w:type="dxa"/>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left w:w="108" w:type="dxa"/>
                <w:right w:w="108" w:type="dxa"/>
              </w:tblCellMar>
            </w:tblPr>
            <w:tblGrid>
              <w:gridCol w:w="6814"/>
            </w:tblGrid>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left w:w="108" w:type="dxa"/>
                  <w:right w:w="108" w:type="dxa"/>
                </w:tblCellMar>
              </w:tblPrEx>
              <w:tc>
                <w:tcPr>
                  <w:tcW w:w="6814" w:type="dxa"/>
                  <w:noWrap w:val="0"/>
                  <w:vAlign w:val="top"/>
                </w:tcPr>
                <w:p>
                  <w:pPr>
                    <w:spacing w:line="360" w:lineRule="auto"/>
                    <w:rPr>
                      <w:rFonts w:hint="eastAsia" w:ascii="宋体" w:hAnsi="宋体" w:eastAsia="宋体" w:cs="宋体"/>
                      <w:snapToGrid w:val="0"/>
                      <w:color w:val="auto"/>
                      <w:kern w:val="0"/>
                      <w:sz w:val="21"/>
                      <w:szCs w:val="21"/>
                      <w:vertAlign w:val="baseline"/>
                    </w:rPr>
                  </w:pP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808355</wp:posOffset>
                            </wp:positionH>
                            <wp:positionV relativeFrom="paragraph">
                              <wp:posOffset>2818765</wp:posOffset>
                            </wp:positionV>
                            <wp:extent cx="200025" cy="176530"/>
                            <wp:effectExtent l="15875" t="14605" r="25400" b="12065"/>
                            <wp:wrapNone/>
                            <wp:docPr id="8" name="自选图形 38"/>
                            <wp:cNvGraphicFramePr/>
                            <a:graphic xmlns:a="http://schemas.openxmlformats.org/drawingml/2006/main">
                              <a:graphicData uri="http://schemas.microsoft.com/office/word/2010/wordprocessingShape">
                                <wps:wsp>
                                  <wps:cNvSpPr/>
                                  <wps:spPr>
                                    <a:xfrm>
                                      <a:off x="0" y="0"/>
                                      <a:ext cx="200025" cy="176530"/>
                                    </a:xfrm>
                                    <a:prstGeom prst="star5">
                                      <a:avLst/>
                                    </a:prstGeom>
                                    <a:solidFill>
                                      <a:srgbClr val="FF0000"/>
                                    </a:solid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shape id="自选图形 38" o:spid="_x0000_s1026" style="position:absolute;left:0pt;margin-left:63.65pt;margin-top:221.95pt;height:13.9pt;width:15.75pt;z-index:251666432;mso-width-relative:page;mso-height-relative:page;" fillcolor="#FF0000" filled="t" stroked="t" coordsize="200025,176530" o:gfxdata="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dkRE8NsAAAALAQAADwAAAAAAAAABACAAAAAiAAAAZHJzL2Rvd25yZXYueG1sUEsBAhQAFAAA&#10;AAgAh07iQGA3QtIlAgAAWAQAAA4AAAAAAAAAAQAgAAAAKgEAAGRycy9lMm9Eb2MueG1sUEsFBgAA&#10;AAAGAAYAWQEAAMEFAAAAAA==&#10;" path="m0,67428l76403,67428,100012,0,123621,67428,200024,67428,138213,109101,161823,176529,100012,134855,38201,176529,61811,109101xe">
                            <v:path o:connectlocs="100012,0;0,67428;38201,176529;161823,176529;200024,67428" o:connectangles="247,164,82,82,0"/>
                            <v:fill on="t" focussize="0,0"/>
                            <v:stroke color="#000000" joinstyle="miter"/>
                            <v:imagedata o:title=""/>
                            <o:lock v:ext="edit" aspectratio="f"/>
                          </v:shape>
                        </w:pict>
                      </mc:Fallback>
                    </mc:AlternateContent>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1054735</wp:posOffset>
                            </wp:positionH>
                            <wp:positionV relativeFrom="paragraph">
                              <wp:posOffset>3016250</wp:posOffset>
                            </wp:positionV>
                            <wp:extent cx="930275" cy="259715"/>
                            <wp:effectExtent l="161290" t="104775" r="13335" b="16510"/>
                            <wp:wrapNone/>
                            <wp:docPr id="7" name="自选图形 37"/>
                            <wp:cNvGraphicFramePr/>
                            <a:graphic xmlns:a="http://schemas.openxmlformats.org/drawingml/2006/main">
                              <a:graphicData uri="http://schemas.microsoft.com/office/word/2010/wordprocessingShape">
                                <wps:wsp>
                                  <wps:cNvSpPr/>
                                  <wps:spPr>
                                    <a:xfrm>
                                      <a:off x="0" y="0"/>
                                      <a:ext cx="930275" cy="259715"/>
                                    </a:xfrm>
                                    <a:prstGeom prst="wedgeRectCallout">
                                      <a:avLst>
                                        <a:gd name="adj1" fmla="val -63296"/>
                                        <a:gd name="adj2" fmla="val -85935"/>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项目所在地</w:t>
                                        </w:r>
                                      </w:p>
                                    </w:txbxContent>
                                  </wps:txbx>
                                  <wps:bodyPr vert="horz" wrap="square" anchor="t" anchorCtr="0" upright="1"/>
                                </wps:wsp>
                              </a:graphicData>
                            </a:graphic>
                          </wp:anchor>
                        </w:drawing>
                      </mc:Choice>
                      <mc:Fallback>
                        <w:pict>
                          <v:shape id="自选图形 37" o:spid="_x0000_s1026" o:spt="61" type="#_x0000_t61" style="position:absolute;left:0pt;margin-left:83.05pt;margin-top:237.5pt;height:20.45pt;width:73.25pt;z-index:251665408;mso-width-relative:page;mso-height-relative:page;" fillcolor="#FFFFFF" filled="t" stroked="t" coordsize="21600,21600" o:gfxdata="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HmF&#10;VVXcAAAACwEAAA8AAAAAAAAAAQAgAAAAIgAAAGRycy9kb3ducmV2LnhtbFBLAQIUABQAAAAIAIdO&#10;4kCQ69yvWAIAAMEEAAAOAAAAAAAAAAEAIAAAACsBAABkcnMvZTJvRG9jLnhtbFBLBQYAAAAABgAG&#10;AFkBAAD1BQAAAAA=&#10;" adj="-2872,-7762">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项目所在地</w:t>
                                  </w:r>
                                </w:p>
                              </w:txbxContent>
                            </v:textbox>
                          </v:shape>
                        </w:pict>
                      </mc:Fallback>
                    </mc:AlternateContent>
                  </w:r>
                  <w:r>
                    <w:rPr>
                      <w:rFonts w:hint="eastAsia" w:eastAsia="宋体"/>
                      <w:color w:val="auto"/>
                      <w:sz w:val="21"/>
                      <w:szCs w:val="21"/>
                      <w:lang w:val="en-GB" w:eastAsia="zh-CN"/>
                    </w:rPr>
                    <w:drawing>
                      <wp:inline distT="0" distB="0" distL="114300" distR="114300">
                        <wp:extent cx="4323715" cy="3847465"/>
                        <wp:effectExtent l="0" t="0" r="6985" b="635"/>
                        <wp:docPr id="11" name="图片 40" descr="微信图片_2024011711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0" descr="微信图片_20240117112733"/>
                                <pic:cNvPicPr>
                                  <a:picLocks noChangeAspect="1"/>
                                </pic:cNvPicPr>
                              </pic:nvPicPr>
                              <pic:blipFill>
                                <a:blip r:embed="rId7"/>
                                <a:stretch>
                                  <a:fillRect/>
                                </a:stretch>
                              </pic:blipFill>
                              <pic:spPr>
                                <a:xfrm>
                                  <a:off x="0" y="0"/>
                                  <a:ext cx="4323715" cy="384746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left w:w="108" w:type="dxa"/>
                  <w:right w:w="108" w:type="dxa"/>
                </w:tblCellMar>
              </w:tblPrEx>
              <w:tc>
                <w:tcPr>
                  <w:tcW w:w="6814" w:type="dxa"/>
                  <w:tcBorders>
                    <w:left w:val="single" w:color="auto" w:sz="4" w:space="0"/>
                  </w:tcBorders>
                  <w:noWrap w:val="0"/>
                  <w:vAlign w:val="top"/>
                </w:tcPr>
                <w:p>
                  <w:pPr>
                    <w:spacing w:line="360" w:lineRule="auto"/>
                    <w:jc w:val="center"/>
                    <w:rPr>
                      <w:rFonts w:hint="default" w:ascii="宋体" w:hAnsi="宋体" w:eastAsia="宋体" w:cs="宋体"/>
                      <w:snapToGrid w:val="0"/>
                      <w:color w:val="auto"/>
                      <w:kern w:val="0"/>
                      <w:sz w:val="21"/>
                      <w:szCs w:val="21"/>
                      <w:vertAlign w:val="baseline"/>
                      <w:lang w:val="en-US"/>
                    </w:rPr>
                  </w:pPr>
                  <w:r>
                    <w:rPr>
                      <w:rFonts w:hint="eastAsia"/>
                      <w:b/>
                      <w:bCs/>
                      <w:color w:val="auto"/>
                      <w:lang w:val="en-US" w:eastAsia="zh-CN"/>
                    </w:rPr>
                    <w:t>图1-2灞桥区功能结构分区图</w:t>
                  </w:r>
                </w:p>
              </w:tc>
            </w:tr>
          </w:tbl>
          <w:p>
            <w:pPr>
              <w:spacing w:line="360" w:lineRule="auto"/>
              <w:rPr>
                <w:rFonts w:hint="eastAsia" w:eastAsia="宋体"/>
                <w:color w:val="auto"/>
                <w:sz w:val="21"/>
                <w:szCs w:val="21"/>
                <w:lang w:val="en-GB" w:eastAsia="zh-CN"/>
              </w:rPr>
            </w:pP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812165</wp:posOffset>
                      </wp:positionH>
                      <wp:positionV relativeFrom="paragraph">
                        <wp:posOffset>4409440</wp:posOffset>
                      </wp:positionV>
                      <wp:extent cx="9525" cy="3810"/>
                      <wp:effectExtent l="0" t="60960" r="92075" b="24130"/>
                      <wp:wrapNone/>
                      <wp:docPr id="9" name="直线 40"/>
                      <wp:cNvGraphicFramePr/>
                      <a:graphic xmlns:a="http://schemas.openxmlformats.org/drawingml/2006/main">
                        <a:graphicData uri="http://schemas.microsoft.com/office/word/2010/wordprocessingShape">
                          <wps:wsp>
                            <wps:cNvSpPr/>
                            <wps:spPr>
                              <a:xfrm flipH="1">
                                <a:off x="0" y="0"/>
                                <a:ext cx="9525" cy="381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40" o:spid="_x0000_s1026" o:spt="20" style="position:absolute;left:0pt;flip:x;margin-left:63.95pt;margin-top:347.2pt;height:0.3pt;width:0.75pt;z-index:251667456;mso-width-relative:page;mso-height-relative:page;" filled="f" stroked="t" coordsize="21600,21600" o:gfxdata="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8R8tu9kAAAALAQAADwAAAAAAAAABACAAAAAiAAAAZHJzL2Rvd25yZXYueG1sUEsBAhQA&#10;FAAAAAgAh07iQMCdKFvxAQAA5wMAAA4AAAAAAAAAAQAgAAAAKAEAAGRycy9lMm9Eb2MueG1sUEsF&#10;BgAAAAAGAAYAWQEAAIsFAAAAAA==&#10;">
                      <v:fill on="f" focussize="0,0"/>
                      <v:stroke color="#000000" joinstyle="round" endarrow="open"/>
                      <v:imagedata o:title=""/>
                      <o:lock v:ext="edit" aspectratio="f"/>
                    </v:line>
                  </w:pict>
                </mc:Fallback>
              </mc:AlternateContent>
            </w:r>
            <w:r>
              <w:rPr>
                <w:rFonts w:hint="eastAsia" w:eastAsia="宋体"/>
                <w:color w:val="auto"/>
                <w:sz w:val="21"/>
                <w:szCs w:val="21"/>
                <w:lang w:val="en-GB" w:eastAsia="zh-CN"/>
              </w:rPr>
              <w:drawing>
                <wp:inline distT="0" distB="0" distL="114300" distR="114300">
                  <wp:extent cx="4325620" cy="6116955"/>
                  <wp:effectExtent l="0" t="0" r="5080" b="4445"/>
                  <wp:docPr id="12" name="图片 41" descr="附图1-5 本项目与灞桥区分区规划总体土地利用规划相对位置图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1" descr="附图1-5 本项目与灞桥区分区规划总体土地利用规划相对位置图_00(1)"/>
                          <pic:cNvPicPr>
                            <a:picLocks noChangeAspect="1"/>
                          </pic:cNvPicPr>
                        </pic:nvPicPr>
                        <pic:blipFill>
                          <a:blip r:embed="rId8"/>
                          <a:stretch>
                            <a:fillRect/>
                          </a:stretch>
                        </pic:blipFill>
                        <pic:spPr>
                          <a:xfrm>
                            <a:off x="0" y="0"/>
                            <a:ext cx="4325620" cy="6116955"/>
                          </a:xfrm>
                          <a:prstGeom prst="rect">
                            <a:avLst/>
                          </a:prstGeom>
                          <a:noFill/>
                          <a:ln>
                            <a:noFill/>
                          </a:ln>
                        </pic:spPr>
                      </pic:pic>
                    </a:graphicData>
                  </a:graphic>
                </wp:inline>
              </w:drawing>
            </w:r>
          </w:p>
          <w:p>
            <w:pPr>
              <w:spacing w:line="360" w:lineRule="auto"/>
              <w:ind w:firstLine="422" w:firstLineChars="200"/>
              <w:jc w:val="center"/>
              <w:rPr>
                <w:rFonts w:hint="eastAsia"/>
                <w:color w:val="auto"/>
                <w:sz w:val="21"/>
                <w:szCs w:val="21"/>
                <w:lang w:val="en-GB"/>
              </w:rPr>
            </w:pPr>
            <w:r>
              <w:rPr>
                <w:rFonts w:hint="eastAsia"/>
                <w:b/>
                <w:bCs/>
                <w:color w:val="auto"/>
                <w:lang w:val="en-US" w:eastAsia="zh-CN"/>
              </w:rPr>
              <w:t>图1-3本项目与灞桥区分区规划总体土地利用规划相对位置图</w:t>
            </w:r>
          </w:p>
          <w:p>
            <w:pPr>
              <w:spacing w:line="360" w:lineRule="auto"/>
              <w:ind w:firstLine="420" w:firstLineChars="200"/>
              <w:rPr>
                <w:color w:val="auto"/>
                <w:szCs w:val="21"/>
              </w:rPr>
            </w:pPr>
            <w:r>
              <w:rPr>
                <w:rFonts w:hint="eastAsia"/>
                <w:color w:val="auto"/>
                <w:sz w:val="21"/>
                <w:szCs w:val="21"/>
                <w:lang w:val="en-GB"/>
              </w:rPr>
              <w:t>项目</w:t>
            </w:r>
            <w:r>
              <w:rPr>
                <w:rFonts w:hint="eastAsia"/>
                <w:color w:val="auto"/>
                <w:sz w:val="21"/>
                <w:szCs w:val="21"/>
                <w:lang w:val="en-US" w:eastAsia="zh-CN"/>
              </w:rPr>
              <w:t>所在</w:t>
            </w:r>
            <w:r>
              <w:rPr>
                <w:rFonts w:hint="eastAsia"/>
                <w:color w:val="auto"/>
                <w:sz w:val="21"/>
                <w:szCs w:val="21"/>
                <w:lang w:val="en-GB"/>
              </w:rPr>
              <w:t>地北侧为</w:t>
            </w:r>
            <w:r>
              <w:rPr>
                <w:rFonts w:hint="eastAsia"/>
                <w:color w:val="auto"/>
                <w:sz w:val="21"/>
                <w:szCs w:val="21"/>
                <w:lang w:val="en-US" w:eastAsia="zh-CN"/>
              </w:rPr>
              <w:t>咸宁东路（主干道）</w:t>
            </w:r>
            <w:r>
              <w:rPr>
                <w:rFonts w:hint="eastAsia"/>
                <w:color w:val="auto"/>
                <w:sz w:val="21"/>
                <w:szCs w:val="21"/>
                <w:lang w:val="en-GB"/>
              </w:rPr>
              <w:t>，</w:t>
            </w:r>
            <w:r>
              <w:rPr>
                <w:rFonts w:hint="eastAsia"/>
                <w:color w:val="auto"/>
                <w:sz w:val="21"/>
                <w:szCs w:val="21"/>
                <w:lang w:val="en-US" w:eastAsia="zh-CN"/>
              </w:rPr>
              <w:t>南</w:t>
            </w:r>
            <w:r>
              <w:rPr>
                <w:rFonts w:hint="eastAsia"/>
                <w:color w:val="auto"/>
                <w:sz w:val="21"/>
                <w:szCs w:val="21"/>
              </w:rPr>
              <w:t>侧为</w:t>
            </w:r>
            <w:r>
              <w:rPr>
                <w:rFonts w:hint="eastAsia"/>
                <w:color w:val="auto"/>
                <w:sz w:val="21"/>
                <w:szCs w:val="21"/>
                <w:lang w:val="en-US" w:eastAsia="zh-CN"/>
              </w:rPr>
              <w:t>东三</w:t>
            </w:r>
            <w:r>
              <w:rPr>
                <w:rFonts w:hint="eastAsia"/>
                <w:color w:val="auto"/>
                <w:szCs w:val="21"/>
                <w:lang w:val="en-US" w:eastAsia="zh-CN"/>
              </w:rPr>
              <w:t>环穆将王立交西南角料场</w:t>
            </w:r>
            <w:r>
              <w:rPr>
                <w:rFonts w:hint="eastAsia"/>
                <w:color w:val="auto"/>
                <w:szCs w:val="21"/>
              </w:rPr>
              <w:t>，</w:t>
            </w:r>
            <w:r>
              <w:rPr>
                <w:rFonts w:hint="eastAsia"/>
                <w:color w:val="auto"/>
                <w:szCs w:val="21"/>
                <w:lang w:val="en-US" w:eastAsia="zh-CN"/>
              </w:rPr>
              <w:t>东</w:t>
            </w:r>
            <w:r>
              <w:rPr>
                <w:rFonts w:hint="eastAsia"/>
                <w:color w:val="auto"/>
                <w:szCs w:val="21"/>
                <w:lang w:val="en-GB"/>
              </w:rPr>
              <w:t>侧</w:t>
            </w:r>
            <w:r>
              <w:rPr>
                <w:rFonts w:hint="eastAsia"/>
                <w:color w:val="auto"/>
                <w:szCs w:val="21"/>
                <w:lang w:val="en-US" w:eastAsia="zh-CN"/>
              </w:rPr>
              <w:t>为东三环辅道</w:t>
            </w:r>
            <w:r>
              <w:rPr>
                <w:rFonts w:hint="eastAsia"/>
                <w:color w:val="auto"/>
                <w:szCs w:val="21"/>
                <w:lang w:val="en-GB"/>
              </w:rPr>
              <w:t>，</w:t>
            </w:r>
            <w:r>
              <w:rPr>
                <w:rFonts w:hint="eastAsia"/>
                <w:color w:val="auto"/>
                <w:szCs w:val="21"/>
                <w:lang w:val="en-US" w:eastAsia="zh-CN"/>
              </w:rPr>
              <w:t>西</w:t>
            </w:r>
            <w:r>
              <w:rPr>
                <w:rFonts w:hint="eastAsia"/>
                <w:color w:val="auto"/>
                <w:szCs w:val="21"/>
              </w:rPr>
              <w:t>侧</w:t>
            </w:r>
            <w:r>
              <w:rPr>
                <w:rFonts w:hint="eastAsia"/>
                <w:color w:val="auto"/>
                <w:szCs w:val="21"/>
                <w:lang w:val="en-US" w:eastAsia="zh-CN"/>
              </w:rPr>
              <w:t>为架空电力线（有绝缘层、杆高7.8m）西侧隔空地</w:t>
            </w:r>
            <w:r>
              <w:rPr>
                <w:rFonts w:hint="eastAsia"/>
                <w:color w:val="auto"/>
                <w:szCs w:val="21"/>
              </w:rPr>
              <w:t>为</w:t>
            </w:r>
            <w:r>
              <w:rPr>
                <w:rFonts w:hint="eastAsia"/>
                <w:color w:val="auto"/>
                <w:szCs w:val="21"/>
                <w:lang w:val="en-US" w:eastAsia="zh-CN"/>
              </w:rPr>
              <w:t>在建五建花苑小区和</w:t>
            </w:r>
            <w:r>
              <w:rPr>
                <w:rFonts w:hint="eastAsia" w:ascii="Times New Roman" w:hAnsi="Times New Roman" w:eastAsia="宋体" w:cs="Times New Roman"/>
                <w:color w:val="auto"/>
                <w:szCs w:val="21"/>
                <w:lang w:val="en-US" w:eastAsia="zh-CN"/>
              </w:rPr>
              <w:t>西安建工职工服务中心有限责任公司工程办公室</w:t>
            </w:r>
            <w:r>
              <w:rPr>
                <w:rFonts w:hint="eastAsia"/>
                <w:color w:val="auto"/>
                <w:szCs w:val="21"/>
                <w:lang w:val="en-GB"/>
              </w:rPr>
              <w:t>。</w:t>
            </w:r>
            <w:r>
              <w:rPr>
                <w:color w:val="auto"/>
                <w:szCs w:val="21"/>
                <w:lang w:val="en-GB"/>
              </w:rPr>
              <w:t>项目地理位置图见图</w:t>
            </w:r>
            <w:r>
              <w:rPr>
                <w:rFonts w:hint="eastAsia"/>
                <w:color w:val="auto"/>
                <w:szCs w:val="21"/>
              </w:rPr>
              <w:t>1</w:t>
            </w:r>
            <w:r>
              <w:rPr>
                <w:rFonts w:hint="eastAsia"/>
                <w:color w:val="auto"/>
                <w:szCs w:val="21"/>
                <w:lang w:val="en-US" w:eastAsia="zh-CN"/>
              </w:rPr>
              <w:t>-4</w:t>
            </w:r>
            <w:r>
              <w:rPr>
                <w:color w:val="auto"/>
                <w:szCs w:val="21"/>
                <w:lang w:val="en-GB"/>
              </w:rPr>
              <w:t>，</w:t>
            </w:r>
            <w:r>
              <w:rPr>
                <w:color w:val="auto"/>
                <w:szCs w:val="21"/>
              </w:rPr>
              <w:t>四邻关系见图</w:t>
            </w:r>
            <w:r>
              <w:rPr>
                <w:rFonts w:hint="eastAsia"/>
                <w:color w:val="auto"/>
                <w:szCs w:val="21"/>
                <w:lang w:val="en-US" w:eastAsia="zh-CN"/>
              </w:rPr>
              <w:t>1-5</w:t>
            </w:r>
            <w:r>
              <w:rPr>
                <w:color w:val="auto"/>
                <w:szCs w:val="21"/>
              </w:rPr>
              <w:t>。</w:t>
            </w:r>
          </w:p>
          <w:p>
            <w:pPr>
              <w:pStyle w:val="23"/>
              <w:spacing w:after="0" w:line="360" w:lineRule="auto"/>
              <w:ind w:left="0" w:leftChars="0"/>
              <w:rPr>
                <w:rFonts w:hint="eastAsia"/>
                <w:color w:val="auto"/>
                <w:sz w:val="21"/>
                <w:szCs w:val="21"/>
              </w:rPr>
            </w:pPr>
            <w:r>
              <w:rPr>
                <w:rFonts w:hint="eastAsia"/>
                <w:color w:val="auto"/>
              </w:rPr>
              <w:t>根据《</w:t>
            </w:r>
            <w:r>
              <w:rPr>
                <w:rFonts w:hint="eastAsia"/>
                <w:color w:val="auto"/>
                <w:szCs w:val="21"/>
              </w:rPr>
              <w:t>汽车加油加气加氢站技术标准</w:t>
            </w:r>
            <w:r>
              <w:rPr>
                <w:rFonts w:hint="eastAsia"/>
                <w:color w:val="auto"/>
              </w:rPr>
              <w:t>》（GB50156-2021）中相关规定，并按照设计单位提供的平面设计图，本项</w:t>
            </w:r>
            <w:r>
              <w:rPr>
                <w:rFonts w:hint="eastAsia"/>
                <w:b w:val="0"/>
                <w:bCs w:val="0"/>
                <w:color w:val="auto"/>
              </w:rPr>
              <w:t>目</w:t>
            </w:r>
            <w:r>
              <w:rPr>
                <w:rFonts w:hint="eastAsia" w:ascii="宋体" w:hAnsi="宋体" w:cs="宋体"/>
                <w:b w:val="0"/>
                <w:bCs w:val="0"/>
                <w:color w:val="auto"/>
                <w:sz w:val="21"/>
                <w:szCs w:val="21"/>
                <w:highlight w:val="none"/>
              </w:rPr>
              <w:t>加油设备</w:t>
            </w:r>
            <w:r>
              <w:rPr>
                <w:rFonts w:hint="eastAsia"/>
                <w:color w:val="auto"/>
              </w:rPr>
              <w:t>与站外建筑物的安全距离见</w:t>
            </w:r>
            <w:r>
              <w:rPr>
                <w:rFonts w:hint="eastAsia"/>
                <w:color w:val="auto"/>
                <w:sz w:val="21"/>
                <w:szCs w:val="21"/>
              </w:rPr>
              <w:t>下表1-5。</w:t>
            </w:r>
          </w:p>
          <w:p>
            <w:pPr>
              <w:snapToGrid w:val="0"/>
              <w:jc w:val="center"/>
              <w:rPr>
                <w:rFonts w:hint="default" w:ascii="Times New Roman" w:hAnsi="Times New Roman" w:cs="Times New Roman"/>
                <w:sz w:val="21"/>
                <w:szCs w:val="21"/>
              </w:rPr>
            </w:pPr>
            <w:r>
              <w:rPr>
                <w:b/>
                <w:sz w:val="21"/>
                <w:szCs w:val="21"/>
              </w:rPr>
              <w:t>表</w:t>
            </w:r>
            <w:r>
              <w:rPr>
                <w:b/>
                <w:sz w:val="21"/>
                <w:szCs w:val="21"/>
                <w:highlight w:val="none"/>
              </w:rPr>
              <w:t>1-</w:t>
            </w:r>
            <w:r>
              <w:rPr>
                <w:rFonts w:hint="eastAsia"/>
                <w:b/>
                <w:sz w:val="21"/>
                <w:szCs w:val="21"/>
                <w:highlight w:val="none"/>
              </w:rPr>
              <w:t>5</w:t>
            </w:r>
            <w:r>
              <w:rPr>
                <w:rFonts w:hint="eastAsia" w:ascii="宋体" w:hAnsi="宋体" w:cs="宋体"/>
                <w:b/>
                <w:sz w:val="21"/>
                <w:szCs w:val="21"/>
                <w:highlight w:val="none"/>
              </w:rPr>
              <w:t>加油站加油设备与站外建（构）</w:t>
            </w:r>
            <w:r>
              <w:rPr>
                <w:rFonts w:hint="default" w:ascii="Times New Roman" w:hAnsi="Times New Roman" w:cs="Times New Roman"/>
                <w:b/>
                <w:sz w:val="21"/>
                <w:szCs w:val="21"/>
                <w:highlight w:val="none"/>
              </w:rPr>
              <w:t>物安全间距单位（m）</w:t>
            </w:r>
          </w:p>
          <w:tbl>
            <w:tblPr>
              <w:tblStyle w:val="24"/>
              <w:tblW w:w="68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
              <w:gridCol w:w="1325"/>
              <w:gridCol w:w="887"/>
              <w:gridCol w:w="1051"/>
              <w:gridCol w:w="1073"/>
              <w:gridCol w:w="1062"/>
              <w:gridCol w:w="10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29" w:type="pct"/>
                  <w:gridSpan w:val="3"/>
                  <w:noWrap w:val="0"/>
                  <w:vAlign w:val="center"/>
                </w:tcPr>
                <w:p>
                  <w:pPr>
                    <w:pStyle w:val="59"/>
                    <w:spacing w:before="78"/>
                    <w:rPr>
                      <w:rFonts w:eastAsia="宋体"/>
                      <w:b/>
                      <w:bCs/>
                      <w:sz w:val="21"/>
                      <w:szCs w:val="21"/>
                    </w:rPr>
                  </w:pPr>
                  <w:r>
                    <w:rPr>
                      <w:rFonts w:eastAsia="宋体"/>
                      <w:b/>
                      <w:bCs/>
                      <w:sz w:val="21"/>
                      <w:szCs w:val="21"/>
                    </w:rPr>
                    <w:t>建（构）筑物或工艺装置</w:t>
                  </w:r>
                </w:p>
              </w:tc>
              <w:tc>
                <w:tcPr>
                  <w:tcW w:w="762" w:type="pct"/>
                  <w:noWrap w:val="0"/>
                  <w:vAlign w:val="center"/>
                </w:tcPr>
                <w:p>
                  <w:pPr>
                    <w:pStyle w:val="59"/>
                    <w:spacing w:before="78"/>
                    <w:rPr>
                      <w:rFonts w:hint="eastAsia" w:eastAsia="宋体"/>
                      <w:b/>
                      <w:bCs/>
                      <w:kern w:val="0"/>
                      <w:sz w:val="21"/>
                      <w:szCs w:val="21"/>
                      <w:lang w:val="en-US" w:eastAsia="zh-CN"/>
                    </w:rPr>
                  </w:pPr>
                  <w:r>
                    <w:rPr>
                      <w:rFonts w:eastAsia="宋体"/>
                      <w:b/>
                      <w:bCs/>
                      <w:sz w:val="21"/>
                      <w:szCs w:val="21"/>
                    </w:rPr>
                    <w:t>埋地油罐</w:t>
                  </w:r>
                  <w:r>
                    <w:rPr>
                      <w:rFonts w:hint="eastAsia" w:eastAsia="宋体"/>
                      <w:b/>
                      <w:bCs/>
                      <w:sz w:val="21"/>
                      <w:szCs w:val="21"/>
                      <w:lang w:eastAsia="zh-CN"/>
                    </w:rPr>
                    <w:t>（</w:t>
                  </w:r>
                  <w:r>
                    <w:rPr>
                      <w:rFonts w:hint="eastAsia" w:eastAsia="宋体"/>
                      <w:b/>
                      <w:bCs/>
                      <w:sz w:val="21"/>
                      <w:szCs w:val="21"/>
                      <w:lang w:val="en-US" w:eastAsia="zh-CN"/>
                    </w:rPr>
                    <w:t>汽/柴</w:t>
                  </w:r>
                  <w:r>
                    <w:rPr>
                      <w:rFonts w:hint="eastAsia" w:eastAsia="宋体"/>
                      <w:b/>
                      <w:bCs/>
                      <w:sz w:val="21"/>
                      <w:szCs w:val="21"/>
                      <w:lang w:eastAsia="zh-CN"/>
                    </w:rPr>
                    <w:t>）</w:t>
                  </w:r>
                </w:p>
              </w:tc>
              <w:tc>
                <w:tcPr>
                  <w:tcW w:w="778" w:type="pct"/>
                  <w:noWrap w:val="0"/>
                  <w:vAlign w:val="center"/>
                </w:tcPr>
                <w:p>
                  <w:pPr>
                    <w:pStyle w:val="59"/>
                    <w:spacing w:before="78"/>
                    <w:rPr>
                      <w:rFonts w:eastAsia="宋体"/>
                      <w:b/>
                      <w:bCs/>
                      <w:kern w:val="0"/>
                      <w:sz w:val="21"/>
                      <w:szCs w:val="21"/>
                    </w:rPr>
                  </w:pPr>
                  <w:r>
                    <w:rPr>
                      <w:rFonts w:eastAsia="宋体"/>
                      <w:b/>
                      <w:bCs/>
                      <w:sz w:val="21"/>
                      <w:szCs w:val="21"/>
                    </w:rPr>
                    <w:t>通气管口</w:t>
                  </w:r>
                  <w:r>
                    <w:rPr>
                      <w:rFonts w:hint="eastAsia" w:eastAsia="宋体"/>
                      <w:b/>
                      <w:bCs/>
                      <w:sz w:val="21"/>
                      <w:szCs w:val="21"/>
                      <w:lang w:eastAsia="zh-CN"/>
                    </w:rPr>
                    <w:t>（</w:t>
                  </w:r>
                  <w:r>
                    <w:rPr>
                      <w:rFonts w:hint="eastAsia" w:eastAsia="宋体"/>
                      <w:b/>
                      <w:bCs/>
                      <w:sz w:val="21"/>
                      <w:szCs w:val="21"/>
                      <w:lang w:val="en-US" w:eastAsia="zh-CN"/>
                    </w:rPr>
                    <w:t>汽/柴</w:t>
                  </w:r>
                  <w:r>
                    <w:rPr>
                      <w:rFonts w:hint="eastAsia" w:eastAsia="宋体"/>
                      <w:b/>
                      <w:bCs/>
                      <w:sz w:val="21"/>
                      <w:szCs w:val="21"/>
                      <w:lang w:eastAsia="zh-CN"/>
                    </w:rPr>
                    <w:t>）</w:t>
                  </w:r>
                </w:p>
              </w:tc>
              <w:tc>
                <w:tcPr>
                  <w:tcW w:w="770" w:type="pct"/>
                  <w:noWrap w:val="0"/>
                  <w:vAlign w:val="center"/>
                </w:tcPr>
                <w:p>
                  <w:pPr>
                    <w:pStyle w:val="59"/>
                    <w:spacing w:before="78"/>
                    <w:rPr>
                      <w:rFonts w:eastAsia="宋体"/>
                      <w:b/>
                      <w:bCs/>
                      <w:sz w:val="21"/>
                      <w:szCs w:val="21"/>
                    </w:rPr>
                  </w:pPr>
                  <w:r>
                    <w:rPr>
                      <w:rFonts w:hint="eastAsia" w:eastAsia="宋体"/>
                      <w:b/>
                      <w:bCs/>
                      <w:sz w:val="21"/>
                      <w:szCs w:val="21"/>
                    </w:rPr>
                    <w:t>油气回收处理装置</w:t>
                  </w:r>
                  <w:r>
                    <w:rPr>
                      <w:rFonts w:hint="eastAsia" w:eastAsia="宋体"/>
                      <w:b/>
                      <w:bCs/>
                      <w:sz w:val="21"/>
                      <w:szCs w:val="21"/>
                      <w:lang w:eastAsia="zh-CN"/>
                    </w:rPr>
                    <w:t>（</w:t>
                  </w:r>
                  <w:r>
                    <w:rPr>
                      <w:rFonts w:hint="eastAsia" w:eastAsia="宋体"/>
                      <w:b/>
                      <w:bCs/>
                      <w:sz w:val="21"/>
                      <w:szCs w:val="21"/>
                      <w:lang w:val="en-US" w:eastAsia="zh-CN"/>
                    </w:rPr>
                    <w:t>汽/柴</w:t>
                  </w:r>
                  <w:r>
                    <w:rPr>
                      <w:rFonts w:hint="eastAsia" w:eastAsia="宋体"/>
                      <w:b/>
                      <w:bCs/>
                      <w:sz w:val="21"/>
                      <w:szCs w:val="21"/>
                      <w:lang w:eastAsia="zh-CN"/>
                    </w:rPr>
                    <w:t>）</w:t>
                  </w:r>
                </w:p>
              </w:tc>
              <w:tc>
                <w:tcPr>
                  <w:tcW w:w="759" w:type="pct"/>
                  <w:noWrap w:val="0"/>
                  <w:vAlign w:val="center"/>
                </w:tcPr>
                <w:p>
                  <w:pPr>
                    <w:pStyle w:val="59"/>
                    <w:spacing w:before="78"/>
                    <w:rPr>
                      <w:rFonts w:eastAsia="宋体"/>
                      <w:b/>
                      <w:bCs/>
                      <w:kern w:val="0"/>
                      <w:sz w:val="21"/>
                      <w:szCs w:val="21"/>
                    </w:rPr>
                  </w:pPr>
                  <w:r>
                    <w:rPr>
                      <w:rFonts w:eastAsia="宋体"/>
                      <w:b/>
                      <w:bCs/>
                      <w:sz w:val="21"/>
                      <w:szCs w:val="21"/>
                    </w:rPr>
                    <w:t>加油机</w:t>
                  </w:r>
                  <w:r>
                    <w:rPr>
                      <w:rFonts w:hint="eastAsia" w:eastAsia="宋体"/>
                      <w:b/>
                      <w:bCs/>
                      <w:sz w:val="21"/>
                      <w:szCs w:val="21"/>
                      <w:lang w:eastAsia="zh-CN"/>
                    </w:rPr>
                    <w:t>（</w:t>
                  </w:r>
                  <w:r>
                    <w:rPr>
                      <w:rFonts w:hint="eastAsia" w:eastAsia="宋体"/>
                      <w:b/>
                      <w:bCs/>
                      <w:sz w:val="21"/>
                      <w:szCs w:val="21"/>
                      <w:lang w:val="en-US" w:eastAsia="zh-CN"/>
                    </w:rPr>
                    <w:t>汽/柴</w:t>
                  </w:r>
                  <w:r>
                    <w:rPr>
                      <w:rFonts w:hint="eastAsia" w:eastAsia="宋体"/>
                      <w:b/>
                      <w:bCs/>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25" w:type="pct"/>
                  <w:vMerge w:val="restart"/>
                  <w:noWrap w:val="0"/>
                  <w:vAlign w:val="center"/>
                </w:tcPr>
                <w:p>
                  <w:pPr>
                    <w:pStyle w:val="59"/>
                    <w:spacing w:before="78"/>
                    <w:rPr>
                      <w:rFonts w:hint="eastAsia" w:eastAsia="宋体"/>
                      <w:bCs/>
                      <w:sz w:val="21"/>
                      <w:szCs w:val="21"/>
                      <w:lang w:eastAsia="zh-CN"/>
                    </w:rPr>
                  </w:pPr>
                  <w:r>
                    <w:rPr>
                      <w:rFonts w:hint="eastAsia" w:eastAsia="宋体"/>
                      <w:bCs/>
                      <w:sz w:val="21"/>
                      <w:szCs w:val="21"/>
                      <w:lang w:val="en-US" w:eastAsia="zh-CN"/>
                    </w:rPr>
                    <w:t>北</w:t>
                  </w:r>
                </w:p>
              </w:tc>
              <w:tc>
                <w:tcPr>
                  <w:tcW w:w="960" w:type="pct"/>
                  <w:vMerge w:val="restart"/>
                  <w:noWrap w:val="0"/>
                  <w:vAlign w:val="center"/>
                </w:tcPr>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lang w:val="en-US" w:eastAsia="zh-CN"/>
                    </w:rPr>
                  </w:pPr>
                  <w:r>
                    <w:rPr>
                      <w:rFonts w:hint="eastAsia"/>
                      <w:sz w:val="21"/>
                      <w:szCs w:val="21"/>
                      <w:lang w:val="en-US" w:eastAsia="zh-CN"/>
                    </w:rPr>
                    <w:t>咸宁东路</w:t>
                  </w:r>
                </w:p>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sz w:val="21"/>
                      <w:szCs w:val="21"/>
                    </w:rPr>
                  </w:pPr>
                  <w:r>
                    <w:rPr>
                      <w:rFonts w:hint="eastAsia"/>
                      <w:bCs/>
                      <w:sz w:val="21"/>
                      <w:szCs w:val="21"/>
                    </w:rPr>
                    <w:t>（</w:t>
                  </w:r>
                  <w:r>
                    <w:rPr>
                      <w:rFonts w:hint="eastAsia"/>
                      <w:bCs/>
                      <w:sz w:val="21"/>
                      <w:szCs w:val="21"/>
                      <w:lang w:val="en-US" w:eastAsia="zh-CN"/>
                    </w:rPr>
                    <w:t>主干路</w:t>
                  </w:r>
                  <w:r>
                    <w:rPr>
                      <w:rFonts w:hint="eastAsia"/>
                      <w:bCs/>
                      <w:sz w:val="21"/>
                      <w:szCs w:val="21"/>
                    </w:rPr>
                    <w:t>）</w:t>
                  </w:r>
                </w:p>
              </w:tc>
              <w:tc>
                <w:tcPr>
                  <w:tcW w:w="643" w:type="pct"/>
                  <w:noWrap w:val="0"/>
                  <w:vAlign w:val="center"/>
                </w:tcPr>
                <w:p>
                  <w:pPr>
                    <w:snapToGrid w:val="0"/>
                    <w:jc w:val="center"/>
                    <w:rPr>
                      <w:bCs/>
                      <w:sz w:val="21"/>
                      <w:szCs w:val="21"/>
                    </w:rPr>
                  </w:pPr>
                  <w:r>
                    <w:rPr>
                      <w:bCs/>
                      <w:sz w:val="21"/>
                      <w:szCs w:val="21"/>
                    </w:rPr>
                    <w:t>规范</w:t>
                  </w:r>
                </w:p>
              </w:tc>
              <w:tc>
                <w:tcPr>
                  <w:tcW w:w="762"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5</w:t>
                  </w:r>
                  <w:r>
                    <w:rPr>
                      <w:rFonts w:hint="eastAsia"/>
                      <w:bCs/>
                      <w:sz w:val="21"/>
                      <w:szCs w:val="21"/>
                      <w:lang w:val="en-US" w:eastAsia="zh-CN"/>
                    </w:rPr>
                    <w:t>.5/3</w:t>
                  </w:r>
                </w:p>
              </w:tc>
              <w:tc>
                <w:tcPr>
                  <w:tcW w:w="778" w:type="pct"/>
                  <w:noWrap w:val="0"/>
                  <w:vAlign w:val="center"/>
                </w:tcPr>
                <w:p>
                  <w:pPr>
                    <w:snapToGrid w:val="0"/>
                    <w:jc w:val="center"/>
                    <w:rPr>
                      <w:bCs/>
                      <w:sz w:val="21"/>
                      <w:szCs w:val="21"/>
                    </w:rPr>
                  </w:pPr>
                  <w:r>
                    <w:rPr>
                      <w:rFonts w:hint="eastAsia"/>
                      <w:bCs/>
                      <w:sz w:val="21"/>
                      <w:szCs w:val="21"/>
                      <w:lang w:val="en-US" w:eastAsia="zh-CN"/>
                    </w:rPr>
                    <w:t>5/3</w:t>
                  </w:r>
                </w:p>
              </w:tc>
              <w:tc>
                <w:tcPr>
                  <w:tcW w:w="770" w:type="pct"/>
                  <w:noWrap w:val="0"/>
                  <w:vAlign w:val="center"/>
                </w:tcPr>
                <w:p>
                  <w:pPr>
                    <w:snapToGrid w:val="0"/>
                    <w:jc w:val="center"/>
                    <w:rPr>
                      <w:rFonts w:hint="eastAsia"/>
                      <w:bCs/>
                      <w:sz w:val="21"/>
                      <w:szCs w:val="21"/>
                      <w:lang w:val="en-US" w:eastAsia="zh-CN"/>
                    </w:rPr>
                  </w:pPr>
                  <w:r>
                    <w:rPr>
                      <w:rFonts w:hint="eastAsia"/>
                      <w:bCs/>
                      <w:sz w:val="21"/>
                      <w:szCs w:val="21"/>
                      <w:lang w:val="en-US" w:eastAsia="zh-CN"/>
                    </w:rPr>
                    <w:t>5/3</w:t>
                  </w:r>
                </w:p>
              </w:tc>
              <w:tc>
                <w:tcPr>
                  <w:tcW w:w="759"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5</w:t>
                  </w:r>
                  <w:r>
                    <w:rPr>
                      <w:rFonts w:hint="eastAsia"/>
                      <w:bCs/>
                      <w:sz w:val="21"/>
                      <w:szCs w:val="21"/>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325" w:type="pct"/>
                  <w:vMerge w:val="continue"/>
                  <w:noWrap w:val="0"/>
                  <w:vAlign w:val="center"/>
                </w:tcPr>
                <w:p>
                  <w:pPr>
                    <w:snapToGrid w:val="0"/>
                    <w:jc w:val="center"/>
                    <w:rPr>
                      <w:sz w:val="21"/>
                      <w:szCs w:val="21"/>
                    </w:rPr>
                  </w:pPr>
                </w:p>
              </w:tc>
              <w:tc>
                <w:tcPr>
                  <w:tcW w:w="960" w:type="pct"/>
                  <w:vMerge w:val="continue"/>
                  <w:noWrap w:val="0"/>
                  <w:vAlign w:val="center"/>
                </w:tcPr>
                <w:p>
                  <w:pPr>
                    <w:snapToGrid w:val="0"/>
                    <w:jc w:val="center"/>
                    <w:rPr>
                      <w:sz w:val="21"/>
                      <w:szCs w:val="21"/>
                    </w:rPr>
                  </w:pPr>
                </w:p>
              </w:tc>
              <w:tc>
                <w:tcPr>
                  <w:tcW w:w="643" w:type="pct"/>
                  <w:noWrap w:val="0"/>
                  <w:vAlign w:val="center"/>
                </w:tcPr>
                <w:p>
                  <w:pPr>
                    <w:snapToGrid w:val="0"/>
                    <w:jc w:val="center"/>
                    <w:rPr>
                      <w:bCs/>
                      <w:sz w:val="21"/>
                      <w:szCs w:val="21"/>
                    </w:rPr>
                  </w:pPr>
                  <w:r>
                    <w:rPr>
                      <w:rFonts w:hint="eastAsia"/>
                      <w:bCs/>
                      <w:sz w:val="21"/>
                      <w:szCs w:val="21"/>
                    </w:rPr>
                    <w:t>本项目</w:t>
                  </w:r>
                </w:p>
              </w:tc>
              <w:tc>
                <w:tcPr>
                  <w:tcW w:w="762" w:type="pct"/>
                  <w:noWrap w:val="0"/>
                  <w:vAlign w:val="center"/>
                </w:tcPr>
                <w:p>
                  <w:pPr>
                    <w:keepNext w:val="0"/>
                    <w:keepLines w:val="0"/>
                    <w:widowControl/>
                    <w:suppressLineNumbers w:val="0"/>
                    <w:jc w:val="left"/>
                    <w:rPr>
                      <w:bCs/>
                      <w:sz w:val="21"/>
                      <w:szCs w:val="21"/>
                    </w:rPr>
                  </w:pPr>
                  <w:r>
                    <w:rPr>
                      <w:rFonts w:hint="default" w:ascii="Times New Roman" w:hAnsi="Times New Roman" w:eastAsia="宋体" w:cs="Times New Roman"/>
                      <w:color w:val="000000"/>
                      <w:kern w:val="0"/>
                      <w:sz w:val="20"/>
                      <w:szCs w:val="20"/>
                      <w:lang w:val="en-US" w:eastAsia="zh-CN" w:bidi="ar"/>
                    </w:rPr>
                    <w:t>13.5/10.5</w:t>
                  </w:r>
                </w:p>
              </w:tc>
              <w:tc>
                <w:tcPr>
                  <w:tcW w:w="778" w:type="pct"/>
                  <w:noWrap w:val="0"/>
                  <w:vAlign w:val="center"/>
                </w:tcPr>
                <w:p>
                  <w:pPr>
                    <w:keepNext w:val="0"/>
                    <w:keepLines w:val="0"/>
                    <w:widowControl/>
                    <w:suppressLineNumbers w:val="0"/>
                    <w:jc w:val="left"/>
                    <w:rPr>
                      <w:bCs/>
                      <w:sz w:val="21"/>
                      <w:szCs w:val="21"/>
                    </w:rPr>
                  </w:pPr>
                  <w:r>
                    <w:rPr>
                      <w:rFonts w:hint="default" w:ascii="Times New Roman" w:hAnsi="Times New Roman" w:eastAsia="宋体" w:cs="Times New Roman"/>
                      <w:color w:val="000000"/>
                      <w:kern w:val="0"/>
                      <w:sz w:val="20"/>
                      <w:szCs w:val="20"/>
                      <w:lang w:val="en-US" w:eastAsia="zh-CN" w:bidi="ar"/>
                    </w:rPr>
                    <w:t>17.7/18.9</w:t>
                  </w:r>
                </w:p>
              </w:tc>
              <w:tc>
                <w:tcPr>
                  <w:tcW w:w="770" w:type="pct"/>
                  <w:noWrap w:val="0"/>
                  <w:vAlign w:val="center"/>
                </w:tcPr>
                <w:p>
                  <w:pPr>
                    <w:keepNext w:val="0"/>
                    <w:keepLines w:val="0"/>
                    <w:widowControl/>
                    <w:suppressLineNumbers w:val="0"/>
                    <w:jc w:val="left"/>
                    <w:rPr>
                      <w:rFonts w:hint="default"/>
                      <w:bCs/>
                      <w:sz w:val="21"/>
                      <w:szCs w:val="21"/>
                      <w:lang w:val="en-US"/>
                    </w:rPr>
                  </w:pPr>
                  <w:r>
                    <w:rPr>
                      <w:rFonts w:hint="default" w:ascii="Times New Roman" w:hAnsi="Times New Roman" w:eastAsia="宋体" w:cs="Times New Roman"/>
                      <w:color w:val="000000"/>
                      <w:kern w:val="0"/>
                      <w:sz w:val="20"/>
                      <w:szCs w:val="20"/>
                      <w:lang w:val="en-US" w:eastAsia="zh-CN" w:bidi="ar"/>
                    </w:rPr>
                    <w:t>17.2</w:t>
                  </w:r>
                  <w:r>
                    <w:rPr>
                      <w:rFonts w:hint="eastAsia" w:ascii="Times New Roman" w:hAnsi="Times New Roman" w:eastAsia="宋体" w:cs="Times New Roman"/>
                      <w:color w:val="000000"/>
                      <w:kern w:val="0"/>
                      <w:sz w:val="20"/>
                      <w:szCs w:val="20"/>
                      <w:lang w:val="en-US" w:eastAsia="zh-CN" w:bidi="ar"/>
                    </w:rPr>
                    <w:t>/18.5</w:t>
                  </w:r>
                </w:p>
              </w:tc>
              <w:tc>
                <w:tcPr>
                  <w:tcW w:w="759" w:type="pct"/>
                  <w:noWrap w:val="0"/>
                  <w:vAlign w:val="center"/>
                </w:tcPr>
                <w:p>
                  <w:pPr>
                    <w:keepNext w:val="0"/>
                    <w:keepLines w:val="0"/>
                    <w:widowControl/>
                    <w:suppressLineNumbers w:val="0"/>
                    <w:jc w:val="left"/>
                    <w:rPr>
                      <w:bCs/>
                      <w:sz w:val="21"/>
                      <w:szCs w:val="21"/>
                    </w:rPr>
                  </w:pPr>
                  <w:r>
                    <w:rPr>
                      <w:rFonts w:hint="default" w:ascii="Times New Roman" w:hAnsi="Times New Roman" w:eastAsia="宋体" w:cs="Times New Roman"/>
                      <w:color w:val="000000"/>
                      <w:kern w:val="0"/>
                      <w:sz w:val="20"/>
                      <w:szCs w:val="20"/>
                      <w:lang w:val="en-US" w:eastAsia="zh-CN" w:bidi="ar"/>
                    </w:rPr>
                    <w:t>25.5/25.5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25" w:type="pct"/>
                  <w:vMerge w:val="continue"/>
                  <w:noWrap w:val="0"/>
                  <w:vAlign w:val="center"/>
                </w:tcPr>
                <w:p>
                  <w:pPr>
                    <w:pStyle w:val="59"/>
                    <w:spacing w:before="78"/>
                    <w:rPr>
                      <w:rFonts w:eastAsia="宋体"/>
                      <w:sz w:val="21"/>
                      <w:szCs w:val="21"/>
                    </w:rPr>
                  </w:pPr>
                </w:p>
              </w:tc>
              <w:tc>
                <w:tcPr>
                  <w:tcW w:w="960" w:type="pct"/>
                  <w:vMerge w:val="restart"/>
                  <w:noWrap w:val="0"/>
                  <w:vAlign w:val="center"/>
                </w:tcPr>
                <w:p>
                  <w:pPr>
                    <w:pStyle w:val="23"/>
                    <w:ind w:left="0" w:leftChars="0" w:firstLine="0" w:firstLineChars="0"/>
                    <w:jc w:val="center"/>
                    <w:rPr>
                      <w:rFonts w:hint="default" w:eastAsia="宋体"/>
                      <w:sz w:val="21"/>
                      <w:szCs w:val="21"/>
                      <w:lang w:val="en-US" w:eastAsia="zh-CN"/>
                    </w:rPr>
                  </w:pPr>
                  <w:r>
                    <w:rPr>
                      <w:rFonts w:hint="eastAsia"/>
                      <w:sz w:val="21"/>
                      <w:szCs w:val="21"/>
                      <w:lang w:val="en-US" w:eastAsia="zh-CN"/>
                    </w:rPr>
                    <w:t>穆将王建材家居</w:t>
                  </w:r>
                  <w:r>
                    <w:rPr>
                      <w:rFonts w:hint="eastAsia" w:ascii="Times New Roman" w:hAnsi="Times New Roman" w:eastAsia="宋体" w:cs="Times New Roman"/>
                      <w:sz w:val="21"/>
                      <w:szCs w:val="21"/>
                      <w:lang w:val="en-US" w:eastAsia="zh-CN"/>
                    </w:rPr>
                    <w:t>城（重要公建）</w:t>
                  </w:r>
                </w:p>
              </w:tc>
              <w:tc>
                <w:tcPr>
                  <w:tcW w:w="643" w:type="pct"/>
                  <w:noWrap w:val="0"/>
                  <w:vAlign w:val="center"/>
                </w:tcPr>
                <w:p>
                  <w:pPr>
                    <w:snapToGrid w:val="0"/>
                    <w:jc w:val="center"/>
                    <w:rPr>
                      <w:bCs/>
                      <w:sz w:val="21"/>
                      <w:szCs w:val="21"/>
                    </w:rPr>
                  </w:pPr>
                  <w:r>
                    <w:rPr>
                      <w:rFonts w:hint="eastAsia"/>
                      <w:bCs/>
                      <w:sz w:val="21"/>
                      <w:szCs w:val="21"/>
                    </w:rPr>
                    <w:t>规范</w:t>
                  </w:r>
                </w:p>
              </w:tc>
              <w:tc>
                <w:tcPr>
                  <w:tcW w:w="762"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3</w:t>
                  </w:r>
                  <w:r>
                    <w:rPr>
                      <w:rFonts w:hint="eastAsia"/>
                      <w:bCs/>
                      <w:sz w:val="21"/>
                      <w:szCs w:val="21"/>
                      <w:lang w:val="en-US" w:eastAsia="zh-CN"/>
                    </w:rPr>
                    <w:t>5/25</w:t>
                  </w:r>
                </w:p>
              </w:tc>
              <w:tc>
                <w:tcPr>
                  <w:tcW w:w="778" w:type="pct"/>
                  <w:noWrap w:val="0"/>
                  <w:vAlign w:val="center"/>
                </w:tcPr>
                <w:p>
                  <w:pPr>
                    <w:snapToGrid w:val="0"/>
                    <w:jc w:val="center"/>
                    <w:rPr>
                      <w:bCs/>
                      <w:sz w:val="21"/>
                      <w:szCs w:val="21"/>
                    </w:rPr>
                  </w:pPr>
                  <w:r>
                    <w:rPr>
                      <w:rFonts w:hint="eastAsia"/>
                      <w:bCs/>
                      <w:sz w:val="21"/>
                      <w:szCs w:val="21"/>
                      <w:lang w:val="en-US" w:eastAsia="zh-CN"/>
                    </w:rPr>
                    <w:t>35/25</w:t>
                  </w:r>
                </w:p>
              </w:tc>
              <w:tc>
                <w:tcPr>
                  <w:tcW w:w="770" w:type="pct"/>
                  <w:noWrap w:val="0"/>
                  <w:vAlign w:val="center"/>
                </w:tcPr>
                <w:p>
                  <w:pPr>
                    <w:snapToGrid w:val="0"/>
                    <w:jc w:val="center"/>
                    <w:rPr>
                      <w:rFonts w:hint="eastAsia"/>
                      <w:bCs/>
                      <w:sz w:val="21"/>
                      <w:szCs w:val="21"/>
                      <w:lang w:val="en-US" w:eastAsia="zh-CN"/>
                    </w:rPr>
                  </w:pPr>
                  <w:r>
                    <w:rPr>
                      <w:rFonts w:hint="eastAsia"/>
                      <w:bCs/>
                      <w:sz w:val="21"/>
                      <w:szCs w:val="21"/>
                      <w:lang w:val="en-US" w:eastAsia="zh-CN"/>
                    </w:rPr>
                    <w:t>35/25</w:t>
                  </w:r>
                </w:p>
              </w:tc>
              <w:tc>
                <w:tcPr>
                  <w:tcW w:w="759" w:type="pct"/>
                  <w:noWrap w:val="0"/>
                  <w:vAlign w:val="center"/>
                </w:tcPr>
                <w:p>
                  <w:pPr>
                    <w:snapToGrid w:val="0"/>
                    <w:jc w:val="center"/>
                    <w:rPr>
                      <w:bCs/>
                      <w:sz w:val="21"/>
                      <w:szCs w:val="21"/>
                    </w:rPr>
                  </w:pPr>
                  <w:r>
                    <w:rPr>
                      <w:rFonts w:hint="eastAsia"/>
                      <w:bCs/>
                      <w:sz w:val="21"/>
                      <w:szCs w:val="21"/>
                      <w:lang w:val="en-US" w:eastAsia="zh-CN"/>
                    </w:rPr>
                    <w:t>35/25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5" w:type="pct"/>
                  <w:vMerge w:val="continue"/>
                  <w:noWrap w:val="0"/>
                  <w:vAlign w:val="center"/>
                </w:tcPr>
                <w:p>
                  <w:pPr>
                    <w:pStyle w:val="59"/>
                    <w:spacing w:before="78"/>
                    <w:rPr>
                      <w:rFonts w:eastAsia="宋体"/>
                      <w:sz w:val="21"/>
                      <w:szCs w:val="21"/>
                    </w:rPr>
                  </w:pPr>
                </w:p>
              </w:tc>
              <w:tc>
                <w:tcPr>
                  <w:tcW w:w="960" w:type="pct"/>
                  <w:vMerge w:val="continue"/>
                  <w:noWrap w:val="0"/>
                  <w:vAlign w:val="center"/>
                </w:tcPr>
                <w:p>
                  <w:pPr>
                    <w:pStyle w:val="23"/>
                    <w:ind w:left="0" w:leftChars="0" w:firstLine="0" w:firstLineChars="0"/>
                    <w:jc w:val="center"/>
                    <w:rPr>
                      <w:rFonts w:hint="eastAsia"/>
                      <w:sz w:val="21"/>
                      <w:szCs w:val="21"/>
                    </w:rPr>
                  </w:pPr>
                </w:p>
              </w:tc>
              <w:tc>
                <w:tcPr>
                  <w:tcW w:w="643" w:type="pct"/>
                  <w:noWrap w:val="0"/>
                  <w:vAlign w:val="center"/>
                </w:tcPr>
                <w:p>
                  <w:pPr>
                    <w:snapToGrid w:val="0"/>
                    <w:jc w:val="center"/>
                    <w:rPr>
                      <w:bCs/>
                      <w:sz w:val="21"/>
                      <w:szCs w:val="21"/>
                    </w:rPr>
                  </w:pPr>
                  <w:r>
                    <w:rPr>
                      <w:rFonts w:hint="eastAsia"/>
                      <w:bCs/>
                      <w:sz w:val="21"/>
                      <w:szCs w:val="21"/>
                    </w:rPr>
                    <w:t>本项目</w:t>
                  </w:r>
                </w:p>
              </w:tc>
              <w:tc>
                <w:tcPr>
                  <w:tcW w:w="762" w:type="pct"/>
                  <w:noWrap w:val="0"/>
                  <w:vAlign w:val="center"/>
                </w:tcPr>
                <w:p>
                  <w:pPr>
                    <w:keepNext w:val="0"/>
                    <w:keepLines w:val="0"/>
                    <w:widowControl/>
                    <w:suppressLineNumbers w:val="0"/>
                    <w:jc w:val="left"/>
                    <w:rPr>
                      <w:rFonts w:hint="default"/>
                      <w:bCs/>
                      <w:sz w:val="21"/>
                      <w:szCs w:val="21"/>
                      <w:lang w:val="en-US"/>
                    </w:rPr>
                  </w:pPr>
                  <w:r>
                    <w:rPr>
                      <w:rFonts w:hint="eastAsia" w:ascii="Times New Roman" w:hAnsi="Times New Roman" w:eastAsia="宋体" w:cs="Times New Roman"/>
                      <w:color w:val="000000"/>
                      <w:kern w:val="0"/>
                      <w:sz w:val="20"/>
                      <w:szCs w:val="20"/>
                      <w:lang w:val="en-US" w:eastAsia="zh-CN" w:bidi="ar"/>
                    </w:rPr>
                    <w:t>114.2</w:t>
                  </w:r>
                  <w:r>
                    <w:rPr>
                      <w:rFonts w:hint="default" w:ascii="Times New Roman" w:hAnsi="Times New Roman" w:eastAsia="宋体" w:cs="Times New Roman"/>
                      <w:color w:val="000000"/>
                      <w:kern w:val="0"/>
                      <w:sz w:val="20"/>
                      <w:szCs w:val="20"/>
                      <w:lang w:val="en-US" w:eastAsia="zh-CN" w:bidi="ar"/>
                    </w:rPr>
                    <w:t>/</w:t>
                  </w:r>
                  <w:r>
                    <w:rPr>
                      <w:rFonts w:hint="eastAsia" w:ascii="Times New Roman" w:hAnsi="Times New Roman" w:eastAsia="宋体" w:cs="Times New Roman"/>
                      <w:color w:val="000000"/>
                      <w:kern w:val="0"/>
                      <w:sz w:val="20"/>
                      <w:szCs w:val="20"/>
                      <w:lang w:val="en-US" w:eastAsia="zh-CN" w:bidi="ar"/>
                    </w:rPr>
                    <w:t>116.8</w:t>
                  </w:r>
                </w:p>
              </w:tc>
              <w:tc>
                <w:tcPr>
                  <w:tcW w:w="778"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1</w:t>
                  </w:r>
                  <w:r>
                    <w:rPr>
                      <w:rFonts w:hint="eastAsia"/>
                      <w:bCs/>
                      <w:sz w:val="21"/>
                      <w:szCs w:val="21"/>
                      <w:lang w:val="en-US" w:eastAsia="zh-CN"/>
                    </w:rPr>
                    <w:t>14.5/112</w:t>
                  </w:r>
                </w:p>
              </w:tc>
              <w:tc>
                <w:tcPr>
                  <w:tcW w:w="770"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89/86</w:t>
                  </w:r>
                </w:p>
              </w:tc>
              <w:tc>
                <w:tcPr>
                  <w:tcW w:w="759"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8</w:t>
                  </w:r>
                  <w:r>
                    <w:rPr>
                      <w:rFonts w:hint="eastAsia"/>
                      <w:bCs/>
                      <w:sz w:val="21"/>
                      <w:szCs w:val="21"/>
                      <w:lang w:val="en-US" w:eastAsia="zh-CN"/>
                    </w:rPr>
                    <w:t>6/90.2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25" w:type="pct"/>
                  <w:vMerge w:val="restart"/>
                  <w:noWrap w:val="0"/>
                  <w:vAlign w:val="center"/>
                </w:tcPr>
                <w:p>
                  <w:pPr>
                    <w:pStyle w:val="59"/>
                    <w:spacing w:before="78"/>
                    <w:rPr>
                      <w:rFonts w:hint="eastAsia" w:eastAsia="宋体"/>
                      <w:sz w:val="21"/>
                      <w:szCs w:val="21"/>
                      <w:lang w:eastAsia="zh-CN"/>
                    </w:rPr>
                  </w:pPr>
                  <w:r>
                    <w:rPr>
                      <w:rFonts w:hint="eastAsia" w:eastAsia="宋体"/>
                      <w:sz w:val="21"/>
                      <w:szCs w:val="21"/>
                      <w:lang w:val="en-US" w:eastAsia="zh-CN"/>
                    </w:rPr>
                    <w:t>西</w:t>
                  </w:r>
                </w:p>
              </w:tc>
              <w:tc>
                <w:tcPr>
                  <w:tcW w:w="960" w:type="pct"/>
                  <w:vMerge w:val="restart"/>
                  <w:noWrap w:val="0"/>
                  <w:vAlign w:val="center"/>
                </w:tcPr>
                <w:p>
                  <w:pPr>
                    <w:pStyle w:val="23"/>
                    <w:ind w:left="0" w:leftChars="0" w:firstLine="0" w:firstLineChars="0"/>
                    <w:jc w:val="center"/>
                    <w:rPr>
                      <w:sz w:val="21"/>
                      <w:szCs w:val="21"/>
                    </w:rPr>
                  </w:pPr>
                  <w:r>
                    <w:rPr>
                      <w:rFonts w:hint="eastAsia" w:ascii="Times New Roman" w:hAnsi="Times New Roman" w:eastAsia="宋体" w:cs="Times New Roman"/>
                      <w:sz w:val="21"/>
                      <w:szCs w:val="21"/>
                      <w:lang w:val="en-US" w:eastAsia="zh-CN"/>
                    </w:rPr>
                    <w:t>架空电力线（杆高7.8m，有绝缘层）</w:t>
                  </w:r>
                </w:p>
              </w:tc>
              <w:tc>
                <w:tcPr>
                  <w:tcW w:w="643" w:type="pct"/>
                  <w:noWrap w:val="0"/>
                  <w:vAlign w:val="center"/>
                </w:tcPr>
                <w:p>
                  <w:pPr>
                    <w:snapToGrid w:val="0"/>
                    <w:jc w:val="center"/>
                    <w:rPr>
                      <w:bCs/>
                      <w:sz w:val="21"/>
                      <w:szCs w:val="21"/>
                    </w:rPr>
                  </w:pPr>
                  <w:r>
                    <w:rPr>
                      <w:bCs/>
                      <w:sz w:val="21"/>
                      <w:szCs w:val="21"/>
                    </w:rPr>
                    <w:t>规范</w:t>
                  </w:r>
                </w:p>
              </w:tc>
              <w:tc>
                <w:tcPr>
                  <w:tcW w:w="762"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0</w:t>
                  </w:r>
                  <w:r>
                    <w:rPr>
                      <w:rFonts w:hint="eastAsia"/>
                      <w:bCs/>
                      <w:sz w:val="21"/>
                      <w:szCs w:val="21"/>
                      <w:lang w:val="en-US" w:eastAsia="zh-CN"/>
                    </w:rPr>
                    <w:t>.75/0.5H，且≥5m</w:t>
                  </w:r>
                </w:p>
              </w:tc>
              <w:tc>
                <w:tcPr>
                  <w:tcW w:w="778"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5</w:t>
                  </w:r>
                  <w:r>
                    <w:rPr>
                      <w:rFonts w:hint="eastAsia"/>
                      <w:bCs/>
                      <w:sz w:val="21"/>
                      <w:szCs w:val="21"/>
                      <w:lang w:val="en-US" w:eastAsia="zh-CN"/>
                    </w:rPr>
                    <w:t>/5</w:t>
                  </w:r>
                </w:p>
              </w:tc>
              <w:tc>
                <w:tcPr>
                  <w:tcW w:w="770" w:type="pct"/>
                  <w:noWrap w:val="0"/>
                  <w:vAlign w:val="center"/>
                </w:tcPr>
                <w:p>
                  <w:pPr>
                    <w:snapToGrid w:val="0"/>
                    <w:jc w:val="center"/>
                    <w:rPr>
                      <w:rFonts w:hint="eastAsia"/>
                      <w:bCs/>
                      <w:sz w:val="21"/>
                      <w:szCs w:val="21"/>
                      <w:lang w:val="en-US" w:eastAsia="zh-CN"/>
                    </w:rPr>
                  </w:pPr>
                  <w:r>
                    <w:rPr>
                      <w:rFonts w:hint="eastAsia"/>
                      <w:bCs/>
                      <w:sz w:val="21"/>
                      <w:szCs w:val="21"/>
                      <w:lang w:val="en-US" w:eastAsia="zh-CN"/>
                    </w:rPr>
                    <w:t>5/5</w:t>
                  </w:r>
                </w:p>
              </w:tc>
              <w:tc>
                <w:tcPr>
                  <w:tcW w:w="759" w:type="pct"/>
                  <w:noWrap w:val="0"/>
                  <w:vAlign w:val="center"/>
                </w:tcPr>
                <w:p>
                  <w:pPr>
                    <w:snapToGrid w:val="0"/>
                    <w:jc w:val="center"/>
                    <w:rPr>
                      <w:bCs/>
                      <w:sz w:val="21"/>
                      <w:szCs w:val="21"/>
                    </w:rPr>
                  </w:pPr>
                  <w:r>
                    <w:rPr>
                      <w:rFonts w:hint="eastAsia"/>
                      <w:bCs/>
                      <w:sz w:val="21"/>
                      <w:szCs w:val="21"/>
                      <w:lang w:val="en-US" w:eastAsia="zh-CN"/>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25" w:type="pct"/>
                  <w:vMerge w:val="continue"/>
                  <w:noWrap w:val="0"/>
                  <w:vAlign w:val="center"/>
                </w:tcPr>
                <w:p>
                  <w:pPr>
                    <w:snapToGrid w:val="0"/>
                    <w:jc w:val="center"/>
                    <w:rPr>
                      <w:sz w:val="21"/>
                      <w:szCs w:val="21"/>
                    </w:rPr>
                  </w:pPr>
                </w:p>
              </w:tc>
              <w:tc>
                <w:tcPr>
                  <w:tcW w:w="960" w:type="pct"/>
                  <w:vMerge w:val="continue"/>
                  <w:noWrap w:val="0"/>
                  <w:vAlign w:val="center"/>
                </w:tcPr>
                <w:p>
                  <w:pPr>
                    <w:snapToGrid w:val="0"/>
                    <w:jc w:val="center"/>
                    <w:rPr>
                      <w:sz w:val="21"/>
                      <w:szCs w:val="21"/>
                    </w:rPr>
                  </w:pPr>
                </w:p>
              </w:tc>
              <w:tc>
                <w:tcPr>
                  <w:tcW w:w="643" w:type="pct"/>
                  <w:noWrap w:val="0"/>
                  <w:vAlign w:val="center"/>
                </w:tcPr>
                <w:p>
                  <w:pPr>
                    <w:snapToGrid w:val="0"/>
                    <w:jc w:val="center"/>
                    <w:rPr>
                      <w:bCs/>
                      <w:sz w:val="21"/>
                      <w:szCs w:val="21"/>
                    </w:rPr>
                  </w:pPr>
                  <w:r>
                    <w:rPr>
                      <w:rFonts w:hint="eastAsia"/>
                      <w:bCs/>
                      <w:sz w:val="21"/>
                      <w:szCs w:val="21"/>
                    </w:rPr>
                    <w:t>本项目</w:t>
                  </w:r>
                </w:p>
              </w:tc>
              <w:tc>
                <w:tcPr>
                  <w:tcW w:w="762"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5</w:t>
                  </w:r>
                  <w:r>
                    <w:rPr>
                      <w:rFonts w:hint="eastAsia"/>
                      <w:bCs/>
                      <w:sz w:val="21"/>
                      <w:szCs w:val="21"/>
                      <w:lang w:val="en-US" w:eastAsia="zh-CN"/>
                    </w:rPr>
                    <w:t>3.8/50.6</w:t>
                  </w:r>
                </w:p>
              </w:tc>
              <w:tc>
                <w:tcPr>
                  <w:tcW w:w="778"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5</w:t>
                  </w:r>
                  <w:r>
                    <w:rPr>
                      <w:rFonts w:hint="eastAsia"/>
                      <w:bCs/>
                      <w:sz w:val="21"/>
                      <w:szCs w:val="21"/>
                      <w:lang w:val="en-US" w:eastAsia="zh-CN"/>
                    </w:rPr>
                    <w:t>6.5/57.1</w:t>
                  </w:r>
                </w:p>
              </w:tc>
              <w:tc>
                <w:tcPr>
                  <w:tcW w:w="770"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58.2/58.1</w:t>
                  </w:r>
                </w:p>
              </w:tc>
              <w:tc>
                <w:tcPr>
                  <w:tcW w:w="759"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2</w:t>
                  </w:r>
                  <w:r>
                    <w:rPr>
                      <w:rFonts w:hint="eastAsia"/>
                      <w:bCs/>
                      <w:sz w:val="21"/>
                      <w:szCs w:val="21"/>
                      <w:lang w:val="en-US" w:eastAsia="zh-CN"/>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25" w:type="pct"/>
                  <w:vMerge w:val="continue"/>
                  <w:noWrap w:val="0"/>
                  <w:vAlign w:val="center"/>
                </w:tcPr>
                <w:p>
                  <w:pPr>
                    <w:snapToGrid w:val="0"/>
                    <w:jc w:val="center"/>
                    <w:rPr>
                      <w:rFonts w:hint="eastAsia"/>
                      <w:sz w:val="21"/>
                      <w:szCs w:val="21"/>
                    </w:rPr>
                  </w:pPr>
                </w:p>
              </w:tc>
              <w:tc>
                <w:tcPr>
                  <w:tcW w:w="960" w:type="pct"/>
                  <w:vMerge w:val="restart"/>
                  <w:noWrap w:val="0"/>
                  <w:vAlign w:val="center"/>
                </w:tcPr>
                <w:p>
                  <w:pPr>
                    <w:snapToGrid w:val="0"/>
                    <w:jc w:val="center"/>
                    <w:rPr>
                      <w:sz w:val="21"/>
                      <w:szCs w:val="21"/>
                    </w:rPr>
                  </w:pPr>
                  <w:r>
                    <w:rPr>
                      <w:rFonts w:hint="eastAsia"/>
                      <w:szCs w:val="21"/>
                      <w:lang w:val="en-US" w:eastAsia="zh-CN"/>
                    </w:rPr>
                    <w:t>五建花苑小区</w:t>
                  </w:r>
                  <w:r>
                    <w:rPr>
                      <w:rFonts w:hint="eastAsia" w:ascii="Times New Roman" w:hAnsi="Times New Roman" w:eastAsia="宋体" w:cs="Times New Roman"/>
                      <w:kern w:val="2"/>
                      <w:sz w:val="21"/>
                      <w:szCs w:val="21"/>
                      <w:lang w:val="en-US" w:eastAsia="zh-CN" w:bidi="ar-SA"/>
                    </w:rPr>
                    <w:t>（一类保护物）</w:t>
                  </w:r>
                </w:p>
              </w:tc>
              <w:tc>
                <w:tcPr>
                  <w:tcW w:w="643" w:type="pct"/>
                  <w:noWrap w:val="0"/>
                  <w:vAlign w:val="center"/>
                </w:tcPr>
                <w:p>
                  <w:pPr>
                    <w:snapToGrid w:val="0"/>
                    <w:jc w:val="center"/>
                    <w:rPr>
                      <w:bCs/>
                      <w:sz w:val="21"/>
                      <w:szCs w:val="21"/>
                    </w:rPr>
                  </w:pPr>
                  <w:r>
                    <w:rPr>
                      <w:rFonts w:hint="eastAsia"/>
                      <w:bCs/>
                      <w:sz w:val="21"/>
                      <w:szCs w:val="21"/>
                    </w:rPr>
                    <w:t>规范</w:t>
                  </w:r>
                </w:p>
              </w:tc>
              <w:tc>
                <w:tcPr>
                  <w:tcW w:w="762" w:type="pct"/>
                  <w:noWrap w:val="0"/>
                  <w:vAlign w:val="center"/>
                </w:tcPr>
                <w:p>
                  <w:pPr>
                    <w:snapToGrid w:val="0"/>
                    <w:jc w:val="center"/>
                    <w:rPr>
                      <w:rFonts w:hint="default" w:eastAsia="宋体"/>
                      <w:bCs/>
                      <w:sz w:val="21"/>
                      <w:szCs w:val="21"/>
                      <w:lang w:val="en-US" w:eastAsia="zh-CN"/>
                    </w:rPr>
                  </w:pPr>
                  <w:r>
                    <w:rPr>
                      <w:rFonts w:hint="eastAsia"/>
                      <w:bCs/>
                      <w:sz w:val="21"/>
                      <w:szCs w:val="21"/>
                    </w:rPr>
                    <w:t>1</w:t>
                  </w:r>
                  <w:r>
                    <w:rPr>
                      <w:rFonts w:hint="eastAsia"/>
                      <w:bCs/>
                      <w:sz w:val="21"/>
                      <w:szCs w:val="21"/>
                      <w:lang w:val="en-US" w:eastAsia="zh-CN"/>
                    </w:rPr>
                    <w:t>4</w:t>
                  </w:r>
                  <w:r>
                    <w:rPr>
                      <w:rFonts w:hint="eastAsia"/>
                      <w:bCs/>
                      <w:sz w:val="21"/>
                      <w:szCs w:val="21"/>
                      <w:lang w:val="en-US" w:eastAsia="zh-CN"/>
                    </w:rPr>
                    <w:t>/6</w:t>
                  </w:r>
                </w:p>
              </w:tc>
              <w:tc>
                <w:tcPr>
                  <w:tcW w:w="778" w:type="pct"/>
                  <w:noWrap w:val="0"/>
                  <w:vAlign w:val="center"/>
                </w:tcPr>
                <w:p>
                  <w:pPr>
                    <w:snapToGrid w:val="0"/>
                    <w:jc w:val="center"/>
                    <w:rPr>
                      <w:bCs/>
                      <w:sz w:val="21"/>
                      <w:szCs w:val="21"/>
                    </w:rPr>
                  </w:pPr>
                  <w:r>
                    <w:rPr>
                      <w:rFonts w:hint="eastAsia"/>
                      <w:bCs/>
                      <w:sz w:val="21"/>
                      <w:szCs w:val="21"/>
                    </w:rPr>
                    <w:t>1</w:t>
                  </w:r>
                  <w:r>
                    <w:rPr>
                      <w:rFonts w:hint="eastAsia"/>
                      <w:bCs/>
                      <w:sz w:val="21"/>
                      <w:szCs w:val="21"/>
                      <w:lang w:val="en-US" w:eastAsia="zh-CN"/>
                    </w:rPr>
                    <w:t>1/6</w:t>
                  </w:r>
                </w:p>
              </w:tc>
              <w:tc>
                <w:tcPr>
                  <w:tcW w:w="770" w:type="pct"/>
                  <w:noWrap w:val="0"/>
                  <w:vAlign w:val="center"/>
                </w:tcPr>
                <w:p>
                  <w:pPr>
                    <w:snapToGrid w:val="0"/>
                    <w:jc w:val="center"/>
                    <w:rPr>
                      <w:rFonts w:hint="eastAsia"/>
                      <w:bCs/>
                      <w:sz w:val="21"/>
                      <w:szCs w:val="21"/>
                    </w:rPr>
                  </w:pPr>
                  <w:r>
                    <w:rPr>
                      <w:rFonts w:hint="eastAsia"/>
                      <w:bCs/>
                      <w:sz w:val="21"/>
                      <w:szCs w:val="21"/>
                    </w:rPr>
                    <w:t>1</w:t>
                  </w:r>
                  <w:r>
                    <w:rPr>
                      <w:rFonts w:hint="eastAsia"/>
                      <w:bCs/>
                      <w:sz w:val="21"/>
                      <w:szCs w:val="21"/>
                      <w:lang w:val="en-US" w:eastAsia="zh-CN"/>
                    </w:rPr>
                    <w:t>1/6</w:t>
                  </w:r>
                </w:p>
              </w:tc>
              <w:tc>
                <w:tcPr>
                  <w:tcW w:w="759" w:type="pct"/>
                  <w:noWrap w:val="0"/>
                  <w:vAlign w:val="center"/>
                </w:tcPr>
                <w:p>
                  <w:pPr>
                    <w:snapToGrid w:val="0"/>
                    <w:jc w:val="center"/>
                    <w:rPr>
                      <w:bCs/>
                      <w:sz w:val="21"/>
                      <w:szCs w:val="21"/>
                    </w:rPr>
                  </w:pPr>
                  <w:r>
                    <w:rPr>
                      <w:rFonts w:hint="eastAsia"/>
                      <w:bCs/>
                      <w:sz w:val="21"/>
                      <w:szCs w:val="21"/>
                    </w:rPr>
                    <w:t>1</w:t>
                  </w:r>
                  <w:r>
                    <w:rPr>
                      <w:rFonts w:hint="eastAsia"/>
                      <w:bCs/>
                      <w:sz w:val="21"/>
                      <w:szCs w:val="21"/>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325" w:type="pct"/>
                  <w:vMerge w:val="continue"/>
                  <w:noWrap w:val="0"/>
                  <w:vAlign w:val="center"/>
                </w:tcPr>
                <w:p>
                  <w:pPr>
                    <w:snapToGrid w:val="0"/>
                    <w:jc w:val="center"/>
                    <w:rPr>
                      <w:rFonts w:hint="eastAsia"/>
                      <w:sz w:val="21"/>
                      <w:szCs w:val="21"/>
                    </w:rPr>
                  </w:pPr>
                </w:p>
              </w:tc>
              <w:tc>
                <w:tcPr>
                  <w:tcW w:w="960" w:type="pct"/>
                  <w:vMerge w:val="continue"/>
                  <w:noWrap w:val="0"/>
                  <w:vAlign w:val="center"/>
                </w:tcPr>
                <w:p>
                  <w:pPr>
                    <w:snapToGrid w:val="0"/>
                    <w:jc w:val="center"/>
                    <w:rPr>
                      <w:rFonts w:hint="eastAsia"/>
                      <w:sz w:val="21"/>
                      <w:szCs w:val="21"/>
                    </w:rPr>
                  </w:pPr>
                </w:p>
              </w:tc>
              <w:tc>
                <w:tcPr>
                  <w:tcW w:w="643" w:type="pct"/>
                  <w:noWrap w:val="0"/>
                  <w:vAlign w:val="center"/>
                </w:tcPr>
                <w:p>
                  <w:pPr>
                    <w:snapToGrid w:val="0"/>
                    <w:jc w:val="center"/>
                    <w:rPr>
                      <w:bCs/>
                      <w:sz w:val="21"/>
                      <w:szCs w:val="21"/>
                    </w:rPr>
                  </w:pPr>
                  <w:r>
                    <w:rPr>
                      <w:rFonts w:hint="eastAsia"/>
                      <w:bCs/>
                      <w:sz w:val="21"/>
                      <w:szCs w:val="21"/>
                    </w:rPr>
                    <w:t>本项目</w:t>
                  </w:r>
                </w:p>
              </w:tc>
              <w:tc>
                <w:tcPr>
                  <w:tcW w:w="762"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6</w:t>
                  </w:r>
                  <w:r>
                    <w:rPr>
                      <w:rFonts w:hint="eastAsia"/>
                      <w:bCs/>
                      <w:sz w:val="21"/>
                      <w:szCs w:val="21"/>
                      <w:lang w:val="en-US" w:eastAsia="zh-CN"/>
                    </w:rPr>
                    <w:t>2.1/64.6</w:t>
                  </w:r>
                </w:p>
              </w:tc>
              <w:tc>
                <w:tcPr>
                  <w:tcW w:w="778"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6</w:t>
                  </w:r>
                  <w:r>
                    <w:rPr>
                      <w:rFonts w:hint="eastAsia"/>
                      <w:bCs/>
                      <w:sz w:val="21"/>
                      <w:szCs w:val="21"/>
                      <w:lang w:val="en-US" w:eastAsia="zh-CN"/>
                    </w:rPr>
                    <w:t>4.4/68.5</w:t>
                  </w:r>
                </w:p>
              </w:tc>
              <w:tc>
                <w:tcPr>
                  <w:tcW w:w="770"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70.5/71.2</w:t>
                  </w:r>
                </w:p>
              </w:tc>
              <w:tc>
                <w:tcPr>
                  <w:tcW w:w="759"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4</w:t>
                  </w:r>
                  <w:r>
                    <w:rPr>
                      <w:rFonts w:hint="eastAsia"/>
                      <w:bCs/>
                      <w:sz w:val="21"/>
                      <w:szCs w:val="21"/>
                      <w:lang w:val="en-US" w:eastAsia="zh-CN"/>
                    </w:rPr>
                    <w:t>7.2/53.3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325" w:type="pct"/>
                  <w:vMerge w:val="continue"/>
                  <w:noWrap w:val="0"/>
                  <w:vAlign w:val="center"/>
                </w:tcPr>
                <w:p>
                  <w:pPr>
                    <w:snapToGrid w:val="0"/>
                    <w:jc w:val="center"/>
                    <w:rPr>
                      <w:rFonts w:hint="eastAsia"/>
                      <w:sz w:val="21"/>
                      <w:szCs w:val="21"/>
                    </w:rPr>
                  </w:pPr>
                </w:p>
              </w:tc>
              <w:tc>
                <w:tcPr>
                  <w:tcW w:w="960" w:type="pct"/>
                  <w:vMerge w:val="restart"/>
                  <w:noWrap w:val="0"/>
                  <w:vAlign w:val="center"/>
                </w:tcPr>
                <w:p>
                  <w:pPr>
                    <w:snapToGrid w:val="0"/>
                    <w:jc w:val="center"/>
                    <w:rPr>
                      <w:rFonts w:hint="default" w:eastAsia="宋体"/>
                      <w:sz w:val="21"/>
                      <w:szCs w:val="21"/>
                      <w:lang w:val="en-US" w:eastAsia="zh-CN"/>
                    </w:rPr>
                  </w:pPr>
                  <w:r>
                    <w:rPr>
                      <w:rFonts w:hint="eastAsia" w:ascii="Times New Roman" w:hAnsi="Times New Roman" w:eastAsia="宋体" w:cs="Times New Roman"/>
                      <w:szCs w:val="21"/>
                      <w:lang w:val="en-US" w:eastAsia="zh-CN"/>
                    </w:rPr>
                    <w:t>西安建工职工服务中心有限责任公司工程办公室（一类保护物）</w:t>
                  </w:r>
                </w:p>
              </w:tc>
              <w:tc>
                <w:tcPr>
                  <w:tcW w:w="887" w:type="dxa"/>
                  <w:noWrap w:val="0"/>
                  <w:vAlign w:val="center"/>
                </w:tcPr>
                <w:p>
                  <w:pPr>
                    <w:snapToGrid w:val="0"/>
                    <w:jc w:val="center"/>
                    <w:rPr>
                      <w:rFonts w:hint="eastAsia"/>
                      <w:bCs/>
                      <w:sz w:val="21"/>
                      <w:szCs w:val="21"/>
                    </w:rPr>
                  </w:pPr>
                  <w:r>
                    <w:rPr>
                      <w:rFonts w:hint="eastAsia"/>
                      <w:bCs/>
                      <w:sz w:val="21"/>
                      <w:szCs w:val="21"/>
                    </w:rPr>
                    <w:t>规范</w:t>
                  </w:r>
                </w:p>
              </w:tc>
              <w:tc>
                <w:tcPr>
                  <w:tcW w:w="1051" w:type="dxa"/>
                  <w:noWrap w:val="0"/>
                  <w:vAlign w:val="center"/>
                </w:tcPr>
                <w:p>
                  <w:pPr>
                    <w:snapToGrid w:val="0"/>
                    <w:jc w:val="center"/>
                    <w:rPr>
                      <w:rFonts w:hint="eastAsia"/>
                      <w:bCs/>
                      <w:sz w:val="21"/>
                      <w:szCs w:val="21"/>
                      <w:lang w:val="en-US" w:eastAsia="zh-CN"/>
                    </w:rPr>
                  </w:pPr>
                  <w:r>
                    <w:rPr>
                      <w:rFonts w:hint="eastAsia"/>
                      <w:bCs/>
                      <w:sz w:val="21"/>
                      <w:szCs w:val="21"/>
                    </w:rPr>
                    <w:t>1</w:t>
                  </w:r>
                  <w:r>
                    <w:rPr>
                      <w:rFonts w:hint="eastAsia"/>
                      <w:bCs/>
                      <w:sz w:val="21"/>
                      <w:szCs w:val="21"/>
                      <w:lang w:val="en-US" w:eastAsia="zh-CN"/>
                    </w:rPr>
                    <w:t>4/6</w:t>
                  </w:r>
                </w:p>
              </w:tc>
              <w:tc>
                <w:tcPr>
                  <w:tcW w:w="1073" w:type="dxa"/>
                  <w:noWrap w:val="0"/>
                  <w:vAlign w:val="center"/>
                </w:tcPr>
                <w:p>
                  <w:pPr>
                    <w:snapToGrid w:val="0"/>
                    <w:jc w:val="center"/>
                    <w:rPr>
                      <w:rFonts w:hint="eastAsia"/>
                      <w:bCs/>
                      <w:sz w:val="21"/>
                      <w:szCs w:val="21"/>
                      <w:lang w:val="en-US" w:eastAsia="zh-CN"/>
                    </w:rPr>
                  </w:pPr>
                  <w:r>
                    <w:rPr>
                      <w:rFonts w:hint="eastAsia"/>
                      <w:bCs/>
                      <w:sz w:val="21"/>
                      <w:szCs w:val="21"/>
                    </w:rPr>
                    <w:t>1</w:t>
                  </w:r>
                  <w:r>
                    <w:rPr>
                      <w:rFonts w:hint="eastAsia"/>
                      <w:bCs/>
                      <w:sz w:val="21"/>
                      <w:szCs w:val="21"/>
                      <w:lang w:val="en-US" w:eastAsia="zh-CN"/>
                    </w:rPr>
                    <w:t>1/6</w:t>
                  </w:r>
                </w:p>
              </w:tc>
              <w:tc>
                <w:tcPr>
                  <w:tcW w:w="1062" w:type="dxa"/>
                  <w:noWrap w:val="0"/>
                  <w:vAlign w:val="center"/>
                </w:tcPr>
                <w:p>
                  <w:pPr>
                    <w:snapToGrid w:val="0"/>
                    <w:jc w:val="center"/>
                    <w:rPr>
                      <w:rFonts w:hint="eastAsia"/>
                      <w:bCs/>
                      <w:sz w:val="21"/>
                      <w:szCs w:val="21"/>
                      <w:lang w:val="en-US" w:eastAsia="zh-CN"/>
                    </w:rPr>
                  </w:pPr>
                  <w:r>
                    <w:rPr>
                      <w:rFonts w:hint="eastAsia"/>
                      <w:bCs/>
                      <w:sz w:val="21"/>
                      <w:szCs w:val="21"/>
                    </w:rPr>
                    <w:t>1</w:t>
                  </w:r>
                  <w:r>
                    <w:rPr>
                      <w:rFonts w:hint="eastAsia"/>
                      <w:bCs/>
                      <w:sz w:val="21"/>
                      <w:szCs w:val="21"/>
                      <w:lang w:val="en-US" w:eastAsia="zh-CN"/>
                    </w:rPr>
                    <w:t>1/6</w:t>
                  </w:r>
                </w:p>
              </w:tc>
              <w:tc>
                <w:tcPr>
                  <w:tcW w:w="1047" w:type="dxa"/>
                  <w:noWrap w:val="0"/>
                  <w:vAlign w:val="center"/>
                </w:tcPr>
                <w:p>
                  <w:pPr>
                    <w:snapToGrid w:val="0"/>
                    <w:jc w:val="center"/>
                    <w:rPr>
                      <w:rFonts w:hint="eastAsia"/>
                      <w:bCs/>
                      <w:sz w:val="21"/>
                      <w:szCs w:val="21"/>
                      <w:lang w:val="en-US" w:eastAsia="zh-CN"/>
                    </w:rPr>
                  </w:pPr>
                  <w:r>
                    <w:rPr>
                      <w:rFonts w:hint="eastAsia"/>
                      <w:bCs/>
                      <w:sz w:val="21"/>
                      <w:szCs w:val="21"/>
                    </w:rPr>
                    <w:t>1</w:t>
                  </w:r>
                  <w:r>
                    <w:rPr>
                      <w:rFonts w:hint="eastAsia"/>
                      <w:bCs/>
                      <w:sz w:val="21"/>
                      <w:szCs w:val="21"/>
                      <w:lang w:val="en-US" w:eastAsia="zh-CN"/>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jc w:val="center"/>
              </w:trPr>
              <w:tc>
                <w:tcPr>
                  <w:tcW w:w="325" w:type="pct"/>
                  <w:vMerge w:val="continue"/>
                  <w:noWrap w:val="0"/>
                  <w:vAlign w:val="center"/>
                </w:tcPr>
                <w:p>
                  <w:pPr>
                    <w:snapToGrid w:val="0"/>
                    <w:jc w:val="center"/>
                    <w:rPr>
                      <w:rFonts w:hint="eastAsia"/>
                      <w:sz w:val="21"/>
                      <w:szCs w:val="21"/>
                    </w:rPr>
                  </w:pPr>
                </w:p>
              </w:tc>
              <w:tc>
                <w:tcPr>
                  <w:tcW w:w="960" w:type="pct"/>
                  <w:vMerge w:val="continue"/>
                  <w:noWrap w:val="0"/>
                  <w:vAlign w:val="center"/>
                </w:tcPr>
                <w:p>
                  <w:pPr>
                    <w:snapToGrid w:val="0"/>
                    <w:jc w:val="center"/>
                    <w:rPr>
                      <w:rFonts w:hint="eastAsia" w:ascii="Times New Roman" w:hAnsi="Times New Roman" w:eastAsia="宋体" w:cs="Times New Roman"/>
                      <w:szCs w:val="21"/>
                      <w:lang w:val="en-US" w:eastAsia="zh-CN"/>
                    </w:rPr>
                  </w:pPr>
                </w:p>
              </w:tc>
              <w:tc>
                <w:tcPr>
                  <w:tcW w:w="887" w:type="dxa"/>
                  <w:noWrap w:val="0"/>
                  <w:vAlign w:val="center"/>
                </w:tcPr>
                <w:p>
                  <w:pPr>
                    <w:snapToGrid w:val="0"/>
                    <w:jc w:val="center"/>
                    <w:rPr>
                      <w:rFonts w:hint="eastAsia"/>
                      <w:bCs/>
                      <w:sz w:val="21"/>
                      <w:szCs w:val="21"/>
                    </w:rPr>
                  </w:pPr>
                  <w:r>
                    <w:rPr>
                      <w:rFonts w:hint="eastAsia"/>
                      <w:bCs/>
                      <w:sz w:val="21"/>
                      <w:szCs w:val="21"/>
                    </w:rPr>
                    <w:t>本项目</w:t>
                  </w:r>
                </w:p>
              </w:tc>
              <w:tc>
                <w:tcPr>
                  <w:tcW w:w="1051" w:type="dxa"/>
                  <w:noWrap w:val="0"/>
                  <w:vAlign w:val="center"/>
                </w:tcPr>
                <w:p>
                  <w:pPr>
                    <w:snapToGrid w:val="0"/>
                    <w:jc w:val="center"/>
                    <w:rPr>
                      <w:rFonts w:hint="eastAsia"/>
                      <w:bCs/>
                      <w:sz w:val="21"/>
                      <w:szCs w:val="21"/>
                      <w:lang w:val="en-US" w:eastAsia="zh-CN"/>
                    </w:rPr>
                  </w:pPr>
                  <w:r>
                    <w:rPr>
                      <w:rFonts w:hint="eastAsia"/>
                      <w:bCs/>
                      <w:sz w:val="21"/>
                      <w:szCs w:val="21"/>
                      <w:lang w:val="en-US" w:eastAsia="zh-CN"/>
                    </w:rPr>
                    <w:t>76.1/73.6</w:t>
                  </w:r>
                </w:p>
              </w:tc>
              <w:tc>
                <w:tcPr>
                  <w:tcW w:w="1073" w:type="dxa"/>
                  <w:noWrap w:val="0"/>
                  <w:vAlign w:val="center"/>
                </w:tcPr>
                <w:p>
                  <w:pPr>
                    <w:snapToGrid w:val="0"/>
                    <w:jc w:val="center"/>
                    <w:rPr>
                      <w:rFonts w:hint="eastAsia"/>
                      <w:bCs/>
                      <w:sz w:val="21"/>
                      <w:szCs w:val="21"/>
                      <w:lang w:val="en-US" w:eastAsia="zh-CN"/>
                    </w:rPr>
                  </w:pPr>
                  <w:r>
                    <w:rPr>
                      <w:rFonts w:hint="eastAsia"/>
                      <w:bCs/>
                      <w:sz w:val="21"/>
                      <w:szCs w:val="21"/>
                      <w:lang w:val="en-US" w:eastAsia="zh-CN"/>
                    </w:rPr>
                    <w:t>79.4/80.3</w:t>
                  </w:r>
                </w:p>
              </w:tc>
              <w:tc>
                <w:tcPr>
                  <w:tcW w:w="1062" w:type="dxa"/>
                  <w:noWrap w:val="0"/>
                  <w:vAlign w:val="center"/>
                </w:tcPr>
                <w:p>
                  <w:pPr>
                    <w:snapToGrid w:val="0"/>
                    <w:jc w:val="center"/>
                    <w:rPr>
                      <w:rFonts w:hint="eastAsia"/>
                      <w:bCs/>
                      <w:sz w:val="21"/>
                      <w:szCs w:val="21"/>
                      <w:lang w:val="en-US" w:eastAsia="zh-CN"/>
                    </w:rPr>
                  </w:pPr>
                  <w:r>
                    <w:rPr>
                      <w:rFonts w:hint="eastAsia"/>
                      <w:bCs/>
                      <w:sz w:val="21"/>
                      <w:szCs w:val="21"/>
                      <w:lang w:val="en-US" w:eastAsia="zh-CN"/>
                    </w:rPr>
                    <w:t>81.3/81.3</w:t>
                  </w:r>
                </w:p>
              </w:tc>
              <w:tc>
                <w:tcPr>
                  <w:tcW w:w="1047" w:type="dxa"/>
                  <w:noWrap w:val="0"/>
                  <w:vAlign w:val="center"/>
                </w:tcPr>
                <w:p>
                  <w:pPr>
                    <w:snapToGrid w:val="0"/>
                    <w:jc w:val="center"/>
                    <w:rPr>
                      <w:rFonts w:hint="default"/>
                      <w:bCs/>
                      <w:sz w:val="21"/>
                      <w:szCs w:val="21"/>
                      <w:lang w:val="en-US" w:eastAsia="zh-CN"/>
                    </w:rPr>
                  </w:pPr>
                  <w:r>
                    <w:rPr>
                      <w:rFonts w:hint="eastAsia"/>
                      <w:bCs/>
                      <w:sz w:val="21"/>
                      <w:szCs w:val="21"/>
                      <w:lang w:val="en-US" w:eastAsia="zh-CN"/>
                    </w:rPr>
                    <w:t>36.2/39.5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25" w:type="pct"/>
                  <w:vMerge w:val="restart"/>
                  <w:noWrap w:val="0"/>
                  <w:vAlign w:val="center"/>
                </w:tcPr>
                <w:p>
                  <w:pPr>
                    <w:snapToGrid w:val="0"/>
                    <w:jc w:val="center"/>
                    <w:rPr>
                      <w:sz w:val="21"/>
                      <w:szCs w:val="21"/>
                    </w:rPr>
                  </w:pPr>
                  <w:r>
                    <w:rPr>
                      <w:rFonts w:hint="eastAsia"/>
                      <w:sz w:val="21"/>
                      <w:szCs w:val="21"/>
                    </w:rPr>
                    <w:t>南</w:t>
                  </w:r>
                </w:p>
              </w:tc>
              <w:tc>
                <w:tcPr>
                  <w:tcW w:w="960" w:type="pct"/>
                  <w:vMerge w:val="restart"/>
                  <w:noWrap w:val="0"/>
                  <w:vAlign w:val="center"/>
                </w:tcPr>
                <w:p>
                  <w:pPr>
                    <w:snapToGrid w:val="0"/>
                    <w:jc w:val="center"/>
                    <w:rPr>
                      <w:sz w:val="21"/>
                      <w:szCs w:val="21"/>
                    </w:rPr>
                  </w:pPr>
                  <w:r>
                    <w:rPr>
                      <w:rFonts w:hint="eastAsia"/>
                      <w:sz w:val="21"/>
                      <w:szCs w:val="21"/>
                      <w:lang w:val="en-US" w:eastAsia="zh-CN"/>
                    </w:rPr>
                    <w:t>东三</w:t>
                  </w:r>
                  <w:r>
                    <w:rPr>
                      <w:rFonts w:hint="eastAsia"/>
                      <w:szCs w:val="21"/>
                      <w:lang w:val="en-US" w:eastAsia="zh-CN"/>
                    </w:rPr>
                    <w:t>环穆将王立交西南角料</w:t>
                  </w:r>
                  <w:r>
                    <w:rPr>
                      <w:rFonts w:hint="eastAsia" w:ascii="Times New Roman" w:hAnsi="Times New Roman" w:eastAsia="宋体" w:cs="Times New Roman"/>
                      <w:sz w:val="21"/>
                      <w:szCs w:val="21"/>
                      <w:lang w:val="en-US" w:eastAsia="zh-CN"/>
                    </w:rPr>
                    <w:t>场（丙类仓库）</w:t>
                  </w:r>
                </w:p>
              </w:tc>
              <w:tc>
                <w:tcPr>
                  <w:tcW w:w="643" w:type="pct"/>
                  <w:noWrap w:val="0"/>
                  <w:vAlign w:val="center"/>
                </w:tcPr>
                <w:p>
                  <w:pPr>
                    <w:snapToGrid w:val="0"/>
                    <w:jc w:val="center"/>
                    <w:rPr>
                      <w:bCs/>
                      <w:sz w:val="21"/>
                      <w:szCs w:val="21"/>
                    </w:rPr>
                  </w:pPr>
                  <w:r>
                    <w:rPr>
                      <w:bCs/>
                      <w:sz w:val="21"/>
                      <w:szCs w:val="21"/>
                    </w:rPr>
                    <w:t>规范</w:t>
                  </w:r>
                </w:p>
              </w:tc>
              <w:tc>
                <w:tcPr>
                  <w:tcW w:w="762"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1</w:t>
                  </w:r>
                  <w:r>
                    <w:rPr>
                      <w:rFonts w:hint="eastAsia"/>
                      <w:bCs/>
                      <w:sz w:val="21"/>
                      <w:szCs w:val="21"/>
                      <w:lang w:val="en-US" w:eastAsia="zh-CN"/>
                    </w:rPr>
                    <w:t>1/9</w:t>
                  </w:r>
                </w:p>
              </w:tc>
              <w:tc>
                <w:tcPr>
                  <w:tcW w:w="778"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1</w:t>
                  </w:r>
                  <w:r>
                    <w:rPr>
                      <w:rFonts w:hint="eastAsia"/>
                      <w:bCs/>
                      <w:sz w:val="21"/>
                      <w:szCs w:val="21"/>
                      <w:lang w:val="en-US" w:eastAsia="zh-CN"/>
                    </w:rPr>
                    <w:t>0.5/9</w:t>
                  </w:r>
                </w:p>
              </w:tc>
              <w:tc>
                <w:tcPr>
                  <w:tcW w:w="770" w:type="pct"/>
                  <w:noWrap w:val="0"/>
                  <w:vAlign w:val="center"/>
                </w:tcPr>
                <w:p>
                  <w:pPr>
                    <w:snapToGrid w:val="0"/>
                    <w:jc w:val="center"/>
                    <w:rPr>
                      <w:rFonts w:hint="eastAsia"/>
                      <w:bCs/>
                      <w:sz w:val="21"/>
                      <w:szCs w:val="21"/>
                      <w:lang w:val="en-US" w:eastAsia="zh-CN"/>
                    </w:rPr>
                  </w:pPr>
                  <w:r>
                    <w:rPr>
                      <w:rFonts w:hint="eastAsia"/>
                      <w:bCs/>
                      <w:sz w:val="21"/>
                      <w:szCs w:val="21"/>
                      <w:lang w:val="en-US" w:eastAsia="zh-CN"/>
                    </w:rPr>
                    <w:t>10.5/9</w:t>
                  </w:r>
                </w:p>
              </w:tc>
              <w:tc>
                <w:tcPr>
                  <w:tcW w:w="759" w:type="pct"/>
                  <w:noWrap w:val="0"/>
                  <w:vAlign w:val="center"/>
                </w:tcPr>
                <w:p>
                  <w:pPr>
                    <w:snapToGrid w:val="0"/>
                    <w:jc w:val="center"/>
                    <w:rPr>
                      <w:bCs/>
                      <w:sz w:val="21"/>
                      <w:szCs w:val="21"/>
                    </w:rPr>
                  </w:pPr>
                  <w:r>
                    <w:rPr>
                      <w:rFonts w:hint="eastAsia"/>
                      <w:bCs/>
                      <w:sz w:val="21"/>
                      <w:szCs w:val="21"/>
                      <w:lang w:val="en-US" w:eastAsia="zh-CN"/>
                    </w:rPr>
                    <w:t>10.5/9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25" w:type="pct"/>
                  <w:vMerge w:val="continue"/>
                  <w:noWrap w:val="0"/>
                  <w:vAlign w:val="center"/>
                </w:tcPr>
                <w:p>
                  <w:pPr>
                    <w:snapToGrid w:val="0"/>
                    <w:jc w:val="center"/>
                    <w:rPr>
                      <w:sz w:val="21"/>
                      <w:szCs w:val="21"/>
                    </w:rPr>
                  </w:pPr>
                </w:p>
              </w:tc>
              <w:tc>
                <w:tcPr>
                  <w:tcW w:w="960" w:type="pct"/>
                  <w:vMerge w:val="continue"/>
                  <w:noWrap w:val="0"/>
                  <w:vAlign w:val="center"/>
                </w:tcPr>
                <w:p>
                  <w:pPr>
                    <w:snapToGrid w:val="0"/>
                    <w:jc w:val="center"/>
                    <w:rPr>
                      <w:sz w:val="21"/>
                      <w:szCs w:val="21"/>
                    </w:rPr>
                  </w:pPr>
                </w:p>
              </w:tc>
              <w:tc>
                <w:tcPr>
                  <w:tcW w:w="643" w:type="pct"/>
                  <w:noWrap w:val="0"/>
                  <w:vAlign w:val="center"/>
                </w:tcPr>
                <w:p>
                  <w:pPr>
                    <w:snapToGrid w:val="0"/>
                    <w:jc w:val="center"/>
                    <w:rPr>
                      <w:bCs/>
                      <w:sz w:val="21"/>
                      <w:szCs w:val="21"/>
                    </w:rPr>
                  </w:pPr>
                  <w:r>
                    <w:rPr>
                      <w:rFonts w:hint="eastAsia"/>
                      <w:bCs/>
                      <w:sz w:val="21"/>
                      <w:szCs w:val="21"/>
                    </w:rPr>
                    <w:t>本项目</w:t>
                  </w:r>
                </w:p>
              </w:tc>
              <w:tc>
                <w:tcPr>
                  <w:tcW w:w="762" w:type="pct"/>
                  <w:noWrap w:val="0"/>
                  <w:vAlign w:val="center"/>
                </w:tcPr>
                <w:p>
                  <w:pPr>
                    <w:snapToGrid w:val="0"/>
                    <w:jc w:val="center"/>
                    <w:rPr>
                      <w:rFonts w:hint="default" w:eastAsia="宋体"/>
                      <w:bCs/>
                      <w:sz w:val="21"/>
                      <w:szCs w:val="21"/>
                      <w:lang w:val="en-US" w:eastAsia="zh-CN"/>
                    </w:rPr>
                  </w:pPr>
                  <w:r>
                    <w:rPr>
                      <w:rFonts w:hint="eastAsia"/>
                      <w:bCs/>
                      <w:sz w:val="21"/>
                      <w:szCs w:val="21"/>
                    </w:rPr>
                    <w:t>15.</w:t>
                  </w:r>
                  <w:r>
                    <w:rPr>
                      <w:bCs/>
                      <w:sz w:val="21"/>
                      <w:szCs w:val="21"/>
                    </w:rPr>
                    <w:t>9</w:t>
                  </w:r>
                  <w:r>
                    <w:rPr>
                      <w:rFonts w:hint="eastAsia"/>
                      <w:bCs/>
                      <w:sz w:val="21"/>
                      <w:szCs w:val="21"/>
                      <w:lang w:val="en-US" w:eastAsia="zh-CN"/>
                    </w:rPr>
                    <w:t>/14</w:t>
                  </w:r>
                </w:p>
              </w:tc>
              <w:tc>
                <w:tcPr>
                  <w:tcW w:w="778"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1</w:t>
                  </w:r>
                  <w:r>
                    <w:rPr>
                      <w:rFonts w:hint="eastAsia"/>
                      <w:bCs/>
                      <w:sz w:val="21"/>
                      <w:szCs w:val="21"/>
                      <w:lang w:val="en-US" w:eastAsia="zh-CN"/>
                    </w:rPr>
                    <w:t>8/11</w:t>
                  </w:r>
                </w:p>
              </w:tc>
              <w:tc>
                <w:tcPr>
                  <w:tcW w:w="770"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16/12</w:t>
                  </w:r>
                </w:p>
              </w:tc>
              <w:tc>
                <w:tcPr>
                  <w:tcW w:w="759"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2</w:t>
                  </w:r>
                  <w:r>
                    <w:rPr>
                      <w:rFonts w:hint="eastAsia"/>
                      <w:bCs/>
                      <w:sz w:val="21"/>
                      <w:szCs w:val="21"/>
                      <w:lang w:val="en-US" w:eastAsia="zh-CN"/>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325" w:type="pct"/>
                  <w:vMerge w:val="restart"/>
                  <w:noWrap w:val="0"/>
                  <w:vAlign w:val="center"/>
                </w:tcPr>
                <w:p>
                  <w:pPr>
                    <w:snapToGrid w:val="0"/>
                    <w:jc w:val="center"/>
                    <w:rPr>
                      <w:rFonts w:hint="eastAsia" w:eastAsia="宋体"/>
                      <w:sz w:val="21"/>
                      <w:szCs w:val="21"/>
                      <w:lang w:val="en-US" w:eastAsia="zh-CN"/>
                    </w:rPr>
                  </w:pPr>
                  <w:r>
                    <w:rPr>
                      <w:rFonts w:hint="eastAsia"/>
                      <w:sz w:val="21"/>
                      <w:szCs w:val="21"/>
                      <w:lang w:val="en-US" w:eastAsia="zh-CN"/>
                    </w:rPr>
                    <w:t>东</w:t>
                  </w:r>
                </w:p>
              </w:tc>
              <w:tc>
                <w:tcPr>
                  <w:tcW w:w="960" w:type="pct"/>
                  <w:vMerge w:val="restart"/>
                  <w:noWrap w:val="0"/>
                  <w:vAlign w:val="center"/>
                </w:tcPr>
                <w:p>
                  <w:pPr>
                    <w:snapToGrid w:val="0"/>
                    <w:jc w:val="center"/>
                    <w:rPr>
                      <w:rFonts w:hint="eastAsia"/>
                      <w:szCs w:val="21"/>
                      <w:lang w:val="en-US" w:eastAsia="zh-CN"/>
                    </w:rPr>
                  </w:pPr>
                  <w:r>
                    <w:rPr>
                      <w:rFonts w:hint="eastAsia"/>
                      <w:szCs w:val="21"/>
                      <w:lang w:val="en-US" w:eastAsia="zh-CN"/>
                    </w:rPr>
                    <w:t>东三环辅道</w:t>
                  </w:r>
                </w:p>
                <w:p>
                  <w:pPr>
                    <w:snapToGrid w:val="0"/>
                    <w:jc w:val="center"/>
                    <w:rPr>
                      <w:sz w:val="21"/>
                      <w:szCs w:val="21"/>
                    </w:rPr>
                  </w:pPr>
                  <w:r>
                    <w:rPr>
                      <w:rFonts w:hint="eastAsia"/>
                      <w:szCs w:val="21"/>
                      <w:lang w:val="en-US" w:eastAsia="zh-CN"/>
                    </w:rPr>
                    <w:t>（次干道）</w:t>
                  </w:r>
                </w:p>
              </w:tc>
              <w:tc>
                <w:tcPr>
                  <w:tcW w:w="643" w:type="pct"/>
                  <w:noWrap w:val="0"/>
                  <w:vAlign w:val="center"/>
                </w:tcPr>
                <w:p>
                  <w:pPr>
                    <w:snapToGrid w:val="0"/>
                    <w:jc w:val="center"/>
                    <w:rPr>
                      <w:rFonts w:hint="eastAsia"/>
                      <w:bCs/>
                      <w:sz w:val="21"/>
                      <w:szCs w:val="21"/>
                    </w:rPr>
                  </w:pPr>
                  <w:r>
                    <w:rPr>
                      <w:bCs/>
                      <w:sz w:val="21"/>
                      <w:szCs w:val="21"/>
                    </w:rPr>
                    <w:t>规范</w:t>
                  </w:r>
                </w:p>
              </w:tc>
              <w:tc>
                <w:tcPr>
                  <w:tcW w:w="762"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5/3</w:t>
                  </w:r>
                </w:p>
              </w:tc>
              <w:tc>
                <w:tcPr>
                  <w:tcW w:w="778" w:type="pct"/>
                  <w:noWrap w:val="0"/>
                  <w:vAlign w:val="center"/>
                </w:tcPr>
                <w:p>
                  <w:pPr>
                    <w:snapToGrid w:val="0"/>
                    <w:jc w:val="center"/>
                    <w:rPr>
                      <w:rFonts w:hint="eastAsia"/>
                      <w:bCs/>
                      <w:sz w:val="21"/>
                      <w:szCs w:val="21"/>
                    </w:rPr>
                  </w:pPr>
                  <w:r>
                    <w:rPr>
                      <w:rFonts w:hint="eastAsia"/>
                      <w:bCs/>
                      <w:sz w:val="21"/>
                      <w:szCs w:val="21"/>
                      <w:lang w:val="en-US" w:eastAsia="zh-CN"/>
                    </w:rPr>
                    <w:t>5/3</w:t>
                  </w:r>
                </w:p>
              </w:tc>
              <w:tc>
                <w:tcPr>
                  <w:tcW w:w="770" w:type="pct"/>
                  <w:noWrap w:val="0"/>
                  <w:vAlign w:val="center"/>
                </w:tcPr>
                <w:p>
                  <w:pPr>
                    <w:snapToGrid w:val="0"/>
                    <w:jc w:val="center"/>
                    <w:rPr>
                      <w:rFonts w:hint="eastAsia"/>
                      <w:bCs/>
                      <w:sz w:val="21"/>
                      <w:szCs w:val="21"/>
                      <w:lang w:val="en-US" w:eastAsia="zh-CN"/>
                    </w:rPr>
                  </w:pPr>
                  <w:r>
                    <w:rPr>
                      <w:rFonts w:hint="eastAsia"/>
                      <w:bCs/>
                      <w:sz w:val="21"/>
                      <w:szCs w:val="21"/>
                      <w:lang w:val="en-US" w:eastAsia="zh-CN"/>
                    </w:rPr>
                    <w:t>5/3</w:t>
                  </w:r>
                </w:p>
              </w:tc>
              <w:tc>
                <w:tcPr>
                  <w:tcW w:w="759" w:type="pct"/>
                  <w:noWrap w:val="0"/>
                  <w:vAlign w:val="center"/>
                </w:tcPr>
                <w:p>
                  <w:pPr>
                    <w:snapToGrid w:val="0"/>
                    <w:jc w:val="center"/>
                    <w:rPr>
                      <w:rFonts w:hint="eastAsia"/>
                      <w:bCs/>
                      <w:sz w:val="21"/>
                      <w:szCs w:val="21"/>
                    </w:rPr>
                  </w:pPr>
                  <w:r>
                    <w:rPr>
                      <w:rFonts w:hint="eastAsia"/>
                      <w:bCs/>
                      <w:sz w:val="21"/>
                      <w:szCs w:val="21"/>
                      <w:lang w:val="en-US" w:eastAsia="zh-CN"/>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325" w:type="pct"/>
                  <w:vMerge w:val="continue"/>
                  <w:noWrap w:val="0"/>
                  <w:vAlign w:val="center"/>
                </w:tcPr>
                <w:p>
                  <w:pPr>
                    <w:snapToGrid w:val="0"/>
                    <w:jc w:val="center"/>
                    <w:rPr>
                      <w:sz w:val="21"/>
                      <w:szCs w:val="21"/>
                    </w:rPr>
                  </w:pPr>
                </w:p>
              </w:tc>
              <w:tc>
                <w:tcPr>
                  <w:tcW w:w="960" w:type="pct"/>
                  <w:vMerge w:val="continue"/>
                  <w:noWrap w:val="0"/>
                  <w:vAlign w:val="center"/>
                </w:tcPr>
                <w:p>
                  <w:pPr>
                    <w:snapToGrid w:val="0"/>
                    <w:jc w:val="center"/>
                    <w:rPr>
                      <w:sz w:val="21"/>
                      <w:szCs w:val="21"/>
                    </w:rPr>
                  </w:pPr>
                </w:p>
              </w:tc>
              <w:tc>
                <w:tcPr>
                  <w:tcW w:w="643" w:type="pct"/>
                  <w:noWrap w:val="0"/>
                  <w:vAlign w:val="center"/>
                </w:tcPr>
                <w:p>
                  <w:pPr>
                    <w:snapToGrid w:val="0"/>
                    <w:jc w:val="center"/>
                    <w:rPr>
                      <w:rFonts w:hint="eastAsia"/>
                      <w:bCs/>
                      <w:sz w:val="21"/>
                      <w:szCs w:val="21"/>
                    </w:rPr>
                  </w:pPr>
                  <w:r>
                    <w:rPr>
                      <w:rFonts w:hint="eastAsia"/>
                      <w:bCs/>
                      <w:sz w:val="21"/>
                      <w:szCs w:val="21"/>
                    </w:rPr>
                    <w:t>本项目</w:t>
                  </w:r>
                </w:p>
              </w:tc>
              <w:tc>
                <w:tcPr>
                  <w:tcW w:w="762"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13.5/10.5</w:t>
                  </w:r>
                </w:p>
              </w:tc>
              <w:tc>
                <w:tcPr>
                  <w:tcW w:w="778"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17.7/18.9</w:t>
                  </w:r>
                </w:p>
              </w:tc>
              <w:tc>
                <w:tcPr>
                  <w:tcW w:w="770"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17.2/15.7</w:t>
                  </w:r>
                </w:p>
              </w:tc>
              <w:tc>
                <w:tcPr>
                  <w:tcW w:w="759" w:type="pct"/>
                  <w:noWrap w:val="0"/>
                  <w:vAlign w:val="center"/>
                </w:tcPr>
                <w:p>
                  <w:pPr>
                    <w:snapToGrid w:val="0"/>
                    <w:jc w:val="center"/>
                    <w:rPr>
                      <w:rFonts w:hint="default" w:eastAsia="宋体"/>
                      <w:bCs/>
                      <w:sz w:val="21"/>
                      <w:szCs w:val="21"/>
                      <w:lang w:val="en-US" w:eastAsia="zh-CN"/>
                    </w:rPr>
                  </w:pPr>
                  <w:r>
                    <w:rPr>
                      <w:rFonts w:hint="eastAsia"/>
                      <w:bCs/>
                      <w:sz w:val="21"/>
                      <w:szCs w:val="21"/>
                      <w:lang w:val="en-US" w:eastAsia="zh-CN"/>
                    </w:rPr>
                    <w:t>25.5/25.5</w:t>
                  </w:r>
                </w:p>
              </w:tc>
            </w:tr>
          </w:tbl>
          <w:p>
            <w:pPr>
              <w:keepNext w:val="0"/>
              <w:keepLines w:val="0"/>
              <w:widowControl/>
              <w:suppressLineNumbers w:val="0"/>
              <w:spacing w:line="360" w:lineRule="auto"/>
              <w:ind w:firstLine="420" w:firstLineChars="200"/>
              <w:jc w:val="left"/>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由上表可以看出，站内设施与站外建筑物的防火距离均符合《汽车加油加气加氢站技术标准》（</w:t>
            </w:r>
            <w:r>
              <w:rPr>
                <w:rFonts w:hint="default" w:ascii="Times New Roman" w:hAnsi="Times New Roman" w:eastAsia="宋体" w:cs="Times New Roman"/>
                <w:lang w:val="en-US" w:eastAsia="zh-CN"/>
              </w:rPr>
              <w:t>GB50156-2021</w:t>
            </w:r>
            <w:r>
              <w:rPr>
                <w:rFonts w:hint="eastAsia" w:ascii="Times New Roman" w:hAnsi="Times New Roman" w:eastAsia="宋体" w:cs="Times New Roman"/>
                <w:lang w:val="en-US" w:eastAsia="zh-CN"/>
              </w:rPr>
              <w:t>）第</w:t>
            </w:r>
            <w:r>
              <w:rPr>
                <w:rFonts w:hint="default" w:ascii="Times New Roman" w:hAnsi="Times New Roman" w:eastAsia="宋体" w:cs="Times New Roman"/>
                <w:lang w:val="en-US" w:eastAsia="zh-CN"/>
              </w:rPr>
              <w:t>4.0.4</w:t>
            </w:r>
            <w:r>
              <w:rPr>
                <w:rFonts w:hint="eastAsia" w:ascii="Times New Roman" w:hAnsi="Times New Roman" w:eastAsia="宋体" w:cs="Times New Roman"/>
                <w:lang w:val="en-US" w:eastAsia="zh-CN"/>
              </w:rPr>
              <w:t>条的要求。</w:t>
            </w:r>
          </w:p>
          <w:p>
            <w:pPr>
              <w:adjustRightInd w:val="0"/>
              <w:spacing w:line="360" w:lineRule="auto"/>
              <w:ind w:firstLine="420" w:firstLineChars="200"/>
              <w:rPr>
                <w:szCs w:val="21"/>
                <w:lang w:bidi="ar"/>
              </w:rPr>
            </w:pPr>
            <w:r>
              <w:rPr>
                <w:szCs w:val="21"/>
                <w:lang w:bidi="ar"/>
              </w:rPr>
              <w:t>项目选址不在当地自然保护区、风景名胜区、世界文化和自然遗产地、饮用水水源保护区范围内</w:t>
            </w:r>
            <w:r>
              <w:rPr>
                <w:rFonts w:hint="eastAsia"/>
                <w:szCs w:val="21"/>
                <w:lang w:bidi="ar"/>
              </w:rPr>
              <w:t>。</w:t>
            </w:r>
            <w:r>
              <w:rPr>
                <w:rFonts w:hint="eastAsia"/>
              </w:rPr>
              <w:t>《</w:t>
            </w:r>
            <w:r>
              <w:rPr>
                <w:rFonts w:hint="eastAsia"/>
                <w:szCs w:val="21"/>
              </w:rPr>
              <w:t>汽车加油加气加氢站技术标准</w:t>
            </w:r>
            <w:r>
              <w:rPr>
                <w:rFonts w:hint="eastAsia"/>
              </w:rPr>
              <w:t>》（GB50156-2021）第</w:t>
            </w:r>
            <w:r>
              <w:rPr>
                <w:rFonts w:hint="eastAsia"/>
                <w:highlight w:val="none"/>
              </w:rPr>
              <w:t>4章中</w:t>
            </w:r>
            <w:r>
              <w:rPr>
                <w:rFonts w:hint="eastAsia"/>
                <w:highlight w:val="none"/>
                <w:lang w:val="en-US" w:eastAsia="zh-CN"/>
              </w:rPr>
              <w:t>4.0.1</w:t>
            </w:r>
            <w:r>
              <w:rPr>
                <w:rFonts w:hint="eastAsia"/>
                <w:highlight w:val="none"/>
              </w:rPr>
              <w:t>规定，</w:t>
            </w:r>
            <w:r>
              <w:rPr>
                <w:rFonts w:hint="eastAsia"/>
                <w:highlight w:val="none"/>
                <w:lang w:val="en-US" w:eastAsia="zh-CN"/>
              </w:rPr>
              <w:t>汽车加油加气加氢站的站址选择应符合有关规划、环境保护和防火安全的要求，并选在交通便利、用户使用方便的地点，</w:t>
            </w:r>
            <w:r>
              <w:rPr>
                <w:rFonts w:hint="eastAsia"/>
                <w:highlight w:val="none"/>
              </w:rPr>
              <w:t>本项目</w:t>
            </w:r>
            <w:r>
              <w:rPr>
                <w:rFonts w:hint="eastAsia"/>
                <w:bCs/>
                <w:szCs w:val="21"/>
                <w:highlight w:val="none"/>
                <w:lang w:val="en-US" w:eastAsia="zh-CN"/>
              </w:rPr>
              <w:t>北侧紧邻咸宁东路</w:t>
            </w:r>
            <w:r>
              <w:rPr>
                <w:rFonts w:hint="eastAsia"/>
                <w:bCs/>
                <w:szCs w:val="21"/>
                <w:highlight w:val="none"/>
              </w:rPr>
              <w:t>，</w:t>
            </w:r>
            <w:r>
              <w:rPr>
                <w:rFonts w:hint="eastAsia"/>
                <w:bCs/>
                <w:szCs w:val="21"/>
                <w:highlight w:val="none"/>
                <w:lang w:val="en-US" w:eastAsia="zh-CN"/>
              </w:rPr>
              <w:t>交通便利，用户使用方便，</w:t>
            </w:r>
            <w:r>
              <w:rPr>
                <w:rFonts w:hint="eastAsia"/>
              </w:rPr>
              <w:t>符合规定。</w:t>
            </w:r>
            <w:r>
              <w:rPr>
                <w:szCs w:val="21"/>
                <w:lang w:bidi="ar"/>
              </w:rPr>
              <w:t>在严格执行设计及环评提出的各项防治措施的前提下，项目建设排放的污染物对周围环境产生的影响较小；项目所在地交通、基础设施能够满足本项目的需求，综上所述，本项目选址较为合理。</w:t>
            </w:r>
          </w:p>
        </w:tc>
      </w:tr>
    </w:tbl>
    <w:p>
      <w:pPr>
        <w:spacing w:line="360" w:lineRule="auto"/>
        <w:outlineLvl w:val="0"/>
        <w:rPr>
          <w:rFonts w:eastAsia="黑体"/>
          <w:sz w:val="30"/>
        </w:rPr>
        <w:sectPr>
          <w:pgSz w:w="11906" w:h="16838"/>
          <w:pgMar w:top="1417" w:right="1417" w:bottom="1417" w:left="1417" w:header="851" w:footer="1077" w:gutter="0"/>
          <w:pgBorders>
            <w:top w:val="none" w:sz="0" w:space="0"/>
            <w:left w:val="none" w:sz="0" w:space="0"/>
            <w:bottom w:val="none" w:sz="0" w:space="0"/>
            <w:right w:val="none" w:sz="0" w:space="0"/>
          </w:pgBorders>
          <w:cols w:space="720" w:num="1"/>
          <w:docGrid w:linePitch="312" w:charSpace="0"/>
        </w:sectPr>
      </w:pPr>
    </w:p>
    <w:p>
      <w:pPr>
        <w:jc w:val="center"/>
        <w:rPr>
          <w:rFonts w:hint="eastAsia" w:eastAsia="宋体"/>
          <w:lang w:eastAsia="zh-CN"/>
        </w:rPr>
      </w:pPr>
      <w:r>
        <w:rPr>
          <w:rFonts w:hint="eastAsia" w:eastAsia="宋体"/>
          <w:lang w:eastAsia="zh-CN"/>
        </w:rPr>
        <w:drawing>
          <wp:anchor distT="0" distB="0" distL="114300" distR="114300" simplePos="0" relativeHeight="251660288" behindDoc="0" locked="0" layoutInCell="1" allowOverlap="1">
            <wp:simplePos x="0" y="0"/>
            <wp:positionH relativeFrom="column">
              <wp:posOffset>7087235</wp:posOffset>
            </wp:positionH>
            <wp:positionV relativeFrom="paragraph">
              <wp:posOffset>21590</wp:posOffset>
            </wp:positionV>
            <wp:extent cx="1002665" cy="1113790"/>
            <wp:effectExtent l="0" t="0" r="635" b="3810"/>
            <wp:wrapNone/>
            <wp:docPr id="2" name="图片 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6"/>
                    <pic:cNvPicPr>
                      <a:picLocks noChangeAspect="1"/>
                    </pic:cNvPicPr>
                  </pic:nvPicPr>
                  <pic:blipFill>
                    <a:blip r:embed="rId9"/>
                    <a:stretch>
                      <a:fillRect/>
                    </a:stretch>
                  </pic:blipFill>
                  <pic:spPr>
                    <a:xfrm>
                      <a:off x="0" y="0"/>
                      <a:ext cx="1002665" cy="1113790"/>
                    </a:xfrm>
                    <a:prstGeom prst="rect">
                      <a:avLst/>
                    </a:prstGeom>
                    <a:noFill/>
                    <a:ln>
                      <a:noFill/>
                    </a:ln>
                  </pic:spPr>
                </pic:pic>
              </a:graphicData>
            </a:graphic>
          </wp:anchor>
        </w:drawing>
      </w:r>
      <w:r>
        <w:rPr>
          <w:sz w:val="21"/>
        </w:rPr>
        <mc:AlternateContent>
          <mc:Choice Requires="wps">
            <w:drawing>
              <wp:anchor distT="0" distB="0" distL="114300" distR="114300" simplePos="0" relativeHeight="251663360" behindDoc="0" locked="0" layoutInCell="1" allowOverlap="1">
                <wp:simplePos x="0" y="0"/>
                <wp:positionH relativeFrom="column">
                  <wp:posOffset>4132580</wp:posOffset>
                </wp:positionH>
                <wp:positionV relativeFrom="paragraph">
                  <wp:posOffset>2907030</wp:posOffset>
                </wp:positionV>
                <wp:extent cx="172720" cy="165100"/>
                <wp:effectExtent l="0" t="0" r="5080" b="0"/>
                <wp:wrapNone/>
                <wp:docPr id="5" name="五角星 5"/>
                <wp:cNvGraphicFramePr/>
                <a:graphic xmlns:a="http://schemas.openxmlformats.org/drawingml/2006/main">
                  <a:graphicData uri="http://schemas.microsoft.com/office/word/2010/wordprocessingShape">
                    <wps:wsp>
                      <wps:cNvSpPr/>
                      <wps:spPr>
                        <a:xfrm>
                          <a:off x="4394835" y="4147185"/>
                          <a:ext cx="172720" cy="165100"/>
                        </a:xfrm>
                        <a:prstGeom prst="star5">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5.4pt;margin-top:228.9pt;height:13pt;width:13.6pt;z-index:251663360;v-text-anchor:middle;mso-width-relative:page;mso-height-relative:page;" fillcolor="#FF0000" filled="t" stroked="f" coordsize="172720,165100" o:gfxdata="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CgIKiPZAAAACwEAAA8AAAAAAAAAAQAgAAAAIgAA&#10;AGRycy9kb3ducmV2LnhtbFBLAQIUABQAAAAIAIdO4kC7AU+PeQIAANEEAAAOAAAAAAAAAAEAIAAA&#10;ACgBAABkcnMvZTJvRG9jLnhtbFBLBQYAAAAABgAGAFkBAAATBgAAAAA=&#10;" path="m0,63062l65973,63062,86360,0,106746,63062,172719,63062,119345,102036,139733,165099,86360,126124,32986,165099,53374,102036xe">
                <v:path o:connectlocs="86360,0;0,63062;32986,165099;139733,165099;172719,63062" o:connectangles="247,164,82,82,0"/>
                <v:fill on="t" focussize="0,0"/>
                <v:stroke on="f" weight="2pt"/>
                <v:imagedata o:title=""/>
                <o:lock v:ext="edit" aspectratio="f"/>
              </v:shape>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4253230</wp:posOffset>
                </wp:positionH>
                <wp:positionV relativeFrom="paragraph">
                  <wp:posOffset>2403475</wp:posOffset>
                </wp:positionV>
                <wp:extent cx="914400" cy="297180"/>
                <wp:effectExtent l="12700" t="12700" r="12700" b="248920"/>
                <wp:wrapNone/>
                <wp:docPr id="4" name="矩形标注 4"/>
                <wp:cNvGraphicFramePr/>
                <a:graphic xmlns:a="http://schemas.openxmlformats.org/drawingml/2006/main">
                  <a:graphicData uri="http://schemas.microsoft.com/office/word/2010/wordprocessingShape">
                    <wps:wsp>
                      <wps:cNvSpPr/>
                      <wps:spPr>
                        <a:xfrm>
                          <a:off x="5219700" y="3427095"/>
                          <a:ext cx="914400" cy="297180"/>
                        </a:xfrm>
                        <a:prstGeom prst="wedgeRectCallout">
                          <a:avLst>
                            <a:gd name="adj1" fmla="val -46388"/>
                            <a:gd name="adj2" fmla="val 128846"/>
                          </a:avLst>
                        </a:prstGeom>
                        <a:noFill/>
                        <a:ln w="25400" cap="flat" cmpd="sng" algn="ctr">
                          <a:solidFill>
                            <a:srgbClr val="000000"/>
                          </a:solidFill>
                          <a:prstDash val="solid"/>
                        </a:ln>
                        <a:effectLst/>
                      </wps:spPr>
                      <wps:txbx>
                        <w:txbxContent>
                          <w:p>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4.9pt;margin-top:189.25pt;height:23.4pt;width:72pt;z-index:251662336;v-text-anchor:middle;mso-width-relative:page;mso-height-relative:page;" filled="f" stroked="t" coordsize="21600,21600" o:gfxdata="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QAe090AAAALAQAADwAAAAAAAAABACAAAAAiAAAAZHJz&#10;L2Rvd25yZXYueG1sUEsBAhQAFAAAAAgAh07iQFsRfcuqAgAAPQUAAA4AAAAAAAAAAQAgAAAALAEA&#10;AGRycy9lMm9Eb2MueG1sUEsFBgAAAAAGAAYAWQEAAEgGAAAAAA==&#10;" adj="780,38631">
                <v:fill on="f" focussize="0,0"/>
                <v:stroke weight="2pt" color="#000000" joinstyle="round"/>
                <v:imagedata o:title=""/>
                <o:lock v:ext="edit" aspectratio="f"/>
                <v:textbox>
                  <w:txbxContent>
                    <w:p>
                      <w:pPr>
                        <w:jc w:val="center"/>
                        <w:rPr>
                          <w:rFonts w:hint="default" w:eastAsia="宋体"/>
                          <w:color w:val="FF0000"/>
                          <w:lang w:val="en-US" w:eastAsia="zh-CN"/>
                        </w:rPr>
                      </w:pPr>
                      <w:r>
                        <w:rPr>
                          <w:rFonts w:hint="eastAsia"/>
                          <w:color w:val="FF0000"/>
                          <w:lang w:val="en-US" w:eastAsia="zh-CN"/>
                        </w:rPr>
                        <w:t>项目所在地</w:t>
                      </w:r>
                    </w:p>
                  </w:txbxContent>
                </v:textbox>
              </v:shape>
            </w:pict>
          </mc:Fallback>
        </mc:AlternateContent>
      </w:r>
      <w:r>
        <w:rPr>
          <w:sz w:val="21"/>
        </w:rPr>
        <mc:AlternateContent>
          <mc:Choice Requires="wps">
            <w:drawing>
              <wp:anchor distT="0" distB="0" distL="114300" distR="114300" simplePos="0" relativeHeight="251661312" behindDoc="0" locked="0" layoutInCell="1" allowOverlap="1">
                <wp:simplePos x="0" y="0"/>
                <wp:positionH relativeFrom="column">
                  <wp:posOffset>757555</wp:posOffset>
                </wp:positionH>
                <wp:positionV relativeFrom="paragraph">
                  <wp:posOffset>12065</wp:posOffset>
                </wp:positionV>
                <wp:extent cx="7386955" cy="4889500"/>
                <wp:effectExtent l="4445" t="4445" r="12700" b="8255"/>
                <wp:wrapNone/>
                <wp:docPr id="3" name="矩形 2"/>
                <wp:cNvGraphicFramePr/>
                <a:graphic xmlns:a="http://schemas.openxmlformats.org/drawingml/2006/main">
                  <a:graphicData uri="http://schemas.microsoft.com/office/word/2010/wordprocessingShape">
                    <wps:wsp>
                      <wps:cNvSpPr/>
                      <wps:spPr>
                        <a:xfrm>
                          <a:off x="0" y="0"/>
                          <a:ext cx="7386955" cy="4889500"/>
                        </a:xfrm>
                        <a:prstGeom prst="rect">
                          <a:avLst/>
                        </a:prstGeom>
                        <a:noFill/>
                        <a:ln w="9525" cap="flat" cmpd="sng">
                          <a:solidFill>
                            <a:srgbClr val="000000"/>
                          </a:solidFill>
                          <a:prstDash val="solid"/>
                          <a:round/>
                          <a:headEnd type="none" w="med" len="med"/>
                          <a:tailEnd type="none" w="med" len="med"/>
                        </a:ln>
                      </wps:spPr>
                      <wps:bodyPr vert="horz" wrap="square" anchor="ctr" anchorCtr="0" upright="1"/>
                    </wps:wsp>
                  </a:graphicData>
                </a:graphic>
              </wp:anchor>
            </w:drawing>
          </mc:Choice>
          <mc:Fallback>
            <w:pict>
              <v:rect id="矩形 2" o:spid="_x0000_s1026" o:spt="1" style="position:absolute;left:0pt;margin-left:59.65pt;margin-top:0.95pt;height:385pt;width:581.65pt;z-index:251661312;v-text-anchor:middle;mso-width-relative:page;mso-height-relative:page;" filled="f" stroked="t" coordsize="21600,21600" o:gfxdata="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qVjWXtkAAAAKAQAADwAA&#10;AAAAAAABACAAAAAiAAAAZHJzL2Rvd25yZXYueG1sUEsBAhQAFAAAAAgAh07iQARfG6oVAgAAKwQA&#10;AA4AAAAAAAAAAQAgAAAAKAEAAGRycy9lMm9Eb2MueG1sUEsFBgAAAAAGAAYAWQEAAK8FAAAAAA==&#10;">
                <v:fill on="f" focussize="0,0"/>
                <v:stroke color="#000000" joinstyle="round"/>
                <v:imagedata o:title=""/>
                <o:lock v:ext="edit" aspectratio="f"/>
              </v:rect>
            </w:pict>
          </mc:Fallback>
        </mc:AlternateContent>
      </w:r>
      <w:r>
        <w:rPr>
          <w:rFonts w:hint="eastAsia" w:eastAsia="宋体"/>
          <w:lang w:eastAsia="zh-CN"/>
        </w:rPr>
        <w:drawing>
          <wp:inline distT="0" distB="0" distL="114300" distR="114300">
            <wp:extent cx="7404100" cy="4881880"/>
            <wp:effectExtent l="0" t="0" r="0" b="7620"/>
            <wp:docPr id="13" name="图片 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descr="5"/>
                    <pic:cNvPicPr>
                      <a:picLocks noChangeAspect="1"/>
                    </pic:cNvPicPr>
                  </pic:nvPicPr>
                  <pic:blipFill>
                    <a:blip r:embed="rId10"/>
                    <a:stretch>
                      <a:fillRect/>
                    </a:stretch>
                  </pic:blipFill>
                  <pic:spPr>
                    <a:xfrm>
                      <a:off x="0" y="0"/>
                      <a:ext cx="7404100" cy="4881880"/>
                    </a:xfrm>
                    <a:prstGeom prst="rect">
                      <a:avLst/>
                    </a:prstGeom>
                    <a:noFill/>
                    <a:ln>
                      <a:noFill/>
                    </a:ln>
                  </pic:spPr>
                </pic:pic>
              </a:graphicData>
            </a:graphic>
          </wp:inline>
        </w:drawing>
      </w:r>
    </w:p>
    <w:p>
      <w:pPr>
        <w:jc w:val="center"/>
        <w:rPr>
          <w:rFonts w:hint="eastAsia"/>
          <w:b/>
          <w:bCs/>
          <w:lang w:val="en-US" w:eastAsia="zh-CN"/>
        </w:rPr>
      </w:pPr>
    </w:p>
    <w:p>
      <w:pPr>
        <w:jc w:val="center"/>
        <w:rPr>
          <w:rFonts w:hint="default" w:eastAsia="宋体"/>
          <w:b/>
          <w:bCs/>
          <w:lang w:val="en-US" w:eastAsia="zh-CN"/>
        </w:rPr>
      </w:pPr>
      <w:r>
        <w:rPr>
          <w:rFonts w:hint="eastAsia"/>
          <w:b/>
          <w:bCs/>
          <w:lang w:val="en-US" w:eastAsia="zh-CN"/>
        </w:rPr>
        <w:t>图1-4项目地理位置图</w:t>
      </w:r>
    </w:p>
    <w:p>
      <w:pPr>
        <w:pStyle w:val="20"/>
        <w:jc w:val="center"/>
        <w:outlineLvl w:val="0"/>
        <w:rPr>
          <w:rFonts w:ascii="Times New Roman" w:hAnsi="Times New Roman" w:eastAsia="黑体"/>
          <w:snapToGrid w:val="0"/>
          <w:sz w:val="30"/>
          <w:szCs w:val="30"/>
        </w:rPr>
      </w:pPr>
    </w:p>
    <w:p>
      <w:pPr>
        <w:pStyle w:val="2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object>
          <v:shape id="_x0000_i1049" o:spt="75" type="#_x0000_t75" style="height:393.05pt;width:602.35pt;" o:ole="t" filled="f" o:preferrelative="t" stroked="f" coordsize="21600,21600">
            <v:path/>
            <v:fill on="f" focussize="0,0"/>
            <v:stroke on="f"/>
            <v:imagedata r:id="rId12" o:title=""/>
            <o:lock v:ext="edit" aspectratio="f"/>
            <w10:wrap type="none"/>
            <w10:anchorlock/>
          </v:shape>
          <o:OLEObject Type="Embed" ProgID="Visio.Drawing.15" ShapeID="_x0000_i1049" DrawAspect="Content" ObjectID="_1468075725" r:id="rId11">
            <o:LockedField>false</o:LockedField>
          </o:OLEObject>
        </w:object>
      </w:r>
    </w:p>
    <w:p>
      <w:pPr>
        <w:jc w:val="center"/>
        <w:rPr>
          <w:rFonts w:hint="default" w:eastAsia="宋体"/>
          <w:b/>
          <w:bCs/>
          <w:color w:val="auto"/>
          <w:lang w:val="en-US" w:eastAsia="zh-CN"/>
        </w:rPr>
      </w:pPr>
      <w:r>
        <w:rPr>
          <w:rFonts w:hint="eastAsia"/>
          <w:b/>
          <w:bCs/>
          <w:color w:val="auto"/>
          <w:lang w:val="en-US" w:eastAsia="zh-CN"/>
        </w:rPr>
        <w:t>图1-5项目四邻关系图</w:t>
      </w:r>
    </w:p>
    <w:p>
      <w:pPr>
        <w:pStyle w:val="20"/>
        <w:jc w:val="center"/>
        <w:outlineLvl w:val="0"/>
        <w:rPr>
          <w:rFonts w:hint="default" w:ascii="Times New Roman" w:hAnsi="Times New Roman" w:eastAsia="黑体"/>
          <w:snapToGrid w:val="0"/>
          <w:sz w:val="30"/>
          <w:szCs w:val="30"/>
          <w:lang w:val="en-US" w:eastAsia="zh-CN"/>
        </w:rPr>
        <w:sectPr>
          <w:pgSz w:w="16838" w:h="11906" w:orient="landscape"/>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p>
    <w:p>
      <w:pPr>
        <w:pStyle w:val="2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二、建设项目工程分析</w:t>
      </w:r>
    </w:p>
    <w:tbl>
      <w:tblPr>
        <w:tblStyle w:val="24"/>
        <w:tblW w:w="499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2"/>
        <w:gridCol w:w="88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6" w:hRule="atLeast"/>
          <w:jc w:val="center"/>
        </w:trPr>
        <w:tc>
          <w:tcPr>
            <w:tcW w:w="422" w:type="dxa"/>
            <w:noWrap w:val="0"/>
            <w:vAlign w:val="center"/>
          </w:tcPr>
          <w:p>
            <w:pPr>
              <w:pStyle w:val="2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建设内容</w:t>
            </w:r>
          </w:p>
        </w:tc>
        <w:tc>
          <w:tcPr>
            <w:tcW w:w="8857" w:type="dxa"/>
            <w:noWrap w:val="0"/>
            <w:vAlign w:val="top"/>
          </w:tcPr>
          <w:p>
            <w:pPr>
              <w:spacing w:line="360" w:lineRule="auto"/>
              <w:ind w:firstLine="422" w:firstLineChars="200"/>
              <w:jc w:val="left"/>
              <w:rPr>
                <w:rFonts w:hint="default" w:eastAsia="宋体"/>
                <w:b/>
                <w:bCs/>
                <w:szCs w:val="21"/>
                <w:lang w:val="en-US" w:eastAsia="zh-CN"/>
              </w:rPr>
            </w:pPr>
            <w:r>
              <w:rPr>
                <w:b/>
                <w:bCs/>
                <w:szCs w:val="21"/>
              </w:rPr>
              <w:t>1、项目</w:t>
            </w:r>
            <w:r>
              <w:rPr>
                <w:rFonts w:hint="eastAsia"/>
                <w:b/>
                <w:bCs/>
                <w:szCs w:val="21"/>
                <w:lang w:val="en-US" w:eastAsia="zh-CN"/>
              </w:rPr>
              <w:t>建设历程</w:t>
            </w:r>
          </w:p>
          <w:p>
            <w:pPr>
              <w:keepNext w:val="0"/>
              <w:keepLines w:val="0"/>
              <w:widowControl/>
              <w:suppressLineNumbers w:val="0"/>
              <w:spacing w:line="360" w:lineRule="auto"/>
              <w:ind w:firstLine="420" w:firstLineChars="200"/>
              <w:jc w:val="left"/>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中国石油天然气股份有限公司陕西西安销售分公司纺南路加油站位于陕西省西安市灞桥区咸宁东路</w:t>
            </w:r>
            <w:r>
              <w:rPr>
                <w:rFonts w:hint="default" w:ascii="Times New Roman" w:hAnsi="Times New Roman" w:eastAsia="宋体" w:cs="Times New Roman"/>
                <w:color w:val="auto"/>
                <w:kern w:val="2"/>
                <w:sz w:val="21"/>
                <w:szCs w:val="21"/>
                <w:lang w:val="en-US" w:eastAsia="zh-CN" w:bidi="ar-SA"/>
              </w:rPr>
              <w:t>82</w:t>
            </w:r>
            <w:r>
              <w:rPr>
                <w:rFonts w:hint="eastAsia" w:ascii="Times New Roman" w:hAnsi="Times New Roman" w:eastAsia="宋体" w:cs="Times New Roman"/>
                <w:color w:val="auto"/>
                <w:kern w:val="2"/>
                <w:sz w:val="21"/>
                <w:szCs w:val="21"/>
                <w:lang w:val="en-US" w:eastAsia="zh-CN" w:bidi="ar-SA"/>
              </w:rPr>
              <w:t>号，成立于</w:t>
            </w:r>
            <w:r>
              <w:rPr>
                <w:rFonts w:hint="default" w:ascii="Times New Roman" w:hAnsi="Times New Roman" w:eastAsia="宋体" w:cs="Times New Roman"/>
                <w:color w:val="auto"/>
                <w:kern w:val="2"/>
                <w:sz w:val="21"/>
                <w:szCs w:val="21"/>
                <w:lang w:val="en-US" w:eastAsia="zh-CN" w:bidi="ar-SA"/>
              </w:rPr>
              <w:t>2001</w:t>
            </w:r>
            <w:r>
              <w:rPr>
                <w:rFonts w:hint="eastAsia" w:ascii="Times New Roman" w:hAnsi="Times New Roman" w:eastAsia="宋体" w:cs="Times New Roman"/>
                <w:color w:val="auto"/>
                <w:kern w:val="2"/>
                <w:sz w:val="21"/>
                <w:szCs w:val="21"/>
                <w:lang w:val="en-US" w:eastAsia="zh-CN" w:bidi="ar-SA"/>
              </w:rPr>
              <w:t>年</w:t>
            </w:r>
            <w:r>
              <w:rPr>
                <w:rFonts w:hint="default" w:ascii="Times New Roman" w:hAnsi="Times New Roman" w:eastAsia="宋体" w:cs="Times New Roman"/>
                <w:color w:val="auto"/>
                <w:kern w:val="2"/>
                <w:sz w:val="21"/>
                <w:szCs w:val="21"/>
                <w:lang w:val="en-US" w:eastAsia="zh-CN" w:bidi="ar-SA"/>
              </w:rPr>
              <w:t>11</w:t>
            </w:r>
            <w:r>
              <w:rPr>
                <w:rFonts w:hint="eastAsia" w:ascii="Times New Roman" w:hAnsi="Times New Roman" w:eastAsia="宋体" w:cs="Times New Roman"/>
                <w:color w:val="auto"/>
                <w:kern w:val="2"/>
                <w:sz w:val="21"/>
                <w:szCs w:val="21"/>
                <w:lang w:val="en-US" w:eastAsia="zh-CN" w:bidi="ar-SA"/>
              </w:rPr>
              <w:t>月</w:t>
            </w:r>
            <w:r>
              <w:rPr>
                <w:rFonts w:hint="default" w:ascii="Times New Roman" w:hAnsi="Times New Roman" w:eastAsia="宋体" w:cs="Times New Roman"/>
                <w:color w:val="auto"/>
                <w:kern w:val="2"/>
                <w:sz w:val="21"/>
                <w:szCs w:val="21"/>
                <w:lang w:val="en-US" w:eastAsia="zh-CN" w:bidi="ar-SA"/>
              </w:rPr>
              <w:t>19</w:t>
            </w:r>
            <w:r>
              <w:rPr>
                <w:rFonts w:hint="eastAsia" w:ascii="Times New Roman" w:hAnsi="Times New Roman" w:eastAsia="宋体" w:cs="Times New Roman"/>
                <w:color w:val="auto"/>
                <w:kern w:val="2"/>
                <w:sz w:val="21"/>
                <w:szCs w:val="21"/>
                <w:lang w:val="en-US" w:eastAsia="zh-CN" w:bidi="ar-SA"/>
              </w:rPr>
              <w:t>日，经营范围为汽油、柴油零售业务。为响应国家环保政策及要求，加油站于2013年完成一次、二次油气回收改造；2017年完成三次油气回收设备设施安装及地下油罐防渗改造工程；并于2019年完成油气回收在线监测系统安装。</w:t>
            </w:r>
          </w:p>
          <w:p>
            <w:pPr>
              <w:pStyle w:val="7"/>
              <w:spacing w:line="360" w:lineRule="auto"/>
              <w:ind w:firstLine="420" w:firstLineChars="200"/>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根据纺南路加油站2018年5月25日收到的《西安市环境保护局关于办理加油站环评手续有关情况的复函》，对1998年11月29日至2003年9月1日期间建成的加油站，因建成于《建设项目环境保护管理条例》实施后，《环境影响评价法》实施前，鉴于当时环境影响评价制度正处于建立和逐步完善时期，配套管理办法不齐全，原则上不需补办环评手续。鉴于目前西安市大气污染防控形势，2023年，为方便西安市生态环境局灞桥分局进行</w:t>
            </w:r>
            <w:r>
              <w:rPr>
                <w:rFonts w:hint="eastAsia" w:ascii="Times New Roman" w:hAnsi="Times New Roman" w:eastAsia="宋体" w:cs="Times New Roman"/>
                <w:color w:val="auto"/>
                <w:kern w:val="2"/>
                <w:sz w:val="21"/>
                <w:szCs w:val="21"/>
                <w:lang w:val="en-US" w:eastAsia="zh-CN" w:bidi="ar-SA"/>
              </w:rPr>
              <w:t>环境管理工作</w:t>
            </w:r>
            <w:r>
              <w:rPr>
                <w:rFonts w:hint="eastAsia" w:ascii="Times New Roman" w:hAnsi="Times New Roman" w:eastAsia="宋体" w:cs="Times New Roman"/>
                <w:color w:val="auto"/>
                <w:kern w:val="2"/>
                <w:sz w:val="21"/>
                <w:szCs w:val="21"/>
                <w:lang w:val="en-US" w:eastAsia="zh-CN" w:bidi="ar-SA"/>
              </w:rPr>
              <w:t>，本项目加油站积极补办环评手续，按照现行环保要求加强项目环境管理。</w:t>
            </w:r>
          </w:p>
          <w:p>
            <w:pPr>
              <w:keepNext w:val="0"/>
              <w:keepLines w:val="0"/>
              <w:widowControl/>
              <w:suppressLineNumbers w:val="0"/>
              <w:spacing w:line="360" w:lineRule="auto"/>
              <w:ind w:firstLine="420" w:firstLineChars="200"/>
              <w:jc w:val="left"/>
              <w:rPr>
                <w:b/>
                <w:bCs/>
                <w:szCs w:val="21"/>
              </w:rPr>
            </w:pPr>
            <w:r>
              <w:rPr>
                <w:rFonts w:hint="eastAsia" w:ascii="Times New Roman" w:hAnsi="Times New Roman" w:eastAsia="宋体" w:cs="Times New Roman"/>
                <w:color w:val="auto"/>
                <w:kern w:val="2"/>
                <w:sz w:val="21"/>
                <w:szCs w:val="21"/>
                <w:lang w:val="en-US" w:eastAsia="zh-CN" w:bidi="ar-SA"/>
              </w:rPr>
              <w:t>根据《建设项目环境影响评价分类管理目录》（</w:t>
            </w:r>
            <w:r>
              <w:rPr>
                <w:rFonts w:hint="default" w:ascii="Times New Roman" w:hAnsi="Times New Roman" w:eastAsia="宋体" w:cs="Times New Roman"/>
                <w:color w:val="auto"/>
                <w:kern w:val="2"/>
                <w:sz w:val="21"/>
                <w:szCs w:val="21"/>
                <w:lang w:val="en-US" w:eastAsia="zh-CN" w:bidi="ar-SA"/>
              </w:rPr>
              <w:t>2021</w:t>
            </w:r>
            <w:r>
              <w:rPr>
                <w:rFonts w:hint="eastAsia" w:ascii="Times New Roman" w:hAnsi="Times New Roman" w:eastAsia="宋体" w:cs="Times New Roman"/>
                <w:color w:val="auto"/>
                <w:kern w:val="2"/>
                <w:sz w:val="21"/>
                <w:szCs w:val="21"/>
                <w:lang w:val="en-US" w:eastAsia="zh-CN" w:bidi="ar-SA"/>
              </w:rPr>
              <w:t>年版）的相关规定，本项目属于《建设项目环境影响评价分类</w:t>
            </w:r>
            <w:r>
              <w:rPr>
                <w:rFonts w:hint="eastAsia" w:ascii="Times New Roman" w:hAnsi="Times New Roman" w:eastAsia="宋体" w:cs="Times New Roman"/>
                <w:color w:val="auto"/>
                <w:kern w:val="2"/>
                <w:sz w:val="21"/>
                <w:szCs w:val="21"/>
                <w:lang w:val="en-US" w:eastAsia="zh-CN" w:bidi="ar-SA"/>
              </w:rPr>
              <w:t>管理名录》中的</w:t>
            </w:r>
            <w:r>
              <w:rPr>
                <w:rFonts w:hint="default" w:ascii="Times New Roman" w:hAnsi="Times New Roman" w:eastAsia="宋体" w:cs="Times New Roman"/>
                <w:color w:val="auto"/>
                <w:kern w:val="2"/>
                <w:sz w:val="21"/>
                <w:szCs w:val="21"/>
                <w:lang w:val="en-US" w:eastAsia="zh-CN" w:bidi="ar-SA"/>
              </w:rPr>
              <w:t>“</w:t>
            </w:r>
            <w:r>
              <w:rPr>
                <w:rFonts w:hint="eastAsia" w:ascii="Times New Roman" w:hAnsi="Times New Roman" w:eastAsia="宋体" w:cs="Times New Roman"/>
                <w:color w:val="auto"/>
                <w:kern w:val="2"/>
                <w:sz w:val="21"/>
                <w:szCs w:val="21"/>
                <w:lang w:val="en-US" w:eastAsia="zh-CN" w:bidi="ar-SA"/>
              </w:rPr>
              <w:t>五十、社会事业与服务业</w:t>
            </w:r>
            <w:r>
              <w:rPr>
                <w:rFonts w:hint="default" w:ascii="Times New Roman" w:hAnsi="Times New Roman" w:eastAsia="宋体" w:cs="Times New Roman"/>
                <w:color w:val="auto"/>
                <w:kern w:val="2"/>
                <w:sz w:val="21"/>
                <w:szCs w:val="21"/>
                <w:lang w:val="en-US" w:eastAsia="zh-CN" w:bidi="ar-SA"/>
              </w:rPr>
              <w:t>”</w:t>
            </w:r>
            <w:r>
              <w:rPr>
                <w:rFonts w:hint="eastAsia" w:ascii="Times New Roman" w:hAnsi="Times New Roman" w:eastAsia="宋体" w:cs="Times New Roman"/>
                <w:color w:val="auto"/>
                <w:kern w:val="2"/>
                <w:sz w:val="21"/>
                <w:szCs w:val="21"/>
                <w:lang w:val="en-US" w:eastAsia="zh-CN" w:bidi="ar-SA"/>
              </w:rPr>
              <w:t>中的</w:t>
            </w:r>
            <w:r>
              <w:rPr>
                <w:rFonts w:hint="default" w:ascii="Times New Roman" w:hAnsi="Times New Roman" w:eastAsia="宋体" w:cs="Times New Roman"/>
                <w:color w:val="auto"/>
                <w:kern w:val="2"/>
                <w:sz w:val="21"/>
                <w:szCs w:val="21"/>
                <w:lang w:val="en-US" w:eastAsia="zh-CN" w:bidi="ar-SA"/>
              </w:rPr>
              <w:t>“119</w:t>
            </w:r>
            <w:r>
              <w:rPr>
                <w:rFonts w:hint="eastAsia" w:ascii="Times New Roman" w:hAnsi="Times New Roman" w:eastAsia="宋体" w:cs="Times New Roman"/>
                <w:color w:val="auto"/>
                <w:kern w:val="2"/>
                <w:sz w:val="21"/>
                <w:szCs w:val="21"/>
                <w:lang w:val="en-US" w:eastAsia="zh-CN" w:bidi="ar-SA"/>
              </w:rPr>
              <w:t>加油、加气站</w:t>
            </w:r>
            <w:r>
              <w:rPr>
                <w:rFonts w:hint="default" w:ascii="Times New Roman" w:hAnsi="Times New Roman" w:eastAsia="宋体" w:cs="Times New Roman"/>
                <w:color w:val="auto"/>
                <w:kern w:val="2"/>
                <w:sz w:val="21"/>
                <w:szCs w:val="21"/>
                <w:lang w:val="en-US" w:eastAsia="zh-CN" w:bidi="ar-SA"/>
              </w:rPr>
              <w:t>”</w:t>
            </w:r>
            <w:r>
              <w:rPr>
                <w:rFonts w:hint="eastAsia" w:ascii="Times New Roman" w:hAnsi="Times New Roman" w:eastAsia="宋体" w:cs="Times New Roman"/>
                <w:color w:val="auto"/>
                <w:kern w:val="2"/>
                <w:sz w:val="21"/>
                <w:szCs w:val="21"/>
                <w:lang w:val="en-US" w:eastAsia="zh-CN" w:bidi="ar-SA"/>
              </w:rPr>
              <w:t>中的</w:t>
            </w:r>
            <w:r>
              <w:rPr>
                <w:rFonts w:hint="default" w:ascii="Times New Roman" w:hAnsi="Times New Roman" w:eastAsia="宋体" w:cs="Times New Roman"/>
                <w:color w:val="auto"/>
                <w:kern w:val="2"/>
                <w:sz w:val="21"/>
                <w:szCs w:val="21"/>
                <w:lang w:val="en-US" w:eastAsia="zh-CN" w:bidi="ar-SA"/>
              </w:rPr>
              <w:t>“</w:t>
            </w:r>
            <w:r>
              <w:rPr>
                <w:rFonts w:hint="eastAsia" w:ascii="Times New Roman" w:hAnsi="Times New Roman" w:eastAsia="宋体" w:cs="Times New Roman"/>
                <w:color w:val="auto"/>
                <w:kern w:val="2"/>
                <w:sz w:val="21"/>
                <w:szCs w:val="21"/>
                <w:lang w:val="en-US" w:eastAsia="zh-CN" w:bidi="ar-SA"/>
              </w:rPr>
              <w:t>城市建成区新建、扩建加油站；涉及环境敏感区的</w:t>
            </w:r>
            <w:r>
              <w:rPr>
                <w:rFonts w:hint="default" w:ascii="Times New Roman" w:hAnsi="Times New Roman" w:eastAsia="宋体" w:cs="Times New Roman"/>
                <w:color w:val="auto"/>
                <w:kern w:val="2"/>
                <w:sz w:val="21"/>
                <w:szCs w:val="21"/>
                <w:lang w:val="en-US" w:eastAsia="zh-CN" w:bidi="ar-SA"/>
              </w:rPr>
              <w:t>”</w:t>
            </w:r>
            <w:r>
              <w:rPr>
                <w:rFonts w:hint="eastAsia" w:ascii="Times New Roman" w:hAnsi="Times New Roman" w:eastAsia="宋体" w:cs="Times New Roman"/>
                <w:color w:val="auto"/>
                <w:kern w:val="2"/>
                <w:sz w:val="21"/>
                <w:szCs w:val="21"/>
                <w:lang w:val="en-US" w:eastAsia="zh-CN" w:bidi="ar-SA"/>
              </w:rPr>
              <w:t>，需编制环境影响报告表。</w:t>
            </w:r>
          </w:p>
          <w:p>
            <w:pPr>
              <w:spacing w:line="360" w:lineRule="auto"/>
              <w:ind w:firstLine="422" w:firstLineChars="200"/>
              <w:jc w:val="left"/>
              <w:rPr>
                <w:b/>
                <w:bCs/>
                <w:szCs w:val="21"/>
              </w:rPr>
            </w:pPr>
            <w:r>
              <w:rPr>
                <w:b/>
                <w:bCs/>
                <w:szCs w:val="21"/>
              </w:rPr>
              <w:t>2、等级划分</w:t>
            </w:r>
          </w:p>
          <w:p>
            <w:pPr>
              <w:pStyle w:val="63"/>
              <w:spacing w:line="360" w:lineRule="auto"/>
              <w:ind w:firstLine="420" w:firstLineChars="200"/>
              <w:rPr>
                <w:rFonts w:ascii="Times New Roman" w:cs="Times New Roman"/>
                <w:color w:val="auto"/>
                <w:kern w:val="2"/>
                <w:sz w:val="21"/>
                <w:szCs w:val="21"/>
              </w:rPr>
            </w:pPr>
            <w:r>
              <w:rPr>
                <w:rFonts w:ascii="Times New Roman" w:cs="Times New Roman"/>
                <w:color w:val="auto"/>
                <w:kern w:val="2"/>
                <w:sz w:val="21"/>
                <w:szCs w:val="21"/>
              </w:rPr>
              <w:t>根据《</w:t>
            </w:r>
            <w:r>
              <w:rPr>
                <w:rFonts w:hint="eastAsia" w:ascii="Times New Roman" w:cs="Times New Roman"/>
                <w:color w:val="auto"/>
                <w:kern w:val="2"/>
                <w:sz w:val="21"/>
                <w:szCs w:val="21"/>
              </w:rPr>
              <w:t>汽车加油加气加氢站技术标准</w:t>
            </w:r>
            <w:r>
              <w:rPr>
                <w:rFonts w:ascii="Times New Roman" w:cs="Times New Roman"/>
                <w:color w:val="auto"/>
                <w:kern w:val="2"/>
                <w:sz w:val="21"/>
                <w:szCs w:val="21"/>
              </w:rPr>
              <w:t>》（</w:t>
            </w:r>
            <w:r>
              <w:rPr>
                <w:rFonts w:hint="eastAsia" w:ascii="Times New Roman" w:cs="Times New Roman"/>
                <w:color w:val="auto"/>
                <w:kern w:val="2"/>
                <w:sz w:val="21"/>
                <w:szCs w:val="21"/>
              </w:rPr>
              <w:t>GB50156-2021</w:t>
            </w:r>
            <w:r>
              <w:rPr>
                <w:rFonts w:ascii="Times New Roman" w:cs="Times New Roman"/>
                <w:color w:val="auto"/>
                <w:kern w:val="2"/>
                <w:sz w:val="21"/>
                <w:szCs w:val="21"/>
              </w:rPr>
              <w:t>），加油站的等级划分见表</w:t>
            </w:r>
            <w:r>
              <w:rPr>
                <w:rFonts w:hint="eastAsia" w:ascii="Times New Roman" w:cs="Times New Roman"/>
                <w:color w:val="auto"/>
                <w:kern w:val="2"/>
                <w:sz w:val="21"/>
                <w:szCs w:val="21"/>
              </w:rPr>
              <w:t>2-1</w:t>
            </w:r>
            <w:r>
              <w:rPr>
                <w:rFonts w:ascii="Times New Roman" w:cs="Times New Roman"/>
                <w:color w:val="auto"/>
                <w:kern w:val="2"/>
                <w:sz w:val="21"/>
                <w:szCs w:val="21"/>
              </w:rPr>
              <w:t>。</w:t>
            </w:r>
          </w:p>
          <w:p>
            <w:pPr>
              <w:jc w:val="center"/>
              <w:rPr>
                <w:b/>
                <w:bCs/>
                <w:szCs w:val="21"/>
                <w:lang w:val="en-CA"/>
              </w:rPr>
            </w:pPr>
            <w:r>
              <w:rPr>
                <w:b/>
                <w:bCs/>
                <w:szCs w:val="21"/>
                <w:lang w:val="en-CA"/>
              </w:rPr>
              <w:t>表</w:t>
            </w:r>
            <w:r>
              <w:rPr>
                <w:b/>
                <w:bCs/>
                <w:szCs w:val="21"/>
              </w:rPr>
              <w:t>2-1</w:t>
            </w:r>
            <w:r>
              <w:rPr>
                <w:b/>
                <w:bCs/>
                <w:szCs w:val="21"/>
                <w:lang w:val="en-CA"/>
              </w:rPr>
              <w:t>加油站等级划分表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04"/>
              <w:gridCol w:w="3235"/>
              <w:gridCol w:w="33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1" w:type="pct"/>
                  <w:vMerge w:val="restart"/>
                  <w:noWrap w:val="0"/>
                  <w:vAlign w:val="center"/>
                </w:tcPr>
                <w:p>
                  <w:pPr>
                    <w:ind w:right="105" w:rightChars="50" w:firstLine="422" w:firstLineChars="200"/>
                    <w:contextualSpacing/>
                    <w:jc w:val="center"/>
                    <w:rPr>
                      <w:b/>
                      <w:bCs/>
                    </w:rPr>
                  </w:pPr>
                  <w:r>
                    <w:rPr>
                      <w:b/>
                      <w:bCs/>
                      <w:szCs w:val="21"/>
                    </w:rPr>
                    <w:t>级别</w:t>
                  </w:r>
                </w:p>
              </w:tc>
              <w:tc>
                <w:tcPr>
                  <w:tcW w:w="3838" w:type="pct"/>
                  <w:gridSpan w:val="2"/>
                  <w:noWrap w:val="0"/>
                  <w:vAlign w:val="center"/>
                </w:tcPr>
                <w:p>
                  <w:pPr>
                    <w:ind w:right="105" w:rightChars="50" w:firstLine="422" w:firstLineChars="200"/>
                    <w:contextualSpacing/>
                    <w:jc w:val="center"/>
                    <w:rPr>
                      <w:b/>
                      <w:bCs/>
                    </w:rPr>
                  </w:pPr>
                  <w:r>
                    <w:rPr>
                      <w:b/>
                      <w:bCs/>
                      <w:szCs w:val="21"/>
                    </w:rPr>
                    <w:t>油罐容积（m</w:t>
                  </w:r>
                  <w:r>
                    <w:rPr>
                      <w:b/>
                      <w:bCs/>
                      <w:szCs w:val="21"/>
                      <w:vertAlign w:val="superscript"/>
                    </w:rPr>
                    <w:t>3</w:t>
                  </w:r>
                  <w:r>
                    <w:rPr>
                      <w:b/>
                      <w:bCs/>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1" w:type="pct"/>
                  <w:vMerge w:val="continue"/>
                  <w:noWrap w:val="0"/>
                  <w:vAlign w:val="center"/>
                </w:tcPr>
                <w:p>
                  <w:pPr>
                    <w:ind w:right="105" w:rightChars="50" w:firstLine="422" w:firstLineChars="200"/>
                    <w:contextualSpacing/>
                    <w:jc w:val="center"/>
                    <w:rPr>
                      <w:b/>
                      <w:bCs/>
                    </w:rPr>
                  </w:pPr>
                </w:p>
              </w:tc>
              <w:tc>
                <w:tcPr>
                  <w:tcW w:w="1874" w:type="pct"/>
                  <w:noWrap w:val="0"/>
                  <w:vAlign w:val="center"/>
                </w:tcPr>
                <w:p>
                  <w:pPr>
                    <w:ind w:right="105" w:rightChars="50" w:firstLine="422" w:firstLineChars="200"/>
                    <w:contextualSpacing/>
                    <w:jc w:val="center"/>
                    <w:rPr>
                      <w:b/>
                      <w:bCs/>
                    </w:rPr>
                  </w:pPr>
                  <w:r>
                    <w:rPr>
                      <w:b/>
                      <w:bCs/>
                      <w:szCs w:val="21"/>
                    </w:rPr>
                    <w:t>总容积</w:t>
                  </w:r>
                </w:p>
              </w:tc>
              <w:tc>
                <w:tcPr>
                  <w:tcW w:w="1964" w:type="pct"/>
                  <w:noWrap w:val="0"/>
                  <w:vAlign w:val="center"/>
                </w:tcPr>
                <w:p>
                  <w:pPr>
                    <w:ind w:right="105" w:rightChars="50" w:firstLine="422" w:firstLineChars="200"/>
                    <w:contextualSpacing/>
                    <w:jc w:val="center"/>
                    <w:rPr>
                      <w:b/>
                      <w:bCs/>
                    </w:rPr>
                  </w:pPr>
                  <w:r>
                    <w:rPr>
                      <w:b/>
                      <w:bCs/>
                      <w:szCs w:val="21"/>
                    </w:rPr>
                    <w:t>单罐容积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1" w:type="pct"/>
                  <w:noWrap w:val="0"/>
                  <w:vAlign w:val="center"/>
                </w:tcPr>
                <w:p>
                  <w:pPr>
                    <w:ind w:right="105" w:rightChars="50" w:firstLine="420" w:firstLineChars="200"/>
                    <w:contextualSpacing/>
                    <w:jc w:val="center"/>
                  </w:pPr>
                  <w:r>
                    <w:rPr>
                      <w:szCs w:val="21"/>
                    </w:rPr>
                    <w:t>一级</w:t>
                  </w:r>
                </w:p>
              </w:tc>
              <w:tc>
                <w:tcPr>
                  <w:tcW w:w="1874" w:type="pct"/>
                  <w:noWrap w:val="0"/>
                  <w:vAlign w:val="center"/>
                </w:tcPr>
                <w:p>
                  <w:pPr>
                    <w:jc w:val="center"/>
                  </w:pPr>
                  <w:r>
                    <w:rPr>
                      <w:szCs w:val="21"/>
                    </w:rPr>
                    <w:t>150＜V≤210</w:t>
                  </w:r>
                </w:p>
              </w:tc>
              <w:tc>
                <w:tcPr>
                  <w:tcW w:w="1964" w:type="pct"/>
                  <w:noWrap w:val="0"/>
                  <w:vAlign w:val="center"/>
                </w:tcPr>
                <w:p>
                  <w:pPr>
                    <w:jc w:val="center"/>
                  </w:pPr>
                  <w:r>
                    <w:rPr>
                      <w:szCs w:val="21"/>
                    </w:rPr>
                    <w:t>V≤50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1" w:type="pct"/>
                  <w:noWrap w:val="0"/>
                  <w:vAlign w:val="center"/>
                </w:tcPr>
                <w:p>
                  <w:pPr>
                    <w:ind w:right="105" w:rightChars="50" w:firstLine="420" w:firstLineChars="200"/>
                    <w:contextualSpacing/>
                    <w:jc w:val="center"/>
                  </w:pPr>
                  <w:r>
                    <w:rPr>
                      <w:szCs w:val="21"/>
                    </w:rPr>
                    <w:t>二级</w:t>
                  </w:r>
                </w:p>
              </w:tc>
              <w:tc>
                <w:tcPr>
                  <w:tcW w:w="1874" w:type="pct"/>
                  <w:noWrap w:val="0"/>
                  <w:vAlign w:val="center"/>
                </w:tcPr>
                <w:p>
                  <w:pPr>
                    <w:jc w:val="center"/>
                  </w:pPr>
                  <w:r>
                    <w:rPr>
                      <w:szCs w:val="21"/>
                    </w:rPr>
                    <w:t>90＜V≤150</w:t>
                  </w:r>
                </w:p>
              </w:tc>
              <w:tc>
                <w:tcPr>
                  <w:tcW w:w="1964" w:type="pct"/>
                  <w:noWrap w:val="0"/>
                  <w:vAlign w:val="center"/>
                </w:tcPr>
                <w:p>
                  <w:pPr>
                    <w:jc w:val="center"/>
                  </w:pPr>
                  <w:r>
                    <w:rPr>
                      <w:szCs w:val="21"/>
                    </w:rPr>
                    <w:t>V≤50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61" w:type="pct"/>
                  <w:noWrap w:val="0"/>
                  <w:vAlign w:val="center"/>
                </w:tcPr>
                <w:p>
                  <w:pPr>
                    <w:ind w:right="105" w:rightChars="50" w:firstLine="420" w:firstLineChars="200"/>
                    <w:contextualSpacing/>
                    <w:jc w:val="center"/>
                  </w:pPr>
                  <w:r>
                    <w:rPr>
                      <w:szCs w:val="21"/>
                    </w:rPr>
                    <w:t>三级</w:t>
                  </w:r>
                </w:p>
              </w:tc>
              <w:tc>
                <w:tcPr>
                  <w:tcW w:w="1874" w:type="pct"/>
                  <w:noWrap w:val="0"/>
                  <w:vAlign w:val="center"/>
                </w:tcPr>
                <w:p>
                  <w:pPr>
                    <w:jc w:val="center"/>
                  </w:pPr>
                  <w:r>
                    <w:rPr>
                      <w:szCs w:val="21"/>
                    </w:rPr>
                    <w:t>V≤90</w:t>
                  </w:r>
                </w:p>
              </w:tc>
              <w:tc>
                <w:tcPr>
                  <w:tcW w:w="1964" w:type="pct"/>
                  <w:noWrap w:val="0"/>
                  <w:vAlign w:val="center"/>
                </w:tcPr>
                <w:p>
                  <w:pPr>
                    <w:jc w:val="center"/>
                  </w:pPr>
                  <w:r>
                    <w:rPr>
                      <w:szCs w:val="21"/>
                    </w:rPr>
                    <w:t>汽油罐V≤30，柴油罐V≤50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3"/>
                  <w:noWrap w:val="0"/>
                  <w:vAlign w:val="center"/>
                </w:tcPr>
                <w:p>
                  <w:pPr>
                    <w:ind w:right="105" w:rightChars="50"/>
                    <w:contextualSpacing/>
                    <w:jc w:val="left"/>
                  </w:pPr>
                  <w:r>
                    <w:rPr>
                      <w:szCs w:val="21"/>
                    </w:rPr>
                    <w:t>注：柴油罐容积折半计算。</w:t>
                  </w:r>
                </w:p>
              </w:tc>
            </w:tr>
          </w:tbl>
          <w:p>
            <w:pPr>
              <w:pStyle w:val="63"/>
              <w:spacing w:before="120" w:beforeLines="50" w:line="360" w:lineRule="auto"/>
              <w:ind w:firstLine="420" w:firstLineChars="200"/>
              <w:rPr>
                <w:rFonts w:ascii="Times New Roman" w:cs="Times New Roman"/>
                <w:color w:val="auto"/>
                <w:kern w:val="2"/>
                <w:sz w:val="21"/>
                <w:szCs w:val="21"/>
              </w:rPr>
            </w:pPr>
            <w:r>
              <w:rPr>
                <w:rFonts w:hint="eastAsia" w:ascii="Times New Roman" w:cs="Times New Roman"/>
                <w:color w:val="auto"/>
                <w:kern w:val="2"/>
                <w:sz w:val="21"/>
                <w:szCs w:val="21"/>
              </w:rPr>
              <w:t>本项目设置30m</w:t>
            </w:r>
            <w:r>
              <w:rPr>
                <w:rFonts w:hint="eastAsia" w:ascii="Times New Roman" w:cs="Times New Roman"/>
                <w:color w:val="auto"/>
                <w:kern w:val="2"/>
                <w:sz w:val="21"/>
                <w:szCs w:val="21"/>
                <w:vertAlign w:val="superscript"/>
              </w:rPr>
              <w:t>3</w:t>
            </w:r>
            <w:r>
              <w:rPr>
                <w:rFonts w:hint="eastAsia" w:ascii="Times New Roman" w:cs="Times New Roman"/>
                <w:color w:val="auto"/>
                <w:kern w:val="2"/>
                <w:sz w:val="21"/>
                <w:szCs w:val="21"/>
                <w:lang w:val="en-US" w:eastAsia="zh-CN"/>
              </w:rPr>
              <w:t>汽油储油</w:t>
            </w:r>
            <w:r>
              <w:rPr>
                <w:rFonts w:hint="eastAsia" w:ascii="Times New Roman" w:cs="Times New Roman"/>
                <w:color w:val="auto"/>
                <w:kern w:val="2"/>
                <w:sz w:val="21"/>
                <w:szCs w:val="21"/>
              </w:rPr>
              <w:t>罐</w:t>
            </w:r>
            <w:r>
              <w:rPr>
                <w:rFonts w:hint="eastAsia" w:ascii="Times New Roman" w:cs="Times New Roman"/>
                <w:color w:val="auto"/>
                <w:kern w:val="2"/>
                <w:sz w:val="21"/>
                <w:szCs w:val="21"/>
                <w:lang w:val="en-US" w:eastAsia="zh-CN"/>
              </w:rPr>
              <w:t>2</w:t>
            </w:r>
            <w:r>
              <w:rPr>
                <w:rFonts w:hint="eastAsia" w:ascii="Times New Roman" w:cs="Times New Roman"/>
                <w:color w:val="auto"/>
                <w:kern w:val="2"/>
                <w:sz w:val="21"/>
                <w:szCs w:val="21"/>
              </w:rPr>
              <w:t>个，</w:t>
            </w:r>
            <w:r>
              <w:rPr>
                <w:rFonts w:hint="eastAsia" w:ascii="Times New Roman" w:cs="Times New Roman"/>
                <w:color w:val="auto"/>
                <w:kern w:val="2"/>
                <w:sz w:val="21"/>
                <w:szCs w:val="21"/>
                <w:lang w:val="en-US" w:eastAsia="zh-CN"/>
              </w:rPr>
              <w:t>5</w:t>
            </w:r>
            <w:r>
              <w:rPr>
                <w:rFonts w:hint="eastAsia" w:ascii="Times New Roman" w:cs="Times New Roman"/>
                <w:color w:val="auto"/>
                <w:kern w:val="2"/>
                <w:sz w:val="21"/>
                <w:szCs w:val="21"/>
              </w:rPr>
              <w:t>0m</w:t>
            </w:r>
            <w:r>
              <w:rPr>
                <w:rFonts w:hint="eastAsia" w:ascii="Times New Roman" w:cs="Times New Roman"/>
                <w:color w:val="auto"/>
                <w:kern w:val="2"/>
                <w:sz w:val="21"/>
                <w:szCs w:val="21"/>
                <w:vertAlign w:val="superscript"/>
              </w:rPr>
              <w:t>3</w:t>
            </w:r>
            <w:r>
              <w:rPr>
                <w:rFonts w:hint="eastAsia" w:ascii="Times New Roman" w:cs="Times New Roman"/>
                <w:color w:val="auto"/>
                <w:kern w:val="2"/>
                <w:sz w:val="21"/>
                <w:szCs w:val="21"/>
                <w:lang w:val="en-US" w:eastAsia="zh-CN"/>
              </w:rPr>
              <w:t>汽油储油</w:t>
            </w:r>
            <w:r>
              <w:rPr>
                <w:rFonts w:hint="eastAsia" w:ascii="Times New Roman" w:cs="Times New Roman"/>
                <w:color w:val="auto"/>
                <w:kern w:val="2"/>
                <w:sz w:val="21"/>
                <w:szCs w:val="21"/>
              </w:rPr>
              <w:t>罐</w:t>
            </w:r>
            <w:r>
              <w:rPr>
                <w:rFonts w:hint="eastAsia" w:ascii="Times New Roman" w:cs="Times New Roman"/>
                <w:color w:val="auto"/>
                <w:kern w:val="2"/>
                <w:sz w:val="21"/>
                <w:szCs w:val="21"/>
                <w:lang w:val="en-US" w:eastAsia="zh-CN"/>
              </w:rPr>
              <w:t>1</w:t>
            </w:r>
            <w:r>
              <w:rPr>
                <w:rFonts w:hint="eastAsia" w:ascii="Times New Roman" w:cs="Times New Roman"/>
                <w:color w:val="auto"/>
                <w:kern w:val="2"/>
                <w:sz w:val="21"/>
                <w:szCs w:val="21"/>
              </w:rPr>
              <w:t>个，30m</w:t>
            </w:r>
            <w:r>
              <w:rPr>
                <w:rFonts w:hint="eastAsia" w:ascii="Times New Roman" w:cs="Times New Roman"/>
                <w:color w:val="auto"/>
                <w:kern w:val="2"/>
                <w:sz w:val="21"/>
                <w:szCs w:val="21"/>
                <w:vertAlign w:val="superscript"/>
              </w:rPr>
              <w:t>3</w:t>
            </w:r>
            <w:r>
              <w:rPr>
                <w:rFonts w:hint="eastAsia" w:ascii="Times New Roman" w:cs="Times New Roman"/>
                <w:color w:val="auto"/>
                <w:kern w:val="2"/>
                <w:sz w:val="21"/>
                <w:szCs w:val="21"/>
                <w:lang w:val="en-US" w:eastAsia="zh-CN"/>
              </w:rPr>
              <w:t>柴油储油</w:t>
            </w:r>
            <w:r>
              <w:rPr>
                <w:rFonts w:hint="eastAsia" w:ascii="Times New Roman" w:cs="Times New Roman"/>
                <w:color w:val="auto"/>
                <w:kern w:val="2"/>
                <w:sz w:val="21"/>
                <w:szCs w:val="21"/>
              </w:rPr>
              <w:t>罐</w:t>
            </w:r>
            <w:r>
              <w:rPr>
                <w:rFonts w:hint="eastAsia" w:ascii="Times New Roman" w:cs="Times New Roman"/>
                <w:color w:val="auto"/>
                <w:kern w:val="2"/>
                <w:sz w:val="21"/>
                <w:szCs w:val="21"/>
                <w:lang w:val="en-US" w:eastAsia="zh-CN"/>
              </w:rPr>
              <w:t>1</w:t>
            </w:r>
            <w:r>
              <w:rPr>
                <w:rFonts w:hint="eastAsia" w:ascii="Times New Roman" w:cs="Times New Roman"/>
                <w:color w:val="auto"/>
                <w:kern w:val="2"/>
                <w:sz w:val="21"/>
                <w:szCs w:val="21"/>
              </w:rPr>
              <w:t>个，</w:t>
            </w:r>
            <w:r>
              <w:rPr>
                <w:rFonts w:hint="eastAsia" w:ascii="Times New Roman" w:cs="Times New Roman"/>
                <w:color w:val="auto"/>
                <w:kern w:val="2"/>
                <w:sz w:val="21"/>
                <w:szCs w:val="21"/>
                <w:lang w:val="en-US" w:eastAsia="zh-CN"/>
              </w:rPr>
              <w:t>5</w:t>
            </w:r>
            <w:r>
              <w:rPr>
                <w:rFonts w:hint="eastAsia" w:ascii="Times New Roman" w:cs="Times New Roman"/>
                <w:color w:val="auto"/>
                <w:kern w:val="2"/>
                <w:sz w:val="21"/>
                <w:szCs w:val="21"/>
              </w:rPr>
              <w:t>0m</w:t>
            </w:r>
            <w:r>
              <w:rPr>
                <w:rFonts w:hint="eastAsia" w:ascii="Times New Roman" w:cs="Times New Roman"/>
                <w:color w:val="auto"/>
                <w:kern w:val="2"/>
                <w:sz w:val="21"/>
                <w:szCs w:val="21"/>
                <w:vertAlign w:val="superscript"/>
              </w:rPr>
              <w:t>3</w:t>
            </w:r>
            <w:r>
              <w:rPr>
                <w:rFonts w:hint="eastAsia" w:ascii="Times New Roman" w:cs="Times New Roman"/>
                <w:color w:val="auto"/>
                <w:kern w:val="2"/>
                <w:sz w:val="21"/>
                <w:szCs w:val="21"/>
                <w:lang w:val="en-US" w:eastAsia="zh-CN"/>
              </w:rPr>
              <w:t>柴油储油</w:t>
            </w:r>
            <w:r>
              <w:rPr>
                <w:rFonts w:hint="eastAsia" w:ascii="Times New Roman" w:cs="Times New Roman"/>
                <w:color w:val="auto"/>
                <w:kern w:val="2"/>
                <w:sz w:val="21"/>
                <w:szCs w:val="21"/>
              </w:rPr>
              <w:t>罐</w:t>
            </w:r>
            <w:r>
              <w:rPr>
                <w:rFonts w:hint="eastAsia" w:ascii="Times New Roman" w:cs="Times New Roman"/>
                <w:color w:val="auto"/>
                <w:kern w:val="2"/>
                <w:sz w:val="21"/>
                <w:szCs w:val="21"/>
                <w:lang w:val="en-US" w:eastAsia="zh-CN"/>
              </w:rPr>
              <w:t>1</w:t>
            </w:r>
            <w:r>
              <w:rPr>
                <w:rFonts w:hint="eastAsia" w:ascii="Times New Roman" w:cs="Times New Roman"/>
                <w:color w:val="auto"/>
                <w:kern w:val="2"/>
                <w:sz w:val="21"/>
                <w:szCs w:val="21"/>
              </w:rPr>
              <w:t>个</w:t>
            </w:r>
            <w:r>
              <w:rPr>
                <w:rFonts w:hint="eastAsia" w:ascii="Times New Roman" w:cs="Times New Roman"/>
                <w:color w:val="auto"/>
                <w:kern w:val="2"/>
                <w:sz w:val="21"/>
                <w:szCs w:val="21"/>
              </w:rPr>
              <w:t>。</w:t>
            </w:r>
            <w:r>
              <w:rPr>
                <w:rFonts w:ascii="Times New Roman" w:cs="Times New Roman"/>
                <w:color w:val="auto"/>
                <w:kern w:val="2"/>
                <w:sz w:val="21"/>
                <w:szCs w:val="21"/>
              </w:rPr>
              <w:t>根据表</w:t>
            </w:r>
            <w:r>
              <w:rPr>
                <w:rFonts w:hint="eastAsia" w:ascii="Times New Roman" w:cs="Times New Roman"/>
                <w:color w:val="auto"/>
                <w:kern w:val="2"/>
                <w:sz w:val="21"/>
                <w:szCs w:val="21"/>
              </w:rPr>
              <w:t>2-1</w:t>
            </w:r>
            <w:r>
              <w:rPr>
                <w:rFonts w:ascii="Times New Roman" w:cs="Times New Roman"/>
                <w:color w:val="auto"/>
                <w:kern w:val="2"/>
                <w:sz w:val="21"/>
                <w:szCs w:val="21"/>
              </w:rPr>
              <w:t>中的规定，则本项目油品储罐总容积为</w:t>
            </w:r>
            <w:r>
              <w:rPr>
                <w:rFonts w:hint="eastAsia" w:ascii="Times New Roman" w:cs="Times New Roman"/>
                <w:color w:val="auto"/>
                <w:kern w:val="2"/>
                <w:sz w:val="21"/>
                <w:szCs w:val="21"/>
                <w:lang w:val="en-US" w:eastAsia="zh-CN"/>
              </w:rPr>
              <w:t>15</w:t>
            </w:r>
            <w:r>
              <w:rPr>
                <w:rFonts w:hint="eastAsia" w:ascii="Times New Roman" w:cs="Times New Roman"/>
                <w:color w:val="auto"/>
                <w:kern w:val="2"/>
                <w:sz w:val="21"/>
                <w:szCs w:val="21"/>
              </w:rPr>
              <w:t>0</w:t>
            </w:r>
            <w:r>
              <w:rPr>
                <w:rFonts w:ascii="Times New Roman" w:cs="Times New Roman"/>
                <w:color w:val="auto"/>
                <w:kern w:val="2"/>
                <w:sz w:val="21"/>
                <w:szCs w:val="21"/>
              </w:rPr>
              <w:t>m</w:t>
            </w:r>
            <w:r>
              <w:rPr>
                <w:rFonts w:ascii="Times New Roman" w:cs="Times New Roman"/>
                <w:color w:val="auto"/>
                <w:kern w:val="2"/>
                <w:sz w:val="21"/>
                <w:szCs w:val="21"/>
                <w:vertAlign w:val="superscript"/>
              </w:rPr>
              <w:t>3</w:t>
            </w:r>
            <w:r>
              <w:rPr>
                <w:rFonts w:ascii="Times New Roman" w:cs="Times New Roman"/>
                <w:color w:val="auto"/>
                <w:kern w:val="2"/>
                <w:sz w:val="21"/>
                <w:szCs w:val="21"/>
              </w:rPr>
              <w:t>，汽油单罐容积V≤</w:t>
            </w:r>
            <w:r>
              <w:rPr>
                <w:rFonts w:hint="eastAsia" w:ascii="Times New Roman" w:cs="Times New Roman"/>
                <w:color w:val="auto"/>
                <w:kern w:val="2"/>
                <w:sz w:val="21"/>
                <w:szCs w:val="21"/>
                <w:lang w:val="en-US" w:eastAsia="zh-CN"/>
              </w:rPr>
              <w:t>5</w:t>
            </w:r>
            <w:r>
              <w:rPr>
                <w:rFonts w:hint="eastAsia" w:ascii="Times New Roman" w:cs="Times New Roman"/>
                <w:color w:val="auto"/>
                <w:kern w:val="2"/>
                <w:sz w:val="21"/>
                <w:szCs w:val="21"/>
              </w:rPr>
              <w:t>0</w:t>
            </w:r>
            <w:r>
              <w:rPr>
                <w:rFonts w:ascii="Times New Roman" w:cs="Times New Roman"/>
                <w:color w:val="auto"/>
                <w:kern w:val="2"/>
                <w:sz w:val="21"/>
                <w:szCs w:val="21"/>
              </w:rPr>
              <w:t>m</w:t>
            </w:r>
            <w:r>
              <w:rPr>
                <w:rFonts w:ascii="Times New Roman" w:cs="Times New Roman"/>
                <w:color w:val="auto"/>
                <w:kern w:val="2"/>
                <w:sz w:val="21"/>
                <w:szCs w:val="21"/>
                <w:vertAlign w:val="superscript"/>
              </w:rPr>
              <w:t>3</w:t>
            </w:r>
            <w:r>
              <w:rPr>
                <w:rFonts w:ascii="Times New Roman" w:cs="Times New Roman"/>
                <w:color w:val="auto"/>
                <w:kern w:val="2"/>
                <w:sz w:val="21"/>
                <w:szCs w:val="21"/>
              </w:rPr>
              <w:t>，</w:t>
            </w:r>
            <w:r>
              <w:rPr>
                <w:sz w:val="21"/>
                <w:szCs w:val="21"/>
              </w:rPr>
              <w:t>柴油罐</w:t>
            </w:r>
            <w:r>
              <w:rPr>
                <w:rFonts w:ascii="Times New Roman" w:cs="Times New Roman"/>
                <w:color w:val="auto"/>
                <w:kern w:val="2"/>
                <w:sz w:val="21"/>
                <w:szCs w:val="21"/>
              </w:rPr>
              <w:t>V≤</w:t>
            </w:r>
            <w:r>
              <w:rPr>
                <w:rFonts w:hint="eastAsia" w:ascii="Times New Roman" w:cs="Times New Roman"/>
                <w:color w:val="auto"/>
                <w:kern w:val="2"/>
                <w:sz w:val="21"/>
                <w:szCs w:val="21"/>
                <w:lang w:val="en-US" w:eastAsia="zh-CN"/>
              </w:rPr>
              <w:t>5</w:t>
            </w:r>
            <w:r>
              <w:rPr>
                <w:rFonts w:hint="eastAsia" w:ascii="Times New Roman" w:cs="Times New Roman"/>
                <w:color w:val="auto"/>
                <w:kern w:val="2"/>
                <w:sz w:val="21"/>
                <w:szCs w:val="21"/>
              </w:rPr>
              <w:t>0</w:t>
            </w:r>
            <w:r>
              <w:rPr>
                <w:rFonts w:ascii="Times New Roman" w:cs="Times New Roman"/>
                <w:color w:val="auto"/>
                <w:kern w:val="2"/>
                <w:sz w:val="21"/>
                <w:szCs w:val="21"/>
              </w:rPr>
              <w:t>m</w:t>
            </w:r>
            <w:r>
              <w:rPr>
                <w:rFonts w:ascii="Times New Roman" w:cs="Times New Roman"/>
                <w:color w:val="auto"/>
                <w:kern w:val="2"/>
                <w:sz w:val="21"/>
                <w:szCs w:val="21"/>
                <w:vertAlign w:val="superscript"/>
              </w:rPr>
              <w:t>3</w:t>
            </w:r>
            <w:r>
              <w:rPr>
                <w:rFonts w:hint="eastAsia"/>
                <w:sz w:val="21"/>
                <w:szCs w:val="21"/>
                <w:lang w:eastAsia="zh-CN"/>
              </w:rPr>
              <w:t>，</w:t>
            </w:r>
            <w:r>
              <w:rPr>
                <w:rFonts w:ascii="Times New Roman" w:cs="Times New Roman"/>
                <w:color w:val="auto"/>
                <w:kern w:val="2"/>
                <w:sz w:val="21"/>
                <w:szCs w:val="21"/>
              </w:rPr>
              <w:t>属于</w:t>
            </w:r>
            <w:r>
              <w:rPr>
                <w:rFonts w:hint="eastAsia" w:ascii="Times New Roman" w:cs="Times New Roman"/>
                <w:color w:val="auto"/>
                <w:kern w:val="2"/>
                <w:sz w:val="21"/>
                <w:szCs w:val="21"/>
                <w:lang w:val="en-US" w:eastAsia="zh-CN"/>
              </w:rPr>
              <w:t>二</w:t>
            </w:r>
            <w:r>
              <w:rPr>
                <w:rFonts w:ascii="Times New Roman" w:cs="Times New Roman"/>
                <w:color w:val="auto"/>
                <w:kern w:val="2"/>
                <w:sz w:val="21"/>
                <w:szCs w:val="21"/>
              </w:rPr>
              <w:t>级加油站。</w:t>
            </w:r>
          </w:p>
          <w:p>
            <w:pPr>
              <w:spacing w:line="360" w:lineRule="auto"/>
              <w:ind w:firstLine="422" w:firstLineChars="200"/>
              <w:rPr>
                <w:b/>
                <w:bCs/>
                <w:szCs w:val="21"/>
                <w:highlight w:val="none"/>
              </w:rPr>
            </w:pPr>
            <w:r>
              <w:rPr>
                <w:b/>
                <w:bCs/>
                <w:szCs w:val="21"/>
                <w:highlight w:val="none"/>
              </w:rPr>
              <w:t>3、工程规模与建设内容</w:t>
            </w:r>
          </w:p>
          <w:p>
            <w:pPr>
              <w:spacing w:line="360" w:lineRule="auto"/>
              <w:ind w:firstLine="420" w:firstLineChars="200"/>
              <w:rPr>
                <w:b/>
                <w:szCs w:val="21"/>
              </w:rPr>
            </w:pPr>
            <w:r>
              <w:rPr>
                <w:rFonts w:hint="eastAsia"/>
                <w:color w:val="auto"/>
                <w:szCs w:val="21"/>
                <w:highlight w:val="none"/>
                <w:vertAlign w:val="baseline"/>
                <w:lang w:val="en-US" w:eastAsia="zh-CN"/>
              </w:rPr>
              <w:t>本项目</w:t>
            </w:r>
            <w:r>
              <w:rPr>
                <w:szCs w:val="21"/>
              </w:rPr>
              <w:t>为</w:t>
            </w:r>
            <w:r>
              <w:rPr>
                <w:rFonts w:hint="eastAsia"/>
                <w:szCs w:val="21"/>
                <w:lang w:val="en-US" w:eastAsia="zh-CN"/>
              </w:rPr>
              <w:t>二</w:t>
            </w:r>
            <w:r>
              <w:rPr>
                <w:szCs w:val="21"/>
              </w:rPr>
              <w:t>级加油站</w:t>
            </w:r>
            <w:r>
              <w:rPr>
                <w:rFonts w:hint="eastAsia"/>
                <w:szCs w:val="21"/>
                <w:lang w:eastAsia="zh-CN"/>
              </w:rPr>
              <w:t>，</w:t>
            </w:r>
            <w:r>
              <w:rPr>
                <w:szCs w:val="21"/>
              </w:rPr>
              <w:t>主要建设内容见表2-2。</w:t>
            </w:r>
          </w:p>
          <w:p>
            <w:pPr>
              <w:pStyle w:val="68"/>
              <w:snapToGrid/>
              <w:spacing w:beforeLines="0"/>
              <w:rPr>
                <w:rFonts w:ascii="Times New Roman" w:hAnsi="Times New Roman" w:eastAsia="宋体"/>
                <w:b/>
                <w:sz w:val="21"/>
                <w:szCs w:val="21"/>
              </w:rPr>
            </w:pPr>
            <w:r>
              <w:rPr>
                <w:rFonts w:ascii="Times New Roman" w:hAnsi="Times New Roman" w:eastAsia="宋体"/>
                <w:b/>
                <w:sz w:val="21"/>
                <w:szCs w:val="21"/>
              </w:rPr>
              <w:t>表2-2主要项目组成一览表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1212"/>
              <w:gridCol w:w="6093"/>
              <w:gridCol w:w="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63" w:type="dxa"/>
                  <w:gridSpan w:val="2"/>
                  <w:noWrap w:val="0"/>
                  <w:vAlign w:val="center"/>
                </w:tcPr>
                <w:p>
                  <w:pPr>
                    <w:widowControl/>
                    <w:spacing w:line="340" w:lineRule="exact"/>
                    <w:jc w:val="center"/>
                    <w:rPr>
                      <w:b/>
                      <w:bCs/>
                      <w:kern w:val="0"/>
                      <w:szCs w:val="21"/>
                    </w:rPr>
                  </w:pPr>
                  <w:r>
                    <w:rPr>
                      <w:b/>
                      <w:bCs/>
                      <w:kern w:val="0"/>
                      <w:szCs w:val="21"/>
                    </w:rPr>
                    <w:t>项目名称</w:t>
                  </w:r>
                </w:p>
              </w:tc>
              <w:tc>
                <w:tcPr>
                  <w:tcW w:w="6090" w:type="dxa"/>
                  <w:noWrap w:val="0"/>
                  <w:vAlign w:val="center"/>
                </w:tcPr>
                <w:p>
                  <w:pPr>
                    <w:widowControl/>
                    <w:spacing w:line="340" w:lineRule="exact"/>
                    <w:jc w:val="center"/>
                    <w:rPr>
                      <w:b/>
                      <w:bCs/>
                      <w:kern w:val="0"/>
                      <w:szCs w:val="21"/>
                    </w:rPr>
                  </w:pPr>
                  <w:r>
                    <w:rPr>
                      <w:b/>
                      <w:bCs/>
                      <w:kern w:val="0"/>
                      <w:szCs w:val="21"/>
                    </w:rPr>
                    <w:t>建设规模</w:t>
                  </w:r>
                </w:p>
              </w:tc>
              <w:tc>
                <w:tcPr>
                  <w:tcW w:w="674" w:type="dxa"/>
                  <w:noWrap w:val="0"/>
                  <w:vAlign w:val="center"/>
                </w:tcPr>
                <w:p>
                  <w:pPr>
                    <w:widowControl/>
                    <w:spacing w:line="340" w:lineRule="exact"/>
                    <w:jc w:val="center"/>
                    <w:rPr>
                      <w:b/>
                      <w:bCs/>
                      <w:kern w:val="0"/>
                      <w:szCs w:val="21"/>
                    </w:rPr>
                  </w:pPr>
                  <w:r>
                    <w:rPr>
                      <w:b/>
                      <w:bCs/>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trPr>
              <w:tc>
                <w:tcPr>
                  <w:tcW w:w="652" w:type="dxa"/>
                  <w:vMerge w:val="restart"/>
                  <w:noWrap w:val="0"/>
                  <w:vAlign w:val="center"/>
                </w:tcPr>
                <w:p>
                  <w:pPr>
                    <w:widowControl/>
                    <w:spacing w:line="340" w:lineRule="exact"/>
                    <w:jc w:val="center"/>
                    <w:rPr>
                      <w:kern w:val="0"/>
                      <w:szCs w:val="21"/>
                    </w:rPr>
                  </w:pPr>
                  <w:r>
                    <w:rPr>
                      <w:kern w:val="0"/>
                      <w:szCs w:val="21"/>
                    </w:rPr>
                    <w:t>主体工程</w:t>
                  </w:r>
                </w:p>
              </w:tc>
              <w:tc>
                <w:tcPr>
                  <w:tcW w:w="1211" w:type="dxa"/>
                  <w:noWrap w:val="0"/>
                  <w:vAlign w:val="center"/>
                </w:tcPr>
                <w:p>
                  <w:pPr>
                    <w:widowControl/>
                    <w:spacing w:line="340" w:lineRule="exact"/>
                    <w:jc w:val="center"/>
                    <w:rPr>
                      <w:kern w:val="0"/>
                      <w:szCs w:val="21"/>
                    </w:rPr>
                  </w:pPr>
                  <w:r>
                    <w:rPr>
                      <w:kern w:val="0"/>
                      <w:szCs w:val="21"/>
                    </w:rPr>
                    <w:t>加油区</w:t>
                  </w:r>
                </w:p>
              </w:tc>
              <w:tc>
                <w:tcPr>
                  <w:tcW w:w="6090" w:type="dxa"/>
                  <w:noWrap w:val="0"/>
                  <w:vAlign w:val="center"/>
                </w:tcPr>
                <w:p>
                  <w:pPr>
                    <w:widowControl/>
                    <w:spacing w:line="340" w:lineRule="exact"/>
                    <w:jc w:val="center"/>
                    <w:rPr>
                      <w:kern w:val="0"/>
                      <w:szCs w:val="21"/>
                    </w:rPr>
                  </w:pPr>
                  <w:r>
                    <w:rPr>
                      <w:rFonts w:hint="eastAsia"/>
                      <w:kern w:val="0"/>
                      <w:szCs w:val="21"/>
                      <w:lang w:val="en-US" w:eastAsia="zh-CN"/>
                    </w:rPr>
                    <w:t>设置</w:t>
                  </w:r>
                  <w:r>
                    <w:rPr>
                      <w:kern w:val="0"/>
                      <w:szCs w:val="21"/>
                    </w:rPr>
                    <w:t>1座型钢结构加油罩棚，水平投影面积为</w:t>
                  </w:r>
                  <w:r>
                    <w:rPr>
                      <w:rFonts w:hint="eastAsia"/>
                      <w:kern w:val="0"/>
                      <w:szCs w:val="21"/>
                      <w:lang w:val="en-US" w:eastAsia="zh-CN"/>
                    </w:rPr>
                    <w:t>1040</w:t>
                  </w:r>
                  <w:r>
                    <w:rPr>
                      <w:kern w:val="0"/>
                      <w:szCs w:val="21"/>
                    </w:rPr>
                    <w:t>m</w:t>
                  </w:r>
                  <w:r>
                    <w:rPr>
                      <w:kern w:val="0"/>
                      <w:szCs w:val="21"/>
                      <w:vertAlign w:val="superscript"/>
                    </w:rPr>
                    <w:t>2</w:t>
                  </w:r>
                  <w:r>
                    <w:rPr>
                      <w:kern w:val="0"/>
                      <w:szCs w:val="21"/>
                    </w:rPr>
                    <w:t>，钢立柱，柱高</w:t>
                  </w:r>
                  <w:r>
                    <w:rPr>
                      <w:rFonts w:hint="eastAsia"/>
                      <w:kern w:val="0"/>
                      <w:szCs w:val="21"/>
                      <w:lang w:val="en-US" w:eastAsia="zh-CN"/>
                    </w:rPr>
                    <w:t>8</w:t>
                  </w:r>
                  <w:r>
                    <w:rPr>
                      <w:kern w:val="0"/>
                      <w:szCs w:val="21"/>
                    </w:rPr>
                    <w:t>m。</w:t>
                  </w:r>
                  <w:r>
                    <w:rPr>
                      <w:rFonts w:hint="eastAsia"/>
                      <w:kern w:val="0"/>
                      <w:szCs w:val="21"/>
                      <w:lang w:val="en-US" w:eastAsia="zh-CN"/>
                    </w:rPr>
                    <w:t>设置4</w:t>
                  </w:r>
                  <w:r>
                    <w:rPr>
                      <w:kern w:val="0"/>
                      <w:szCs w:val="21"/>
                    </w:rPr>
                    <w:t>座单柱加油岛，</w:t>
                  </w:r>
                  <w:r>
                    <w:rPr>
                      <w:rFonts w:hint="eastAsia"/>
                      <w:kern w:val="0"/>
                      <w:szCs w:val="21"/>
                      <w:lang w:val="en-US" w:eastAsia="zh-CN"/>
                    </w:rPr>
                    <w:t>4</w:t>
                  </w:r>
                  <w:r>
                    <w:rPr>
                      <w:kern w:val="0"/>
                      <w:szCs w:val="21"/>
                    </w:rPr>
                    <w:t>套防撞柱；设</w:t>
                  </w:r>
                  <w:r>
                    <w:rPr>
                      <w:rFonts w:hint="eastAsia"/>
                      <w:kern w:val="0"/>
                      <w:szCs w:val="21"/>
                      <w:lang w:val="en-US" w:eastAsia="zh-CN"/>
                    </w:rPr>
                    <w:t>置4</w:t>
                  </w:r>
                  <w:r>
                    <w:rPr>
                      <w:kern w:val="0"/>
                      <w:szCs w:val="21"/>
                    </w:rPr>
                    <w:t>台</w:t>
                  </w:r>
                  <w:r>
                    <w:rPr>
                      <w:rFonts w:hint="eastAsia"/>
                      <w:kern w:val="0"/>
                      <w:szCs w:val="21"/>
                      <w:lang w:val="en-US" w:eastAsia="zh-CN"/>
                    </w:rPr>
                    <w:t>六</w:t>
                  </w:r>
                  <w:r>
                    <w:rPr>
                      <w:kern w:val="0"/>
                      <w:szCs w:val="21"/>
                    </w:rPr>
                    <w:t>枪双油品潜油泵式加油机（分散式油气回收型），设置</w:t>
                  </w:r>
                  <w:r>
                    <w:rPr>
                      <w:rFonts w:hint="eastAsia"/>
                      <w:kern w:val="0"/>
                      <w:szCs w:val="21"/>
                      <w:lang w:val="en-US" w:eastAsia="zh-CN"/>
                    </w:rPr>
                    <w:t>4</w:t>
                  </w:r>
                  <w:r>
                    <w:rPr>
                      <w:kern w:val="0"/>
                      <w:szCs w:val="21"/>
                    </w:rPr>
                    <w:t>个成品防渗加油机底槽。</w:t>
                  </w:r>
                </w:p>
              </w:tc>
              <w:tc>
                <w:tcPr>
                  <w:tcW w:w="674" w:type="dxa"/>
                  <w:vMerge w:val="restart"/>
                  <w:noWrap w:val="0"/>
                  <w:vAlign w:val="center"/>
                </w:tcPr>
                <w:p>
                  <w:pPr>
                    <w:widowControl/>
                    <w:spacing w:line="340" w:lineRule="exact"/>
                    <w:jc w:val="center"/>
                    <w:rPr>
                      <w:rFonts w:hint="eastAsia" w:eastAsia="宋体"/>
                      <w:kern w:val="0"/>
                      <w:szCs w:val="21"/>
                      <w:lang w:val="en-US" w:eastAsia="zh-CN"/>
                    </w:rPr>
                  </w:pPr>
                  <w:r>
                    <w:rPr>
                      <w:rFonts w:hint="eastAsia"/>
                      <w:kern w:val="0"/>
                      <w:szCs w:val="21"/>
                      <w:lang w:val="en-US" w:eastAsia="zh-CN"/>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widowControl/>
                    <w:spacing w:line="340" w:lineRule="exact"/>
                    <w:jc w:val="center"/>
                    <w:rPr>
                      <w:rFonts w:hint="default" w:eastAsia="宋体"/>
                      <w:kern w:val="0"/>
                      <w:szCs w:val="21"/>
                      <w:lang w:val="en-US" w:eastAsia="zh-CN"/>
                    </w:rPr>
                  </w:pPr>
                  <w:r>
                    <w:rPr>
                      <w:rFonts w:hint="eastAsia"/>
                      <w:kern w:val="0"/>
                      <w:szCs w:val="21"/>
                      <w:lang w:val="en-US" w:eastAsia="zh-CN"/>
                    </w:rPr>
                    <w:t>储油区</w:t>
                  </w:r>
                </w:p>
              </w:tc>
              <w:tc>
                <w:tcPr>
                  <w:tcW w:w="6090" w:type="dxa"/>
                  <w:noWrap w:val="0"/>
                  <w:vAlign w:val="center"/>
                </w:tcPr>
                <w:p>
                  <w:pPr>
                    <w:widowControl/>
                    <w:spacing w:line="340" w:lineRule="exact"/>
                    <w:jc w:val="center"/>
                    <w:rPr>
                      <w:kern w:val="0"/>
                      <w:szCs w:val="21"/>
                    </w:rPr>
                  </w:pPr>
                  <w:r>
                    <w:rPr>
                      <w:kern w:val="0"/>
                      <w:szCs w:val="21"/>
                    </w:rPr>
                    <w:t>罐区内设</w:t>
                  </w:r>
                  <w:r>
                    <w:rPr>
                      <w:rFonts w:hint="eastAsia" w:ascii="Times New Roman" w:cs="Times New Roman"/>
                      <w:color w:val="auto"/>
                      <w:kern w:val="2"/>
                      <w:sz w:val="21"/>
                      <w:szCs w:val="21"/>
                    </w:rPr>
                    <w:t>30m</w:t>
                  </w:r>
                  <w:r>
                    <w:rPr>
                      <w:rFonts w:hint="eastAsia" w:ascii="Times New Roman" w:cs="Times New Roman"/>
                      <w:color w:val="auto"/>
                      <w:kern w:val="2"/>
                      <w:sz w:val="21"/>
                      <w:szCs w:val="21"/>
                      <w:vertAlign w:val="superscript"/>
                    </w:rPr>
                    <w:t>3</w:t>
                  </w:r>
                  <w:r>
                    <w:rPr>
                      <w:rFonts w:hint="eastAsia" w:ascii="Times New Roman" w:cs="Times New Roman"/>
                      <w:color w:val="auto"/>
                      <w:kern w:val="2"/>
                      <w:sz w:val="21"/>
                      <w:szCs w:val="21"/>
                      <w:lang w:val="en-US" w:eastAsia="zh-CN"/>
                    </w:rPr>
                    <w:t>汽油储油</w:t>
                  </w:r>
                  <w:r>
                    <w:rPr>
                      <w:rFonts w:hint="eastAsia" w:ascii="Times New Roman" w:cs="Times New Roman"/>
                      <w:color w:val="auto"/>
                      <w:kern w:val="2"/>
                      <w:sz w:val="21"/>
                      <w:szCs w:val="21"/>
                    </w:rPr>
                    <w:t>罐</w:t>
                  </w:r>
                  <w:r>
                    <w:rPr>
                      <w:rFonts w:hint="eastAsia" w:ascii="Times New Roman" w:cs="Times New Roman"/>
                      <w:color w:val="auto"/>
                      <w:kern w:val="2"/>
                      <w:sz w:val="21"/>
                      <w:szCs w:val="21"/>
                      <w:lang w:val="en-US" w:eastAsia="zh-CN"/>
                    </w:rPr>
                    <w:t>2</w:t>
                  </w:r>
                  <w:r>
                    <w:rPr>
                      <w:rFonts w:hint="eastAsia" w:ascii="Times New Roman" w:cs="Times New Roman"/>
                      <w:color w:val="auto"/>
                      <w:kern w:val="2"/>
                      <w:sz w:val="21"/>
                      <w:szCs w:val="21"/>
                    </w:rPr>
                    <w:t>个，</w:t>
                  </w:r>
                  <w:r>
                    <w:rPr>
                      <w:rFonts w:hint="eastAsia" w:ascii="Times New Roman" w:cs="Times New Roman"/>
                      <w:color w:val="auto"/>
                      <w:kern w:val="2"/>
                      <w:sz w:val="21"/>
                      <w:szCs w:val="21"/>
                      <w:lang w:val="en-US" w:eastAsia="zh-CN"/>
                    </w:rPr>
                    <w:t>5</w:t>
                  </w:r>
                  <w:r>
                    <w:rPr>
                      <w:rFonts w:hint="eastAsia" w:ascii="Times New Roman" w:cs="Times New Roman"/>
                      <w:color w:val="auto"/>
                      <w:kern w:val="2"/>
                      <w:sz w:val="21"/>
                      <w:szCs w:val="21"/>
                    </w:rPr>
                    <w:t>0m</w:t>
                  </w:r>
                  <w:r>
                    <w:rPr>
                      <w:rFonts w:hint="eastAsia" w:ascii="Times New Roman" w:cs="Times New Roman"/>
                      <w:color w:val="auto"/>
                      <w:kern w:val="2"/>
                      <w:sz w:val="21"/>
                      <w:szCs w:val="21"/>
                      <w:vertAlign w:val="superscript"/>
                    </w:rPr>
                    <w:t>3</w:t>
                  </w:r>
                  <w:r>
                    <w:rPr>
                      <w:rFonts w:hint="eastAsia" w:ascii="Times New Roman" w:cs="Times New Roman"/>
                      <w:color w:val="auto"/>
                      <w:kern w:val="2"/>
                      <w:sz w:val="21"/>
                      <w:szCs w:val="21"/>
                      <w:lang w:val="en-US" w:eastAsia="zh-CN"/>
                    </w:rPr>
                    <w:t>汽油储油</w:t>
                  </w:r>
                  <w:r>
                    <w:rPr>
                      <w:rFonts w:hint="eastAsia" w:ascii="Times New Roman" w:cs="Times New Roman"/>
                      <w:color w:val="auto"/>
                      <w:kern w:val="2"/>
                      <w:sz w:val="21"/>
                      <w:szCs w:val="21"/>
                    </w:rPr>
                    <w:t>罐</w:t>
                  </w:r>
                  <w:r>
                    <w:rPr>
                      <w:rFonts w:hint="eastAsia" w:ascii="Times New Roman" w:cs="Times New Roman"/>
                      <w:color w:val="auto"/>
                      <w:kern w:val="2"/>
                      <w:sz w:val="21"/>
                      <w:szCs w:val="21"/>
                      <w:lang w:val="en-US" w:eastAsia="zh-CN"/>
                    </w:rPr>
                    <w:t>1</w:t>
                  </w:r>
                  <w:r>
                    <w:rPr>
                      <w:rFonts w:hint="eastAsia" w:ascii="Times New Roman" w:cs="Times New Roman"/>
                      <w:color w:val="auto"/>
                      <w:kern w:val="2"/>
                      <w:sz w:val="21"/>
                      <w:szCs w:val="21"/>
                    </w:rPr>
                    <w:t>个，30m</w:t>
                  </w:r>
                  <w:r>
                    <w:rPr>
                      <w:rFonts w:hint="eastAsia" w:ascii="Times New Roman" w:cs="Times New Roman"/>
                      <w:color w:val="auto"/>
                      <w:kern w:val="2"/>
                      <w:sz w:val="21"/>
                      <w:szCs w:val="21"/>
                      <w:vertAlign w:val="superscript"/>
                    </w:rPr>
                    <w:t>3</w:t>
                  </w:r>
                  <w:r>
                    <w:rPr>
                      <w:rFonts w:hint="eastAsia" w:ascii="Times New Roman" w:cs="Times New Roman"/>
                      <w:color w:val="auto"/>
                      <w:kern w:val="2"/>
                      <w:sz w:val="21"/>
                      <w:szCs w:val="21"/>
                      <w:lang w:val="en-US" w:eastAsia="zh-CN"/>
                    </w:rPr>
                    <w:t>柴油储油</w:t>
                  </w:r>
                  <w:r>
                    <w:rPr>
                      <w:rFonts w:hint="eastAsia" w:ascii="Times New Roman" w:cs="Times New Roman"/>
                      <w:color w:val="auto"/>
                      <w:kern w:val="2"/>
                      <w:sz w:val="21"/>
                      <w:szCs w:val="21"/>
                    </w:rPr>
                    <w:t>罐</w:t>
                  </w:r>
                  <w:r>
                    <w:rPr>
                      <w:rFonts w:hint="eastAsia" w:ascii="Times New Roman" w:cs="Times New Roman"/>
                      <w:color w:val="auto"/>
                      <w:kern w:val="2"/>
                      <w:sz w:val="21"/>
                      <w:szCs w:val="21"/>
                      <w:lang w:val="en-US" w:eastAsia="zh-CN"/>
                    </w:rPr>
                    <w:t>1</w:t>
                  </w:r>
                  <w:r>
                    <w:rPr>
                      <w:rFonts w:hint="eastAsia" w:ascii="Times New Roman" w:cs="Times New Roman"/>
                      <w:color w:val="auto"/>
                      <w:kern w:val="2"/>
                      <w:sz w:val="21"/>
                      <w:szCs w:val="21"/>
                    </w:rPr>
                    <w:t>个，</w:t>
                  </w:r>
                  <w:r>
                    <w:rPr>
                      <w:rFonts w:hint="eastAsia" w:ascii="Times New Roman" w:cs="Times New Roman"/>
                      <w:color w:val="auto"/>
                      <w:kern w:val="2"/>
                      <w:sz w:val="21"/>
                      <w:szCs w:val="21"/>
                      <w:lang w:val="en-US" w:eastAsia="zh-CN"/>
                    </w:rPr>
                    <w:t>5</w:t>
                  </w:r>
                  <w:r>
                    <w:rPr>
                      <w:rFonts w:hint="eastAsia" w:ascii="Times New Roman" w:cs="Times New Roman"/>
                      <w:color w:val="auto"/>
                      <w:kern w:val="2"/>
                      <w:sz w:val="21"/>
                      <w:szCs w:val="21"/>
                    </w:rPr>
                    <w:t>0m</w:t>
                  </w:r>
                  <w:r>
                    <w:rPr>
                      <w:rFonts w:hint="eastAsia" w:ascii="Times New Roman" w:cs="Times New Roman"/>
                      <w:color w:val="auto"/>
                      <w:kern w:val="2"/>
                      <w:sz w:val="21"/>
                      <w:szCs w:val="21"/>
                      <w:vertAlign w:val="superscript"/>
                    </w:rPr>
                    <w:t>3</w:t>
                  </w:r>
                  <w:r>
                    <w:rPr>
                      <w:rFonts w:hint="eastAsia" w:ascii="Times New Roman" w:cs="Times New Roman"/>
                      <w:color w:val="auto"/>
                      <w:kern w:val="2"/>
                      <w:sz w:val="21"/>
                      <w:szCs w:val="21"/>
                      <w:lang w:val="en-US" w:eastAsia="zh-CN"/>
                    </w:rPr>
                    <w:t>柴油储油</w:t>
                  </w:r>
                  <w:r>
                    <w:rPr>
                      <w:rFonts w:hint="eastAsia" w:ascii="Times New Roman" w:cs="Times New Roman"/>
                      <w:color w:val="auto"/>
                      <w:kern w:val="2"/>
                      <w:sz w:val="21"/>
                      <w:szCs w:val="21"/>
                    </w:rPr>
                    <w:t>罐</w:t>
                  </w:r>
                  <w:r>
                    <w:rPr>
                      <w:rFonts w:hint="eastAsia" w:ascii="Times New Roman" w:cs="Times New Roman"/>
                      <w:color w:val="auto"/>
                      <w:kern w:val="2"/>
                      <w:sz w:val="21"/>
                      <w:szCs w:val="21"/>
                      <w:lang w:val="en-US" w:eastAsia="zh-CN"/>
                    </w:rPr>
                    <w:t>1</w:t>
                  </w:r>
                  <w:r>
                    <w:rPr>
                      <w:rFonts w:hint="eastAsia" w:ascii="Times New Roman" w:cs="Times New Roman"/>
                      <w:color w:val="auto"/>
                      <w:kern w:val="2"/>
                      <w:sz w:val="21"/>
                      <w:szCs w:val="21"/>
                    </w:rPr>
                    <w:t>个。</w:t>
                  </w:r>
                  <w:r>
                    <w:rPr>
                      <w:kern w:val="0"/>
                      <w:szCs w:val="21"/>
                    </w:rPr>
                    <w:t>油罐均为SF双层油罐（内钢外玻璃双层油罐，双层油罐自带渗漏检测立管），</w:t>
                  </w:r>
                  <w:r>
                    <w:rPr>
                      <w:rFonts w:hint="eastAsia"/>
                      <w:kern w:val="0"/>
                      <w:szCs w:val="21"/>
                      <w:lang w:val="en-US" w:eastAsia="zh-CN"/>
                    </w:rPr>
                    <w:t>设置</w:t>
                  </w:r>
                  <w:r>
                    <w:rPr>
                      <w:kern w:val="0"/>
                      <w:szCs w:val="21"/>
                    </w:rPr>
                    <w:t>成品防渗油罐人孔操作井</w:t>
                  </w:r>
                  <w:r>
                    <w:rPr>
                      <w:rFonts w:hint="eastAsia"/>
                      <w:kern w:val="0"/>
                      <w:szCs w:val="21"/>
                      <w:lang w:val="en-US" w:eastAsia="zh-CN"/>
                    </w:rPr>
                    <w:t>10</w:t>
                  </w:r>
                  <w:r>
                    <w:rPr>
                      <w:kern w:val="0"/>
                      <w:szCs w:val="21"/>
                    </w:rPr>
                    <w:t>个，设置配套复合密封承重井盖</w:t>
                  </w:r>
                  <w:r>
                    <w:rPr>
                      <w:rFonts w:hint="eastAsia"/>
                      <w:kern w:val="0"/>
                      <w:szCs w:val="21"/>
                      <w:lang w:val="en-US" w:eastAsia="zh-CN"/>
                    </w:rPr>
                    <w:t>10</w:t>
                  </w:r>
                  <w:r>
                    <w:rPr>
                      <w:kern w:val="0"/>
                      <w:szCs w:val="21"/>
                    </w:rPr>
                    <w:t>个。</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652" w:type="dxa"/>
                  <w:vMerge w:val="restart"/>
                  <w:noWrap w:val="0"/>
                  <w:vAlign w:val="center"/>
                </w:tcPr>
                <w:p>
                  <w:pPr>
                    <w:widowControl/>
                    <w:spacing w:line="340" w:lineRule="exact"/>
                    <w:jc w:val="center"/>
                    <w:rPr>
                      <w:kern w:val="0"/>
                      <w:szCs w:val="21"/>
                    </w:rPr>
                  </w:pPr>
                  <w:r>
                    <w:rPr>
                      <w:kern w:val="0"/>
                      <w:szCs w:val="21"/>
                    </w:rPr>
                    <w:t>辅助工程</w:t>
                  </w:r>
                </w:p>
              </w:tc>
              <w:tc>
                <w:tcPr>
                  <w:tcW w:w="1211" w:type="dxa"/>
                  <w:noWrap w:val="0"/>
                  <w:vAlign w:val="center"/>
                </w:tcPr>
                <w:p>
                  <w:pPr>
                    <w:widowControl/>
                    <w:spacing w:line="340" w:lineRule="exact"/>
                    <w:jc w:val="center"/>
                    <w:rPr>
                      <w:rFonts w:hint="eastAsia" w:eastAsia="宋体"/>
                      <w:kern w:val="0"/>
                      <w:szCs w:val="21"/>
                      <w:lang w:val="en-US" w:eastAsia="zh-CN"/>
                    </w:rPr>
                  </w:pPr>
                  <w:r>
                    <w:rPr>
                      <w:kern w:val="0"/>
                      <w:szCs w:val="21"/>
                    </w:rPr>
                    <w:t>站房</w:t>
                  </w:r>
                </w:p>
              </w:tc>
              <w:tc>
                <w:tcPr>
                  <w:tcW w:w="6090" w:type="dxa"/>
                  <w:noWrap w:val="0"/>
                  <w:vAlign w:val="center"/>
                </w:tcPr>
                <w:p>
                  <w:pPr>
                    <w:widowControl/>
                    <w:spacing w:line="340" w:lineRule="exact"/>
                    <w:jc w:val="center"/>
                    <w:rPr>
                      <w:kern w:val="0"/>
                      <w:szCs w:val="21"/>
                    </w:rPr>
                  </w:pPr>
                  <w:r>
                    <w:rPr>
                      <w:kern w:val="0"/>
                      <w:szCs w:val="21"/>
                    </w:rPr>
                    <w:t>位于站区南侧，一层</w:t>
                  </w:r>
                  <w:r>
                    <w:rPr>
                      <w:rFonts w:hint="eastAsia"/>
                      <w:kern w:val="0"/>
                      <w:szCs w:val="21"/>
                      <w:lang w:val="en-US" w:eastAsia="zh-CN"/>
                    </w:rPr>
                    <w:t>砖混</w:t>
                  </w:r>
                  <w:r>
                    <w:rPr>
                      <w:kern w:val="0"/>
                      <w:szCs w:val="21"/>
                    </w:rPr>
                    <w:t>结构，建筑面积为</w:t>
                  </w:r>
                  <w:r>
                    <w:rPr>
                      <w:rFonts w:hint="eastAsia"/>
                      <w:kern w:val="0"/>
                      <w:szCs w:val="21"/>
                      <w:lang w:val="en-US" w:eastAsia="zh-CN"/>
                    </w:rPr>
                    <w:t>131</w:t>
                  </w:r>
                  <w:r>
                    <w:rPr>
                      <w:kern w:val="0"/>
                      <w:szCs w:val="21"/>
                    </w:rPr>
                    <w:t>m</w:t>
                  </w:r>
                  <w:r>
                    <w:rPr>
                      <w:kern w:val="0"/>
                      <w:szCs w:val="21"/>
                      <w:vertAlign w:val="superscript"/>
                    </w:rPr>
                    <w:t>2</w:t>
                  </w:r>
                  <w:r>
                    <w:rPr>
                      <w:kern w:val="0"/>
                      <w:szCs w:val="21"/>
                    </w:rPr>
                    <w:t>。</w:t>
                  </w:r>
                  <w:r>
                    <w:t>设有</w:t>
                  </w:r>
                  <w:r>
                    <w:rPr>
                      <w:rFonts w:hint="eastAsia"/>
                      <w:lang w:val="en-US" w:eastAsia="zh-CN"/>
                    </w:rPr>
                    <w:t>营业厅、</w:t>
                  </w:r>
                  <w:r>
                    <w:rPr>
                      <w:kern w:val="0"/>
                      <w:szCs w:val="21"/>
                    </w:rPr>
                    <w:t>便利店</w:t>
                  </w:r>
                  <w:r>
                    <w:rPr>
                      <w:rFonts w:hint="eastAsia"/>
                      <w:kern w:val="0"/>
                      <w:szCs w:val="21"/>
                      <w:lang w:eastAsia="zh-CN"/>
                    </w:rPr>
                    <w:t>（</w:t>
                  </w:r>
                  <w:r>
                    <w:rPr>
                      <w:rFonts w:hint="eastAsia"/>
                      <w:kern w:val="0"/>
                      <w:szCs w:val="21"/>
                      <w:lang w:val="en-US" w:eastAsia="zh-CN"/>
                    </w:rPr>
                    <w:t>80</w:t>
                  </w:r>
                  <w:r>
                    <w:rPr>
                      <w:kern w:val="0"/>
                      <w:szCs w:val="21"/>
                    </w:rPr>
                    <w:t>m</w:t>
                  </w:r>
                  <w:r>
                    <w:rPr>
                      <w:kern w:val="0"/>
                      <w:szCs w:val="21"/>
                      <w:vertAlign w:val="superscript"/>
                    </w:rPr>
                    <w:t>2</w:t>
                  </w:r>
                  <w:r>
                    <w:rPr>
                      <w:rFonts w:hint="eastAsia"/>
                      <w:kern w:val="0"/>
                      <w:szCs w:val="21"/>
                      <w:lang w:eastAsia="zh-CN"/>
                    </w:rPr>
                    <w:t>）</w:t>
                  </w:r>
                  <w:r>
                    <w:rPr>
                      <w:kern w:val="0"/>
                      <w:szCs w:val="21"/>
                    </w:rPr>
                    <w:t>、综合办公室、值班室等。</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widowControl/>
                    <w:spacing w:line="340" w:lineRule="exact"/>
                    <w:jc w:val="center"/>
                    <w:rPr>
                      <w:rFonts w:hint="default" w:eastAsia="宋体"/>
                      <w:kern w:val="0"/>
                      <w:szCs w:val="21"/>
                      <w:lang w:val="en-US" w:eastAsia="zh-CN"/>
                    </w:rPr>
                  </w:pPr>
                  <w:r>
                    <w:rPr>
                      <w:rFonts w:hint="eastAsia"/>
                      <w:kern w:val="0"/>
                      <w:szCs w:val="21"/>
                      <w:lang w:val="en-US" w:eastAsia="zh-CN"/>
                    </w:rPr>
                    <w:t>辅助用房</w:t>
                  </w:r>
                </w:p>
              </w:tc>
              <w:tc>
                <w:tcPr>
                  <w:tcW w:w="6090" w:type="dxa"/>
                  <w:noWrap w:val="0"/>
                  <w:vAlign w:val="center"/>
                </w:tcPr>
                <w:p>
                  <w:pPr>
                    <w:widowControl/>
                    <w:spacing w:line="340" w:lineRule="exact"/>
                    <w:jc w:val="center"/>
                    <w:rPr>
                      <w:rFonts w:hint="default" w:eastAsia="宋体"/>
                      <w:kern w:val="0"/>
                      <w:szCs w:val="21"/>
                      <w:lang w:val="en-US" w:eastAsia="zh-CN"/>
                    </w:rPr>
                  </w:pPr>
                  <w:r>
                    <w:rPr>
                      <w:rFonts w:hint="eastAsia"/>
                      <w:kern w:val="0"/>
                      <w:szCs w:val="21"/>
                      <w:lang w:val="en-US" w:eastAsia="zh-CN"/>
                    </w:rPr>
                    <w:t>位于站区南侧，一层砖混结构，建筑面积</w:t>
                  </w:r>
                  <w:r>
                    <w:rPr>
                      <w:kern w:val="0"/>
                      <w:szCs w:val="21"/>
                    </w:rPr>
                    <w:t>为</w:t>
                  </w:r>
                  <w:r>
                    <w:rPr>
                      <w:rFonts w:hint="eastAsia"/>
                      <w:kern w:val="0"/>
                      <w:szCs w:val="21"/>
                      <w:lang w:val="en-US" w:eastAsia="zh-CN"/>
                    </w:rPr>
                    <w:t>120</w:t>
                  </w:r>
                  <w:r>
                    <w:rPr>
                      <w:kern w:val="0"/>
                      <w:szCs w:val="21"/>
                    </w:rPr>
                    <w:t>m</w:t>
                  </w:r>
                  <w:r>
                    <w:rPr>
                      <w:kern w:val="0"/>
                      <w:szCs w:val="21"/>
                      <w:vertAlign w:val="superscript"/>
                    </w:rPr>
                    <w:t>2</w:t>
                  </w:r>
                  <w:r>
                    <w:rPr>
                      <w:kern w:val="0"/>
                      <w:szCs w:val="21"/>
                    </w:rPr>
                    <w:t>。</w:t>
                  </w:r>
                  <w:r>
                    <w:rPr>
                      <w:rFonts w:hint="eastAsia"/>
                      <w:kern w:val="0"/>
                      <w:szCs w:val="21"/>
                      <w:lang w:val="en-US" w:eastAsia="zh-CN"/>
                    </w:rPr>
                    <w:t>设有活动室、更衣室、发电间、配电室等。</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widowControl/>
                    <w:spacing w:line="340" w:lineRule="exact"/>
                    <w:jc w:val="center"/>
                    <w:rPr>
                      <w:kern w:val="0"/>
                      <w:szCs w:val="21"/>
                    </w:rPr>
                  </w:pPr>
                  <w:r>
                    <w:rPr>
                      <w:rFonts w:hint="eastAsia"/>
                      <w:kern w:val="0"/>
                      <w:szCs w:val="21"/>
                    </w:rPr>
                    <w:t>围墙</w:t>
                  </w:r>
                </w:p>
              </w:tc>
              <w:tc>
                <w:tcPr>
                  <w:tcW w:w="6090" w:type="dxa"/>
                  <w:noWrap w:val="0"/>
                  <w:vAlign w:val="center"/>
                </w:tcPr>
                <w:p>
                  <w:pPr>
                    <w:widowControl/>
                    <w:spacing w:line="340" w:lineRule="exact"/>
                    <w:jc w:val="center"/>
                    <w:rPr>
                      <w:kern w:val="0"/>
                      <w:szCs w:val="21"/>
                    </w:rPr>
                  </w:pPr>
                  <w:r>
                    <w:rPr>
                      <w:rFonts w:hint="eastAsia"/>
                      <w:lang w:val="en-US" w:eastAsia="zh-CN"/>
                    </w:rPr>
                    <w:t>砖混结构</w:t>
                  </w:r>
                  <w:r>
                    <w:t>，高度为2.</w:t>
                  </w:r>
                  <w:r>
                    <w:rPr>
                      <w:rFonts w:hint="eastAsia"/>
                      <w:lang w:val="en-US" w:eastAsia="zh-CN"/>
                    </w:rPr>
                    <w:t>5</w:t>
                  </w:r>
                  <w:r>
                    <w:t>m。</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widowControl/>
                    <w:spacing w:line="340" w:lineRule="exact"/>
                    <w:jc w:val="center"/>
                    <w:rPr>
                      <w:rFonts w:hint="eastAsia" w:eastAsia="宋体"/>
                      <w:kern w:val="0"/>
                      <w:szCs w:val="21"/>
                      <w:lang w:eastAsia="zh-CN"/>
                    </w:rPr>
                  </w:pPr>
                  <w:r>
                    <w:rPr>
                      <w:kern w:val="0"/>
                      <w:szCs w:val="21"/>
                    </w:rPr>
                    <w:t>道路</w:t>
                  </w:r>
                  <w:r>
                    <w:rPr>
                      <w:rFonts w:hint="eastAsia"/>
                      <w:kern w:val="0"/>
                      <w:szCs w:val="21"/>
                      <w:lang w:val="en-US" w:eastAsia="zh-CN"/>
                    </w:rPr>
                    <w:t>地面</w:t>
                  </w:r>
                </w:p>
              </w:tc>
              <w:tc>
                <w:tcPr>
                  <w:tcW w:w="6090" w:type="dxa"/>
                  <w:noWrap w:val="0"/>
                  <w:vAlign w:val="center"/>
                </w:tcPr>
                <w:p>
                  <w:pPr>
                    <w:widowControl/>
                    <w:spacing w:line="340" w:lineRule="exact"/>
                    <w:jc w:val="center"/>
                    <w:rPr>
                      <w:kern w:val="0"/>
                      <w:szCs w:val="21"/>
                    </w:rPr>
                  </w:pPr>
                  <w:r>
                    <w:rPr>
                      <w:rFonts w:hint="eastAsia"/>
                      <w:kern w:val="0"/>
                      <w:szCs w:val="21"/>
                      <w:lang w:val="en-US" w:eastAsia="zh-CN"/>
                    </w:rPr>
                    <w:t>混凝土地面</w:t>
                  </w:r>
                  <w:r>
                    <w:rPr>
                      <w:kern w:val="0"/>
                      <w:szCs w:val="21"/>
                    </w:rPr>
                    <w:t>。</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widowControl/>
                    <w:spacing w:line="340" w:lineRule="exact"/>
                    <w:jc w:val="center"/>
                    <w:rPr>
                      <w:rFonts w:hint="eastAsia" w:eastAsia="宋体"/>
                      <w:kern w:val="0"/>
                      <w:szCs w:val="21"/>
                      <w:lang w:val="en-US" w:eastAsia="zh-CN"/>
                    </w:rPr>
                  </w:pPr>
                  <w:r>
                    <w:rPr>
                      <w:rFonts w:hint="eastAsia"/>
                      <w:kern w:val="0"/>
                      <w:szCs w:val="21"/>
                      <w:lang w:val="en-US" w:eastAsia="zh-CN"/>
                    </w:rPr>
                    <w:t>卫生间</w:t>
                  </w:r>
                </w:p>
              </w:tc>
              <w:tc>
                <w:tcPr>
                  <w:tcW w:w="6090" w:type="dxa"/>
                  <w:noWrap w:val="0"/>
                  <w:vAlign w:val="center"/>
                </w:tcPr>
                <w:p>
                  <w:pPr>
                    <w:widowControl/>
                    <w:spacing w:line="340" w:lineRule="exact"/>
                    <w:jc w:val="center"/>
                    <w:rPr>
                      <w:rFonts w:hint="default" w:eastAsia="宋体"/>
                      <w:kern w:val="0"/>
                      <w:szCs w:val="21"/>
                      <w:lang w:val="en-US" w:eastAsia="zh-CN"/>
                    </w:rPr>
                  </w:pPr>
                  <w:r>
                    <w:rPr>
                      <w:rFonts w:hint="eastAsia"/>
                      <w:kern w:val="0"/>
                      <w:szCs w:val="21"/>
                      <w:lang w:val="en-US" w:eastAsia="zh-CN"/>
                    </w:rPr>
                    <w:t>位于加油站东侧，水厕。</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widowControl/>
                    <w:spacing w:line="340" w:lineRule="exact"/>
                    <w:jc w:val="center"/>
                    <w:rPr>
                      <w:rFonts w:hint="default"/>
                      <w:kern w:val="0"/>
                      <w:szCs w:val="21"/>
                      <w:lang w:val="en-US" w:eastAsia="zh-CN"/>
                    </w:rPr>
                  </w:pPr>
                  <w:r>
                    <w:rPr>
                      <w:rFonts w:hint="eastAsia"/>
                      <w:kern w:val="0"/>
                      <w:szCs w:val="21"/>
                      <w:lang w:val="en-US" w:eastAsia="zh-CN"/>
                    </w:rPr>
                    <w:t>洗车房</w:t>
                  </w:r>
                </w:p>
              </w:tc>
              <w:tc>
                <w:tcPr>
                  <w:tcW w:w="6090" w:type="dxa"/>
                  <w:noWrap w:val="0"/>
                  <w:vAlign w:val="center"/>
                </w:tcPr>
                <w:p>
                  <w:pPr>
                    <w:widowControl/>
                    <w:spacing w:line="340" w:lineRule="exact"/>
                    <w:jc w:val="center"/>
                    <w:rPr>
                      <w:rFonts w:hint="default" w:eastAsia="宋体"/>
                      <w:kern w:val="0"/>
                      <w:szCs w:val="21"/>
                      <w:lang w:val="en-US" w:eastAsia="zh-CN"/>
                    </w:rPr>
                  </w:pPr>
                  <w:r>
                    <w:rPr>
                      <w:rFonts w:hint="eastAsia"/>
                      <w:kern w:val="0"/>
                      <w:szCs w:val="21"/>
                      <w:lang w:val="en-US" w:eastAsia="zh-CN"/>
                    </w:rPr>
                    <w:t>位于加油站西侧，占地面积90</w:t>
                  </w:r>
                  <w:r>
                    <w:rPr>
                      <w:kern w:val="0"/>
                      <w:szCs w:val="21"/>
                    </w:rPr>
                    <w:t>m</w:t>
                  </w:r>
                  <w:r>
                    <w:rPr>
                      <w:kern w:val="0"/>
                      <w:szCs w:val="21"/>
                      <w:vertAlign w:val="superscript"/>
                    </w:rPr>
                    <w:t>2</w:t>
                  </w:r>
                  <w:r>
                    <w:rPr>
                      <w:kern w:val="0"/>
                      <w:szCs w:val="21"/>
                    </w:rPr>
                    <w:t>。</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restart"/>
                  <w:noWrap w:val="0"/>
                  <w:vAlign w:val="center"/>
                </w:tcPr>
                <w:p>
                  <w:pPr>
                    <w:widowControl/>
                    <w:spacing w:line="340" w:lineRule="exact"/>
                    <w:jc w:val="center"/>
                    <w:rPr>
                      <w:kern w:val="0"/>
                      <w:szCs w:val="21"/>
                    </w:rPr>
                  </w:pPr>
                  <w:r>
                    <w:rPr>
                      <w:kern w:val="0"/>
                      <w:szCs w:val="21"/>
                    </w:rPr>
                    <w:t>公用工程</w:t>
                  </w:r>
                </w:p>
              </w:tc>
              <w:tc>
                <w:tcPr>
                  <w:tcW w:w="1211" w:type="dxa"/>
                  <w:noWrap w:val="0"/>
                  <w:vAlign w:val="center"/>
                </w:tcPr>
                <w:p>
                  <w:pPr>
                    <w:widowControl/>
                    <w:spacing w:line="340" w:lineRule="exact"/>
                    <w:jc w:val="center"/>
                    <w:rPr>
                      <w:kern w:val="0"/>
                      <w:szCs w:val="21"/>
                    </w:rPr>
                  </w:pPr>
                  <w:r>
                    <w:rPr>
                      <w:kern w:val="0"/>
                      <w:szCs w:val="21"/>
                    </w:rPr>
                    <w:t>给水</w:t>
                  </w:r>
                </w:p>
              </w:tc>
              <w:tc>
                <w:tcPr>
                  <w:tcW w:w="6090" w:type="dxa"/>
                  <w:noWrap w:val="0"/>
                  <w:vAlign w:val="center"/>
                </w:tcPr>
                <w:p>
                  <w:pPr>
                    <w:widowControl/>
                    <w:spacing w:line="340" w:lineRule="exact"/>
                    <w:jc w:val="center"/>
                    <w:rPr>
                      <w:kern w:val="0"/>
                      <w:szCs w:val="21"/>
                    </w:rPr>
                  </w:pPr>
                  <w:r>
                    <w:rPr>
                      <w:rFonts w:hint="eastAsia"/>
                      <w:kern w:val="0"/>
                      <w:szCs w:val="21"/>
                      <w:highlight w:val="none"/>
                      <w:lang w:val="en-US" w:eastAsia="zh-CN"/>
                    </w:rPr>
                    <w:t>市政供水</w:t>
                  </w:r>
                </w:p>
              </w:tc>
              <w:tc>
                <w:tcPr>
                  <w:tcW w:w="674" w:type="dxa"/>
                  <w:vMerge w:val="restart"/>
                  <w:noWrap w:val="0"/>
                  <w:vAlign w:val="center"/>
                </w:tcPr>
                <w:p>
                  <w:pPr>
                    <w:widowControl/>
                    <w:spacing w:line="340" w:lineRule="exact"/>
                    <w:jc w:val="center"/>
                    <w:rPr>
                      <w:rFonts w:hint="eastAsia" w:eastAsia="宋体"/>
                      <w:kern w:val="0"/>
                      <w:szCs w:val="21"/>
                      <w:lang w:val="en-US" w:eastAsia="zh-CN"/>
                    </w:rPr>
                  </w:pPr>
                  <w:r>
                    <w:rPr>
                      <w:rFonts w:hint="eastAsia"/>
                      <w:kern w:val="0"/>
                      <w:szCs w:val="21"/>
                      <w:highlight w:val="none"/>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widowControl/>
                    <w:spacing w:line="340" w:lineRule="exact"/>
                    <w:jc w:val="center"/>
                    <w:rPr>
                      <w:kern w:val="0"/>
                      <w:szCs w:val="21"/>
                    </w:rPr>
                  </w:pPr>
                  <w:r>
                    <w:rPr>
                      <w:kern w:val="0"/>
                      <w:szCs w:val="21"/>
                    </w:rPr>
                    <w:t>排水</w:t>
                  </w:r>
                </w:p>
              </w:tc>
              <w:tc>
                <w:tcPr>
                  <w:tcW w:w="6090" w:type="dxa"/>
                  <w:noWrap w:val="0"/>
                  <w:vAlign w:val="center"/>
                </w:tcPr>
                <w:p>
                  <w:pPr>
                    <w:widowControl/>
                    <w:spacing w:line="340" w:lineRule="exact"/>
                    <w:jc w:val="center"/>
                    <w:rPr>
                      <w:rFonts w:hint="eastAsia" w:eastAsia="宋体"/>
                      <w:kern w:val="0"/>
                      <w:szCs w:val="21"/>
                      <w:lang w:eastAsia="zh-CN"/>
                    </w:rPr>
                  </w:pPr>
                  <w:r>
                    <w:rPr>
                      <w:kern w:val="0"/>
                      <w:szCs w:val="21"/>
                    </w:rPr>
                    <w:t>采取雨污分流制，</w:t>
                  </w:r>
                  <w:r>
                    <w:rPr>
                      <w:rFonts w:hint="eastAsia"/>
                      <w:kern w:val="0"/>
                      <w:szCs w:val="21"/>
                      <w:lang w:val="en-US" w:eastAsia="zh-CN"/>
                    </w:rPr>
                    <w:t>站内雨水排至市政雨水管网；</w:t>
                  </w:r>
                  <w:r>
                    <w:rPr>
                      <w:szCs w:val="21"/>
                    </w:rPr>
                    <w:t>本项目</w:t>
                  </w:r>
                  <w:r>
                    <w:rPr>
                      <w:rFonts w:hint="eastAsia"/>
                      <w:szCs w:val="21"/>
                      <w:lang w:val="en-US" w:eastAsia="zh-CN"/>
                    </w:rPr>
                    <w:t>洗车废水经中水回用设备处理之后重复利用不外排；</w:t>
                  </w:r>
                  <w:r>
                    <w:rPr>
                      <w:kern w:val="0"/>
                      <w:szCs w:val="21"/>
                    </w:rPr>
                    <w:t>生活污水</w:t>
                  </w:r>
                  <w:r>
                    <w:t>经化粪池处理后排入市政污水管网</w:t>
                  </w:r>
                  <w:r>
                    <w:rPr>
                      <w:rFonts w:hint="eastAsia"/>
                      <w:lang w:eastAsia="zh-CN"/>
                    </w:rPr>
                    <w:t>，</w:t>
                  </w:r>
                  <w:r>
                    <w:rPr>
                      <w:rFonts w:hint="eastAsia"/>
                      <w:lang w:val="en-US" w:eastAsia="zh-CN"/>
                    </w:rPr>
                    <w:t>最终均进入</w:t>
                  </w:r>
                  <w:r>
                    <w:t>西安市第</w:t>
                  </w:r>
                  <w:r>
                    <w:rPr>
                      <w:rFonts w:hint="eastAsia"/>
                      <w:lang w:val="en-US" w:eastAsia="zh-CN"/>
                    </w:rPr>
                    <w:t>三</w:t>
                  </w:r>
                  <w:r>
                    <w:t>污水处理厂</w:t>
                  </w:r>
                  <w:r>
                    <w:rPr>
                      <w:rFonts w:hint="eastAsia"/>
                      <w:lang w:eastAsia="zh-CN"/>
                    </w:rPr>
                    <w:t>。</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widowControl/>
                    <w:spacing w:line="340" w:lineRule="exact"/>
                    <w:jc w:val="center"/>
                    <w:rPr>
                      <w:kern w:val="0"/>
                      <w:szCs w:val="21"/>
                    </w:rPr>
                  </w:pPr>
                  <w:r>
                    <w:rPr>
                      <w:kern w:val="0"/>
                      <w:szCs w:val="21"/>
                    </w:rPr>
                    <w:t>供电</w:t>
                  </w:r>
                </w:p>
              </w:tc>
              <w:tc>
                <w:tcPr>
                  <w:tcW w:w="6090" w:type="dxa"/>
                  <w:noWrap w:val="0"/>
                  <w:vAlign w:val="center"/>
                </w:tcPr>
                <w:p>
                  <w:pPr>
                    <w:widowControl/>
                    <w:spacing w:line="340" w:lineRule="exact"/>
                    <w:jc w:val="center"/>
                    <w:rPr>
                      <w:rFonts w:hint="eastAsia"/>
                      <w:kern w:val="0"/>
                      <w:szCs w:val="21"/>
                    </w:rPr>
                  </w:pPr>
                  <w:r>
                    <w:rPr>
                      <w:rFonts w:hint="eastAsia"/>
                      <w:kern w:val="0"/>
                      <w:szCs w:val="21"/>
                    </w:rPr>
                    <w:t>市政供电</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widowControl/>
                    <w:spacing w:line="340" w:lineRule="exact"/>
                    <w:jc w:val="center"/>
                    <w:rPr>
                      <w:kern w:val="0"/>
                      <w:szCs w:val="21"/>
                    </w:rPr>
                  </w:pPr>
                  <w:r>
                    <w:rPr>
                      <w:kern w:val="0"/>
                      <w:szCs w:val="21"/>
                    </w:rPr>
                    <w:t>制冷</w:t>
                  </w:r>
                </w:p>
              </w:tc>
              <w:tc>
                <w:tcPr>
                  <w:tcW w:w="6090" w:type="dxa"/>
                  <w:noWrap w:val="0"/>
                  <w:vAlign w:val="center"/>
                </w:tcPr>
                <w:p>
                  <w:pPr>
                    <w:widowControl/>
                    <w:spacing w:line="340" w:lineRule="exact"/>
                    <w:jc w:val="center"/>
                    <w:rPr>
                      <w:kern w:val="0"/>
                      <w:szCs w:val="21"/>
                    </w:rPr>
                  </w:pPr>
                  <w:r>
                    <w:rPr>
                      <w:kern w:val="0"/>
                      <w:szCs w:val="21"/>
                    </w:rPr>
                    <w:t>采用冷暖型分体式空调制冷。</w:t>
                  </w:r>
                </w:p>
              </w:tc>
              <w:tc>
                <w:tcPr>
                  <w:tcW w:w="674" w:type="dxa"/>
                  <w:vMerge w:val="restart"/>
                  <w:noWrap w:val="0"/>
                  <w:vAlign w:val="center"/>
                </w:tcPr>
                <w:p>
                  <w:pPr>
                    <w:widowControl/>
                    <w:spacing w:line="340" w:lineRule="exact"/>
                    <w:jc w:val="center"/>
                    <w:rPr>
                      <w:rFonts w:hint="eastAsia" w:eastAsia="宋体"/>
                      <w:kern w:val="0"/>
                      <w:szCs w:val="21"/>
                      <w:lang w:val="en-US" w:eastAsia="zh-CN"/>
                    </w:rPr>
                  </w:pPr>
                  <w:r>
                    <w:rPr>
                      <w:rFonts w:hint="eastAsia"/>
                      <w:kern w:val="0"/>
                      <w:szCs w:val="21"/>
                      <w:lang w:val="en-US" w:eastAsia="zh-CN"/>
                    </w:rPr>
                    <w:t>已建成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widowControl/>
                    <w:spacing w:line="340" w:lineRule="exact"/>
                    <w:jc w:val="center"/>
                    <w:rPr>
                      <w:kern w:val="0"/>
                      <w:szCs w:val="21"/>
                    </w:rPr>
                  </w:pPr>
                  <w:r>
                    <w:rPr>
                      <w:kern w:val="0"/>
                      <w:szCs w:val="21"/>
                    </w:rPr>
                    <w:t>供暖</w:t>
                  </w:r>
                </w:p>
              </w:tc>
              <w:tc>
                <w:tcPr>
                  <w:tcW w:w="6090" w:type="dxa"/>
                  <w:noWrap w:val="0"/>
                  <w:vAlign w:val="center"/>
                </w:tcPr>
                <w:p>
                  <w:pPr>
                    <w:widowControl/>
                    <w:spacing w:line="340" w:lineRule="exact"/>
                    <w:jc w:val="center"/>
                    <w:rPr>
                      <w:kern w:val="0"/>
                      <w:szCs w:val="21"/>
                    </w:rPr>
                  </w:pPr>
                  <w:r>
                    <w:rPr>
                      <w:kern w:val="0"/>
                      <w:szCs w:val="21"/>
                    </w:rPr>
                    <w:t>采用冷暖型分体式空调采暖。</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widowControl/>
                    <w:spacing w:line="340" w:lineRule="exact"/>
                    <w:jc w:val="center"/>
                    <w:rPr>
                      <w:kern w:val="0"/>
                      <w:szCs w:val="21"/>
                    </w:rPr>
                  </w:pPr>
                  <w:r>
                    <w:rPr>
                      <w:kern w:val="0"/>
                      <w:szCs w:val="21"/>
                    </w:rPr>
                    <w:t>消防</w:t>
                  </w:r>
                </w:p>
              </w:tc>
              <w:tc>
                <w:tcPr>
                  <w:tcW w:w="6090" w:type="dxa"/>
                  <w:noWrap w:val="0"/>
                  <w:vAlign w:val="center"/>
                </w:tcPr>
                <w:p>
                  <w:pPr>
                    <w:widowControl/>
                    <w:spacing w:line="340" w:lineRule="exact"/>
                    <w:jc w:val="center"/>
                    <w:rPr>
                      <w:kern w:val="0"/>
                      <w:szCs w:val="21"/>
                    </w:rPr>
                  </w:pPr>
                  <w:r>
                    <w:t>设有</w:t>
                  </w:r>
                  <w:r>
                    <w:rPr>
                      <w:szCs w:val="21"/>
                    </w:rPr>
                    <w:t>灭火器、灭火毯、消防沙箱、消防</w:t>
                  </w:r>
                  <w:r>
                    <w:rPr>
                      <w:rFonts w:hint="eastAsia" w:ascii="Times New Roman" w:hAnsi="Times New Roman" w:eastAsia="宋体" w:cs="Times New Roman"/>
                      <w:szCs w:val="21"/>
                      <w:lang w:val="en-US" w:eastAsia="zh-CN"/>
                    </w:rPr>
                    <w:t>锨</w:t>
                  </w:r>
                  <w:r>
                    <w:rPr>
                      <w:szCs w:val="21"/>
                    </w:rPr>
                    <w:t>、消防</w:t>
                  </w:r>
                  <w:r>
                    <w:rPr>
                      <w:rFonts w:hint="eastAsia"/>
                      <w:szCs w:val="21"/>
                      <w:lang w:val="en-US" w:eastAsia="zh-CN"/>
                    </w:rPr>
                    <w:t>桶</w:t>
                  </w:r>
                  <w:r>
                    <w:rPr>
                      <w:szCs w:val="21"/>
                    </w:rPr>
                    <w:t>等。</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652" w:type="dxa"/>
                  <w:vMerge w:val="restart"/>
                  <w:noWrap w:val="0"/>
                  <w:vAlign w:val="center"/>
                </w:tcPr>
                <w:p>
                  <w:pPr>
                    <w:widowControl/>
                    <w:spacing w:line="340" w:lineRule="exact"/>
                    <w:jc w:val="center"/>
                    <w:rPr>
                      <w:kern w:val="0"/>
                      <w:szCs w:val="21"/>
                    </w:rPr>
                  </w:pPr>
                  <w:r>
                    <w:rPr>
                      <w:kern w:val="0"/>
                      <w:szCs w:val="21"/>
                    </w:rPr>
                    <w:t>环保工程</w:t>
                  </w:r>
                </w:p>
              </w:tc>
              <w:tc>
                <w:tcPr>
                  <w:tcW w:w="1211" w:type="dxa"/>
                  <w:noWrap w:val="0"/>
                  <w:vAlign w:val="center"/>
                </w:tcPr>
                <w:p>
                  <w:pPr>
                    <w:widowControl/>
                    <w:spacing w:line="340" w:lineRule="exact"/>
                    <w:jc w:val="center"/>
                    <w:rPr>
                      <w:rFonts w:hint="eastAsia" w:ascii="宋体" w:hAnsi="宋体" w:eastAsia="宋体" w:cs="宋体"/>
                      <w:kern w:val="0"/>
                      <w:sz w:val="21"/>
                      <w:szCs w:val="21"/>
                    </w:rPr>
                  </w:pPr>
                  <w:r>
                    <w:rPr>
                      <w:rFonts w:hint="eastAsia" w:ascii="宋体" w:hAnsi="宋体" w:eastAsia="宋体" w:cs="宋体"/>
                      <w:kern w:val="0"/>
                      <w:sz w:val="21"/>
                      <w:szCs w:val="21"/>
                    </w:rPr>
                    <w:t>废气</w:t>
                  </w:r>
                </w:p>
              </w:tc>
              <w:tc>
                <w:tcPr>
                  <w:tcW w:w="6090" w:type="dxa"/>
                  <w:noWrap w:val="0"/>
                  <w:vAlign w:val="center"/>
                </w:tcPr>
                <w:p>
                  <w:pPr>
                    <w:keepNext w:val="0"/>
                    <w:keepLines w:val="0"/>
                    <w:widowControl/>
                    <w:suppressLineNumbers w:val="0"/>
                    <w:jc w:val="center"/>
                    <w:rPr>
                      <w:rFonts w:hint="eastAsia" w:ascii="宋体" w:hAnsi="宋体" w:eastAsia="宋体" w:cs="宋体"/>
                      <w:kern w:val="0"/>
                      <w:sz w:val="21"/>
                      <w:szCs w:val="21"/>
                    </w:rPr>
                  </w:pPr>
                  <w:r>
                    <w:rPr>
                      <w:rFonts w:hint="eastAsia" w:ascii="宋体" w:hAnsi="宋体" w:eastAsia="宋体" w:cs="宋体"/>
                      <w:color w:val="000000"/>
                      <w:kern w:val="0"/>
                      <w:sz w:val="21"/>
                      <w:szCs w:val="21"/>
                      <w:lang w:val="en-US" w:eastAsia="zh-CN" w:bidi="ar"/>
                    </w:rPr>
                    <w:t>设置三次油气回收装置，卸油过程采取一次油气回收系统、加油过程采取二次油气回收系统、储油过程采取三次油气回收系统。</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废水</w:t>
                  </w:r>
                </w:p>
              </w:tc>
              <w:tc>
                <w:tcPr>
                  <w:tcW w:w="6090"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lang w:val="en-US" w:eastAsia="zh-CN" w:bidi="ar"/>
                    </w:rPr>
                  </w:pPr>
                  <w:r>
                    <w:rPr>
                      <w:szCs w:val="21"/>
                    </w:rPr>
                    <w:t>本项目</w:t>
                  </w:r>
                  <w:r>
                    <w:rPr>
                      <w:rFonts w:hint="eastAsia"/>
                      <w:szCs w:val="21"/>
                      <w:lang w:val="en-US" w:eastAsia="zh-CN"/>
                    </w:rPr>
                    <w:t>洗车废水经中水回用设备处理之后重复利用不外排；</w:t>
                  </w:r>
                  <w:r>
                    <w:rPr>
                      <w:rFonts w:hint="eastAsia" w:ascii="宋体" w:hAnsi="宋体" w:eastAsia="宋体" w:cs="宋体"/>
                      <w:kern w:val="0"/>
                      <w:sz w:val="21"/>
                      <w:szCs w:val="21"/>
                    </w:rPr>
                    <w:t>生活污水</w:t>
                  </w:r>
                  <w:r>
                    <w:rPr>
                      <w:rFonts w:hint="eastAsia" w:ascii="宋体" w:hAnsi="宋体" w:eastAsia="宋体" w:cs="宋体"/>
                      <w:sz w:val="21"/>
                      <w:szCs w:val="21"/>
                    </w:rPr>
                    <w:t>经化粪池处理后排入市政污水管网</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最终均进入</w:t>
                  </w:r>
                  <w:r>
                    <w:rPr>
                      <w:rFonts w:hint="eastAsia" w:ascii="宋体" w:hAnsi="宋体" w:eastAsia="宋体" w:cs="宋体"/>
                      <w:sz w:val="21"/>
                      <w:szCs w:val="21"/>
                    </w:rPr>
                    <w:t>西安市第</w:t>
                  </w:r>
                  <w:r>
                    <w:rPr>
                      <w:rFonts w:hint="eastAsia" w:ascii="宋体" w:hAnsi="宋体" w:eastAsia="宋体" w:cs="宋体"/>
                      <w:sz w:val="21"/>
                      <w:szCs w:val="21"/>
                      <w:lang w:val="en-US" w:eastAsia="zh-CN"/>
                    </w:rPr>
                    <w:t>三</w:t>
                  </w:r>
                  <w:r>
                    <w:rPr>
                      <w:rFonts w:hint="eastAsia" w:ascii="宋体" w:hAnsi="宋体" w:eastAsia="宋体" w:cs="宋体"/>
                      <w:sz w:val="21"/>
                      <w:szCs w:val="21"/>
                    </w:rPr>
                    <w:t>污水处理厂</w:t>
                  </w:r>
                  <w:r>
                    <w:rPr>
                      <w:rFonts w:hint="eastAsia" w:ascii="宋体" w:hAnsi="宋体" w:eastAsia="宋体" w:cs="宋体"/>
                      <w:sz w:val="21"/>
                      <w:szCs w:val="21"/>
                      <w:lang w:eastAsia="zh-CN"/>
                    </w:rPr>
                    <w:t>。</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噪声</w:t>
                  </w:r>
                </w:p>
              </w:tc>
              <w:tc>
                <w:tcPr>
                  <w:tcW w:w="6090" w:type="dxa"/>
                  <w:noWrap w:val="0"/>
                  <w:vAlign w:val="center"/>
                </w:tcPr>
                <w:p>
                  <w:pPr>
                    <w:keepNext w:val="0"/>
                    <w:keepLines w:val="0"/>
                    <w:widowControl/>
                    <w:suppressLineNumbers w:val="0"/>
                    <w:jc w:val="left"/>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合理布局，选用低噪声设备，并在进出口设置禁鸣标志及减速带。</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固体废物</w:t>
                  </w:r>
                </w:p>
              </w:tc>
              <w:tc>
                <w:tcPr>
                  <w:tcW w:w="6090"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color w:val="auto"/>
                      <w:kern w:val="0"/>
                      <w:sz w:val="21"/>
                      <w:szCs w:val="21"/>
                      <w:lang w:val="en-US" w:eastAsia="zh-CN" w:bidi="ar"/>
                    </w:rPr>
                    <w:t>生活垃圾收集后交由当地环卫部门统一处理；危险废物</w:t>
                  </w:r>
                  <w:r>
                    <w:rPr>
                      <w:rFonts w:hint="default" w:ascii="Times New Roman" w:hAnsi="Times New Roman" w:eastAsia="宋体" w:cs="Times New Roman"/>
                      <w:color w:val="auto"/>
                      <w:szCs w:val="21"/>
                      <w:highlight w:val="none"/>
                    </w:rPr>
                    <w:t>含油</w:t>
                  </w:r>
                  <w:r>
                    <w:rPr>
                      <w:rFonts w:hint="eastAsia" w:ascii="Times New Roman" w:hAnsi="Times New Roman" w:eastAsia="宋体" w:cs="Times New Roman"/>
                      <w:color w:val="auto"/>
                      <w:szCs w:val="21"/>
                      <w:highlight w:val="none"/>
                      <w:lang w:val="en-US" w:eastAsia="zh-CN"/>
                    </w:rPr>
                    <w:t>棉纱、手套及</w:t>
                  </w:r>
                  <w:r>
                    <w:rPr>
                      <w:rFonts w:hint="default" w:ascii="Times New Roman" w:hAnsi="Times New Roman" w:cs="Times New Roman"/>
                      <w:color w:val="auto"/>
                      <w:szCs w:val="21"/>
                      <w:highlight w:val="none"/>
                    </w:rPr>
                    <w:t>废</w:t>
                  </w:r>
                  <w:r>
                    <w:rPr>
                      <w:rFonts w:hint="eastAsia" w:ascii="Times New Roman" w:hAnsi="Times New Roman" w:eastAsia="宋体" w:cs="Times New Roman"/>
                      <w:color w:val="auto"/>
                      <w:szCs w:val="21"/>
                      <w:highlight w:val="none"/>
                      <w:lang w:val="en-US" w:eastAsia="zh-CN"/>
                    </w:rPr>
                    <w:t>高分子膜</w:t>
                  </w:r>
                  <w:r>
                    <w:rPr>
                      <w:rFonts w:hint="eastAsia" w:ascii="宋体" w:hAnsi="宋体" w:eastAsia="宋体" w:cs="宋体"/>
                      <w:color w:val="auto"/>
                      <w:kern w:val="0"/>
                      <w:sz w:val="21"/>
                      <w:szCs w:val="21"/>
                      <w:lang w:val="en-US" w:eastAsia="zh-CN" w:bidi="ar"/>
                    </w:rPr>
                    <w:t>暂存于危险废物贮存点，定期转运，保存危废转移联单，交由陕西新天地固体废物综合处置有限公司处置</w:t>
                  </w:r>
                  <w:r>
                    <w:rPr>
                      <w:rFonts w:hint="eastAsia" w:ascii="宋体" w:hAnsi="宋体" w:eastAsia="宋体" w:cs="宋体"/>
                      <w:color w:val="auto"/>
                      <w:kern w:val="0"/>
                      <w:sz w:val="21"/>
                      <w:szCs w:val="21"/>
                      <w:lang w:val="en-US" w:eastAsia="zh-CN" w:bidi="ar"/>
                    </w:rPr>
                    <w:t>；洗车</w:t>
                  </w:r>
                  <w:r>
                    <w:rPr>
                      <w:rFonts w:hint="eastAsia" w:ascii="宋体" w:hAnsi="宋体" w:eastAsia="宋体" w:cs="宋体"/>
                      <w:color w:val="000000"/>
                      <w:kern w:val="0"/>
                      <w:sz w:val="21"/>
                      <w:szCs w:val="21"/>
                      <w:lang w:val="en-US" w:eastAsia="zh-CN" w:bidi="ar"/>
                    </w:rPr>
                    <w:t>台污泥</w:t>
                  </w:r>
                  <w:r>
                    <w:rPr>
                      <w:rFonts w:hint="eastAsia"/>
                      <w:szCs w:val="21"/>
                      <w:lang w:val="en-US" w:eastAsia="zh-CN"/>
                    </w:rPr>
                    <w:t>由有资质单位定期清掏外运处置；</w:t>
                  </w:r>
                  <w:r>
                    <w:rPr>
                      <w:rFonts w:hint="default" w:ascii="Times New Roman" w:hAnsi="Times New Roman" w:cs="Times New Roman"/>
                      <w:szCs w:val="21"/>
                      <w:highlight w:val="none"/>
                    </w:rPr>
                    <w:t>储油罐</w:t>
                  </w:r>
                  <w:r>
                    <w:rPr>
                      <w:rFonts w:hint="eastAsia" w:ascii="Times New Roman" w:hAnsi="Times New Roman" w:eastAsia="宋体" w:cs="Times New Roman"/>
                      <w:szCs w:val="21"/>
                      <w:highlight w:val="none"/>
                      <w:lang w:val="en-US" w:eastAsia="zh-CN"/>
                    </w:rPr>
                    <w:t>油罐残渣委托专业的清理公司清罐并全部带走处置</w:t>
                  </w:r>
                  <w:r>
                    <w:rPr>
                      <w:rFonts w:hint="default" w:ascii="Times New Roman" w:hAnsi="Times New Roman" w:cs="Times New Roman"/>
                      <w:szCs w:val="21"/>
                      <w:highlight w:val="none"/>
                    </w:rPr>
                    <w:t>，站内不暂存。</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环境风险</w:t>
                  </w:r>
                </w:p>
              </w:tc>
              <w:tc>
                <w:tcPr>
                  <w:tcW w:w="6090"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lang w:val="en-US" w:eastAsia="zh-CN" w:bidi="ar"/>
                    </w:rPr>
                  </w:pPr>
                  <w:r>
                    <w:rPr>
                      <w:rFonts w:hint="eastAsia" w:ascii="Times New Roman" w:hAnsi="Times New Roman" w:eastAsia="宋体" w:cs="Times New Roman"/>
                      <w:szCs w:val="21"/>
                      <w:lang w:val="en-US" w:eastAsia="zh-CN"/>
                    </w:rPr>
                    <w:t>采用双层油罐，设置在线监测渗漏检测仪和高液位报警液位计</w:t>
                  </w:r>
                  <w:r>
                    <w:rPr>
                      <w:rFonts w:hint="eastAsia" w:ascii="宋体" w:hAnsi="宋体" w:eastAsia="宋体" w:cs="宋体"/>
                      <w:color w:val="000000"/>
                      <w:kern w:val="0"/>
                      <w:sz w:val="21"/>
                      <w:szCs w:val="21"/>
                      <w:lang w:val="en-US" w:eastAsia="zh-CN" w:bidi="ar"/>
                    </w:rPr>
                    <w:t>、配套灭火器等设施。</w:t>
                  </w:r>
                </w:p>
              </w:tc>
              <w:tc>
                <w:tcPr>
                  <w:tcW w:w="674" w:type="dxa"/>
                  <w:vMerge w:val="continue"/>
                  <w:noWrap w:val="0"/>
                  <w:vAlign w:val="center"/>
                </w:tcPr>
                <w:p>
                  <w:pPr>
                    <w:widowControl/>
                    <w:spacing w:line="340" w:lineRule="exact"/>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652" w:type="dxa"/>
                  <w:vMerge w:val="continue"/>
                  <w:noWrap w:val="0"/>
                  <w:vAlign w:val="center"/>
                </w:tcPr>
                <w:p>
                  <w:pPr>
                    <w:widowControl/>
                    <w:spacing w:line="340" w:lineRule="exact"/>
                    <w:jc w:val="center"/>
                    <w:rPr>
                      <w:kern w:val="0"/>
                      <w:szCs w:val="21"/>
                    </w:rPr>
                  </w:pPr>
                </w:p>
              </w:tc>
              <w:tc>
                <w:tcPr>
                  <w:tcW w:w="1211"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防渗</w:t>
                  </w:r>
                </w:p>
              </w:tc>
              <w:tc>
                <w:tcPr>
                  <w:tcW w:w="6090" w:type="dxa"/>
                  <w:noWrap w:val="0"/>
                  <w:vAlign w:val="center"/>
                </w:tcPr>
                <w:p>
                  <w:pPr>
                    <w:keepNext w:val="0"/>
                    <w:keepLines w:val="0"/>
                    <w:widowControl/>
                    <w:suppressLineNumbers w:val="0"/>
                    <w:jc w:val="both"/>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按照《汽车加油加气加氢站技术标准》要求，本站采用</w:t>
                  </w:r>
                  <w:r>
                    <w:rPr>
                      <w:rFonts w:hint="default" w:ascii="宋体" w:hAnsi="宋体" w:eastAsia="宋体" w:cs="宋体"/>
                      <w:color w:val="000000"/>
                      <w:kern w:val="0"/>
                      <w:sz w:val="21"/>
                      <w:szCs w:val="21"/>
                      <w:lang w:val="en-US" w:eastAsia="zh-CN" w:bidi="ar"/>
                    </w:rPr>
                    <w:t>SF</w:t>
                  </w:r>
                  <w:r>
                    <w:rPr>
                      <w:rFonts w:hint="eastAsia" w:ascii="宋体" w:hAnsi="宋体" w:eastAsia="宋体" w:cs="宋体"/>
                      <w:color w:val="000000"/>
                      <w:kern w:val="0"/>
                      <w:sz w:val="21"/>
                      <w:szCs w:val="21"/>
                      <w:lang w:val="en-US" w:eastAsia="zh-CN" w:bidi="ar"/>
                    </w:rPr>
                    <w:t>双层罐，储罐外表面采取防腐等级不低</w:t>
                  </w:r>
                  <w:r>
                    <w:rPr>
                      <w:rFonts w:hint="eastAsia" w:ascii="宋体" w:hAnsi="宋体" w:eastAsia="宋体" w:cs="宋体"/>
                      <w:color w:val="000000"/>
                      <w:kern w:val="0"/>
                      <w:sz w:val="21"/>
                      <w:szCs w:val="21"/>
                      <w:lang w:val="en-US" w:eastAsia="zh-CN" w:bidi="ar"/>
                    </w:rPr>
                    <w:t>于加强级的防腐措施。</w:t>
                  </w:r>
                </w:p>
              </w:tc>
              <w:tc>
                <w:tcPr>
                  <w:tcW w:w="674" w:type="dxa"/>
                  <w:vMerge w:val="continue"/>
                  <w:noWrap w:val="0"/>
                  <w:vAlign w:val="center"/>
                </w:tcPr>
                <w:p>
                  <w:pPr>
                    <w:widowControl/>
                    <w:spacing w:line="340" w:lineRule="exact"/>
                    <w:jc w:val="center"/>
                    <w:rPr>
                      <w:kern w:val="0"/>
                      <w:szCs w:val="21"/>
                    </w:rPr>
                  </w:pPr>
                </w:p>
              </w:tc>
            </w:tr>
          </w:tbl>
          <w:p>
            <w:pPr>
              <w:spacing w:before="120" w:beforeLines="50" w:line="360" w:lineRule="auto"/>
              <w:ind w:firstLine="422" w:firstLineChars="200"/>
              <w:rPr>
                <w:b/>
                <w:szCs w:val="21"/>
              </w:rPr>
            </w:pPr>
            <w:r>
              <w:rPr>
                <w:b/>
                <w:szCs w:val="21"/>
              </w:rPr>
              <w:t>4、</w:t>
            </w:r>
            <w:r>
              <w:rPr>
                <w:rFonts w:hint="eastAsia"/>
                <w:b/>
                <w:szCs w:val="21"/>
              </w:rPr>
              <w:t>项目油品销售情况</w:t>
            </w:r>
          </w:p>
          <w:p>
            <w:pPr>
              <w:spacing w:line="360" w:lineRule="auto"/>
              <w:ind w:firstLine="420" w:firstLineChars="200"/>
              <w:jc w:val="left"/>
              <w:textAlignment w:val="center"/>
              <w:rPr>
                <w:b/>
                <w:bCs/>
                <w:szCs w:val="21"/>
              </w:rPr>
            </w:pPr>
            <w:r>
              <w:rPr>
                <w:szCs w:val="21"/>
              </w:rPr>
              <w:t>本项目油品销售情况如下表2-3所示。</w:t>
            </w:r>
          </w:p>
          <w:p>
            <w:pPr>
              <w:ind w:right="105" w:rightChars="50"/>
              <w:contextualSpacing/>
              <w:jc w:val="center"/>
              <w:rPr>
                <w:b/>
                <w:bCs/>
                <w:szCs w:val="21"/>
              </w:rPr>
            </w:pPr>
            <w:r>
              <w:rPr>
                <w:b/>
                <w:bCs/>
                <w:szCs w:val="21"/>
              </w:rPr>
              <w:t>表2-3油品销售情况一览表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1108"/>
              <w:gridCol w:w="2553"/>
              <w:gridCol w:w="1925"/>
              <w:gridCol w:w="18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4" w:type="pct"/>
                  <w:noWrap w:val="0"/>
                  <w:vAlign w:val="center"/>
                </w:tcPr>
                <w:p>
                  <w:pPr>
                    <w:pStyle w:val="48"/>
                    <w:adjustRightInd w:val="0"/>
                    <w:rPr>
                      <w:rFonts w:ascii="Times New Roman" w:cs="Times New Roman"/>
                      <w:b/>
                      <w:bCs/>
                      <w:szCs w:val="21"/>
                    </w:rPr>
                  </w:pPr>
                  <w:r>
                    <w:rPr>
                      <w:rFonts w:ascii="Times New Roman" w:cs="Times New Roman"/>
                      <w:b/>
                      <w:bCs/>
                      <w:szCs w:val="21"/>
                    </w:rPr>
                    <w:t>名称</w:t>
                  </w:r>
                </w:p>
              </w:tc>
              <w:tc>
                <w:tcPr>
                  <w:tcW w:w="642" w:type="pct"/>
                  <w:noWrap w:val="0"/>
                  <w:vAlign w:val="center"/>
                </w:tcPr>
                <w:p>
                  <w:pPr>
                    <w:pStyle w:val="48"/>
                    <w:adjustRightInd w:val="0"/>
                    <w:rPr>
                      <w:rFonts w:ascii="Times New Roman" w:cs="Times New Roman"/>
                      <w:b/>
                      <w:bCs/>
                      <w:szCs w:val="21"/>
                    </w:rPr>
                  </w:pPr>
                  <w:r>
                    <w:rPr>
                      <w:rFonts w:ascii="Times New Roman" w:cs="Times New Roman"/>
                      <w:b/>
                      <w:bCs/>
                      <w:szCs w:val="21"/>
                    </w:rPr>
                    <w:t>牌号</w:t>
                  </w:r>
                </w:p>
              </w:tc>
              <w:tc>
                <w:tcPr>
                  <w:tcW w:w="1479" w:type="pct"/>
                  <w:noWrap w:val="0"/>
                  <w:vAlign w:val="center"/>
                </w:tcPr>
                <w:p>
                  <w:pPr>
                    <w:pStyle w:val="48"/>
                    <w:adjustRightInd w:val="0"/>
                    <w:rPr>
                      <w:rFonts w:ascii="Times New Roman" w:cs="Times New Roman"/>
                      <w:b/>
                      <w:bCs/>
                      <w:szCs w:val="21"/>
                    </w:rPr>
                  </w:pPr>
                  <w:r>
                    <w:rPr>
                      <w:rFonts w:ascii="Times New Roman" w:cs="Times New Roman"/>
                      <w:b/>
                      <w:bCs/>
                      <w:szCs w:val="21"/>
                    </w:rPr>
                    <w:t>单个储罐体积（m</w:t>
                  </w:r>
                  <w:r>
                    <w:rPr>
                      <w:rFonts w:ascii="Times New Roman" w:cs="Times New Roman"/>
                      <w:b/>
                      <w:bCs/>
                      <w:szCs w:val="21"/>
                      <w:vertAlign w:val="superscript"/>
                    </w:rPr>
                    <w:t>3</w:t>
                  </w:r>
                  <w:r>
                    <w:rPr>
                      <w:rFonts w:ascii="Times New Roman" w:cs="Times New Roman"/>
                      <w:b/>
                      <w:bCs/>
                      <w:szCs w:val="21"/>
                    </w:rPr>
                    <w:t>）</w:t>
                  </w:r>
                </w:p>
              </w:tc>
              <w:tc>
                <w:tcPr>
                  <w:tcW w:w="1115" w:type="pct"/>
                  <w:noWrap w:val="0"/>
                  <w:vAlign w:val="center"/>
                </w:tcPr>
                <w:p>
                  <w:pPr>
                    <w:pStyle w:val="48"/>
                    <w:adjustRightInd w:val="0"/>
                    <w:rPr>
                      <w:rFonts w:ascii="Times New Roman" w:cs="Times New Roman"/>
                      <w:b/>
                      <w:bCs/>
                      <w:szCs w:val="21"/>
                    </w:rPr>
                  </w:pPr>
                  <w:r>
                    <w:rPr>
                      <w:rFonts w:ascii="Times New Roman" w:cs="Times New Roman"/>
                      <w:b/>
                      <w:bCs/>
                      <w:szCs w:val="21"/>
                    </w:rPr>
                    <w:t>储罐数量（具）</w:t>
                  </w:r>
                </w:p>
              </w:tc>
              <w:tc>
                <w:tcPr>
                  <w:tcW w:w="1088" w:type="pct"/>
                  <w:noWrap w:val="0"/>
                  <w:vAlign w:val="center"/>
                </w:tcPr>
                <w:p>
                  <w:pPr>
                    <w:pStyle w:val="48"/>
                    <w:adjustRightInd w:val="0"/>
                    <w:rPr>
                      <w:rFonts w:ascii="Times New Roman" w:cs="Times New Roman"/>
                      <w:b/>
                      <w:bCs/>
                      <w:szCs w:val="21"/>
                    </w:rPr>
                  </w:pPr>
                  <w:r>
                    <w:rPr>
                      <w:rFonts w:ascii="Times New Roman" w:cs="Times New Roman"/>
                      <w:b/>
                      <w:bCs/>
                      <w:szCs w:val="21"/>
                    </w:rPr>
                    <w:t>销售量（t/a）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4" w:type="pct"/>
                  <w:vMerge w:val="restart"/>
                  <w:noWrap w:val="0"/>
                  <w:vAlign w:val="center"/>
                </w:tcPr>
                <w:p>
                  <w:pPr>
                    <w:pStyle w:val="48"/>
                    <w:adjustRightInd w:val="0"/>
                    <w:rPr>
                      <w:rFonts w:ascii="Times New Roman" w:cs="Times New Roman"/>
                      <w:szCs w:val="21"/>
                    </w:rPr>
                  </w:pPr>
                  <w:r>
                    <w:rPr>
                      <w:rFonts w:ascii="Times New Roman" w:cs="Times New Roman"/>
                      <w:szCs w:val="21"/>
                    </w:rPr>
                    <w:t>汽油</w:t>
                  </w:r>
                </w:p>
              </w:tc>
              <w:tc>
                <w:tcPr>
                  <w:tcW w:w="642" w:type="pct"/>
                  <w:noWrap w:val="0"/>
                  <w:vAlign w:val="center"/>
                </w:tcPr>
                <w:p>
                  <w:pPr>
                    <w:pStyle w:val="48"/>
                    <w:adjustRightInd w:val="0"/>
                    <w:rPr>
                      <w:rFonts w:ascii="Times New Roman" w:cs="Times New Roman"/>
                      <w:szCs w:val="21"/>
                    </w:rPr>
                  </w:pPr>
                  <w:r>
                    <w:rPr>
                      <w:rFonts w:ascii="Times New Roman" w:cs="Times New Roman"/>
                      <w:szCs w:val="21"/>
                    </w:rPr>
                    <w:t>92#</w:t>
                  </w:r>
                </w:p>
              </w:tc>
              <w:tc>
                <w:tcPr>
                  <w:tcW w:w="1479" w:type="pct"/>
                  <w:noWrap w:val="0"/>
                  <w:vAlign w:val="center"/>
                </w:tcPr>
                <w:p>
                  <w:pPr>
                    <w:pStyle w:val="48"/>
                    <w:adjustRightInd w:val="0"/>
                    <w:rPr>
                      <w:rFonts w:hint="default" w:ascii="Times New Roman" w:eastAsia="宋体" w:cs="Times New Roman"/>
                      <w:szCs w:val="21"/>
                      <w:lang w:val="en-US" w:eastAsia="zh-CN"/>
                    </w:rPr>
                  </w:pPr>
                  <w:r>
                    <w:rPr>
                      <w:rFonts w:hint="eastAsia" w:ascii="Times New Roman" w:cs="Times New Roman"/>
                      <w:szCs w:val="21"/>
                      <w:lang w:val="en-US" w:eastAsia="zh-CN"/>
                    </w:rPr>
                    <w:t>50</w:t>
                  </w:r>
                </w:p>
              </w:tc>
              <w:tc>
                <w:tcPr>
                  <w:tcW w:w="1115" w:type="pct"/>
                  <w:noWrap w:val="0"/>
                  <w:vAlign w:val="center"/>
                </w:tcPr>
                <w:p>
                  <w:pPr>
                    <w:pStyle w:val="48"/>
                    <w:adjustRightInd w:val="0"/>
                    <w:rPr>
                      <w:rFonts w:ascii="Times New Roman" w:cs="Times New Roman"/>
                      <w:szCs w:val="21"/>
                    </w:rPr>
                  </w:pPr>
                  <w:r>
                    <w:rPr>
                      <w:rFonts w:ascii="Times New Roman" w:cs="Times New Roman"/>
                      <w:szCs w:val="21"/>
                    </w:rPr>
                    <w:t>1</w:t>
                  </w:r>
                </w:p>
              </w:tc>
              <w:tc>
                <w:tcPr>
                  <w:tcW w:w="1088" w:type="pct"/>
                  <w:vMerge w:val="restart"/>
                  <w:noWrap w:val="0"/>
                  <w:vAlign w:val="center"/>
                </w:tcPr>
                <w:p>
                  <w:pPr>
                    <w:pStyle w:val="48"/>
                    <w:adjustRightInd w:val="0"/>
                    <w:rPr>
                      <w:rFonts w:hint="default" w:ascii="Times New Roman" w:eastAsia="宋体" w:cs="Times New Roman"/>
                      <w:szCs w:val="21"/>
                      <w:lang w:val="en-US" w:eastAsia="zh-CN"/>
                    </w:rPr>
                  </w:pPr>
                  <w:r>
                    <w:rPr>
                      <w:rFonts w:hint="eastAsia" w:ascii="Times New Roman" w:cs="Times New Roman"/>
                      <w:szCs w:val="21"/>
                      <w:lang w:val="en-US" w:eastAsia="zh-CN"/>
                    </w:rPr>
                    <w:t>9700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4" w:type="pct"/>
                  <w:vMerge w:val="continue"/>
                  <w:noWrap w:val="0"/>
                  <w:vAlign w:val="center"/>
                </w:tcPr>
                <w:p>
                  <w:pPr>
                    <w:pStyle w:val="53"/>
                    <w:adjustRightInd w:val="0"/>
                    <w:snapToGrid w:val="0"/>
                    <w:rPr>
                      <w:rFonts w:ascii="Times New Roman" w:hAnsi="Times New Roman"/>
                    </w:rPr>
                  </w:pPr>
                </w:p>
              </w:tc>
              <w:tc>
                <w:tcPr>
                  <w:tcW w:w="642" w:type="pct"/>
                  <w:noWrap w:val="0"/>
                  <w:vAlign w:val="center"/>
                </w:tcPr>
                <w:p>
                  <w:pPr>
                    <w:pStyle w:val="53"/>
                    <w:adjustRightInd w:val="0"/>
                    <w:snapToGrid w:val="0"/>
                    <w:rPr>
                      <w:rFonts w:ascii="Times New Roman" w:hAnsi="Times New Roman"/>
                    </w:rPr>
                  </w:pPr>
                  <w:r>
                    <w:rPr>
                      <w:rFonts w:ascii="Times New Roman" w:hAnsi="Times New Roman"/>
                    </w:rPr>
                    <w:t>95#</w:t>
                  </w:r>
                </w:p>
              </w:tc>
              <w:tc>
                <w:tcPr>
                  <w:tcW w:w="1479" w:type="pct"/>
                  <w:noWrap w:val="0"/>
                  <w:vAlign w:val="center"/>
                </w:tcPr>
                <w:p>
                  <w:pPr>
                    <w:pStyle w:val="53"/>
                    <w:adjustRightInd w:val="0"/>
                    <w:snapToGrid w:val="0"/>
                    <w:rPr>
                      <w:rFonts w:ascii="Times New Roman" w:hAnsi="Times New Roman"/>
                    </w:rPr>
                  </w:pPr>
                  <w:r>
                    <w:rPr>
                      <w:rFonts w:hint="eastAsia" w:ascii="Times New Roman" w:hAnsi="Times New Roman"/>
                    </w:rPr>
                    <w:t>30</w:t>
                  </w:r>
                </w:p>
              </w:tc>
              <w:tc>
                <w:tcPr>
                  <w:tcW w:w="1115" w:type="pct"/>
                  <w:noWrap w:val="0"/>
                  <w:vAlign w:val="center"/>
                </w:tcPr>
                <w:p>
                  <w:pPr>
                    <w:pStyle w:val="53"/>
                    <w:adjustRightInd w:val="0"/>
                    <w:snapToGrid w:val="0"/>
                    <w:rPr>
                      <w:rFonts w:ascii="Times New Roman" w:hAnsi="Times New Roman"/>
                    </w:rPr>
                  </w:pPr>
                  <w:r>
                    <w:rPr>
                      <w:rFonts w:ascii="Times New Roman" w:hAnsi="Times New Roman"/>
                    </w:rPr>
                    <w:t>1</w:t>
                  </w:r>
                </w:p>
              </w:tc>
              <w:tc>
                <w:tcPr>
                  <w:tcW w:w="1088" w:type="pct"/>
                  <w:vMerge w:val="continue"/>
                  <w:noWrap w:val="0"/>
                  <w:vAlign w:val="center"/>
                </w:tcPr>
                <w:p>
                  <w:pPr>
                    <w:pStyle w:val="53"/>
                    <w:adjustRightInd w:val="0"/>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4" w:type="pct"/>
                  <w:vMerge w:val="continue"/>
                  <w:noWrap w:val="0"/>
                  <w:vAlign w:val="center"/>
                </w:tcPr>
                <w:p>
                  <w:pPr>
                    <w:pStyle w:val="53"/>
                    <w:adjustRightInd w:val="0"/>
                    <w:snapToGrid w:val="0"/>
                    <w:rPr>
                      <w:rFonts w:ascii="Times New Roman" w:hAnsi="Times New Roman"/>
                    </w:rPr>
                  </w:pPr>
                </w:p>
              </w:tc>
              <w:tc>
                <w:tcPr>
                  <w:tcW w:w="642" w:type="pct"/>
                  <w:noWrap w:val="0"/>
                  <w:vAlign w:val="center"/>
                </w:tcPr>
                <w:p>
                  <w:pPr>
                    <w:pStyle w:val="53"/>
                    <w:adjustRightInd w:val="0"/>
                    <w:snapToGrid w:val="0"/>
                    <w:rPr>
                      <w:rFonts w:ascii="Times New Roman" w:hAnsi="Times New Roman"/>
                    </w:rPr>
                  </w:pPr>
                  <w:r>
                    <w:rPr>
                      <w:rFonts w:hint="eastAsia" w:ascii="Times New Roman" w:hAnsi="Times New Roman"/>
                    </w:rPr>
                    <w:t>98#</w:t>
                  </w:r>
                </w:p>
              </w:tc>
              <w:tc>
                <w:tcPr>
                  <w:tcW w:w="1479" w:type="pct"/>
                  <w:noWrap w:val="0"/>
                  <w:vAlign w:val="center"/>
                </w:tcPr>
                <w:p>
                  <w:pPr>
                    <w:pStyle w:val="53"/>
                    <w:adjustRightInd w:val="0"/>
                    <w:snapToGrid w:val="0"/>
                    <w:rPr>
                      <w:rFonts w:ascii="Times New Roman" w:hAnsi="Times New Roman"/>
                    </w:rPr>
                  </w:pPr>
                  <w:r>
                    <w:rPr>
                      <w:rFonts w:hint="eastAsia" w:ascii="Times New Roman" w:hAnsi="Times New Roman"/>
                    </w:rPr>
                    <w:t>30</w:t>
                  </w:r>
                </w:p>
              </w:tc>
              <w:tc>
                <w:tcPr>
                  <w:tcW w:w="1115" w:type="pct"/>
                  <w:noWrap w:val="0"/>
                  <w:vAlign w:val="center"/>
                </w:tcPr>
                <w:p>
                  <w:pPr>
                    <w:pStyle w:val="53"/>
                    <w:adjustRightInd w:val="0"/>
                    <w:snapToGrid w:val="0"/>
                    <w:rPr>
                      <w:rFonts w:hint="eastAsia" w:ascii="Times New Roman" w:hAnsi="Times New Roman"/>
                    </w:rPr>
                  </w:pPr>
                  <w:r>
                    <w:rPr>
                      <w:rFonts w:hint="eastAsia" w:ascii="Times New Roman" w:hAnsi="Times New Roman"/>
                    </w:rPr>
                    <w:t>1</w:t>
                  </w:r>
                </w:p>
              </w:tc>
              <w:tc>
                <w:tcPr>
                  <w:tcW w:w="1088" w:type="pct"/>
                  <w:vMerge w:val="continue"/>
                  <w:noWrap w:val="0"/>
                  <w:vAlign w:val="center"/>
                </w:tcPr>
                <w:p>
                  <w:pPr>
                    <w:pStyle w:val="53"/>
                    <w:adjustRightInd w:val="0"/>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4" w:type="pct"/>
                  <w:vMerge w:val="restart"/>
                  <w:noWrap w:val="0"/>
                  <w:vAlign w:val="center"/>
                </w:tcPr>
                <w:p>
                  <w:pPr>
                    <w:pStyle w:val="53"/>
                    <w:adjustRightInd w:val="0"/>
                    <w:snapToGrid w:val="0"/>
                    <w:rPr>
                      <w:rFonts w:hint="eastAsia" w:ascii="Times New Roman" w:hAnsi="Times New Roman" w:eastAsia="宋体"/>
                      <w:lang w:val="en-US" w:eastAsia="zh-CN"/>
                    </w:rPr>
                  </w:pPr>
                  <w:r>
                    <w:rPr>
                      <w:rFonts w:hint="eastAsia" w:ascii="Times New Roman" w:hAnsi="Times New Roman"/>
                      <w:lang w:val="en-US" w:eastAsia="zh-CN"/>
                    </w:rPr>
                    <w:t>柴油</w:t>
                  </w:r>
                </w:p>
              </w:tc>
              <w:tc>
                <w:tcPr>
                  <w:tcW w:w="642" w:type="pct"/>
                  <w:noWrap w:val="0"/>
                  <w:vAlign w:val="center"/>
                </w:tcPr>
                <w:p>
                  <w:pPr>
                    <w:pStyle w:val="53"/>
                    <w:adjustRightInd w:val="0"/>
                    <w:snapToGrid w:val="0"/>
                    <w:rPr>
                      <w:rFonts w:hint="default" w:ascii="Times New Roman" w:hAnsi="Times New Roman" w:eastAsia="宋体"/>
                      <w:lang w:val="en-US" w:eastAsia="zh-CN"/>
                    </w:rPr>
                  </w:pPr>
                  <w:r>
                    <w:rPr>
                      <w:rFonts w:hint="eastAsia" w:ascii="Times New Roman" w:hAnsi="Times New Roman"/>
                      <w:lang w:val="en-US" w:eastAsia="zh-CN"/>
                    </w:rPr>
                    <w:t>0#</w:t>
                  </w:r>
                </w:p>
              </w:tc>
              <w:tc>
                <w:tcPr>
                  <w:tcW w:w="1479" w:type="pct"/>
                  <w:noWrap w:val="0"/>
                  <w:vAlign w:val="center"/>
                </w:tcPr>
                <w:p>
                  <w:pPr>
                    <w:pStyle w:val="53"/>
                    <w:adjustRightInd w:val="0"/>
                    <w:snapToGrid w:val="0"/>
                    <w:rPr>
                      <w:rFonts w:hint="default" w:ascii="Times New Roman" w:hAnsi="Times New Roman" w:eastAsia="宋体"/>
                      <w:lang w:val="en-US" w:eastAsia="zh-CN"/>
                    </w:rPr>
                  </w:pPr>
                  <w:r>
                    <w:rPr>
                      <w:rFonts w:hint="eastAsia" w:ascii="Times New Roman" w:hAnsi="Times New Roman"/>
                      <w:lang w:val="en-US" w:eastAsia="zh-CN"/>
                    </w:rPr>
                    <w:t>50</w:t>
                  </w:r>
                </w:p>
              </w:tc>
              <w:tc>
                <w:tcPr>
                  <w:tcW w:w="1115" w:type="pct"/>
                  <w:noWrap w:val="0"/>
                  <w:vAlign w:val="center"/>
                </w:tcPr>
                <w:p>
                  <w:pPr>
                    <w:pStyle w:val="53"/>
                    <w:adjustRightInd w:val="0"/>
                    <w:snapToGrid w:val="0"/>
                    <w:rPr>
                      <w:rFonts w:hint="eastAsia" w:ascii="Times New Roman" w:hAnsi="Times New Roman" w:eastAsia="宋体"/>
                      <w:lang w:val="en-US" w:eastAsia="zh-CN"/>
                    </w:rPr>
                  </w:pPr>
                  <w:r>
                    <w:rPr>
                      <w:rFonts w:hint="eastAsia" w:ascii="Times New Roman" w:hAnsi="Times New Roman"/>
                      <w:lang w:val="en-US" w:eastAsia="zh-CN"/>
                    </w:rPr>
                    <w:t>1</w:t>
                  </w:r>
                </w:p>
              </w:tc>
              <w:tc>
                <w:tcPr>
                  <w:tcW w:w="1088" w:type="pct"/>
                  <w:vMerge w:val="restart"/>
                  <w:noWrap w:val="0"/>
                  <w:vAlign w:val="center"/>
                </w:tcPr>
                <w:p>
                  <w:pPr>
                    <w:pStyle w:val="53"/>
                    <w:adjustRightInd w:val="0"/>
                    <w:snapToGrid w:val="0"/>
                    <w:rPr>
                      <w:rFonts w:hint="default" w:ascii="Times New Roman" w:hAnsi="Times New Roman" w:eastAsia="宋体"/>
                      <w:lang w:val="en-US" w:eastAsia="zh-CN"/>
                    </w:rPr>
                  </w:pPr>
                  <w:r>
                    <w:rPr>
                      <w:rFonts w:hint="eastAsia" w:ascii="Times New Roman" w:hAnsi="Times New Roman"/>
                      <w:lang w:val="en-US" w:eastAsia="zh-CN"/>
                    </w:rPr>
                    <w:t>3600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4" w:type="pct"/>
                  <w:vMerge w:val="continue"/>
                  <w:noWrap w:val="0"/>
                  <w:vAlign w:val="center"/>
                </w:tcPr>
                <w:p>
                  <w:pPr>
                    <w:pStyle w:val="53"/>
                    <w:adjustRightInd w:val="0"/>
                    <w:snapToGrid w:val="0"/>
                    <w:rPr>
                      <w:rFonts w:ascii="Times New Roman" w:hAnsi="Times New Roman"/>
                    </w:rPr>
                  </w:pPr>
                </w:p>
              </w:tc>
              <w:tc>
                <w:tcPr>
                  <w:tcW w:w="642" w:type="pct"/>
                  <w:noWrap w:val="0"/>
                  <w:vAlign w:val="center"/>
                </w:tcPr>
                <w:p>
                  <w:pPr>
                    <w:pStyle w:val="53"/>
                    <w:adjustRightInd w:val="0"/>
                    <w:snapToGrid w:val="0"/>
                    <w:rPr>
                      <w:rFonts w:hint="default" w:ascii="Times New Roman" w:hAnsi="Times New Roman" w:eastAsia="宋体"/>
                      <w:lang w:val="en-US" w:eastAsia="zh-CN"/>
                    </w:rPr>
                  </w:pPr>
                  <w:r>
                    <w:rPr>
                      <w:rFonts w:hint="eastAsia" w:ascii="Times New Roman" w:hAnsi="Times New Roman"/>
                      <w:lang w:val="en-US" w:eastAsia="zh-CN"/>
                    </w:rPr>
                    <w:t>-10#</w:t>
                  </w:r>
                </w:p>
              </w:tc>
              <w:tc>
                <w:tcPr>
                  <w:tcW w:w="1479" w:type="pct"/>
                  <w:noWrap w:val="0"/>
                  <w:vAlign w:val="center"/>
                </w:tcPr>
                <w:p>
                  <w:pPr>
                    <w:pStyle w:val="53"/>
                    <w:adjustRightInd w:val="0"/>
                    <w:snapToGrid w:val="0"/>
                    <w:rPr>
                      <w:rFonts w:hint="default" w:ascii="Times New Roman" w:hAnsi="Times New Roman" w:eastAsia="宋体"/>
                      <w:lang w:val="en-US" w:eastAsia="zh-CN"/>
                    </w:rPr>
                  </w:pPr>
                  <w:r>
                    <w:rPr>
                      <w:rFonts w:hint="eastAsia" w:ascii="Times New Roman" w:hAnsi="Times New Roman"/>
                      <w:lang w:val="en-US" w:eastAsia="zh-CN"/>
                    </w:rPr>
                    <w:t>30</w:t>
                  </w:r>
                </w:p>
              </w:tc>
              <w:tc>
                <w:tcPr>
                  <w:tcW w:w="1115" w:type="pct"/>
                  <w:noWrap w:val="0"/>
                  <w:vAlign w:val="center"/>
                </w:tcPr>
                <w:p>
                  <w:pPr>
                    <w:pStyle w:val="53"/>
                    <w:adjustRightInd w:val="0"/>
                    <w:snapToGrid w:val="0"/>
                    <w:rPr>
                      <w:rFonts w:hint="eastAsia" w:ascii="Times New Roman" w:hAnsi="Times New Roman" w:eastAsia="宋体"/>
                      <w:lang w:val="en-US" w:eastAsia="zh-CN"/>
                    </w:rPr>
                  </w:pPr>
                  <w:r>
                    <w:rPr>
                      <w:rFonts w:hint="eastAsia" w:ascii="Times New Roman" w:hAnsi="Times New Roman"/>
                      <w:lang w:val="en-US" w:eastAsia="zh-CN"/>
                    </w:rPr>
                    <w:t>1</w:t>
                  </w:r>
                </w:p>
              </w:tc>
              <w:tc>
                <w:tcPr>
                  <w:tcW w:w="1088" w:type="pct"/>
                  <w:vMerge w:val="continue"/>
                  <w:noWrap w:val="0"/>
                  <w:vAlign w:val="center"/>
                </w:tcPr>
                <w:p>
                  <w:pPr>
                    <w:pStyle w:val="53"/>
                    <w:adjustRightInd w:val="0"/>
                    <w:snapToGrid w:val="0"/>
                    <w:rPr>
                      <w:rFonts w:ascii="Times New Roman" w:hAnsi="Times New Roman"/>
                    </w:rPr>
                  </w:pPr>
                </w:p>
              </w:tc>
            </w:tr>
          </w:tbl>
          <w:p>
            <w:pPr>
              <w:spacing w:before="120" w:beforeLines="50" w:line="360" w:lineRule="auto"/>
              <w:ind w:firstLine="422" w:firstLineChars="200"/>
              <w:rPr>
                <w:rFonts w:hint="eastAsia"/>
                <w:b/>
                <w:szCs w:val="21"/>
              </w:rPr>
            </w:pPr>
            <w:r>
              <w:rPr>
                <w:rFonts w:hint="eastAsia"/>
                <w:b/>
                <w:szCs w:val="21"/>
              </w:rPr>
              <w:t>5、原辅材料消耗情况</w:t>
            </w:r>
          </w:p>
          <w:p>
            <w:pPr>
              <w:spacing w:before="120" w:beforeLines="50" w:line="360" w:lineRule="auto"/>
              <w:ind w:firstLine="420" w:firstLineChars="200"/>
              <w:rPr>
                <w:rFonts w:hint="eastAsia"/>
              </w:rPr>
            </w:pPr>
            <w:r>
              <w:rPr>
                <w:rFonts w:hint="eastAsia"/>
                <w:bCs/>
                <w:szCs w:val="21"/>
              </w:rPr>
              <w:t>项目原材料消耗主要为能源消耗详见表2-4。</w:t>
            </w:r>
          </w:p>
          <w:p>
            <w:pPr>
              <w:pStyle w:val="23"/>
              <w:spacing w:after="0"/>
              <w:ind w:firstLine="422"/>
              <w:jc w:val="center"/>
              <w:rPr>
                <w:rFonts w:hint="eastAsia"/>
                <w:b/>
                <w:bCs/>
              </w:rPr>
            </w:pPr>
            <w:r>
              <w:rPr>
                <w:rFonts w:hint="eastAsia"/>
                <w:b/>
                <w:bCs/>
              </w:rPr>
              <w:t>表2-4项目原辅材料消耗情况一览表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4"/>
              <w:gridCol w:w="1725"/>
              <w:gridCol w:w="1726"/>
              <w:gridCol w:w="1726"/>
              <w:gridCol w:w="17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4"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Cs w:val="21"/>
                    </w:rPr>
                  </w:pPr>
                  <w:r>
                    <w:rPr>
                      <w:rFonts w:hint="eastAsia"/>
                      <w:b/>
                      <w:szCs w:val="21"/>
                    </w:rPr>
                    <w:t>序号</w:t>
                  </w:r>
                </w:p>
              </w:tc>
              <w:tc>
                <w:tcPr>
                  <w:tcW w:w="1725"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Cs w:val="21"/>
                    </w:rPr>
                  </w:pPr>
                  <w:r>
                    <w:rPr>
                      <w:rFonts w:hint="eastAsia"/>
                      <w:b/>
                      <w:szCs w:val="21"/>
                    </w:rPr>
                    <w:t>名称</w:t>
                  </w:r>
                </w:p>
              </w:tc>
              <w:tc>
                <w:tcPr>
                  <w:tcW w:w="1726"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Cs w:val="21"/>
                    </w:rPr>
                  </w:pPr>
                  <w:r>
                    <w:rPr>
                      <w:rFonts w:hint="eastAsia"/>
                      <w:b/>
                      <w:szCs w:val="21"/>
                    </w:rPr>
                    <w:t>单位</w:t>
                  </w:r>
                </w:p>
              </w:tc>
              <w:tc>
                <w:tcPr>
                  <w:tcW w:w="1726"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Cs w:val="21"/>
                    </w:rPr>
                  </w:pPr>
                  <w:r>
                    <w:rPr>
                      <w:rFonts w:hint="eastAsia"/>
                      <w:b/>
                      <w:szCs w:val="21"/>
                    </w:rPr>
                    <w:t>年消耗定额</w:t>
                  </w:r>
                </w:p>
              </w:tc>
              <w:tc>
                <w:tcPr>
                  <w:tcW w:w="1726"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Cs w:val="21"/>
                    </w:rPr>
                  </w:pPr>
                  <w:r>
                    <w:rPr>
                      <w:rFonts w:hint="eastAsia"/>
                      <w:b/>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Cs w:val="21"/>
                    </w:rPr>
                  </w:pPr>
                  <w:r>
                    <w:rPr>
                      <w:rFonts w:hint="eastAsia"/>
                      <w:bCs/>
                      <w:szCs w:val="21"/>
                    </w:rPr>
                    <w:t>能耗</w:t>
                  </w:r>
                </w:p>
              </w:tc>
              <w:tc>
                <w:tcPr>
                  <w:tcW w:w="1725"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Cs w:val="21"/>
                    </w:rPr>
                  </w:pPr>
                  <w:r>
                    <w:rPr>
                      <w:rFonts w:hint="eastAsia"/>
                      <w:bCs/>
                      <w:szCs w:val="21"/>
                    </w:rPr>
                    <w:t>汽油</w:t>
                  </w:r>
                </w:p>
              </w:tc>
              <w:tc>
                <w:tcPr>
                  <w:tcW w:w="1726"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Cs w:val="21"/>
                    </w:rPr>
                  </w:pPr>
                  <w:r>
                    <w:rPr>
                      <w:rFonts w:hint="eastAsia"/>
                      <w:bCs/>
                      <w:szCs w:val="21"/>
                    </w:rPr>
                    <w:t>t/a</w:t>
                  </w:r>
                </w:p>
              </w:tc>
              <w:tc>
                <w:tcPr>
                  <w:tcW w:w="1726" w:type="dxa"/>
                  <w:noWrap w:val="0"/>
                  <w:vAlign w:val="center"/>
                </w:tcPr>
                <w:p>
                  <w:pPr>
                    <w:pStyle w:val="48"/>
                    <w:adjustRightInd w:val="0"/>
                    <w:ind w:firstLine="0" w:firstLineChars="0"/>
                    <w:rPr>
                      <w:bCs/>
                      <w:szCs w:val="21"/>
                    </w:rPr>
                  </w:pPr>
                  <w:r>
                    <w:rPr>
                      <w:rFonts w:hint="eastAsia" w:ascii="Times New Roman" w:cs="Times New Roman"/>
                      <w:szCs w:val="21"/>
                      <w:lang w:val="en-US" w:eastAsia="zh-CN"/>
                    </w:rPr>
                    <w:t>9700</w:t>
                  </w:r>
                </w:p>
              </w:tc>
              <w:tc>
                <w:tcPr>
                  <w:tcW w:w="1726" w:type="dxa"/>
                  <w:vMerge w:val="restart"/>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b/>
                      <w:szCs w:val="21"/>
                      <w:lang w:val="en-US" w:eastAsia="zh-CN"/>
                    </w:rPr>
                  </w:pPr>
                  <w:r>
                    <w:rPr>
                      <w:rFonts w:hint="eastAsia"/>
                      <w:bCs/>
                      <w:szCs w:val="21"/>
                    </w:rPr>
                    <w:t>延长</w:t>
                  </w:r>
                  <w:r>
                    <w:rPr>
                      <w:rFonts w:hint="eastAsia"/>
                      <w:bCs/>
                      <w:szCs w:val="21"/>
                      <w:lang w:val="en-US" w:eastAsia="zh-CN"/>
                    </w:rPr>
                    <w:t>咸阳</w:t>
                  </w:r>
                  <w:r>
                    <w:rPr>
                      <w:rFonts w:hint="eastAsia"/>
                      <w:bCs/>
                      <w:szCs w:val="21"/>
                    </w:rPr>
                    <w:t>油库</w:t>
                  </w:r>
                  <w:r>
                    <w:rPr>
                      <w:rFonts w:hint="eastAsia"/>
                      <w:bCs/>
                      <w:szCs w:val="21"/>
                      <w:lang w:eastAsia="zh-CN"/>
                    </w:rPr>
                    <w:t>、</w:t>
                  </w:r>
                  <w:r>
                    <w:rPr>
                      <w:rFonts w:hint="eastAsia"/>
                      <w:bCs/>
                      <w:szCs w:val="21"/>
                      <w:lang w:val="en-US" w:eastAsia="zh-CN"/>
                    </w:rPr>
                    <w:t>高田油库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172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zCs w:val="21"/>
                    </w:rPr>
                  </w:pPr>
                </w:p>
              </w:tc>
              <w:tc>
                <w:tcPr>
                  <w:tcW w:w="1725"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zCs w:val="21"/>
                    </w:rPr>
                  </w:pPr>
                  <w:r>
                    <w:rPr>
                      <w:rFonts w:hint="eastAsia"/>
                      <w:bCs/>
                      <w:szCs w:val="21"/>
                      <w:lang w:val="en-US" w:eastAsia="zh-CN"/>
                    </w:rPr>
                    <w:t>柴</w:t>
                  </w:r>
                  <w:r>
                    <w:rPr>
                      <w:rFonts w:hint="eastAsia"/>
                      <w:bCs/>
                      <w:szCs w:val="21"/>
                    </w:rPr>
                    <w:t>油</w:t>
                  </w:r>
                </w:p>
              </w:tc>
              <w:tc>
                <w:tcPr>
                  <w:tcW w:w="1726"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zCs w:val="21"/>
                    </w:rPr>
                  </w:pPr>
                  <w:r>
                    <w:rPr>
                      <w:rFonts w:hint="eastAsia"/>
                      <w:bCs/>
                      <w:szCs w:val="21"/>
                    </w:rPr>
                    <w:t>t/a</w:t>
                  </w:r>
                </w:p>
              </w:tc>
              <w:tc>
                <w:tcPr>
                  <w:tcW w:w="1726" w:type="dxa"/>
                  <w:noWrap w:val="0"/>
                  <w:vAlign w:val="center"/>
                </w:tcPr>
                <w:p>
                  <w:pPr>
                    <w:pStyle w:val="53"/>
                    <w:adjustRightInd w:val="0"/>
                    <w:snapToGrid w:val="0"/>
                    <w:ind w:firstLine="0" w:firstLineChars="0"/>
                    <w:rPr>
                      <w:rFonts w:hint="eastAsia"/>
                      <w:bCs/>
                      <w:szCs w:val="21"/>
                    </w:rPr>
                  </w:pPr>
                  <w:r>
                    <w:rPr>
                      <w:rFonts w:hint="eastAsia" w:ascii="Times New Roman" w:hAnsi="Times New Roman"/>
                      <w:lang w:val="en-US" w:eastAsia="zh-CN"/>
                    </w:rPr>
                    <w:t>3600</w:t>
                  </w:r>
                </w:p>
              </w:tc>
              <w:tc>
                <w:tcPr>
                  <w:tcW w:w="1726"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4"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zCs w:val="21"/>
                    </w:rPr>
                  </w:pPr>
                </w:p>
              </w:tc>
              <w:tc>
                <w:tcPr>
                  <w:tcW w:w="1725"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Cs w:val="21"/>
                    </w:rPr>
                  </w:pPr>
                  <w:r>
                    <w:rPr>
                      <w:rFonts w:hint="eastAsia"/>
                      <w:bCs/>
                      <w:szCs w:val="21"/>
                    </w:rPr>
                    <w:t>水</w:t>
                  </w:r>
                </w:p>
              </w:tc>
              <w:tc>
                <w:tcPr>
                  <w:tcW w:w="1726"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Cs w:val="21"/>
                    </w:rPr>
                  </w:pPr>
                  <w:r>
                    <w:rPr>
                      <w:rFonts w:hint="eastAsia"/>
                      <w:bCs/>
                      <w:szCs w:val="21"/>
                    </w:rPr>
                    <w:t>m</w:t>
                  </w:r>
                  <w:r>
                    <w:rPr>
                      <w:rFonts w:hint="eastAsia"/>
                      <w:bCs/>
                      <w:szCs w:val="21"/>
                      <w:vertAlign w:val="superscript"/>
                    </w:rPr>
                    <w:t>3</w:t>
                  </w:r>
                  <w:r>
                    <w:rPr>
                      <w:rFonts w:hint="eastAsia"/>
                      <w:bCs/>
                      <w:szCs w:val="21"/>
                    </w:rPr>
                    <w:t>/a</w:t>
                  </w:r>
                </w:p>
              </w:tc>
              <w:tc>
                <w:tcPr>
                  <w:tcW w:w="1726"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Cs w:val="21"/>
                    </w:rPr>
                  </w:pPr>
                  <w:r>
                    <w:rPr>
                      <w:rFonts w:hint="eastAsia"/>
                      <w:bCs/>
                      <w:szCs w:val="21"/>
                    </w:rPr>
                    <w:t>466.9</w:t>
                  </w:r>
                </w:p>
              </w:tc>
              <w:tc>
                <w:tcPr>
                  <w:tcW w:w="1726"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b/>
                      <w:szCs w:val="21"/>
                      <w:lang w:eastAsia="zh-CN"/>
                    </w:rPr>
                  </w:pPr>
                  <w:r>
                    <w:rPr>
                      <w:rFonts w:hint="eastAsia"/>
                      <w:bCs/>
                      <w:szCs w:val="21"/>
                      <w:highlight w:val="none"/>
                      <w:lang w:val="en-US" w:eastAsia="zh-CN"/>
                    </w:rPr>
                    <w:t>市政供水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24" w:type="dxa"/>
                  <w:vMerge w:val="continue"/>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zCs w:val="21"/>
                    </w:rPr>
                  </w:pPr>
                </w:p>
              </w:tc>
              <w:tc>
                <w:tcPr>
                  <w:tcW w:w="1725"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Cs w:val="21"/>
                    </w:rPr>
                  </w:pPr>
                  <w:r>
                    <w:rPr>
                      <w:rFonts w:hint="eastAsia"/>
                      <w:bCs/>
                      <w:szCs w:val="21"/>
                    </w:rPr>
                    <w:t>电</w:t>
                  </w:r>
                </w:p>
              </w:tc>
              <w:tc>
                <w:tcPr>
                  <w:tcW w:w="1726"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Cs w:val="21"/>
                    </w:rPr>
                  </w:pPr>
                  <w:r>
                    <w:rPr>
                      <w:rFonts w:hint="eastAsia"/>
                      <w:bCs/>
                      <w:szCs w:val="21"/>
                    </w:rPr>
                    <w:t>kWh/a</w:t>
                  </w:r>
                </w:p>
              </w:tc>
              <w:tc>
                <w:tcPr>
                  <w:tcW w:w="1726"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szCs w:val="21"/>
                    </w:rPr>
                  </w:pPr>
                  <w:r>
                    <w:rPr>
                      <w:rFonts w:hint="eastAsia"/>
                      <w:bCs/>
                      <w:szCs w:val="21"/>
                    </w:rPr>
                    <w:t>14.6</w:t>
                  </w:r>
                  <w:r>
                    <w:rPr>
                      <w:bCs/>
                      <w:szCs w:val="21"/>
                    </w:rPr>
                    <w:t>×</w:t>
                  </w:r>
                  <w:r>
                    <w:rPr>
                      <w:rFonts w:hint="eastAsia"/>
                      <w:bCs/>
                      <w:szCs w:val="21"/>
                    </w:rPr>
                    <w:t>10</w:t>
                  </w:r>
                  <w:r>
                    <w:rPr>
                      <w:rFonts w:hint="eastAsia"/>
                      <w:bCs/>
                      <w:szCs w:val="21"/>
                      <w:vertAlign w:val="superscript"/>
                    </w:rPr>
                    <w:t>4</w:t>
                  </w:r>
                </w:p>
              </w:tc>
              <w:tc>
                <w:tcPr>
                  <w:tcW w:w="1726" w:type="dxa"/>
                  <w:noWrap w:val="0"/>
                  <w:vAlign w:val="top"/>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szCs w:val="21"/>
                    </w:rPr>
                  </w:pPr>
                  <w:r>
                    <w:rPr>
                      <w:rFonts w:hint="eastAsia"/>
                      <w:bCs/>
                      <w:szCs w:val="21"/>
                    </w:rPr>
                    <w:t>市政供电</w:t>
                  </w:r>
                </w:p>
              </w:tc>
            </w:tr>
          </w:tbl>
          <w:p>
            <w:pPr>
              <w:spacing w:line="360" w:lineRule="auto"/>
              <w:ind w:firstLine="420" w:firstLineChars="200"/>
              <w:textAlignment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（1）原料质量标准</w:t>
            </w:r>
          </w:p>
          <w:p>
            <w:pPr>
              <w:spacing w:line="360" w:lineRule="auto"/>
              <w:ind w:firstLine="420" w:firstLineChars="200"/>
              <w:textAlignment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本项目汽柴油质量满足《车用汽油》（</w:t>
            </w:r>
            <w:r>
              <w:rPr>
                <w:rFonts w:hint="default" w:ascii="Times New Roman" w:hAnsi="Times New Roman" w:eastAsia="宋体" w:cs="Times New Roman"/>
                <w:szCs w:val="21"/>
                <w:lang w:val="en-US" w:eastAsia="zh-CN"/>
              </w:rPr>
              <w:t>GB17930-201</w:t>
            </w:r>
            <w:r>
              <w:rPr>
                <w:rFonts w:hint="eastAsia" w:ascii="Times New Roman" w:hAnsi="Times New Roman" w:eastAsia="宋体" w:cs="Times New Roman"/>
                <w:szCs w:val="21"/>
                <w:lang w:val="en-US" w:eastAsia="zh-CN"/>
              </w:rPr>
              <w:t>6）、《车用柴油》（</w:t>
            </w:r>
            <w:r>
              <w:rPr>
                <w:rFonts w:hint="default" w:ascii="Times New Roman" w:hAnsi="Times New Roman" w:eastAsia="宋体" w:cs="Times New Roman"/>
                <w:szCs w:val="21"/>
                <w:lang w:val="en-US" w:eastAsia="zh-CN"/>
              </w:rPr>
              <w:t>GB19147-201</w:t>
            </w:r>
            <w:r>
              <w:rPr>
                <w:rFonts w:hint="eastAsia" w:ascii="Times New Roman" w:hAnsi="Times New Roman" w:eastAsia="宋体" w:cs="Times New Roman"/>
                <w:szCs w:val="21"/>
                <w:lang w:val="en-US" w:eastAsia="zh-CN"/>
              </w:rPr>
              <w:t>6）标准要求。</w:t>
            </w:r>
          </w:p>
          <w:p>
            <w:pPr>
              <w:spacing w:line="360" w:lineRule="auto"/>
              <w:ind w:firstLine="420" w:firstLineChars="200"/>
              <w:textAlignment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（2）主要原料理化性质</w:t>
            </w:r>
          </w:p>
          <w:p>
            <w:pPr>
              <w:spacing w:line="360" w:lineRule="auto"/>
              <w:ind w:firstLine="420" w:firstLineChars="200"/>
              <w:textAlignment w:val="center"/>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该加油站的汽油、柴油的主要特性见表</w:t>
            </w:r>
            <w:r>
              <w:rPr>
                <w:rFonts w:hint="default" w:ascii="Times New Roman" w:hAnsi="Times New Roman" w:eastAsia="宋体" w:cs="Times New Roman"/>
                <w:szCs w:val="21"/>
                <w:lang w:val="en-US" w:eastAsia="zh-CN"/>
              </w:rPr>
              <w:t>2-</w:t>
            </w:r>
            <w:r>
              <w:rPr>
                <w:rFonts w:hint="eastAsia" w:ascii="Times New Roman" w:hAnsi="Times New Roman" w:eastAsia="宋体" w:cs="Times New Roman"/>
                <w:szCs w:val="21"/>
                <w:lang w:val="en-US" w:eastAsia="zh-CN"/>
              </w:rPr>
              <w:t>5。</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center"/>
              <w:textAlignment w:val="auto"/>
              <w:rPr>
                <w:rFonts w:hint="eastAsia" w:ascii="Times New Roman" w:hAnsi="Times New Roman" w:eastAsia="宋体" w:cs="Times New Roman"/>
                <w:bCs/>
                <w:szCs w:val="21"/>
              </w:rPr>
            </w:pPr>
            <w:r>
              <w:rPr>
                <w:rFonts w:hint="eastAsia" w:ascii="Times New Roman" w:hAnsi="Times New Roman" w:eastAsia="宋体" w:cs="Times New Roman"/>
                <w:b/>
                <w:bCs w:val="0"/>
                <w:szCs w:val="21"/>
                <w:lang w:val="en-US" w:eastAsia="zh-CN"/>
              </w:rPr>
              <w:t>表</w:t>
            </w:r>
            <w:r>
              <w:rPr>
                <w:rFonts w:hint="default" w:ascii="Times New Roman" w:hAnsi="Times New Roman" w:eastAsia="宋体" w:cs="Times New Roman"/>
                <w:b/>
                <w:bCs w:val="0"/>
                <w:szCs w:val="21"/>
                <w:lang w:val="en-US" w:eastAsia="zh-CN"/>
              </w:rPr>
              <w:t>2-</w:t>
            </w:r>
            <w:r>
              <w:rPr>
                <w:rFonts w:hint="eastAsia" w:ascii="Times New Roman" w:hAnsi="Times New Roman" w:eastAsia="宋体" w:cs="Times New Roman"/>
                <w:b/>
                <w:bCs w:val="0"/>
                <w:szCs w:val="21"/>
                <w:lang w:val="en-US" w:eastAsia="zh-CN"/>
              </w:rPr>
              <w:t>5汽油、柴油的主要特性</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2880"/>
              <w:gridCol w:w="2880"/>
              <w:gridCol w:w="2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80" w:type="dxa"/>
                  <w:noWrap w:val="0"/>
                  <w:vAlign w:val="center"/>
                </w:tcPr>
                <w:p>
                  <w:pPr>
                    <w:keepNext w:val="0"/>
                    <w:keepLines w:val="0"/>
                    <w:widowControl/>
                    <w:suppressLineNumbers w:val="0"/>
                    <w:spacing w:before="120" w:beforeLines="50" w:line="36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b/>
                      <w:bCs/>
                      <w:color w:val="000000"/>
                      <w:kern w:val="0"/>
                      <w:sz w:val="21"/>
                      <w:szCs w:val="21"/>
                      <w:lang w:val="en-US" w:eastAsia="zh-CN" w:bidi="ar"/>
                    </w:rPr>
                    <w:t>样品名称</w:t>
                  </w:r>
                </w:p>
              </w:tc>
              <w:tc>
                <w:tcPr>
                  <w:tcW w:w="2880" w:type="dxa"/>
                  <w:noWrap w:val="0"/>
                  <w:vAlign w:val="center"/>
                </w:tcPr>
                <w:p>
                  <w:pPr>
                    <w:keepNext w:val="0"/>
                    <w:keepLines w:val="0"/>
                    <w:widowControl/>
                    <w:suppressLineNumbers w:val="0"/>
                    <w:spacing w:before="120" w:beforeLines="50" w:line="36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b/>
                      <w:bCs/>
                      <w:color w:val="000000"/>
                      <w:kern w:val="0"/>
                      <w:sz w:val="21"/>
                      <w:szCs w:val="21"/>
                      <w:lang w:val="en-US" w:eastAsia="zh-CN" w:bidi="ar"/>
                    </w:rPr>
                    <w:t>样品名称</w:t>
                  </w:r>
                </w:p>
              </w:tc>
              <w:tc>
                <w:tcPr>
                  <w:tcW w:w="2881" w:type="dxa"/>
                  <w:noWrap w:val="0"/>
                  <w:vAlign w:val="center"/>
                </w:tcPr>
                <w:p>
                  <w:pPr>
                    <w:keepNext w:val="0"/>
                    <w:keepLines w:val="0"/>
                    <w:widowControl/>
                    <w:suppressLineNumbers w:val="0"/>
                    <w:spacing w:before="120" w:beforeLines="50" w:line="36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b/>
                      <w:bCs/>
                      <w:color w:val="000000"/>
                      <w:kern w:val="0"/>
                      <w:sz w:val="21"/>
                      <w:szCs w:val="21"/>
                      <w:lang w:val="en-US" w:eastAsia="zh-CN" w:bidi="ar"/>
                    </w:rPr>
                    <w:t>样品名称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80"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状态</w:t>
                  </w:r>
                </w:p>
              </w:tc>
              <w:tc>
                <w:tcPr>
                  <w:tcW w:w="2880"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无色或淡黄色易挥发液体</w:t>
                  </w:r>
                </w:p>
              </w:tc>
              <w:tc>
                <w:tcPr>
                  <w:tcW w:w="2881"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淡黄色液态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0"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储存温度</w:t>
                  </w:r>
                  <w:r>
                    <w:rPr>
                      <w:rFonts w:hint="eastAsia" w:ascii="Times New Roman" w:hAnsi="Times New Roman" w:eastAsia="宋体"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w:t>
                  </w:r>
                  <w:r>
                    <w:rPr>
                      <w:rFonts w:hint="eastAsia" w:ascii="Times New Roman" w:hAnsi="Times New Roman" w:eastAsia="宋体" w:cs="Times New Roman"/>
                      <w:color w:val="000000"/>
                      <w:kern w:val="0"/>
                      <w:sz w:val="21"/>
                      <w:szCs w:val="21"/>
                      <w:lang w:val="en-US" w:eastAsia="zh-CN" w:bidi="ar"/>
                    </w:rPr>
                    <w:t>）</w:t>
                  </w:r>
                </w:p>
              </w:tc>
              <w:tc>
                <w:tcPr>
                  <w:tcW w:w="2880"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常温</w:t>
                  </w:r>
                </w:p>
              </w:tc>
              <w:tc>
                <w:tcPr>
                  <w:tcW w:w="2881"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常温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0"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密度</w:t>
                  </w:r>
                  <w:r>
                    <w:rPr>
                      <w:rFonts w:hint="eastAsia" w:ascii="Times New Roman" w:hAnsi="Times New Roman" w:eastAsia="宋体"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kg/m</w:t>
                  </w:r>
                  <w:r>
                    <w:rPr>
                      <w:rFonts w:hint="default" w:ascii="Times New Roman" w:hAnsi="Times New Roman" w:eastAsia="宋体" w:cs="Times New Roman"/>
                      <w:color w:val="000000"/>
                      <w:kern w:val="0"/>
                      <w:sz w:val="21"/>
                      <w:szCs w:val="21"/>
                      <w:vertAlign w:val="superscript"/>
                      <w:lang w:val="en-US" w:eastAsia="zh-CN" w:bidi="ar"/>
                    </w:rPr>
                    <w:t>3</w:t>
                  </w:r>
                  <w:r>
                    <w:rPr>
                      <w:rFonts w:hint="eastAsia" w:ascii="Times New Roman" w:hAnsi="Times New Roman" w:eastAsia="宋体" w:cs="Times New Roman"/>
                      <w:color w:val="000000"/>
                      <w:kern w:val="0"/>
                      <w:sz w:val="21"/>
                      <w:szCs w:val="21"/>
                      <w:lang w:val="en-US" w:eastAsia="zh-CN" w:bidi="ar"/>
                    </w:rPr>
                    <w:t>）</w:t>
                  </w:r>
                </w:p>
              </w:tc>
              <w:tc>
                <w:tcPr>
                  <w:tcW w:w="2880"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700~790</w:t>
                  </w:r>
                </w:p>
              </w:tc>
              <w:tc>
                <w:tcPr>
                  <w:tcW w:w="2881"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820~860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80"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运动粘度</w:t>
                  </w:r>
                  <w:r>
                    <w:rPr>
                      <w:rFonts w:hint="eastAsia" w:ascii="Times New Roman" w:hAnsi="Times New Roman" w:eastAsia="宋体"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mm</w:t>
                  </w:r>
                  <w:r>
                    <w:rPr>
                      <w:rFonts w:hint="default" w:ascii="Times New Roman" w:hAnsi="Times New Roman" w:eastAsia="宋体" w:cs="Times New Roman"/>
                      <w:color w:val="000000"/>
                      <w:kern w:val="0"/>
                      <w:sz w:val="21"/>
                      <w:szCs w:val="21"/>
                      <w:vertAlign w:val="superscript"/>
                      <w:lang w:val="en-US" w:eastAsia="zh-CN" w:bidi="ar"/>
                    </w:rPr>
                    <w:t>2</w:t>
                  </w:r>
                  <w:r>
                    <w:rPr>
                      <w:rFonts w:hint="default" w:ascii="Times New Roman" w:hAnsi="Times New Roman" w:eastAsia="宋体" w:cs="Times New Roman"/>
                      <w:color w:val="000000"/>
                      <w:kern w:val="0"/>
                      <w:sz w:val="21"/>
                      <w:szCs w:val="21"/>
                      <w:lang w:val="en-US" w:eastAsia="zh-CN" w:bidi="ar"/>
                    </w:rPr>
                    <w:t>/s</w:t>
                  </w:r>
                  <w:r>
                    <w:rPr>
                      <w:rFonts w:hint="eastAsia" w:ascii="Times New Roman" w:hAnsi="Times New Roman" w:eastAsia="宋体" w:cs="Times New Roman"/>
                      <w:color w:val="000000"/>
                      <w:kern w:val="0"/>
                      <w:sz w:val="21"/>
                      <w:szCs w:val="21"/>
                      <w:lang w:val="en-US" w:eastAsia="zh-CN" w:bidi="ar"/>
                    </w:rPr>
                    <w:t>）</w:t>
                  </w:r>
                </w:p>
              </w:tc>
              <w:tc>
                <w:tcPr>
                  <w:tcW w:w="2880"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0.69-0.85</w:t>
                  </w:r>
                </w:p>
              </w:tc>
              <w:tc>
                <w:tcPr>
                  <w:tcW w:w="2881"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1.8～8.0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80"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饱和蒸气压</w:t>
                  </w:r>
                  <w:r>
                    <w:rPr>
                      <w:rFonts w:hint="eastAsia" w:ascii="Times New Roman" w:hAnsi="Times New Roman" w:eastAsia="宋体"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kpa</w:t>
                  </w:r>
                  <w:r>
                    <w:rPr>
                      <w:rFonts w:hint="eastAsia" w:ascii="Times New Roman" w:hAnsi="Times New Roman" w:eastAsia="宋体" w:cs="Times New Roman"/>
                      <w:color w:val="000000"/>
                      <w:kern w:val="0"/>
                      <w:sz w:val="21"/>
                      <w:szCs w:val="21"/>
                      <w:lang w:val="en-US" w:eastAsia="zh-CN" w:bidi="ar"/>
                    </w:rPr>
                    <w:t>）</w:t>
                  </w:r>
                </w:p>
              </w:tc>
              <w:tc>
                <w:tcPr>
                  <w:tcW w:w="2880"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夏天不大于74kpa，冬天不大于88kpa</w:t>
                  </w:r>
                </w:p>
              </w:tc>
              <w:tc>
                <w:tcPr>
                  <w:tcW w:w="2881" w:type="dxa"/>
                  <w:noWrap w:val="0"/>
                  <w:vAlign w:val="center"/>
                </w:tcPr>
                <w:p>
                  <w:pPr>
                    <w:keepNext w:val="0"/>
                    <w:keepLines w:val="0"/>
                    <w:widowControl/>
                    <w:suppressLineNumbers w:val="0"/>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不可知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90" w:hRule="atLeast"/>
              </w:trPr>
              <w:tc>
                <w:tcPr>
                  <w:tcW w:w="288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闪点</w:t>
                  </w:r>
                  <w:r>
                    <w:rPr>
                      <w:rFonts w:hint="eastAsia" w:ascii="Times New Roman" w:hAnsi="Times New Roman" w:eastAsia="宋体"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w:t>
                  </w:r>
                  <w:r>
                    <w:rPr>
                      <w:rFonts w:hint="eastAsia" w:ascii="Times New Roman" w:hAnsi="Times New Roman" w:eastAsia="宋体" w:cs="Times New Roman"/>
                      <w:color w:val="000000"/>
                      <w:kern w:val="0"/>
                      <w:sz w:val="21"/>
                      <w:szCs w:val="21"/>
                      <w:lang w:val="en-US" w:eastAsia="zh-CN" w:bidi="ar"/>
                    </w:rPr>
                    <w:t>）</w:t>
                  </w:r>
                </w:p>
              </w:tc>
              <w:tc>
                <w:tcPr>
                  <w:tcW w:w="2880" w:type="dxa"/>
                  <w:noWrap w:val="0"/>
                  <w:vAlign w:val="center"/>
                </w:tcPr>
                <w:p>
                  <w:pPr>
                    <w:keepNext w:val="0"/>
                    <w:keepLines w:val="0"/>
                    <w:widowControl/>
                    <w:suppressLineNumbers w:val="0"/>
                    <w:spacing w:line="24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＜18</w:t>
                  </w:r>
                </w:p>
              </w:tc>
              <w:tc>
                <w:tcPr>
                  <w:tcW w:w="2881" w:type="dxa"/>
                  <w:noWrap w:val="0"/>
                  <w:vAlign w:val="center"/>
                </w:tcPr>
                <w:p>
                  <w:pPr>
                    <w:keepNext w:val="0"/>
                    <w:keepLines w:val="0"/>
                    <w:widowControl/>
                    <w:suppressLineNumbers w:val="0"/>
                    <w:spacing w:line="24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45～55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80" w:type="dxa"/>
                  <w:noWrap w:val="0"/>
                  <w:vAlign w:val="center"/>
                </w:tcPr>
                <w:p>
                  <w:pPr>
                    <w:keepNext w:val="0"/>
                    <w:keepLines w:val="0"/>
                    <w:widowControl/>
                    <w:suppressLineNumbers w:val="0"/>
                    <w:spacing w:line="24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蒸气相对密度</w:t>
                  </w:r>
                  <w:r>
                    <w:rPr>
                      <w:rFonts w:hint="eastAsia" w:ascii="Times New Roman" w:hAnsi="Times New Roman" w:eastAsia="宋体"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空气=1</w:t>
                  </w:r>
                  <w:r>
                    <w:rPr>
                      <w:rFonts w:hint="eastAsia" w:ascii="Times New Roman" w:hAnsi="Times New Roman" w:eastAsia="宋体" w:cs="Times New Roman"/>
                      <w:color w:val="000000"/>
                      <w:kern w:val="0"/>
                      <w:sz w:val="21"/>
                      <w:szCs w:val="21"/>
                      <w:lang w:val="en-US" w:eastAsia="zh-CN" w:bidi="ar"/>
                    </w:rPr>
                    <w:t>）</w:t>
                  </w:r>
                </w:p>
              </w:tc>
              <w:tc>
                <w:tcPr>
                  <w:tcW w:w="2880" w:type="dxa"/>
                  <w:noWrap w:val="0"/>
                  <w:vAlign w:val="center"/>
                </w:tcPr>
                <w:p>
                  <w:pPr>
                    <w:keepNext w:val="0"/>
                    <w:keepLines w:val="0"/>
                    <w:widowControl/>
                    <w:suppressLineNumbers w:val="0"/>
                    <w:spacing w:line="24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≈3.5</w:t>
                  </w:r>
                </w:p>
              </w:tc>
              <w:tc>
                <w:tcPr>
                  <w:tcW w:w="2881" w:type="dxa"/>
                  <w:noWrap w:val="0"/>
                  <w:vAlign w:val="center"/>
                </w:tcPr>
                <w:p>
                  <w:pPr>
                    <w:keepNext w:val="0"/>
                    <w:keepLines w:val="0"/>
                    <w:widowControl/>
                    <w:suppressLineNumbers w:val="0"/>
                    <w:spacing w:line="24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80" w:type="dxa"/>
                  <w:noWrap w:val="0"/>
                  <w:vAlign w:val="center"/>
                </w:tcPr>
                <w:p>
                  <w:pPr>
                    <w:keepNext w:val="0"/>
                    <w:keepLines w:val="0"/>
                    <w:widowControl/>
                    <w:suppressLineNumbers w:val="0"/>
                    <w:spacing w:line="24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爆炸极限</w:t>
                  </w:r>
                  <w:r>
                    <w:rPr>
                      <w:rFonts w:hint="eastAsia" w:ascii="Times New Roman" w:hAnsi="Times New Roman" w:eastAsia="宋体"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V%</w:t>
                  </w:r>
                  <w:r>
                    <w:rPr>
                      <w:rFonts w:hint="eastAsia" w:ascii="Times New Roman" w:hAnsi="Times New Roman" w:eastAsia="宋体" w:cs="Times New Roman"/>
                      <w:color w:val="000000"/>
                      <w:kern w:val="0"/>
                      <w:sz w:val="21"/>
                      <w:szCs w:val="21"/>
                      <w:lang w:val="en-US" w:eastAsia="zh-CN" w:bidi="ar"/>
                    </w:rPr>
                    <w:t>）</w:t>
                  </w:r>
                </w:p>
              </w:tc>
              <w:tc>
                <w:tcPr>
                  <w:tcW w:w="2880" w:type="dxa"/>
                  <w:noWrap w:val="0"/>
                  <w:vAlign w:val="center"/>
                </w:tcPr>
                <w:p>
                  <w:pPr>
                    <w:keepNext w:val="0"/>
                    <w:keepLines w:val="0"/>
                    <w:widowControl/>
                    <w:suppressLineNumbers w:val="0"/>
                    <w:spacing w:line="24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1.58-6.48</w:t>
                  </w:r>
                </w:p>
              </w:tc>
              <w:tc>
                <w:tcPr>
                  <w:tcW w:w="2881" w:type="dxa"/>
                  <w:noWrap w:val="0"/>
                  <w:vAlign w:val="center"/>
                </w:tcPr>
                <w:p>
                  <w:pPr>
                    <w:keepNext w:val="0"/>
                    <w:keepLines w:val="0"/>
                    <w:widowControl/>
                    <w:suppressLineNumbers w:val="0"/>
                    <w:spacing w:line="24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0.6～6.5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80" w:type="dxa"/>
                  <w:noWrap w:val="0"/>
                  <w:vAlign w:val="center"/>
                </w:tcPr>
                <w:p>
                  <w:pPr>
                    <w:keepNext w:val="0"/>
                    <w:keepLines w:val="0"/>
                    <w:widowControl/>
                    <w:suppressLineNumbers w:val="0"/>
                    <w:spacing w:line="24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火灾危险类别</w:t>
                  </w:r>
                </w:p>
              </w:tc>
              <w:tc>
                <w:tcPr>
                  <w:tcW w:w="2880" w:type="dxa"/>
                  <w:noWrap w:val="0"/>
                  <w:vAlign w:val="center"/>
                </w:tcPr>
                <w:p>
                  <w:pPr>
                    <w:keepNext w:val="0"/>
                    <w:keepLines w:val="0"/>
                    <w:widowControl/>
                    <w:suppressLineNumbers w:val="0"/>
                    <w:spacing w:line="24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甲B</w:t>
                  </w:r>
                </w:p>
              </w:tc>
              <w:tc>
                <w:tcPr>
                  <w:tcW w:w="2881" w:type="dxa"/>
                  <w:noWrap w:val="0"/>
                  <w:vAlign w:val="center"/>
                </w:tcPr>
                <w:p>
                  <w:pPr>
                    <w:keepNext w:val="0"/>
                    <w:keepLines w:val="0"/>
                    <w:widowControl/>
                    <w:suppressLineNumbers w:val="0"/>
                    <w:spacing w:line="240" w:lineRule="auto"/>
                    <w:jc w:val="center"/>
                    <w:rPr>
                      <w:rFonts w:hint="default" w:ascii="Times New Roman" w:hAnsi="Times New Roman" w:cs="Times New Roman"/>
                      <w:b/>
                      <w:sz w:val="21"/>
                      <w:szCs w:val="21"/>
                      <w:vertAlign w:val="baseline"/>
                    </w:rPr>
                  </w:pPr>
                  <w:r>
                    <w:rPr>
                      <w:rFonts w:hint="default" w:ascii="Times New Roman" w:hAnsi="Times New Roman" w:eastAsia="宋体" w:cs="Times New Roman"/>
                      <w:color w:val="000000"/>
                      <w:kern w:val="0"/>
                      <w:sz w:val="21"/>
                      <w:szCs w:val="21"/>
                      <w:lang w:val="en-US" w:eastAsia="zh-CN" w:bidi="ar"/>
                    </w:rPr>
                    <w:t>乙B</w:t>
                  </w:r>
                </w:p>
              </w:tc>
            </w:tr>
          </w:tbl>
          <w:p>
            <w:pPr>
              <w:spacing w:before="120" w:beforeLines="50" w:line="360" w:lineRule="auto"/>
              <w:ind w:firstLine="422" w:firstLineChars="200"/>
              <w:rPr>
                <w:b/>
                <w:szCs w:val="21"/>
              </w:rPr>
            </w:pPr>
            <w:r>
              <w:rPr>
                <w:rFonts w:hint="eastAsia"/>
                <w:b/>
                <w:szCs w:val="21"/>
              </w:rPr>
              <w:t>6</w:t>
            </w:r>
            <w:r>
              <w:rPr>
                <w:b/>
                <w:szCs w:val="21"/>
              </w:rPr>
              <w:t>、主要生产设备</w:t>
            </w:r>
          </w:p>
          <w:p>
            <w:pPr>
              <w:spacing w:line="360" w:lineRule="auto"/>
              <w:ind w:firstLine="420" w:firstLineChars="200"/>
              <w:rPr>
                <w:b/>
                <w:szCs w:val="21"/>
              </w:rPr>
            </w:pPr>
            <w:r>
              <w:rPr>
                <w:szCs w:val="21"/>
              </w:rPr>
              <w:t>本项目运营期主要生产设备见表2-</w:t>
            </w:r>
            <w:r>
              <w:rPr>
                <w:rFonts w:hint="eastAsia"/>
                <w:szCs w:val="21"/>
                <w:lang w:val="en-US" w:eastAsia="zh-CN"/>
              </w:rPr>
              <w:t>6</w:t>
            </w:r>
            <w:r>
              <w:rPr>
                <w:rFonts w:hint="eastAsia"/>
                <w:szCs w:val="21"/>
              </w:rPr>
              <w:t>。</w:t>
            </w:r>
          </w:p>
          <w:p>
            <w:pPr>
              <w:jc w:val="center"/>
              <w:textAlignment w:val="center"/>
              <w:rPr>
                <w:bCs/>
                <w:szCs w:val="21"/>
              </w:rPr>
            </w:pPr>
            <w:r>
              <w:rPr>
                <w:b/>
                <w:szCs w:val="21"/>
              </w:rPr>
              <w:t>表2-</w:t>
            </w:r>
            <w:r>
              <w:rPr>
                <w:rFonts w:hint="eastAsia"/>
                <w:b/>
                <w:szCs w:val="21"/>
                <w:lang w:val="en-US" w:eastAsia="zh-CN"/>
              </w:rPr>
              <w:t>6</w:t>
            </w:r>
            <w:r>
              <w:rPr>
                <w:b/>
                <w:szCs w:val="21"/>
              </w:rPr>
              <w:t>主要生产设备一览表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785"/>
              <w:gridCol w:w="2419"/>
              <w:gridCol w:w="767"/>
              <w:gridCol w:w="755"/>
              <w:gridCol w:w="2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79" w:type="dxa"/>
                  <w:noWrap w:val="0"/>
                  <w:vAlign w:val="center"/>
                </w:tcPr>
                <w:p>
                  <w:pPr>
                    <w:ind w:left="480" w:hanging="480"/>
                    <w:jc w:val="center"/>
                    <w:rPr>
                      <w:b/>
                      <w:szCs w:val="21"/>
                    </w:rPr>
                  </w:pPr>
                  <w:r>
                    <w:rPr>
                      <w:b/>
                      <w:szCs w:val="21"/>
                    </w:rPr>
                    <w:t>序号</w:t>
                  </w:r>
                </w:p>
              </w:tc>
              <w:tc>
                <w:tcPr>
                  <w:tcW w:w="1785" w:type="dxa"/>
                  <w:noWrap w:val="0"/>
                  <w:vAlign w:val="center"/>
                </w:tcPr>
                <w:p>
                  <w:pPr>
                    <w:ind w:left="480" w:hanging="480"/>
                    <w:jc w:val="center"/>
                    <w:rPr>
                      <w:b/>
                      <w:szCs w:val="21"/>
                    </w:rPr>
                  </w:pPr>
                  <w:r>
                    <w:rPr>
                      <w:b/>
                      <w:szCs w:val="21"/>
                    </w:rPr>
                    <w:t>设备名称</w:t>
                  </w:r>
                </w:p>
              </w:tc>
              <w:tc>
                <w:tcPr>
                  <w:tcW w:w="2419" w:type="dxa"/>
                  <w:noWrap w:val="0"/>
                  <w:vAlign w:val="center"/>
                </w:tcPr>
                <w:p>
                  <w:pPr>
                    <w:ind w:left="480" w:hanging="480"/>
                    <w:jc w:val="center"/>
                    <w:rPr>
                      <w:b/>
                      <w:szCs w:val="21"/>
                    </w:rPr>
                  </w:pPr>
                  <w:r>
                    <w:rPr>
                      <w:b/>
                      <w:szCs w:val="21"/>
                    </w:rPr>
                    <w:t>规格型号</w:t>
                  </w:r>
                </w:p>
              </w:tc>
              <w:tc>
                <w:tcPr>
                  <w:tcW w:w="767" w:type="dxa"/>
                  <w:noWrap w:val="0"/>
                  <w:vAlign w:val="center"/>
                </w:tcPr>
                <w:p>
                  <w:pPr>
                    <w:ind w:left="480" w:hanging="480"/>
                    <w:jc w:val="center"/>
                    <w:rPr>
                      <w:b/>
                      <w:szCs w:val="21"/>
                    </w:rPr>
                  </w:pPr>
                  <w:r>
                    <w:rPr>
                      <w:b/>
                      <w:szCs w:val="21"/>
                    </w:rPr>
                    <w:t>数量</w:t>
                  </w:r>
                </w:p>
              </w:tc>
              <w:tc>
                <w:tcPr>
                  <w:tcW w:w="755" w:type="dxa"/>
                  <w:noWrap w:val="0"/>
                  <w:vAlign w:val="center"/>
                </w:tcPr>
                <w:p>
                  <w:pPr>
                    <w:ind w:left="480" w:hanging="480"/>
                    <w:jc w:val="center"/>
                    <w:rPr>
                      <w:b/>
                      <w:szCs w:val="21"/>
                    </w:rPr>
                  </w:pPr>
                  <w:r>
                    <w:rPr>
                      <w:b/>
                      <w:szCs w:val="21"/>
                    </w:rPr>
                    <w:t>单位</w:t>
                  </w:r>
                </w:p>
              </w:tc>
              <w:tc>
                <w:tcPr>
                  <w:tcW w:w="2226" w:type="dxa"/>
                  <w:noWrap w:val="0"/>
                  <w:vAlign w:val="center"/>
                </w:tcPr>
                <w:p>
                  <w:pPr>
                    <w:ind w:left="480" w:hanging="480"/>
                    <w:jc w:val="center"/>
                    <w:rPr>
                      <w:b/>
                      <w:szCs w:val="21"/>
                    </w:rPr>
                  </w:pPr>
                  <w:r>
                    <w:rPr>
                      <w:b/>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79" w:type="dxa"/>
                  <w:noWrap w:val="0"/>
                  <w:vAlign w:val="center"/>
                </w:tcPr>
                <w:p>
                  <w:pPr>
                    <w:ind w:left="480" w:hanging="480"/>
                    <w:jc w:val="center"/>
                    <w:rPr>
                      <w:rFonts w:hint="eastAsia"/>
                      <w:szCs w:val="21"/>
                    </w:rPr>
                  </w:pPr>
                  <w:r>
                    <w:rPr>
                      <w:rFonts w:hint="eastAsia"/>
                      <w:szCs w:val="21"/>
                    </w:rPr>
                    <w:t>1</w:t>
                  </w:r>
                </w:p>
              </w:tc>
              <w:tc>
                <w:tcPr>
                  <w:tcW w:w="1785" w:type="dxa"/>
                  <w:noWrap w:val="0"/>
                  <w:vAlign w:val="center"/>
                </w:tcPr>
                <w:p>
                  <w:pPr>
                    <w:jc w:val="center"/>
                    <w:rPr>
                      <w:szCs w:val="21"/>
                    </w:rPr>
                  </w:pPr>
                  <w:r>
                    <w:rPr>
                      <w:rFonts w:hint="eastAsia"/>
                      <w:szCs w:val="21"/>
                    </w:rPr>
                    <w:t>埋地</w:t>
                  </w:r>
                  <w:r>
                    <w:rPr>
                      <w:szCs w:val="21"/>
                    </w:rPr>
                    <w:t>卧式</w:t>
                  </w:r>
                </w:p>
                <w:p>
                  <w:pPr>
                    <w:jc w:val="center"/>
                    <w:rPr>
                      <w:szCs w:val="21"/>
                    </w:rPr>
                  </w:pPr>
                  <w:r>
                    <w:rPr>
                      <w:rFonts w:hint="eastAsia"/>
                      <w:szCs w:val="21"/>
                    </w:rPr>
                    <w:t>S</w:t>
                  </w:r>
                  <w:r>
                    <w:rPr>
                      <w:szCs w:val="21"/>
                    </w:rPr>
                    <w:t>F双层油罐</w:t>
                  </w:r>
                </w:p>
              </w:tc>
              <w:tc>
                <w:tcPr>
                  <w:tcW w:w="2419" w:type="dxa"/>
                  <w:noWrap w:val="0"/>
                  <w:vAlign w:val="center"/>
                </w:tcPr>
                <w:p>
                  <w:pPr>
                    <w:jc w:val="center"/>
                    <w:rPr>
                      <w:rFonts w:hint="default" w:eastAsia="宋体"/>
                      <w:szCs w:val="21"/>
                      <w:lang w:val="en-US" w:eastAsia="zh-CN"/>
                    </w:rPr>
                  </w:pPr>
                  <w:r>
                    <w:rPr>
                      <w:szCs w:val="21"/>
                    </w:rPr>
                    <w:t>V=30m</w:t>
                  </w:r>
                  <w:r>
                    <w:rPr>
                      <w:rFonts w:hint="eastAsia"/>
                      <w:szCs w:val="21"/>
                      <w:vertAlign w:val="superscript"/>
                    </w:rPr>
                    <w:t>3</w:t>
                  </w:r>
                </w:p>
              </w:tc>
              <w:tc>
                <w:tcPr>
                  <w:tcW w:w="767" w:type="dxa"/>
                  <w:noWrap w:val="0"/>
                  <w:vAlign w:val="center"/>
                </w:tcPr>
                <w:p>
                  <w:pPr>
                    <w:ind w:left="480" w:hanging="480"/>
                    <w:jc w:val="center"/>
                    <w:rPr>
                      <w:rFonts w:hint="eastAsia" w:eastAsia="宋体"/>
                      <w:szCs w:val="21"/>
                      <w:lang w:eastAsia="zh-CN"/>
                    </w:rPr>
                  </w:pPr>
                  <w:r>
                    <w:rPr>
                      <w:rFonts w:hint="eastAsia"/>
                      <w:szCs w:val="21"/>
                      <w:lang w:val="en-US" w:eastAsia="zh-CN"/>
                    </w:rPr>
                    <w:t>3</w:t>
                  </w:r>
                </w:p>
              </w:tc>
              <w:tc>
                <w:tcPr>
                  <w:tcW w:w="755" w:type="dxa"/>
                  <w:noWrap w:val="0"/>
                  <w:vAlign w:val="center"/>
                </w:tcPr>
                <w:p>
                  <w:pPr>
                    <w:ind w:left="480" w:hanging="480"/>
                    <w:jc w:val="center"/>
                    <w:rPr>
                      <w:rFonts w:hint="eastAsia" w:eastAsia="宋体"/>
                      <w:szCs w:val="21"/>
                      <w:lang w:eastAsia="zh-CN"/>
                    </w:rPr>
                  </w:pPr>
                  <w:r>
                    <w:rPr>
                      <w:rFonts w:hint="eastAsia"/>
                      <w:szCs w:val="21"/>
                      <w:lang w:val="en-US" w:eastAsia="zh-CN"/>
                    </w:rPr>
                    <w:t>个</w:t>
                  </w:r>
                </w:p>
              </w:tc>
              <w:tc>
                <w:tcPr>
                  <w:tcW w:w="2226"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2个为汽油储罐，1个为柴油储罐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679" w:type="dxa"/>
                  <w:noWrap w:val="0"/>
                  <w:vAlign w:val="center"/>
                </w:tcPr>
                <w:p>
                  <w:pPr>
                    <w:ind w:left="480" w:leftChars="0" w:hanging="480" w:firstLineChars="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2</w:t>
                  </w:r>
                </w:p>
              </w:tc>
              <w:tc>
                <w:tcPr>
                  <w:tcW w:w="178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埋地卧式</w:t>
                  </w:r>
                </w:p>
                <w:p>
                  <w:pPr>
                    <w:jc w:val="center"/>
                    <w:rPr>
                      <w:rFonts w:hint="default" w:ascii="Times New Roman" w:hAnsi="Times New Roman" w:cs="Times New Roman"/>
                      <w:sz w:val="21"/>
                      <w:szCs w:val="21"/>
                    </w:rPr>
                  </w:pPr>
                  <w:r>
                    <w:rPr>
                      <w:rFonts w:hint="default" w:ascii="Times New Roman" w:hAnsi="Times New Roman" w:cs="Times New Roman"/>
                      <w:sz w:val="21"/>
                      <w:szCs w:val="21"/>
                    </w:rPr>
                    <w:t>SF双层油罐</w:t>
                  </w:r>
                </w:p>
              </w:tc>
              <w:tc>
                <w:tcPr>
                  <w:tcW w:w="2419" w:type="dxa"/>
                  <w:noWrap w:val="0"/>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V=</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0m</w:t>
                  </w:r>
                  <w:r>
                    <w:rPr>
                      <w:rFonts w:hint="default" w:ascii="Times New Roman" w:hAnsi="Times New Roman" w:cs="Times New Roman"/>
                      <w:sz w:val="21"/>
                      <w:szCs w:val="21"/>
                      <w:vertAlign w:val="superscript"/>
                    </w:rPr>
                    <w:t>3</w:t>
                  </w:r>
                </w:p>
              </w:tc>
              <w:tc>
                <w:tcPr>
                  <w:tcW w:w="767" w:type="dxa"/>
                  <w:noWrap w:val="0"/>
                  <w:vAlign w:val="center"/>
                </w:tcPr>
                <w:p>
                  <w:pPr>
                    <w:ind w:left="480" w:hanging="48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w:t>
                  </w:r>
                </w:p>
              </w:tc>
              <w:tc>
                <w:tcPr>
                  <w:tcW w:w="755" w:type="dxa"/>
                  <w:noWrap w:val="0"/>
                  <w:vAlign w:val="center"/>
                </w:tcPr>
                <w:p>
                  <w:pPr>
                    <w:ind w:left="480" w:hanging="48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个</w:t>
                  </w:r>
                </w:p>
              </w:tc>
              <w:tc>
                <w:tcPr>
                  <w:tcW w:w="2226"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1个为汽油储罐，1个为柴油储罐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679" w:type="dxa"/>
                  <w:noWrap w:val="0"/>
                  <w:vAlign w:val="center"/>
                </w:tcPr>
                <w:p>
                  <w:pPr>
                    <w:ind w:left="480" w:leftChars="0" w:hanging="48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3</w:t>
                  </w:r>
                </w:p>
              </w:tc>
              <w:tc>
                <w:tcPr>
                  <w:tcW w:w="1785" w:type="dxa"/>
                  <w:noWrap w:val="0"/>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加油岛</w:t>
                  </w:r>
                </w:p>
              </w:tc>
              <w:tc>
                <w:tcPr>
                  <w:tcW w:w="2419" w:type="dxa"/>
                  <w:noWrap w:val="0"/>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单柱岛</w:t>
                  </w:r>
                </w:p>
              </w:tc>
              <w:tc>
                <w:tcPr>
                  <w:tcW w:w="767" w:type="dxa"/>
                  <w:noWrap w:val="0"/>
                  <w:vAlign w:val="center"/>
                </w:tcPr>
                <w:p>
                  <w:pPr>
                    <w:ind w:left="480" w:hanging="48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w:t>
                  </w:r>
                </w:p>
              </w:tc>
              <w:tc>
                <w:tcPr>
                  <w:tcW w:w="755" w:type="dxa"/>
                  <w:noWrap w:val="0"/>
                  <w:vAlign w:val="center"/>
                </w:tcPr>
                <w:p>
                  <w:pPr>
                    <w:ind w:left="480" w:hanging="48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座</w:t>
                  </w:r>
                </w:p>
              </w:tc>
              <w:tc>
                <w:tcPr>
                  <w:tcW w:w="2226"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bCs/>
                      <w:kern w:val="4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679" w:type="dxa"/>
                  <w:noWrap w:val="0"/>
                  <w:vAlign w:val="center"/>
                </w:tcPr>
                <w:p>
                  <w:pPr>
                    <w:ind w:left="480" w:leftChars="0" w:hanging="48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w:t>
                  </w:r>
                </w:p>
              </w:tc>
              <w:tc>
                <w:tcPr>
                  <w:tcW w:w="1785"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加油机</w:t>
                  </w:r>
                </w:p>
              </w:tc>
              <w:tc>
                <w:tcPr>
                  <w:tcW w:w="2419" w:type="dxa"/>
                  <w:noWrap w:val="0"/>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六枪三油品潜油泵</w:t>
                  </w:r>
                  <w:r>
                    <w:rPr>
                      <w:rFonts w:hint="eastAsia" w:ascii="Times New Roman" w:hAnsi="Times New Roman" w:eastAsia="宋体" w:cs="Times New Roman"/>
                      <w:color w:val="000000"/>
                      <w:kern w:val="0"/>
                      <w:sz w:val="21"/>
                      <w:szCs w:val="21"/>
                      <w:lang w:val="en-US" w:eastAsia="zh-CN" w:bidi="ar"/>
                    </w:rPr>
                    <w:t>式</w:t>
                  </w:r>
                  <w:r>
                    <w:rPr>
                      <w:rFonts w:hint="default" w:ascii="Times New Roman" w:hAnsi="Times New Roman" w:eastAsia="宋体" w:cs="Times New Roman"/>
                      <w:color w:val="000000"/>
                      <w:kern w:val="0"/>
                      <w:sz w:val="21"/>
                      <w:szCs w:val="21"/>
                      <w:lang w:val="en-US" w:eastAsia="zh-CN" w:bidi="ar"/>
                    </w:rPr>
                    <w:t>加油机</w:t>
                  </w:r>
                </w:p>
              </w:tc>
              <w:tc>
                <w:tcPr>
                  <w:tcW w:w="767" w:type="dxa"/>
                  <w:noWrap w:val="0"/>
                  <w:vAlign w:val="center"/>
                </w:tcPr>
                <w:p>
                  <w:pPr>
                    <w:ind w:left="480" w:hanging="48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w:t>
                  </w:r>
                </w:p>
              </w:tc>
              <w:tc>
                <w:tcPr>
                  <w:tcW w:w="755" w:type="dxa"/>
                  <w:noWrap w:val="0"/>
                  <w:vAlign w:val="center"/>
                </w:tcPr>
                <w:p>
                  <w:pPr>
                    <w:ind w:left="480" w:hanging="48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台</w:t>
                  </w:r>
                </w:p>
              </w:tc>
              <w:tc>
                <w:tcPr>
                  <w:tcW w:w="2226"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bCs/>
                      <w:kern w:val="4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 w:hRule="atLeast"/>
                <w:jc w:val="center"/>
              </w:trPr>
              <w:tc>
                <w:tcPr>
                  <w:tcW w:w="679" w:type="dxa"/>
                  <w:noWrap w:val="0"/>
                  <w:vAlign w:val="center"/>
                </w:tcPr>
                <w:p>
                  <w:pPr>
                    <w:ind w:left="480" w:leftChars="0" w:hanging="48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5</w:t>
                  </w:r>
                </w:p>
              </w:tc>
              <w:tc>
                <w:tcPr>
                  <w:tcW w:w="1785"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防撞柱</w:t>
                  </w:r>
                </w:p>
              </w:tc>
              <w:tc>
                <w:tcPr>
                  <w:tcW w:w="2419"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成品</w:t>
                  </w:r>
                </w:p>
              </w:tc>
              <w:tc>
                <w:tcPr>
                  <w:tcW w:w="767" w:type="dxa"/>
                  <w:noWrap w:val="0"/>
                  <w:vAlign w:val="center"/>
                </w:tcPr>
                <w:p>
                  <w:pPr>
                    <w:ind w:left="480" w:hanging="48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4</w:t>
                  </w:r>
                </w:p>
              </w:tc>
              <w:tc>
                <w:tcPr>
                  <w:tcW w:w="755" w:type="dxa"/>
                  <w:noWrap w:val="0"/>
                  <w:vAlign w:val="center"/>
                </w:tcPr>
                <w:p>
                  <w:pPr>
                    <w:ind w:left="480" w:hanging="48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套</w:t>
                  </w:r>
                </w:p>
              </w:tc>
              <w:tc>
                <w:tcPr>
                  <w:tcW w:w="2226"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bCs/>
                      <w:kern w:val="4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679"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1785"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油气回收处理装置</w:t>
                  </w:r>
                </w:p>
              </w:tc>
              <w:tc>
                <w:tcPr>
                  <w:tcW w:w="2419" w:type="dxa"/>
                  <w:noWrap w:val="0"/>
                  <w:vAlign w:val="center"/>
                </w:tcPr>
                <w:p>
                  <w:pPr>
                    <w:jc w:val="center"/>
                    <w:rPr>
                      <w:rFonts w:hint="default" w:ascii="Times New Roman" w:hAnsi="Times New Roman" w:eastAsia="宋体" w:cs="Times New Roman"/>
                      <w:bCs/>
                      <w:kern w:val="44"/>
                      <w:sz w:val="21"/>
                      <w:szCs w:val="21"/>
                      <w:lang w:val="en-US" w:eastAsia="zh-CN"/>
                    </w:rPr>
                  </w:pPr>
                  <w:r>
                    <w:rPr>
                      <w:rFonts w:hint="default" w:ascii="Times New Roman" w:hAnsi="Times New Roman" w:cs="Times New Roman"/>
                      <w:sz w:val="21"/>
                      <w:szCs w:val="21"/>
                    </w:rPr>
                    <w:t>防爆型</w:t>
                  </w:r>
                </w:p>
              </w:tc>
              <w:tc>
                <w:tcPr>
                  <w:tcW w:w="767" w:type="dxa"/>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1</w:t>
                  </w:r>
                </w:p>
              </w:tc>
              <w:tc>
                <w:tcPr>
                  <w:tcW w:w="75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套</w:t>
                  </w:r>
                </w:p>
              </w:tc>
              <w:tc>
                <w:tcPr>
                  <w:tcW w:w="2226"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9" w:type="dxa"/>
                  <w:noWrap w:val="0"/>
                  <w:vAlign w:val="center"/>
                </w:tcPr>
                <w:p>
                  <w:pPr>
                    <w:ind w:left="480" w:hanging="48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7</w:t>
                  </w:r>
                </w:p>
              </w:tc>
              <w:tc>
                <w:tcPr>
                  <w:tcW w:w="1785"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通气管</w:t>
                  </w:r>
                </w:p>
              </w:tc>
              <w:tc>
                <w:tcPr>
                  <w:tcW w:w="2419" w:type="dxa"/>
                  <w:noWrap w:val="0"/>
                  <w:vAlign w:val="center"/>
                </w:tcPr>
                <w:p>
                  <w:pPr>
                    <w:keepNext w:val="0"/>
                    <w:keepLines w:val="0"/>
                    <w:widowControl/>
                    <w:suppressLineNumbers w:val="0"/>
                    <w:jc w:val="center"/>
                    <w:rPr>
                      <w:rFonts w:hint="default" w:ascii="Times New Roman" w:hAnsi="Times New Roman" w:cs="Times New Roman"/>
                      <w:bCs/>
                      <w:kern w:val="44"/>
                      <w:sz w:val="21"/>
                      <w:szCs w:val="21"/>
                    </w:rPr>
                  </w:pPr>
                  <w:r>
                    <w:rPr>
                      <w:rFonts w:hint="default" w:ascii="Times New Roman" w:hAnsi="Times New Roman" w:eastAsia="宋体" w:cs="Times New Roman"/>
                      <w:color w:val="000000"/>
                      <w:kern w:val="0"/>
                      <w:sz w:val="21"/>
                      <w:szCs w:val="21"/>
                      <w:lang w:val="en-US" w:eastAsia="zh-CN" w:bidi="ar"/>
                    </w:rPr>
                    <w:t>2DN80无缝钢管</w:t>
                  </w:r>
                </w:p>
              </w:tc>
              <w:tc>
                <w:tcPr>
                  <w:tcW w:w="767" w:type="dxa"/>
                  <w:noWrap w:val="0"/>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755" w:type="dxa"/>
                  <w:noWrap w:val="0"/>
                  <w:vAlign w:val="center"/>
                </w:tcPr>
                <w:p>
                  <w:pPr>
                    <w:spacing w:line="360" w:lineRule="exact"/>
                    <w:jc w:val="center"/>
                    <w:rPr>
                      <w:rFonts w:hint="default" w:ascii="Times New Roman" w:hAnsi="Times New Roman" w:cs="Times New Roman"/>
                      <w:bCs/>
                      <w:kern w:val="44"/>
                      <w:sz w:val="21"/>
                      <w:szCs w:val="21"/>
                    </w:rPr>
                  </w:pPr>
                  <w:r>
                    <w:rPr>
                      <w:rFonts w:hint="default" w:ascii="Times New Roman" w:hAnsi="Times New Roman" w:cs="Times New Roman"/>
                      <w:sz w:val="21"/>
                      <w:szCs w:val="21"/>
                      <w:lang w:val="en-US" w:eastAsia="zh-CN"/>
                    </w:rPr>
                    <w:t>套</w:t>
                  </w:r>
                </w:p>
              </w:tc>
              <w:tc>
                <w:tcPr>
                  <w:tcW w:w="2226" w:type="dxa"/>
                  <w:noWrap w:val="0"/>
                  <w:vAlign w:val="center"/>
                </w:tcPr>
                <w:p>
                  <w:pPr>
                    <w:spacing w:line="360" w:lineRule="exact"/>
                    <w:jc w:val="center"/>
                    <w:rPr>
                      <w:rFonts w:hint="default" w:ascii="Times New Roman" w:hAnsi="Times New Roman" w:cs="Times New Roman"/>
                      <w:bCs/>
                      <w:kern w:val="44"/>
                      <w:sz w:val="21"/>
                      <w:szCs w:val="21"/>
                    </w:rPr>
                  </w:pPr>
                  <w:r>
                    <w:rPr>
                      <w:rFonts w:hint="default" w:ascii="Times New Roman" w:hAnsi="Times New Roman" w:cs="Times New Roman"/>
                      <w:bCs/>
                      <w:kern w:val="4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679" w:type="dxa"/>
                  <w:noWrap w:val="0"/>
                  <w:vAlign w:val="center"/>
                </w:tcPr>
                <w:p>
                  <w:pPr>
                    <w:ind w:left="480" w:hanging="48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rPr>
                    <w:t>8</w:t>
                  </w:r>
                </w:p>
              </w:tc>
              <w:tc>
                <w:tcPr>
                  <w:tcW w:w="1785" w:type="dxa"/>
                  <w:noWrap w:val="0"/>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高液位报警液位监测仪</w:t>
                  </w:r>
                </w:p>
              </w:tc>
              <w:tc>
                <w:tcPr>
                  <w:tcW w:w="2419"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w:t>
                  </w:r>
                </w:p>
              </w:tc>
              <w:tc>
                <w:tcPr>
                  <w:tcW w:w="767" w:type="dxa"/>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1</w:t>
                  </w:r>
                </w:p>
              </w:tc>
              <w:tc>
                <w:tcPr>
                  <w:tcW w:w="75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套</w:t>
                  </w:r>
                </w:p>
              </w:tc>
              <w:tc>
                <w:tcPr>
                  <w:tcW w:w="2226" w:type="dxa"/>
                  <w:noWrap w:val="0"/>
                  <w:vAlign w:val="center"/>
                </w:tcPr>
                <w:p>
                  <w:pPr>
                    <w:autoSpaceDE w:val="0"/>
                    <w:autoSpaceDN w:val="0"/>
                    <w:adjustRightInd w:val="0"/>
                    <w:jc w:val="center"/>
                    <w:rPr>
                      <w:rFonts w:hint="default" w:ascii="Times New Roman" w:hAnsi="Times New Roman" w:cs="Times New Roman"/>
                      <w:bCs/>
                      <w:kern w:val="44"/>
                      <w:sz w:val="21"/>
                      <w:szCs w:val="21"/>
                    </w:rPr>
                  </w:pPr>
                  <w:r>
                    <w:rPr>
                      <w:rFonts w:hint="default" w:ascii="Times New Roman" w:hAnsi="Times New Roman" w:cs="Times New Roman"/>
                      <w:bCs/>
                      <w:kern w:val="4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jc w:val="center"/>
              </w:trPr>
              <w:tc>
                <w:tcPr>
                  <w:tcW w:w="679" w:type="dxa"/>
                  <w:noWrap w:val="0"/>
                  <w:vAlign w:val="center"/>
                </w:tcPr>
                <w:p>
                  <w:pPr>
                    <w:ind w:left="480" w:hanging="48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9</w:t>
                  </w:r>
                </w:p>
              </w:tc>
              <w:tc>
                <w:tcPr>
                  <w:tcW w:w="1785" w:type="dxa"/>
                  <w:noWrap w:val="0"/>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视频监控系统</w:t>
                  </w:r>
                </w:p>
              </w:tc>
              <w:tc>
                <w:tcPr>
                  <w:tcW w:w="2419"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w:t>
                  </w:r>
                </w:p>
              </w:tc>
              <w:tc>
                <w:tcPr>
                  <w:tcW w:w="767"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1</w:t>
                  </w:r>
                </w:p>
              </w:tc>
              <w:tc>
                <w:tcPr>
                  <w:tcW w:w="75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套</w:t>
                  </w:r>
                </w:p>
              </w:tc>
              <w:tc>
                <w:tcPr>
                  <w:tcW w:w="2226" w:type="dxa"/>
                  <w:noWrap w:val="0"/>
                  <w:vAlign w:val="center"/>
                </w:tcPr>
                <w:p>
                  <w:pPr>
                    <w:jc w:val="center"/>
                    <w:rPr>
                      <w:rFonts w:hint="default" w:ascii="Times New Roman" w:hAnsi="Times New Roman" w:cs="Times New Roman"/>
                      <w:bCs/>
                      <w:kern w:val="44"/>
                      <w:sz w:val="21"/>
                      <w:szCs w:val="21"/>
                    </w:rPr>
                  </w:pPr>
                  <w:r>
                    <w:rPr>
                      <w:rFonts w:hint="default" w:ascii="Times New Roman" w:hAnsi="Times New Roman" w:cs="Times New Roman"/>
                      <w:bCs/>
                      <w:kern w:val="44"/>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679" w:type="dxa"/>
                  <w:noWrap w:val="0"/>
                  <w:vAlign w:val="center"/>
                </w:tcPr>
                <w:p>
                  <w:pPr>
                    <w:ind w:left="480" w:hanging="48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10</w:t>
                  </w:r>
                </w:p>
              </w:tc>
              <w:tc>
                <w:tcPr>
                  <w:tcW w:w="1785" w:type="dxa"/>
                  <w:noWrap w:val="0"/>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消防器材箱及沙箱</w:t>
                  </w:r>
                </w:p>
              </w:tc>
              <w:tc>
                <w:tcPr>
                  <w:tcW w:w="2419"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bCs/>
                      <w:kern w:val="44"/>
                      <w:sz w:val="21"/>
                      <w:szCs w:val="21"/>
                    </w:rPr>
                    <w:t>/</w:t>
                  </w:r>
                </w:p>
              </w:tc>
              <w:tc>
                <w:tcPr>
                  <w:tcW w:w="767"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w:t>
                  </w:r>
                </w:p>
              </w:tc>
              <w:tc>
                <w:tcPr>
                  <w:tcW w:w="755" w:type="dxa"/>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座</w:t>
                  </w:r>
                </w:p>
              </w:tc>
              <w:tc>
                <w:tcPr>
                  <w:tcW w:w="2226" w:type="dxa"/>
                  <w:noWrap w:val="0"/>
                  <w:vAlign w:val="center"/>
                </w:tcPr>
                <w:p>
                  <w:pPr>
                    <w:spacing w:line="360" w:lineRule="exact"/>
                    <w:jc w:val="center"/>
                    <w:rPr>
                      <w:rFonts w:hint="default" w:ascii="Times New Roman" w:hAnsi="Times New Roman" w:cs="Times New Roman"/>
                      <w:bCs/>
                      <w:kern w:val="44"/>
                      <w:sz w:val="21"/>
                      <w:szCs w:val="21"/>
                    </w:rPr>
                  </w:pPr>
                  <w:r>
                    <w:rPr>
                      <w:rFonts w:hint="default" w:ascii="Times New Roman" w:hAnsi="Times New Roman" w:cs="Times New Roman"/>
                      <w:bCs/>
                      <w:kern w:val="44"/>
                      <w:sz w:val="21"/>
                      <w:szCs w:val="21"/>
                    </w:rPr>
                    <w:t>/</w:t>
                  </w:r>
                </w:p>
              </w:tc>
            </w:tr>
          </w:tbl>
          <w:p>
            <w:pPr>
              <w:spacing w:line="360" w:lineRule="auto"/>
              <w:ind w:firstLine="422" w:firstLineChars="200"/>
              <w:rPr>
                <w:b/>
                <w:szCs w:val="21"/>
              </w:rPr>
            </w:pPr>
            <w:r>
              <w:rPr>
                <w:rFonts w:hint="eastAsia"/>
                <w:b/>
                <w:szCs w:val="21"/>
              </w:rPr>
              <w:t>7、劳动定员</w:t>
            </w:r>
          </w:p>
          <w:p>
            <w:pPr>
              <w:widowControl/>
              <w:spacing w:line="360" w:lineRule="auto"/>
              <w:ind w:firstLine="420" w:firstLineChars="200"/>
              <w:jc w:val="left"/>
              <w:rPr>
                <w:b/>
                <w:szCs w:val="21"/>
              </w:rPr>
            </w:pPr>
            <w:r>
              <w:rPr>
                <w:rFonts w:hint="eastAsia" w:ascii="宋体" w:hAnsi="宋体" w:cs="宋体"/>
                <w:color w:val="000000"/>
                <w:kern w:val="0"/>
                <w:szCs w:val="21"/>
                <w:lang w:bidi="ar"/>
              </w:rPr>
              <w:t>项目劳动定员</w:t>
            </w:r>
            <w:r>
              <w:rPr>
                <w:rFonts w:hint="eastAsia"/>
                <w:color w:val="000000"/>
                <w:kern w:val="0"/>
                <w:szCs w:val="21"/>
                <w:lang w:val="en-US" w:eastAsia="zh-CN" w:bidi="ar"/>
              </w:rPr>
              <w:t>21</w:t>
            </w:r>
            <w:r>
              <w:rPr>
                <w:rFonts w:hint="eastAsia" w:ascii="宋体" w:hAnsi="宋体" w:cs="宋体"/>
                <w:color w:val="000000"/>
                <w:kern w:val="0"/>
                <w:szCs w:val="21"/>
                <w:lang w:bidi="ar"/>
              </w:rPr>
              <w:t>人。</w:t>
            </w:r>
            <w:r>
              <w:rPr>
                <w:rFonts w:hint="eastAsia" w:ascii="宋体" w:hAnsi="宋体" w:cs="宋体"/>
                <w:kern w:val="0"/>
                <w:szCs w:val="21"/>
                <w:lang w:bidi="ar"/>
              </w:rPr>
              <w:t>项目年运行</w:t>
            </w:r>
            <w:r>
              <w:rPr>
                <w:kern w:val="0"/>
                <w:szCs w:val="21"/>
                <w:lang w:bidi="ar"/>
              </w:rPr>
              <w:t>365d</w:t>
            </w:r>
            <w:r>
              <w:rPr>
                <w:rFonts w:hint="eastAsia" w:ascii="宋体" w:hAnsi="宋体" w:cs="宋体"/>
                <w:kern w:val="0"/>
                <w:szCs w:val="21"/>
                <w:lang w:bidi="ar"/>
              </w:rPr>
              <w:t>，三班制，每班工作</w:t>
            </w:r>
            <w:r>
              <w:rPr>
                <w:kern w:val="0"/>
                <w:szCs w:val="21"/>
                <w:lang w:bidi="ar"/>
              </w:rPr>
              <w:t>8h</w:t>
            </w:r>
            <w:r>
              <w:rPr>
                <w:rFonts w:hint="eastAsia" w:ascii="宋体" w:hAnsi="宋体" w:cs="宋体"/>
                <w:kern w:val="0"/>
                <w:szCs w:val="21"/>
                <w:lang w:bidi="ar"/>
              </w:rPr>
              <w:t>。</w:t>
            </w:r>
          </w:p>
          <w:p>
            <w:pPr>
              <w:spacing w:line="360" w:lineRule="auto"/>
              <w:ind w:firstLine="422" w:firstLineChars="200"/>
              <w:rPr>
                <w:b/>
                <w:szCs w:val="21"/>
              </w:rPr>
            </w:pPr>
            <w:r>
              <w:rPr>
                <w:rFonts w:hint="eastAsia"/>
                <w:b/>
                <w:szCs w:val="21"/>
              </w:rPr>
              <w:t>8</w:t>
            </w:r>
            <w:r>
              <w:rPr>
                <w:b/>
                <w:szCs w:val="21"/>
              </w:rPr>
              <w:t>、公用工程</w:t>
            </w:r>
          </w:p>
          <w:p>
            <w:pPr>
              <w:pStyle w:val="3"/>
              <w:spacing w:before="0" w:beforeLines="0" w:after="0" w:afterLines="0"/>
              <w:ind w:firstLine="420" w:firstLineChars="200"/>
              <w:rPr>
                <w:sz w:val="21"/>
                <w:szCs w:val="21"/>
              </w:rPr>
            </w:pPr>
            <w:r>
              <w:rPr>
                <w:sz w:val="21"/>
                <w:szCs w:val="21"/>
              </w:rPr>
              <w:t>（1）给水</w:t>
            </w:r>
          </w:p>
          <w:p>
            <w:pPr>
              <w:spacing w:line="360" w:lineRule="auto"/>
              <w:ind w:firstLine="420" w:firstLineChars="200"/>
              <w:rPr>
                <w:bCs/>
                <w:snapToGrid w:val="0"/>
                <w:kern w:val="0"/>
                <w:szCs w:val="21"/>
              </w:rPr>
            </w:pPr>
            <w:r>
              <w:rPr>
                <w:bCs/>
                <w:snapToGrid w:val="0"/>
                <w:kern w:val="0"/>
                <w:szCs w:val="21"/>
                <w:highlight w:val="none"/>
              </w:rPr>
              <w:t>本项目用水</w:t>
            </w:r>
            <w:r>
              <w:rPr>
                <w:rFonts w:hint="eastAsia"/>
                <w:bCs/>
                <w:snapToGrid w:val="0"/>
                <w:kern w:val="0"/>
                <w:szCs w:val="21"/>
                <w:highlight w:val="none"/>
                <w:lang w:val="en-US" w:eastAsia="zh-CN"/>
              </w:rPr>
              <w:t>来自</w:t>
            </w:r>
            <w:r>
              <w:rPr>
                <w:rFonts w:hint="eastAsia"/>
                <w:bCs/>
                <w:snapToGrid w:val="0"/>
                <w:kern w:val="0"/>
                <w:szCs w:val="21"/>
                <w:highlight w:val="none"/>
                <w:lang w:val="en-US" w:eastAsia="zh-CN"/>
              </w:rPr>
              <w:t>市政供水</w:t>
            </w:r>
            <w:r>
              <w:rPr>
                <w:bCs/>
                <w:snapToGrid w:val="0"/>
                <w:kern w:val="0"/>
                <w:szCs w:val="21"/>
                <w:highlight w:val="none"/>
              </w:rPr>
              <w:t>，</w:t>
            </w:r>
            <w:r>
              <w:rPr>
                <w:bCs/>
                <w:snapToGrid w:val="0"/>
                <w:kern w:val="0"/>
                <w:szCs w:val="21"/>
              </w:rPr>
              <w:t>主要为</w:t>
            </w:r>
            <w:r>
              <w:rPr>
                <w:rFonts w:hint="eastAsia"/>
                <w:bCs/>
                <w:snapToGrid w:val="0"/>
                <w:kern w:val="0"/>
                <w:szCs w:val="21"/>
                <w:lang w:val="en-US" w:eastAsia="zh-CN"/>
              </w:rPr>
              <w:t>职</w:t>
            </w:r>
            <w:r>
              <w:rPr>
                <w:bCs/>
                <w:snapToGrid w:val="0"/>
                <w:kern w:val="0"/>
                <w:szCs w:val="21"/>
              </w:rPr>
              <w:t>工生活用水、</w:t>
            </w:r>
            <w:r>
              <w:rPr>
                <w:szCs w:val="21"/>
              </w:rPr>
              <w:t>顾客生活</w:t>
            </w:r>
            <w:r>
              <w:rPr>
                <w:bCs/>
                <w:snapToGrid w:val="0"/>
                <w:kern w:val="0"/>
                <w:szCs w:val="21"/>
              </w:rPr>
              <w:t>用水</w:t>
            </w:r>
            <w:r>
              <w:rPr>
                <w:rFonts w:hint="eastAsia"/>
                <w:bCs/>
                <w:snapToGrid w:val="0"/>
                <w:kern w:val="0"/>
                <w:szCs w:val="21"/>
                <w:lang w:val="en-US" w:eastAsia="zh-CN"/>
              </w:rPr>
              <w:t>及洗车用水</w:t>
            </w:r>
            <w:r>
              <w:rPr>
                <w:bCs/>
                <w:snapToGrid w:val="0"/>
                <w:kern w:val="0"/>
                <w:szCs w:val="21"/>
              </w:rPr>
              <w:t>。</w:t>
            </w:r>
          </w:p>
          <w:p>
            <w:pPr>
              <w:spacing w:line="360" w:lineRule="auto"/>
              <w:ind w:firstLine="420" w:firstLineChars="200"/>
              <w:rPr>
                <w:bCs/>
                <w:snapToGrid w:val="0"/>
                <w:kern w:val="0"/>
                <w:szCs w:val="21"/>
              </w:rPr>
            </w:pPr>
            <w:r>
              <w:rPr>
                <w:bCs/>
                <w:snapToGrid w:val="0"/>
                <w:kern w:val="0"/>
                <w:szCs w:val="21"/>
              </w:rPr>
              <w:t>①</w:t>
            </w:r>
            <w:r>
              <w:rPr>
                <w:rFonts w:hint="eastAsia"/>
                <w:bCs/>
                <w:snapToGrid w:val="0"/>
                <w:kern w:val="0"/>
                <w:szCs w:val="21"/>
                <w:lang w:val="en-US" w:eastAsia="zh-CN"/>
              </w:rPr>
              <w:t>职</w:t>
            </w:r>
            <w:r>
              <w:rPr>
                <w:bCs/>
                <w:snapToGrid w:val="0"/>
                <w:kern w:val="0"/>
                <w:szCs w:val="21"/>
              </w:rPr>
              <w:t>工</w:t>
            </w:r>
            <w:r>
              <w:rPr>
                <w:bCs/>
                <w:snapToGrid w:val="0"/>
                <w:kern w:val="0"/>
                <w:szCs w:val="21"/>
              </w:rPr>
              <w:t>生活用水</w:t>
            </w:r>
          </w:p>
          <w:p>
            <w:pPr>
              <w:spacing w:line="360" w:lineRule="auto"/>
              <w:ind w:firstLine="420" w:firstLineChars="200"/>
              <w:rPr>
                <w:rFonts w:hint="eastAsia" w:ascii="Times New Roman" w:hAnsi="Times New Roman" w:eastAsia="宋体" w:cs="Times New Roman"/>
                <w:bCs/>
                <w:snapToGrid w:val="0"/>
                <w:kern w:val="0"/>
                <w:szCs w:val="21"/>
                <w:lang w:val="en-US" w:eastAsia="zh-CN"/>
              </w:rPr>
            </w:pPr>
            <w:r>
              <w:rPr>
                <w:rFonts w:hint="eastAsia"/>
                <w:bCs/>
                <w:snapToGrid w:val="0"/>
                <w:kern w:val="0"/>
                <w:sz w:val="21"/>
                <w:szCs w:val="21"/>
                <w:lang w:val="en-US" w:eastAsia="zh-CN"/>
              </w:rPr>
              <w:t>根据建设单位提供资料，本项目加油站</w:t>
            </w:r>
            <w:r>
              <w:rPr>
                <w:rFonts w:hint="eastAsia" w:ascii="Times New Roman" w:hAnsi="Times New Roman" w:eastAsia="宋体" w:cs="Times New Roman"/>
                <w:bCs/>
                <w:snapToGrid w:val="0"/>
                <w:kern w:val="0"/>
                <w:szCs w:val="21"/>
                <w:lang w:val="en-US" w:eastAsia="zh-CN"/>
              </w:rPr>
              <w:t>职工共2</w:t>
            </w:r>
            <w:r>
              <w:rPr>
                <w:rFonts w:hint="default" w:ascii="Times New Roman" w:hAnsi="Times New Roman" w:eastAsia="宋体" w:cs="Times New Roman"/>
                <w:bCs/>
                <w:snapToGrid w:val="0"/>
                <w:kern w:val="0"/>
                <w:szCs w:val="21"/>
                <w:lang w:val="en-US" w:eastAsia="zh-CN"/>
              </w:rPr>
              <w:t>1</w:t>
            </w:r>
            <w:r>
              <w:rPr>
                <w:rFonts w:hint="eastAsia" w:ascii="Times New Roman" w:hAnsi="Times New Roman" w:eastAsia="宋体" w:cs="Times New Roman"/>
                <w:bCs/>
                <w:snapToGrid w:val="0"/>
                <w:kern w:val="0"/>
                <w:szCs w:val="21"/>
                <w:lang w:val="en-US" w:eastAsia="zh-CN"/>
              </w:rPr>
              <w:t>人，站内不设住宿，职工生活用水量为0.63</w:t>
            </w:r>
            <w:r>
              <w:rPr>
                <w:rFonts w:hint="default" w:ascii="Times New Roman" w:hAnsi="Times New Roman" w:eastAsia="宋体" w:cs="Times New Roman"/>
                <w:bCs/>
                <w:snapToGrid w:val="0"/>
                <w:kern w:val="0"/>
                <w:szCs w:val="21"/>
                <w:lang w:val="en-US" w:eastAsia="zh-CN"/>
              </w:rPr>
              <w:t>m</w:t>
            </w:r>
            <w:r>
              <w:rPr>
                <w:rFonts w:hint="default" w:ascii="Times New Roman" w:hAnsi="Times New Roman" w:eastAsia="宋体" w:cs="Times New Roman"/>
                <w:bCs/>
                <w:snapToGrid w:val="0"/>
                <w:kern w:val="0"/>
                <w:szCs w:val="21"/>
                <w:vertAlign w:val="superscript"/>
                <w:lang w:val="en-US" w:eastAsia="zh-CN"/>
              </w:rPr>
              <w:t>3</w:t>
            </w:r>
            <w:r>
              <w:rPr>
                <w:rFonts w:hint="default" w:ascii="Times New Roman" w:hAnsi="Times New Roman" w:eastAsia="宋体" w:cs="Times New Roman"/>
                <w:bCs/>
                <w:snapToGrid w:val="0"/>
                <w:kern w:val="0"/>
                <w:szCs w:val="21"/>
                <w:lang w:val="en-US" w:eastAsia="zh-CN"/>
              </w:rPr>
              <w:t>/</w:t>
            </w:r>
            <w:r>
              <w:rPr>
                <w:rFonts w:hint="eastAsia" w:ascii="Times New Roman" w:hAnsi="Times New Roman" w:eastAsia="宋体" w:cs="Times New Roman"/>
                <w:bCs/>
                <w:snapToGrid w:val="0"/>
                <w:kern w:val="0"/>
                <w:szCs w:val="21"/>
                <w:lang w:val="en-US" w:eastAsia="zh-CN"/>
              </w:rPr>
              <w:t>d（229.95</w:t>
            </w:r>
            <w:r>
              <w:rPr>
                <w:rFonts w:hint="default" w:ascii="Times New Roman" w:hAnsi="Times New Roman" w:eastAsia="宋体" w:cs="Times New Roman"/>
                <w:bCs/>
                <w:snapToGrid w:val="0"/>
                <w:kern w:val="0"/>
                <w:szCs w:val="21"/>
                <w:lang w:val="en-US" w:eastAsia="zh-CN"/>
              </w:rPr>
              <w:t>m</w:t>
            </w:r>
            <w:r>
              <w:rPr>
                <w:rFonts w:hint="default" w:ascii="Times New Roman" w:hAnsi="Times New Roman" w:eastAsia="宋体" w:cs="Times New Roman"/>
                <w:bCs/>
                <w:snapToGrid w:val="0"/>
                <w:kern w:val="0"/>
                <w:szCs w:val="21"/>
                <w:vertAlign w:val="superscript"/>
                <w:lang w:val="en-US" w:eastAsia="zh-CN"/>
              </w:rPr>
              <w:t>3</w:t>
            </w:r>
            <w:r>
              <w:rPr>
                <w:rFonts w:hint="default" w:ascii="Times New Roman" w:hAnsi="Times New Roman" w:eastAsia="宋体" w:cs="Times New Roman"/>
                <w:bCs/>
                <w:snapToGrid w:val="0"/>
                <w:kern w:val="0"/>
                <w:szCs w:val="21"/>
                <w:lang w:val="en-US" w:eastAsia="zh-CN"/>
              </w:rPr>
              <w:t>/</w:t>
            </w:r>
            <w:r>
              <w:rPr>
                <w:rFonts w:hint="eastAsia" w:ascii="Times New Roman" w:hAnsi="Times New Roman" w:eastAsia="宋体" w:cs="Times New Roman"/>
                <w:bCs/>
                <w:snapToGrid w:val="0"/>
                <w:kern w:val="0"/>
                <w:szCs w:val="21"/>
                <w:lang w:val="en-US" w:eastAsia="zh-CN"/>
              </w:rPr>
              <w:t>a）。</w:t>
            </w:r>
          </w:p>
          <w:p>
            <w:pPr>
              <w:spacing w:line="360" w:lineRule="auto"/>
              <w:ind w:firstLine="420" w:firstLineChars="200"/>
              <w:rPr>
                <w:rFonts w:hint="eastAsia" w:ascii="Times New Roman" w:hAnsi="Times New Roman" w:eastAsia="宋体" w:cs="Times New Roman"/>
                <w:bCs/>
                <w:snapToGrid w:val="0"/>
                <w:kern w:val="0"/>
                <w:szCs w:val="21"/>
                <w:lang w:val="en-US" w:eastAsia="zh-CN"/>
              </w:rPr>
            </w:pPr>
            <w:r>
              <w:rPr>
                <w:rFonts w:hint="eastAsia" w:ascii="Times New Roman" w:hAnsi="Times New Roman" w:eastAsia="宋体" w:cs="Times New Roman"/>
                <w:bCs/>
                <w:snapToGrid w:val="0"/>
                <w:kern w:val="0"/>
                <w:szCs w:val="21"/>
                <w:lang w:val="en-US" w:eastAsia="zh-CN"/>
              </w:rPr>
              <w:t>②</w:t>
            </w:r>
            <w:r>
              <w:rPr>
                <w:szCs w:val="21"/>
              </w:rPr>
              <w:t>顾客生活</w:t>
            </w:r>
            <w:r>
              <w:rPr>
                <w:rFonts w:hint="eastAsia" w:ascii="Times New Roman" w:hAnsi="Times New Roman" w:eastAsia="宋体" w:cs="Times New Roman"/>
                <w:bCs/>
                <w:snapToGrid w:val="0"/>
                <w:kern w:val="0"/>
                <w:szCs w:val="21"/>
                <w:lang w:val="en-US" w:eastAsia="zh-CN"/>
              </w:rPr>
              <w:t>用水</w:t>
            </w:r>
          </w:p>
          <w:p>
            <w:pPr>
              <w:spacing w:line="360" w:lineRule="auto"/>
              <w:ind w:firstLine="420" w:firstLineChars="200"/>
              <w:rPr>
                <w:rFonts w:hint="eastAsia" w:ascii="Times New Roman" w:hAnsi="Times New Roman" w:eastAsia="宋体" w:cs="Times New Roman"/>
                <w:bCs/>
                <w:snapToGrid w:val="0"/>
                <w:kern w:val="0"/>
                <w:szCs w:val="21"/>
                <w:lang w:val="en-US" w:eastAsia="zh-CN"/>
              </w:rPr>
            </w:pPr>
            <w:r>
              <w:rPr>
                <w:rFonts w:hint="eastAsia"/>
                <w:bCs/>
                <w:snapToGrid w:val="0"/>
                <w:kern w:val="0"/>
                <w:sz w:val="21"/>
                <w:szCs w:val="21"/>
                <w:lang w:val="en-US" w:eastAsia="zh-CN"/>
              </w:rPr>
              <w:t>根据建设单位提供资料，本项目加油站</w:t>
            </w:r>
            <w:r>
              <w:rPr>
                <w:szCs w:val="21"/>
              </w:rPr>
              <w:t>顾客生活</w:t>
            </w:r>
            <w:r>
              <w:rPr>
                <w:rFonts w:hint="eastAsia" w:ascii="Times New Roman" w:hAnsi="Times New Roman" w:eastAsia="宋体" w:cs="Times New Roman"/>
                <w:bCs/>
                <w:snapToGrid w:val="0"/>
                <w:kern w:val="0"/>
                <w:szCs w:val="21"/>
                <w:lang w:val="en-US" w:eastAsia="zh-CN"/>
              </w:rPr>
              <w:t>用水量为0.9</w:t>
            </w:r>
            <w:r>
              <w:rPr>
                <w:rFonts w:hint="default" w:ascii="Times New Roman" w:hAnsi="Times New Roman" w:eastAsia="宋体" w:cs="Times New Roman"/>
                <w:bCs/>
                <w:snapToGrid w:val="0"/>
                <w:kern w:val="0"/>
                <w:szCs w:val="21"/>
                <w:lang w:val="en-US" w:eastAsia="zh-CN"/>
              </w:rPr>
              <w:t>m</w:t>
            </w:r>
            <w:r>
              <w:rPr>
                <w:rFonts w:hint="default" w:ascii="Times New Roman" w:hAnsi="Times New Roman" w:eastAsia="宋体" w:cs="Times New Roman"/>
                <w:bCs/>
                <w:snapToGrid w:val="0"/>
                <w:kern w:val="0"/>
                <w:szCs w:val="21"/>
                <w:vertAlign w:val="superscript"/>
                <w:lang w:val="en-US" w:eastAsia="zh-CN"/>
              </w:rPr>
              <w:t>3</w:t>
            </w:r>
            <w:r>
              <w:rPr>
                <w:rFonts w:hint="default" w:ascii="Times New Roman" w:hAnsi="Times New Roman" w:eastAsia="宋体" w:cs="Times New Roman"/>
                <w:bCs/>
                <w:snapToGrid w:val="0"/>
                <w:kern w:val="0"/>
                <w:szCs w:val="21"/>
                <w:lang w:val="en-US" w:eastAsia="zh-CN"/>
              </w:rPr>
              <w:t>/</w:t>
            </w:r>
            <w:r>
              <w:rPr>
                <w:rFonts w:hint="eastAsia" w:ascii="Times New Roman" w:hAnsi="Times New Roman" w:eastAsia="宋体" w:cs="Times New Roman"/>
                <w:bCs/>
                <w:snapToGrid w:val="0"/>
                <w:kern w:val="0"/>
                <w:szCs w:val="21"/>
                <w:lang w:val="en-US" w:eastAsia="zh-CN"/>
              </w:rPr>
              <w:t>d（328.5</w:t>
            </w:r>
            <w:r>
              <w:rPr>
                <w:rFonts w:hint="default" w:ascii="Times New Roman" w:hAnsi="Times New Roman" w:eastAsia="宋体" w:cs="Times New Roman"/>
                <w:bCs/>
                <w:snapToGrid w:val="0"/>
                <w:kern w:val="0"/>
                <w:szCs w:val="21"/>
                <w:lang w:val="en-US" w:eastAsia="zh-CN"/>
              </w:rPr>
              <w:t>m</w:t>
            </w:r>
            <w:r>
              <w:rPr>
                <w:rFonts w:hint="default" w:ascii="Times New Roman" w:hAnsi="Times New Roman" w:eastAsia="宋体" w:cs="Times New Roman"/>
                <w:bCs/>
                <w:snapToGrid w:val="0"/>
                <w:kern w:val="0"/>
                <w:szCs w:val="21"/>
                <w:vertAlign w:val="superscript"/>
                <w:lang w:val="en-US" w:eastAsia="zh-CN"/>
              </w:rPr>
              <w:t>3</w:t>
            </w:r>
            <w:r>
              <w:rPr>
                <w:rFonts w:hint="default" w:ascii="Times New Roman" w:hAnsi="Times New Roman" w:eastAsia="宋体" w:cs="Times New Roman"/>
                <w:bCs/>
                <w:snapToGrid w:val="0"/>
                <w:kern w:val="0"/>
                <w:szCs w:val="21"/>
                <w:lang w:val="en-US" w:eastAsia="zh-CN"/>
              </w:rPr>
              <w:t>/</w:t>
            </w:r>
            <w:r>
              <w:rPr>
                <w:rFonts w:hint="eastAsia" w:ascii="Times New Roman" w:hAnsi="Times New Roman" w:eastAsia="宋体" w:cs="Times New Roman"/>
                <w:bCs/>
                <w:snapToGrid w:val="0"/>
                <w:kern w:val="0"/>
                <w:szCs w:val="21"/>
                <w:lang w:val="en-US" w:eastAsia="zh-CN"/>
              </w:rPr>
              <w:t>a）。</w:t>
            </w:r>
          </w:p>
          <w:p>
            <w:pPr>
              <w:spacing w:line="360" w:lineRule="auto"/>
              <w:ind w:firstLine="420" w:firstLineChars="200"/>
              <w:rPr>
                <w:rFonts w:hint="default" w:ascii="Times New Roman" w:hAnsi="Times New Roman" w:eastAsia="宋体" w:cs="Times New Roman"/>
                <w:bCs/>
                <w:snapToGrid w:val="0"/>
                <w:kern w:val="0"/>
                <w:sz w:val="21"/>
                <w:szCs w:val="21"/>
                <w:lang w:val="en-US" w:eastAsia="zh-CN"/>
              </w:rPr>
            </w:pPr>
            <w:r>
              <w:rPr>
                <w:rFonts w:hint="eastAsia" w:ascii="Times New Roman" w:hAnsi="Times New Roman" w:eastAsia="宋体" w:cs="Times New Roman"/>
                <w:bCs/>
                <w:snapToGrid w:val="0"/>
                <w:kern w:val="0"/>
                <w:sz w:val="21"/>
                <w:szCs w:val="21"/>
                <w:lang w:val="en-US" w:eastAsia="zh-CN"/>
              </w:rPr>
              <w:t>③洗车用水</w:t>
            </w:r>
          </w:p>
          <w:p>
            <w:pPr>
              <w:spacing w:line="360" w:lineRule="auto"/>
              <w:ind w:firstLine="420" w:firstLineChars="200"/>
              <w:rPr>
                <w:rFonts w:hint="default" w:ascii="Times New Roman" w:hAnsi="Times New Roman" w:cs="Times New Roman"/>
                <w:sz w:val="21"/>
                <w:szCs w:val="21"/>
              </w:rPr>
            </w:pPr>
            <w:r>
              <w:rPr>
                <w:rFonts w:hint="eastAsia"/>
                <w:bCs/>
                <w:snapToGrid w:val="0"/>
                <w:kern w:val="0"/>
                <w:sz w:val="21"/>
                <w:szCs w:val="21"/>
                <w:lang w:val="en-US" w:eastAsia="zh-CN"/>
              </w:rPr>
              <w:t>根据建设单位提供资料，本项目加油站</w:t>
            </w:r>
            <w:r>
              <w:rPr>
                <w:rFonts w:hint="eastAsia" w:ascii="Times New Roman" w:hAnsi="Times New Roman" w:cs="Times New Roman"/>
                <w:color w:val="auto"/>
                <w:sz w:val="21"/>
                <w:szCs w:val="21"/>
                <w:lang w:val="en-US" w:eastAsia="zh-CN"/>
              </w:rPr>
              <w:t>洗车量约为20辆/d，洗车用水量为</w:t>
            </w:r>
            <w:r>
              <w:rPr>
                <w:rFonts w:hint="eastAsia" w:ascii="Times New Roman" w:hAnsi="Times New Roman" w:cs="Times New Roman"/>
                <w:color w:val="000000"/>
                <w:sz w:val="21"/>
                <w:szCs w:val="21"/>
                <w:lang w:val="en-US" w:eastAsia="zh-CN"/>
              </w:rPr>
              <w:t>4</w:t>
            </w: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3</w:t>
            </w:r>
            <w:r>
              <w:rPr>
                <w:rFonts w:hint="default" w:ascii="Times New Roman" w:hAnsi="Times New Roman" w:cs="Times New Roman"/>
                <w:color w:val="000000"/>
                <w:sz w:val="21"/>
                <w:szCs w:val="21"/>
              </w:rPr>
              <w:t>/d（</w:t>
            </w:r>
            <w:r>
              <w:rPr>
                <w:rFonts w:hint="eastAsia" w:ascii="Times New Roman" w:hAnsi="Times New Roman" w:cs="Times New Roman"/>
                <w:color w:val="000000"/>
                <w:sz w:val="21"/>
                <w:szCs w:val="21"/>
                <w:lang w:val="en-US" w:eastAsia="zh-CN"/>
              </w:rPr>
              <w:t>1460</w:t>
            </w: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3</w:t>
            </w:r>
            <w:r>
              <w:rPr>
                <w:rFonts w:hint="default" w:ascii="Times New Roman" w:hAnsi="Times New Roman" w:cs="Times New Roman"/>
                <w:color w:val="000000"/>
                <w:sz w:val="21"/>
                <w:szCs w:val="21"/>
              </w:rPr>
              <w:t>/a），污水排放系数按0.8计算，则本项目</w:t>
            </w:r>
            <w:r>
              <w:rPr>
                <w:rFonts w:hint="eastAsia" w:ascii="Times New Roman" w:hAnsi="Times New Roman" w:cs="Times New Roman"/>
                <w:color w:val="000000"/>
                <w:sz w:val="21"/>
                <w:szCs w:val="21"/>
                <w:lang w:val="en-US" w:eastAsia="zh-CN"/>
              </w:rPr>
              <w:t>洗车</w:t>
            </w:r>
            <w:r>
              <w:rPr>
                <w:rFonts w:hint="default" w:ascii="Times New Roman" w:hAnsi="Times New Roman" w:cs="Times New Roman"/>
                <w:color w:val="000000"/>
                <w:sz w:val="21"/>
                <w:szCs w:val="21"/>
              </w:rPr>
              <w:t>废水产生量为</w:t>
            </w:r>
            <w:r>
              <w:rPr>
                <w:rFonts w:hint="eastAsia" w:ascii="Times New Roman" w:hAnsi="Times New Roman" w:cs="Times New Roman"/>
                <w:color w:val="000000"/>
                <w:sz w:val="21"/>
                <w:szCs w:val="21"/>
                <w:lang w:val="en-US" w:eastAsia="zh-CN"/>
              </w:rPr>
              <w:t>3.2</w:t>
            </w: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3</w:t>
            </w:r>
            <w:r>
              <w:rPr>
                <w:rFonts w:hint="default" w:ascii="Times New Roman" w:hAnsi="Times New Roman" w:cs="Times New Roman"/>
                <w:color w:val="000000"/>
                <w:sz w:val="21"/>
                <w:szCs w:val="21"/>
              </w:rPr>
              <w:t>/d（</w:t>
            </w:r>
            <w:r>
              <w:rPr>
                <w:rFonts w:hint="eastAsia" w:ascii="Times New Roman" w:hAnsi="Times New Roman" w:cs="Times New Roman"/>
                <w:color w:val="000000"/>
                <w:sz w:val="21"/>
                <w:szCs w:val="21"/>
                <w:lang w:val="en-US" w:eastAsia="zh-CN"/>
              </w:rPr>
              <w:t>1168</w:t>
            </w: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3</w:t>
            </w:r>
            <w:r>
              <w:rPr>
                <w:rFonts w:hint="default" w:ascii="Times New Roman" w:hAnsi="Times New Roman" w:cs="Times New Roman"/>
                <w:color w:val="000000"/>
                <w:sz w:val="21"/>
                <w:szCs w:val="21"/>
              </w:rPr>
              <w:t>/a）</w:t>
            </w:r>
            <w:r>
              <w:rPr>
                <w:rFonts w:hint="eastAsia" w:ascii="Times New Roman" w:hAnsi="Times New Roman" w:cs="Times New Roman"/>
                <w:color w:val="000000"/>
                <w:sz w:val="21"/>
                <w:szCs w:val="21"/>
                <w:lang w:eastAsia="zh-CN"/>
              </w:rPr>
              <w:t>，</w:t>
            </w:r>
            <w:r>
              <w:rPr>
                <w:rFonts w:hint="eastAsia" w:ascii="Times New Roman" w:hAnsi="Times New Roman" w:cs="Times New Roman"/>
                <w:color w:val="000000"/>
                <w:sz w:val="21"/>
                <w:szCs w:val="21"/>
                <w:lang w:val="en-US" w:eastAsia="zh-CN"/>
              </w:rPr>
              <w:t>洗车废</w:t>
            </w:r>
            <w:r>
              <w:rPr>
                <w:rFonts w:hint="default" w:ascii="Times New Roman" w:hAnsi="Times New Roman" w:cs="Times New Roman"/>
                <w:color w:val="000000"/>
                <w:sz w:val="21"/>
                <w:szCs w:val="21"/>
              </w:rPr>
              <w:t>水重复利用不外排，每日补充水量为0.</w:t>
            </w:r>
            <w:r>
              <w:rPr>
                <w:rFonts w:hint="eastAsia" w:ascii="Times New Roman" w:hAnsi="Times New Roman" w:cs="Times New Roman"/>
                <w:color w:val="000000"/>
                <w:sz w:val="21"/>
                <w:szCs w:val="21"/>
                <w:lang w:val="en-US" w:eastAsia="zh-CN"/>
              </w:rPr>
              <w:t>8</w:t>
            </w: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3</w:t>
            </w:r>
            <w:r>
              <w:rPr>
                <w:rFonts w:hint="default" w:ascii="Times New Roman" w:hAnsi="Times New Roman" w:cs="Times New Roman"/>
                <w:color w:val="000000"/>
                <w:sz w:val="21"/>
                <w:szCs w:val="21"/>
              </w:rPr>
              <w:t>/d（</w:t>
            </w:r>
            <w:r>
              <w:rPr>
                <w:rFonts w:hint="eastAsia" w:ascii="Times New Roman" w:hAnsi="Times New Roman" w:cs="Times New Roman"/>
                <w:color w:val="000000"/>
                <w:sz w:val="21"/>
                <w:szCs w:val="21"/>
                <w:lang w:val="en-US" w:eastAsia="zh-CN"/>
              </w:rPr>
              <w:t>292</w:t>
            </w: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3</w:t>
            </w:r>
            <w:r>
              <w:rPr>
                <w:rFonts w:hint="default" w:ascii="Times New Roman" w:hAnsi="Times New Roman" w:cs="Times New Roman"/>
                <w:color w:val="000000"/>
                <w:sz w:val="21"/>
                <w:szCs w:val="21"/>
              </w:rPr>
              <w:t>/a）。</w:t>
            </w:r>
          </w:p>
          <w:p>
            <w:pPr>
              <w:spacing w:line="360" w:lineRule="auto"/>
              <w:ind w:firstLine="420" w:firstLineChars="200"/>
              <w:rPr>
                <w:bCs/>
                <w:snapToGrid w:val="0"/>
                <w:kern w:val="0"/>
                <w:sz w:val="21"/>
                <w:szCs w:val="21"/>
              </w:rPr>
            </w:pPr>
            <w:r>
              <w:rPr>
                <w:bCs/>
                <w:snapToGrid w:val="0"/>
                <w:kern w:val="0"/>
                <w:sz w:val="21"/>
                <w:szCs w:val="21"/>
              </w:rPr>
              <w:t>综上所述，本项目用水量为</w:t>
            </w:r>
            <w:r>
              <w:rPr>
                <w:rFonts w:hint="eastAsia"/>
                <w:bCs/>
                <w:snapToGrid w:val="0"/>
                <w:kern w:val="0"/>
                <w:sz w:val="21"/>
                <w:szCs w:val="21"/>
                <w:lang w:val="en-US" w:eastAsia="zh-CN"/>
              </w:rPr>
              <w:t>2</w:t>
            </w:r>
            <w:r>
              <w:rPr>
                <w:rFonts w:hint="eastAsia"/>
                <w:bCs/>
                <w:snapToGrid w:val="0"/>
                <w:kern w:val="0"/>
                <w:sz w:val="21"/>
                <w:szCs w:val="21"/>
                <w:lang w:val="en-US" w:eastAsia="zh-CN"/>
              </w:rPr>
              <w:t>.33</w:t>
            </w:r>
            <w:r>
              <w:rPr>
                <w:rFonts w:hint="eastAsia"/>
                <w:bCs/>
                <w:snapToGrid w:val="0"/>
                <w:kern w:val="0"/>
                <w:sz w:val="21"/>
                <w:szCs w:val="21"/>
              </w:rPr>
              <w:t>m</w:t>
            </w:r>
            <w:r>
              <w:rPr>
                <w:rFonts w:hint="eastAsia"/>
                <w:bCs/>
                <w:snapToGrid w:val="0"/>
                <w:kern w:val="0"/>
                <w:sz w:val="21"/>
                <w:szCs w:val="21"/>
                <w:vertAlign w:val="superscript"/>
              </w:rPr>
              <w:t>3</w:t>
            </w:r>
            <w:r>
              <w:rPr>
                <w:rFonts w:hint="eastAsia"/>
                <w:bCs/>
                <w:snapToGrid w:val="0"/>
                <w:kern w:val="0"/>
                <w:sz w:val="21"/>
                <w:szCs w:val="21"/>
              </w:rPr>
              <w:t>/d，</w:t>
            </w:r>
            <w:r>
              <w:rPr>
                <w:rFonts w:hint="eastAsia"/>
                <w:bCs/>
                <w:snapToGrid w:val="0"/>
                <w:kern w:val="0"/>
                <w:sz w:val="21"/>
                <w:szCs w:val="21"/>
                <w:lang w:val="en-US" w:eastAsia="zh-CN"/>
              </w:rPr>
              <w:t>8</w:t>
            </w:r>
            <w:r>
              <w:rPr>
                <w:rFonts w:hint="eastAsia"/>
                <w:bCs/>
                <w:snapToGrid w:val="0"/>
                <w:kern w:val="0"/>
                <w:sz w:val="21"/>
                <w:szCs w:val="21"/>
                <w:lang w:val="en-US" w:eastAsia="zh-CN"/>
              </w:rPr>
              <w:t>50.45</w:t>
            </w:r>
            <w:r>
              <w:rPr>
                <w:rFonts w:hint="eastAsia"/>
                <w:bCs/>
                <w:snapToGrid w:val="0"/>
                <w:kern w:val="0"/>
                <w:sz w:val="21"/>
                <w:szCs w:val="21"/>
              </w:rPr>
              <w:t>m</w:t>
            </w:r>
            <w:r>
              <w:rPr>
                <w:rFonts w:hint="eastAsia"/>
                <w:bCs/>
                <w:snapToGrid w:val="0"/>
                <w:kern w:val="0"/>
                <w:sz w:val="21"/>
                <w:szCs w:val="21"/>
                <w:vertAlign w:val="superscript"/>
              </w:rPr>
              <w:t>3</w:t>
            </w:r>
            <w:r>
              <w:rPr>
                <w:rFonts w:hint="eastAsia"/>
                <w:bCs/>
                <w:snapToGrid w:val="0"/>
                <w:kern w:val="0"/>
                <w:sz w:val="21"/>
                <w:szCs w:val="21"/>
              </w:rPr>
              <w:t>/a。</w:t>
            </w:r>
          </w:p>
          <w:p>
            <w:pPr>
              <w:pStyle w:val="3"/>
              <w:spacing w:before="0" w:beforeLines="0" w:after="0" w:afterLines="0"/>
              <w:ind w:firstLine="420" w:firstLineChars="200"/>
              <w:rPr>
                <w:sz w:val="21"/>
                <w:szCs w:val="21"/>
              </w:rPr>
            </w:pPr>
            <w:r>
              <w:rPr>
                <w:sz w:val="21"/>
                <w:szCs w:val="21"/>
              </w:rPr>
              <w:t>（2）排水</w:t>
            </w:r>
          </w:p>
          <w:p>
            <w:pPr>
              <w:spacing w:line="360" w:lineRule="auto"/>
              <w:ind w:firstLine="420" w:firstLineChars="200"/>
              <w:rPr>
                <w:rFonts w:hint="eastAsia"/>
                <w:szCs w:val="21"/>
              </w:rPr>
            </w:pPr>
            <w:r>
              <w:rPr>
                <w:szCs w:val="21"/>
              </w:rPr>
              <w:t>项目实行雨污分流，</w:t>
            </w:r>
            <w:r>
              <w:rPr>
                <w:rFonts w:hint="eastAsia"/>
                <w:szCs w:val="21"/>
              </w:rPr>
              <w:t>站内雨水顺坡道排入站位马路旁雨水管网</w:t>
            </w:r>
            <w:r>
              <w:rPr>
                <w:szCs w:val="21"/>
              </w:rPr>
              <w:t>，</w:t>
            </w:r>
            <w:r>
              <w:rPr>
                <w:rFonts w:hint="eastAsia"/>
                <w:szCs w:val="21"/>
                <w:lang w:val="en-US" w:eastAsia="zh-CN"/>
              </w:rPr>
              <w:t>洗车废水</w:t>
            </w:r>
            <w:r>
              <w:rPr>
                <w:rFonts w:hint="eastAsia" w:ascii="Times New Roman" w:hAnsi="Times New Roman" w:cs="Times New Roman"/>
                <w:color w:val="000000"/>
                <w:sz w:val="21"/>
                <w:szCs w:val="21"/>
                <w:lang w:val="en-US" w:eastAsia="zh-CN"/>
              </w:rPr>
              <w:t>3.2</w:t>
            </w: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3</w:t>
            </w:r>
            <w:r>
              <w:rPr>
                <w:rFonts w:hint="default" w:ascii="Times New Roman" w:hAnsi="Times New Roman" w:cs="Times New Roman"/>
                <w:color w:val="000000"/>
                <w:sz w:val="21"/>
                <w:szCs w:val="21"/>
              </w:rPr>
              <w:t>/d（</w:t>
            </w:r>
            <w:r>
              <w:rPr>
                <w:rFonts w:hint="eastAsia" w:ascii="Times New Roman" w:hAnsi="Times New Roman" w:cs="Times New Roman"/>
                <w:color w:val="000000"/>
                <w:sz w:val="21"/>
                <w:szCs w:val="21"/>
                <w:lang w:val="en-US" w:eastAsia="zh-CN"/>
              </w:rPr>
              <w:t>1168</w:t>
            </w: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3</w:t>
            </w:r>
            <w:r>
              <w:rPr>
                <w:rFonts w:hint="default" w:ascii="Times New Roman" w:hAnsi="Times New Roman" w:cs="Times New Roman"/>
                <w:color w:val="000000"/>
                <w:sz w:val="21"/>
                <w:szCs w:val="21"/>
              </w:rPr>
              <w:t>/a）</w:t>
            </w:r>
            <w:r>
              <w:rPr>
                <w:rFonts w:hint="eastAsia"/>
                <w:szCs w:val="21"/>
                <w:lang w:val="en-US" w:eastAsia="zh-CN"/>
              </w:rPr>
              <w:t>经中水回用设备处理之后回用于车辆冲洗，</w:t>
            </w:r>
            <w:r>
              <w:rPr>
                <w:kern w:val="0"/>
                <w:szCs w:val="21"/>
              </w:rPr>
              <w:t>生活污水</w:t>
            </w:r>
            <w:r>
              <w:rPr>
                <w:rFonts w:hint="eastAsia"/>
                <w:kern w:val="0"/>
                <w:szCs w:val="21"/>
                <w:lang w:val="en-US" w:eastAsia="zh-CN"/>
              </w:rPr>
              <w:t>通过</w:t>
            </w:r>
            <w:r>
              <w:t>化粪池进行处理后</w:t>
            </w:r>
            <w:r>
              <w:rPr>
                <w:rFonts w:hint="eastAsia"/>
                <w:lang w:val="en-US" w:eastAsia="zh-CN"/>
              </w:rPr>
              <w:t>经</w:t>
            </w:r>
            <w:r>
              <w:t>市政污水管网排入西安市第</w:t>
            </w:r>
            <w:r>
              <w:rPr>
                <w:rFonts w:hint="eastAsia"/>
                <w:lang w:val="en-US" w:eastAsia="zh-CN"/>
              </w:rPr>
              <w:t>三</w:t>
            </w:r>
            <w:r>
              <w:t>污水处理厂</w:t>
            </w:r>
            <w:r>
              <w:rPr>
                <w:rFonts w:hint="eastAsia"/>
                <w:szCs w:val="21"/>
              </w:rPr>
              <w:t>。</w:t>
            </w:r>
            <w:r>
              <w:rPr>
                <w:szCs w:val="21"/>
              </w:rPr>
              <w:t>生活污水主要是员工生活污水和顾客生活污水，废水产生量以用水量的80%计，则本项目生活污水的产生量为</w:t>
            </w:r>
            <w:r>
              <w:rPr>
                <w:rFonts w:hint="eastAsia"/>
                <w:szCs w:val="21"/>
                <w:lang w:val="en-US" w:eastAsia="zh-CN"/>
              </w:rPr>
              <w:t>1.224</w:t>
            </w:r>
            <w:r>
              <w:rPr>
                <w:szCs w:val="21"/>
              </w:rPr>
              <w:t>m</w:t>
            </w:r>
            <w:r>
              <w:rPr>
                <w:szCs w:val="21"/>
                <w:vertAlign w:val="superscript"/>
              </w:rPr>
              <w:t>3</w:t>
            </w:r>
            <w:r>
              <w:rPr>
                <w:szCs w:val="21"/>
              </w:rPr>
              <w:t>/d，即</w:t>
            </w:r>
            <w:r>
              <w:rPr>
                <w:rFonts w:hint="eastAsia"/>
                <w:szCs w:val="21"/>
                <w:lang w:val="en-US" w:eastAsia="zh-CN"/>
              </w:rPr>
              <w:t>446.76</w:t>
            </w:r>
            <w:r>
              <w:rPr>
                <w:szCs w:val="21"/>
              </w:rPr>
              <w:t>m</w:t>
            </w:r>
            <w:r>
              <w:rPr>
                <w:szCs w:val="21"/>
                <w:vertAlign w:val="superscript"/>
              </w:rPr>
              <w:t>3</w:t>
            </w:r>
            <w:r>
              <w:rPr>
                <w:szCs w:val="21"/>
              </w:rPr>
              <w:t>/a</w:t>
            </w:r>
            <w:r>
              <w:rPr>
                <w:rFonts w:hint="eastAsia"/>
                <w:szCs w:val="21"/>
              </w:rPr>
              <w:t>。</w:t>
            </w:r>
          </w:p>
          <w:p>
            <w:pPr>
              <w:pStyle w:val="3"/>
              <w:spacing w:before="0" w:beforeLines="0" w:after="0" w:afterLines="0"/>
              <w:ind w:firstLine="420" w:firstLineChars="200"/>
              <w:rPr>
                <w:b/>
                <w:kern w:val="0"/>
                <w:szCs w:val="21"/>
              </w:rPr>
            </w:pPr>
            <w:r>
              <w:rPr>
                <w:sz w:val="21"/>
                <w:szCs w:val="21"/>
              </w:rPr>
              <w:t>本项目用水排水情况见表2-</w:t>
            </w:r>
            <w:r>
              <w:rPr>
                <w:rFonts w:hint="eastAsia"/>
                <w:sz w:val="21"/>
                <w:szCs w:val="21"/>
                <w:lang w:val="en-US" w:eastAsia="zh-CN"/>
              </w:rPr>
              <w:t>7</w:t>
            </w:r>
            <w:r>
              <w:rPr>
                <w:sz w:val="21"/>
                <w:szCs w:val="21"/>
              </w:rPr>
              <w:t>。</w:t>
            </w:r>
          </w:p>
          <w:p>
            <w:pPr>
              <w:snapToGrid w:val="0"/>
              <w:jc w:val="center"/>
              <w:rPr>
                <w:b/>
                <w:kern w:val="0"/>
                <w:szCs w:val="21"/>
              </w:rPr>
            </w:pPr>
            <w:r>
              <w:rPr>
                <w:b/>
                <w:kern w:val="0"/>
                <w:szCs w:val="21"/>
              </w:rPr>
              <w:t>表2-</w:t>
            </w:r>
            <w:r>
              <w:rPr>
                <w:rFonts w:hint="eastAsia"/>
                <w:b/>
                <w:kern w:val="0"/>
                <w:szCs w:val="21"/>
                <w:lang w:val="en-US" w:eastAsia="zh-CN"/>
              </w:rPr>
              <w:t>7</w:t>
            </w:r>
            <w:r>
              <w:rPr>
                <w:b/>
                <w:kern w:val="0"/>
                <w:szCs w:val="21"/>
              </w:rPr>
              <w:t>本项目用排水情况一览表</w:t>
            </w:r>
          </w:p>
          <w:tbl>
            <w:tblPr>
              <w:tblStyle w:val="24"/>
              <w:tblW w:w="86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9"/>
              <w:gridCol w:w="1600"/>
              <w:gridCol w:w="1037"/>
              <w:gridCol w:w="988"/>
              <w:gridCol w:w="1012"/>
              <w:gridCol w:w="1050"/>
              <w:gridCol w:w="2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auto"/>
                <w:trHeight w:val="369" w:hRule="atLeast"/>
                <w:jc w:val="center"/>
              </w:trPr>
              <w:tc>
                <w:tcPr>
                  <w:tcW w:w="1143" w:type="pct"/>
                  <w:gridSpan w:val="2"/>
                  <w:noWrap w:val="0"/>
                  <w:vAlign w:val="center"/>
                </w:tcPr>
                <w:p>
                  <w:pPr>
                    <w:snapToGrid w:val="0"/>
                    <w:jc w:val="center"/>
                    <w:rPr>
                      <w:b/>
                      <w:bCs/>
                      <w:kern w:val="0"/>
                      <w:szCs w:val="21"/>
                    </w:rPr>
                  </w:pPr>
                  <w:r>
                    <w:rPr>
                      <w:b/>
                      <w:bCs/>
                      <w:kern w:val="0"/>
                      <w:szCs w:val="21"/>
                    </w:rPr>
                    <w:t>用水单元</w:t>
                  </w:r>
                </w:p>
              </w:tc>
              <w:tc>
                <w:tcPr>
                  <w:tcW w:w="599" w:type="pct"/>
                  <w:noWrap w:val="0"/>
                  <w:vAlign w:val="center"/>
                </w:tcPr>
                <w:p>
                  <w:pPr>
                    <w:snapToGrid w:val="0"/>
                    <w:jc w:val="center"/>
                    <w:rPr>
                      <w:b/>
                      <w:bCs/>
                      <w:kern w:val="0"/>
                      <w:szCs w:val="21"/>
                    </w:rPr>
                  </w:pPr>
                  <w:r>
                    <w:rPr>
                      <w:b/>
                      <w:bCs/>
                      <w:kern w:val="0"/>
                      <w:szCs w:val="21"/>
                    </w:rPr>
                    <w:t>用水量</w:t>
                  </w:r>
                  <w:bookmarkStart w:id="1" w:name="OLE_LINK2"/>
                  <w:r>
                    <w:rPr>
                      <w:b/>
                      <w:bCs/>
                      <w:kern w:val="0"/>
                      <w:szCs w:val="21"/>
                    </w:rPr>
                    <w:t>（m</w:t>
                  </w:r>
                  <w:r>
                    <w:rPr>
                      <w:b/>
                      <w:bCs/>
                      <w:kern w:val="0"/>
                      <w:szCs w:val="21"/>
                      <w:vertAlign w:val="superscript"/>
                    </w:rPr>
                    <w:t>3</w:t>
                  </w:r>
                  <w:r>
                    <w:rPr>
                      <w:b/>
                      <w:bCs/>
                      <w:kern w:val="0"/>
                      <w:szCs w:val="21"/>
                    </w:rPr>
                    <w:t>/d）</w:t>
                  </w:r>
                  <w:bookmarkEnd w:id="1"/>
                </w:p>
              </w:tc>
              <w:tc>
                <w:tcPr>
                  <w:tcW w:w="571" w:type="pct"/>
                  <w:noWrap w:val="0"/>
                  <w:vAlign w:val="center"/>
                </w:tcPr>
                <w:p>
                  <w:pPr>
                    <w:snapToGrid w:val="0"/>
                    <w:jc w:val="center"/>
                    <w:rPr>
                      <w:b/>
                      <w:bCs/>
                      <w:kern w:val="0"/>
                      <w:szCs w:val="21"/>
                    </w:rPr>
                  </w:pPr>
                  <w:r>
                    <w:rPr>
                      <w:b/>
                      <w:bCs/>
                      <w:kern w:val="0"/>
                      <w:szCs w:val="21"/>
                    </w:rPr>
                    <w:t>损耗量（m</w:t>
                  </w:r>
                  <w:r>
                    <w:rPr>
                      <w:b/>
                      <w:bCs/>
                      <w:kern w:val="0"/>
                      <w:szCs w:val="21"/>
                      <w:vertAlign w:val="superscript"/>
                    </w:rPr>
                    <w:t>3</w:t>
                  </w:r>
                  <w:r>
                    <w:rPr>
                      <w:b/>
                      <w:bCs/>
                      <w:kern w:val="0"/>
                      <w:szCs w:val="21"/>
                    </w:rPr>
                    <w:t>/d）</w:t>
                  </w:r>
                </w:p>
              </w:tc>
              <w:tc>
                <w:tcPr>
                  <w:tcW w:w="584" w:type="pct"/>
                  <w:noWrap w:val="0"/>
                  <w:vAlign w:val="center"/>
                </w:tcPr>
                <w:p>
                  <w:pPr>
                    <w:snapToGrid w:val="0"/>
                    <w:jc w:val="center"/>
                    <w:rPr>
                      <w:b/>
                      <w:bCs/>
                      <w:kern w:val="0"/>
                      <w:szCs w:val="21"/>
                    </w:rPr>
                  </w:pPr>
                  <w:r>
                    <w:rPr>
                      <w:rFonts w:hint="eastAsia"/>
                      <w:b/>
                      <w:bCs/>
                      <w:kern w:val="0"/>
                      <w:szCs w:val="21"/>
                      <w:lang w:val="en-US" w:eastAsia="zh-CN"/>
                    </w:rPr>
                    <w:t>废</w:t>
                  </w:r>
                  <w:r>
                    <w:rPr>
                      <w:b/>
                      <w:bCs/>
                      <w:kern w:val="0"/>
                      <w:szCs w:val="21"/>
                    </w:rPr>
                    <w:t>水量（m</w:t>
                  </w:r>
                  <w:r>
                    <w:rPr>
                      <w:b/>
                      <w:bCs/>
                      <w:kern w:val="0"/>
                      <w:szCs w:val="21"/>
                      <w:vertAlign w:val="superscript"/>
                    </w:rPr>
                    <w:t>3</w:t>
                  </w:r>
                  <w:r>
                    <w:rPr>
                      <w:b/>
                      <w:bCs/>
                      <w:kern w:val="0"/>
                      <w:szCs w:val="21"/>
                    </w:rPr>
                    <w:t>/d）</w:t>
                  </w:r>
                </w:p>
              </w:tc>
              <w:tc>
                <w:tcPr>
                  <w:tcW w:w="606" w:type="pct"/>
                  <w:noWrap w:val="0"/>
                  <w:vAlign w:val="center"/>
                </w:tcPr>
                <w:p>
                  <w:pPr>
                    <w:snapToGrid w:val="0"/>
                    <w:jc w:val="center"/>
                    <w:rPr>
                      <w:rFonts w:hint="default"/>
                      <w:b/>
                      <w:bCs/>
                      <w:kern w:val="0"/>
                      <w:szCs w:val="21"/>
                      <w:lang w:val="en-US" w:eastAsia="zh-CN"/>
                    </w:rPr>
                  </w:pPr>
                  <w:r>
                    <w:rPr>
                      <w:rFonts w:hint="eastAsia"/>
                      <w:b/>
                      <w:bCs/>
                      <w:kern w:val="0"/>
                      <w:szCs w:val="21"/>
                      <w:lang w:val="en-US" w:eastAsia="zh-CN"/>
                    </w:rPr>
                    <w:t>排放量（</w:t>
                  </w:r>
                  <w:r>
                    <w:rPr>
                      <w:b/>
                      <w:bCs/>
                      <w:kern w:val="0"/>
                      <w:szCs w:val="21"/>
                    </w:rPr>
                    <w:t>m</w:t>
                  </w:r>
                  <w:r>
                    <w:rPr>
                      <w:b/>
                      <w:bCs/>
                      <w:kern w:val="0"/>
                      <w:szCs w:val="21"/>
                      <w:vertAlign w:val="superscript"/>
                    </w:rPr>
                    <w:t>3</w:t>
                  </w:r>
                  <w:r>
                    <w:rPr>
                      <w:b/>
                      <w:bCs/>
                      <w:kern w:val="0"/>
                      <w:szCs w:val="21"/>
                    </w:rPr>
                    <w:t>/d</w:t>
                  </w:r>
                  <w:r>
                    <w:rPr>
                      <w:rFonts w:hint="eastAsia"/>
                      <w:b/>
                      <w:bCs/>
                      <w:kern w:val="0"/>
                      <w:szCs w:val="21"/>
                      <w:lang w:val="en-US" w:eastAsia="zh-CN"/>
                    </w:rPr>
                    <w:t>）</w:t>
                  </w:r>
                </w:p>
              </w:tc>
              <w:tc>
                <w:tcPr>
                  <w:tcW w:w="1493" w:type="pct"/>
                  <w:noWrap w:val="0"/>
                  <w:vAlign w:val="center"/>
                </w:tcPr>
                <w:p>
                  <w:pPr>
                    <w:snapToGrid w:val="0"/>
                    <w:jc w:val="center"/>
                    <w:rPr>
                      <w:rFonts w:hint="eastAsia"/>
                      <w:b/>
                      <w:bCs/>
                      <w:kern w:val="0"/>
                      <w:szCs w:val="21"/>
                    </w:rPr>
                  </w:pPr>
                  <w:r>
                    <w:rPr>
                      <w:rFonts w:hint="eastAsia"/>
                      <w:b/>
                      <w:bCs/>
                      <w:kern w:val="0"/>
                      <w:szCs w:val="21"/>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auto"/>
                <w:trHeight w:val="449" w:hRule="atLeast"/>
                <w:jc w:val="center"/>
              </w:trPr>
              <w:tc>
                <w:tcPr>
                  <w:tcW w:w="219" w:type="pct"/>
                  <w:vMerge w:val="restart"/>
                  <w:noWrap w:val="0"/>
                  <w:vAlign w:val="center"/>
                </w:tcPr>
                <w:p>
                  <w:pPr>
                    <w:snapToGrid w:val="0"/>
                    <w:jc w:val="center"/>
                    <w:rPr>
                      <w:kern w:val="0"/>
                      <w:szCs w:val="21"/>
                    </w:rPr>
                  </w:pPr>
                  <w:r>
                    <w:rPr>
                      <w:kern w:val="0"/>
                      <w:szCs w:val="21"/>
                    </w:rPr>
                    <w:t>生活用水</w:t>
                  </w:r>
                </w:p>
              </w:tc>
              <w:tc>
                <w:tcPr>
                  <w:tcW w:w="924" w:type="pct"/>
                  <w:noWrap w:val="0"/>
                  <w:vAlign w:val="center"/>
                </w:tcPr>
                <w:p>
                  <w:pPr>
                    <w:snapToGrid w:val="0"/>
                    <w:jc w:val="center"/>
                    <w:rPr>
                      <w:kern w:val="0"/>
                      <w:szCs w:val="21"/>
                    </w:rPr>
                  </w:pPr>
                  <w:r>
                    <w:rPr>
                      <w:rFonts w:hint="eastAsia"/>
                      <w:bCs/>
                      <w:snapToGrid w:val="0"/>
                      <w:kern w:val="0"/>
                      <w:szCs w:val="21"/>
                      <w:lang w:val="en-US" w:eastAsia="zh-CN"/>
                    </w:rPr>
                    <w:t>职</w:t>
                  </w:r>
                  <w:r>
                    <w:rPr>
                      <w:bCs/>
                      <w:snapToGrid w:val="0"/>
                      <w:kern w:val="0"/>
                      <w:szCs w:val="21"/>
                    </w:rPr>
                    <w:t>工</w:t>
                  </w:r>
                  <w:r>
                    <w:rPr>
                      <w:kern w:val="0"/>
                      <w:szCs w:val="21"/>
                    </w:rPr>
                    <w:t>生活用水</w:t>
                  </w:r>
                </w:p>
              </w:tc>
              <w:tc>
                <w:tcPr>
                  <w:tcW w:w="599" w:type="pct"/>
                  <w:noWrap w:val="0"/>
                  <w:vAlign w:val="center"/>
                </w:tcPr>
                <w:p>
                  <w:pPr>
                    <w:snapToGrid w:val="0"/>
                    <w:jc w:val="center"/>
                    <w:rPr>
                      <w:kern w:val="0"/>
                      <w:szCs w:val="21"/>
                    </w:rPr>
                  </w:pPr>
                  <w:r>
                    <w:rPr>
                      <w:rFonts w:hint="eastAsia" w:ascii="Times New Roman" w:hAnsi="Times New Roman" w:eastAsia="宋体" w:cs="Times New Roman"/>
                      <w:bCs/>
                      <w:snapToGrid w:val="0"/>
                      <w:kern w:val="0"/>
                      <w:szCs w:val="21"/>
                      <w:lang w:val="en-US" w:eastAsia="zh-CN"/>
                    </w:rPr>
                    <w:t>0.63</w:t>
                  </w:r>
                </w:p>
              </w:tc>
              <w:tc>
                <w:tcPr>
                  <w:tcW w:w="571" w:type="pct"/>
                  <w:noWrap w:val="0"/>
                  <w:vAlign w:val="center"/>
                </w:tcPr>
                <w:p>
                  <w:pPr>
                    <w:snapToGrid w:val="0"/>
                    <w:jc w:val="center"/>
                    <w:rPr>
                      <w:rFonts w:hint="default" w:eastAsia="宋体"/>
                      <w:kern w:val="0"/>
                      <w:szCs w:val="21"/>
                      <w:lang w:val="en-US" w:eastAsia="zh-CN"/>
                    </w:rPr>
                  </w:pPr>
                  <w:r>
                    <w:rPr>
                      <w:kern w:val="0"/>
                      <w:szCs w:val="21"/>
                    </w:rPr>
                    <w:t>0.</w:t>
                  </w:r>
                  <w:r>
                    <w:rPr>
                      <w:rFonts w:hint="eastAsia"/>
                      <w:kern w:val="0"/>
                      <w:szCs w:val="21"/>
                      <w:lang w:val="en-US" w:eastAsia="zh-CN"/>
                    </w:rPr>
                    <w:t>126</w:t>
                  </w:r>
                </w:p>
              </w:tc>
              <w:tc>
                <w:tcPr>
                  <w:tcW w:w="584" w:type="pct"/>
                  <w:noWrap w:val="0"/>
                  <w:vAlign w:val="center"/>
                </w:tcPr>
                <w:p>
                  <w:pPr>
                    <w:snapToGrid w:val="0"/>
                    <w:jc w:val="center"/>
                    <w:rPr>
                      <w:rFonts w:hint="default" w:eastAsia="宋体"/>
                      <w:kern w:val="0"/>
                      <w:szCs w:val="21"/>
                      <w:lang w:val="en-US" w:eastAsia="zh-CN"/>
                    </w:rPr>
                  </w:pPr>
                  <w:r>
                    <w:rPr>
                      <w:kern w:val="0"/>
                      <w:szCs w:val="21"/>
                    </w:rPr>
                    <w:t>0.</w:t>
                  </w:r>
                  <w:r>
                    <w:rPr>
                      <w:rFonts w:hint="eastAsia"/>
                      <w:kern w:val="0"/>
                      <w:szCs w:val="21"/>
                      <w:lang w:val="en-US" w:eastAsia="zh-CN"/>
                    </w:rPr>
                    <w:t>504</w:t>
                  </w:r>
                </w:p>
              </w:tc>
              <w:tc>
                <w:tcPr>
                  <w:tcW w:w="606" w:type="pct"/>
                  <w:noWrap w:val="0"/>
                  <w:vAlign w:val="center"/>
                </w:tcPr>
                <w:p>
                  <w:pPr>
                    <w:snapToGrid w:val="0"/>
                    <w:jc w:val="center"/>
                    <w:rPr>
                      <w:kern w:val="0"/>
                      <w:szCs w:val="21"/>
                    </w:rPr>
                  </w:pPr>
                  <w:r>
                    <w:rPr>
                      <w:kern w:val="0"/>
                      <w:szCs w:val="21"/>
                    </w:rPr>
                    <w:t>0.</w:t>
                  </w:r>
                  <w:r>
                    <w:rPr>
                      <w:rFonts w:hint="eastAsia"/>
                      <w:kern w:val="0"/>
                      <w:szCs w:val="21"/>
                      <w:lang w:val="en-US" w:eastAsia="zh-CN"/>
                    </w:rPr>
                    <w:t>504</w:t>
                  </w:r>
                </w:p>
              </w:tc>
              <w:tc>
                <w:tcPr>
                  <w:tcW w:w="1493" w:type="pct"/>
                  <w:vMerge w:val="restart"/>
                  <w:noWrap w:val="0"/>
                  <w:vAlign w:val="center"/>
                </w:tcPr>
                <w:p>
                  <w:pPr>
                    <w:snapToGrid w:val="0"/>
                    <w:jc w:val="center"/>
                    <w:rPr>
                      <w:rFonts w:hint="eastAsia"/>
                      <w:kern w:val="0"/>
                      <w:szCs w:val="21"/>
                    </w:rPr>
                  </w:pPr>
                  <w:r>
                    <w:rPr>
                      <w:kern w:val="0"/>
                      <w:szCs w:val="21"/>
                    </w:rPr>
                    <w:t>生活污水</w:t>
                  </w:r>
                  <w:r>
                    <w:rPr>
                      <w:rFonts w:hint="eastAsia"/>
                      <w:lang w:val="en-US" w:eastAsia="zh-CN"/>
                    </w:rPr>
                    <w:t>通过</w:t>
                  </w:r>
                  <w:r>
                    <w:t>化粪池处理后</w:t>
                  </w:r>
                  <w:r>
                    <w:rPr>
                      <w:rFonts w:hint="eastAsia"/>
                      <w:lang w:val="en-US" w:eastAsia="zh-CN"/>
                    </w:rPr>
                    <w:t>经</w:t>
                  </w:r>
                  <w:r>
                    <w:t>市政污水管网排入西安市第</w:t>
                  </w:r>
                  <w:r>
                    <w:rPr>
                      <w:rFonts w:hint="eastAsia"/>
                      <w:lang w:val="en-US" w:eastAsia="zh-CN"/>
                    </w:rPr>
                    <w:t>三</w:t>
                  </w:r>
                  <w:r>
                    <w:t>污水处理厂处理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auto"/>
                <w:trHeight w:val="195" w:hRule="atLeast"/>
                <w:jc w:val="center"/>
              </w:trPr>
              <w:tc>
                <w:tcPr>
                  <w:tcW w:w="219" w:type="pct"/>
                  <w:vMerge w:val="continue"/>
                  <w:noWrap w:val="0"/>
                  <w:vAlign w:val="center"/>
                </w:tcPr>
                <w:p>
                  <w:pPr>
                    <w:snapToGrid w:val="0"/>
                    <w:jc w:val="center"/>
                    <w:rPr>
                      <w:kern w:val="0"/>
                      <w:szCs w:val="21"/>
                    </w:rPr>
                  </w:pPr>
                </w:p>
              </w:tc>
              <w:tc>
                <w:tcPr>
                  <w:tcW w:w="924" w:type="pct"/>
                  <w:noWrap w:val="0"/>
                  <w:vAlign w:val="center"/>
                </w:tcPr>
                <w:p>
                  <w:pPr>
                    <w:spacing w:line="240" w:lineRule="auto"/>
                    <w:rPr>
                      <w:kern w:val="0"/>
                      <w:szCs w:val="21"/>
                    </w:rPr>
                  </w:pPr>
                  <w:r>
                    <w:rPr>
                      <w:rFonts w:hint="eastAsia" w:ascii="Times New Roman" w:hAnsi="Times New Roman" w:eastAsia="宋体" w:cs="Times New Roman"/>
                      <w:bCs/>
                      <w:snapToGrid w:val="0"/>
                      <w:kern w:val="0"/>
                      <w:szCs w:val="21"/>
                      <w:lang w:val="en-US" w:eastAsia="zh-CN"/>
                    </w:rPr>
                    <w:t>顾客生活用水</w:t>
                  </w:r>
                </w:p>
              </w:tc>
              <w:tc>
                <w:tcPr>
                  <w:tcW w:w="599" w:type="pct"/>
                  <w:noWrap w:val="0"/>
                  <w:vAlign w:val="center"/>
                </w:tcPr>
                <w:p>
                  <w:pPr>
                    <w:snapToGrid w:val="0"/>
                    <w:jc w:val="center"/>
                    <w:rPr>
                      <w:kern w:val="0"/>
                      <w:szCs w:val="21"/>
                    </w:rPr>
                  </w:pPr>
                  <w:r>
                    <w:rPr>
                      <w:rFonts w:hint="eastAsia" w:ascii="Times New Roman" w:hAnsi="Times New Roman" w:eastAsia="宋体" w:cs="Times New Roman"/>
                      <w:bCs/>
                      <w:snapToGrid w:val="0"/>
                      <w:kern w:val="0"/>
                      <w:szCs w:val="21"/>
                      <w:lang w:val="en-US" w:eastAsia="zh-CN"/>
                    </w:rPr>
                    <w:t>0.9</w:t>
                  </w:r>
                </w:p>
              </w:tc>
              <w:tc>
                <w:tcPr>
                  <w:tcW w:w="571" w:type="pct"/>
                  <w:noWrap w:val="0"/>
                  <w:vAlign w:val="center"/>
                </w:tcPr>
                <w:p>
                  <w:pPr>
                    <w:snapToGrid w:val="0"/>
                    <w:jc w:val="center"/>
                    <w:rPr>
                      <w:rFonts w:hint="eastAsia" w:eastAsia="宋体"/>
                      <w:kern w:val="0"/>
                      <w:szCs w:val="21"/>
                      <w:lang w:val="en-US" w:eastAsia="zh-CN"/>
                    </w:rPr>
                  </w:pPr>
                  <w:r>
                    <w:rPr>
                      <w:kern w:val="0"/>
                      <w:szCs w:val="21"/>
                    </w:rPr>
                    <w:t>0.1</w:t>
                  </w:r>
                  <w:r>
                    <w:rPr>
                      <w:rFonts w:hint="eastAsia"/>
                      <w:kern w:val="0"/>
                      <w:szCs w:val="21"/>
                      <w:lang w:val="en-US" w:eastAsia="zh-CN"/>
                    </w:rPr>
                    <w:t>8</w:t>
                  </w:r>
                </w:p>
              </w:tc>
              <w:tc>
                <w:tcPr>
                  <w:tcW w:w="584" w:type="pct"/>
                  <w:noWrap w:val="0"/>
                  <w:vAlign w:val="center"/>
                </w:tcPr>
                <w:p>
                  <w:pPr>
                    <w:snapToGrid w:val="0"/>
                    <w:jc w:val="center"/>
                    <w:rPr>
                      <w:rFonts w:hint="default" w:eastAsia="宋体"/>
                      <w:kern w:val="0"/>
                      <w:szCs w:val="21"/>
                      <w:lang w:val="en-US" w:eastAsia="zh-CN"/>
                    </w:rPr>
                  </w:pPr>
                  <w:r>
                    <w:rPr>
                      <w:rFonts w:hint="eastAsia"/>
                      <w:kern w:val="0"/>
                      <w:szCs w:val="21"/>
                      <w:lang w:val="en-US" w:eastAsia="zh-CN"/>
                    </w:rPr>
                    <w:t>0.72</w:t>
                  </w:r>
                </w:p>
              </w:tc>
              <w:tc>
                <w:tcPr>
                  <w:tcW w:w="606" w:type="pct"/>
                  <w:noWrap w:val="0"/>
                  <w:vAlign w:val="center"/>
                </w:tcPr>
                <w:p>
                  <w:pPr>
                    <w:snapToGrid w:val="0"/>
                    <w:jc w:val="center"/>
                    <w:rPr>
                      <w:kern w:val="0"/>
                      <w:szCs w:val="21"/>
                    </w:rPr>
                  </w:pPr>
                  <w:r>
                    <w:rPr>
                      <w:rFonts w:hint="eastAsia"/>
                      <w:kern w:val="0"/>
                      <w:szCs w:val="21"/>
                      <w:lang w:val="en-US" w:eastAsia="zh-CN"/>
                    </w:rPr>
                    <w:t>0.72</w:t>
                  </w:r>
                </w:p>
              </w:tc>
              <w:tc>
                <w:tcPr>
                  <w:tcW w:w="1493" w:type="pct"/>
                  <w:vMerge w:val="continue"/>
                  <w:noWrap w:val="0"/>
                  <w:vAlign w:val="center"/>
                </w:tcPr>
                <w:p>
                  <w:pPr>
                    <w:snapToGrid w:val="0"/>
                    <w:jc w:val="center"/>
                    <w:rPr>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wAfter w:w="0" w:type="auto"/>
                <w:trHeight w:val="369" w:hRule="atLeast"/>
                <w:jc w:val="center"/>
              </w:trPr>
              <w:tc>
                <w:tcPr>
                  <w:tcW w:w="1143" w:type="pct"/>
                  <w:gridSpan w:val="2"/>
                  <w:noWrap w:val="0"/>
                  <w:vAlign w:val="center"/>
                </w:tcPr>
                <w:p>
                  <w:pPr>
                    <w:snapToGrid w:val="0"/>
                    <w:jc w:val="center"/>
                    <w:rPr>
                      <w:kern w:val="0"/>
                      <w:szCs w:val="21"/>
                    </w:rPr>
                  </w:pPr>
                  <w:r>
                    <w:rPr>
                      <w:rFonts w:hint="eastAsia"/>
                      <w:kern w:val="0"/>
                      <w:szCs w:val="21"/>
                      <w:lang w:val="en-US" w:eastAsia="zh-CN"/>
                    </w:rPr>
                    <w:t>洗车</w:t>
                  </w:r>
                  <w:r>
                    <w:rPr>
                      <w:kern w:val="0"/>
                      <w:szCs w:val="21"/>
                    </w:rPr>
                    <w:t>用水</w:t>
                  </w:r>
                </w:p>
              </w:tc>
              <w:tc>
                <w:tcPr>
                  <w:tcW w:w="599" w:type="pct"/>
                  <w:noWrap w:val="0"/>
                  <w:vAlign w:val="center"/>
                </w:tcPr>
                <w:p>
                  <w:pPr>
                    <w:snapToGrid w:val="0"/>
                    <w:jc w:val="center"/>
                    <w:rPr>
                      <w:kern w:val="0"/>
                      <w:szCs w:val="21"/>
                    </w:rPr>
                  </w:pPr>
                  <w:r>
                    <w:rPr>
                      <w:rFonts w:hint="default" w:ascii="Times New Roman" w:hAnsi="Times New Roman" w:cs="Times New Roman"/>
                      <w:color w:val="000000"/>
                      <w:sz w:val="21"/>
                      <w:szCs w:val="21"/>
                    </w:rPr>
                    <w:t>0.</w:t>
                  </w:r>
                  <w:r>
                    <w:rPr>
                      <w:rFonts w:hint="eastAsia" w:ascii="Times New Roman" w:hAnsi="Times New Roman" w:cs="Times New Roman"/>
                      <w:color w:val="000000"/>
                      <w:sz w:val="21"/>
                      <w:szCs w:val="21"/>
                      <w:lang w:val="en-US" w:eastAsia="zh-CN"/>
                    </w:rPr>
                    <w:t>8</w:t>
                  </w:r>
                </w:p>
              </w:tc>
              <w:tc>
                <w:tcPr>
                  <w:tcW w:w="571" w:type="pct"/>
                  <w:noWrap w:val="0"/>
                  <w:vAlign w:val="center"/>
                </w:tcPr>
                <w:p>
                  <w:pPr>
                    <w:snapToGrid w:val="0"/>
                    <w:jc w:val="center"/>
                    <w:rPr>
                      <w:rFonts w:hint="eastAsia" w:eastAsia="宋体"/>
                      <w:kern w:val="0"/>
                      <w:szCs w:val="21"/>
                      <w:lang w:eastAsia="zh-CN"/>
                    </w:rPr>
                  </w:pPr>
                  <w:r>
                    <w:rPr>
                      <w:rFonts w:hint="eastAsia"/>
                      <w:kern w:val="0"/>
                      <w:szCs w:val="21"/>
                    </w:rPr>
                    <w:t>0.</w:t>
                  </w:r>
                  <w:r>
                    <w:rPr>
                      <w:rFonts w:hint="eastAsia"/>
                      <w:kern w:val="0"/>
                      <w:szCs w:val="21"/>
                      <w:lang w:val="en-US" w:eastAsia="zh-CN"/>
                    </w:rPr>
                    <w:t>8</w:t>
                  </w:r>
                </w:p>
              </w:tc>
              <w:tc>
                <w:tcPr>
                  <w:tcW w:w="584" w:type="pct"/>
                  <w:noWrap w:val="0"/>
                  <w:vAlign w:val="center"/>
                </w:tcPr>
                <w:p>
                  <w:pPr>
                    <w:snapToGrid w:val="0"/>
                    <w:jc w:val="center"/>
                    <w:rPr>
                      <w:rFonts w:hint="default" w:eastAsia="宋体"/>
                      <w:kern w:val="0"/>
                      <w:szCs w:val="21"/>
                      <w:lang w:val="en-US" w:eastAsia="zh-CN"/>
                    </w:rPr>
                  </w:pPr>
                  <w:r>
                    <w:rPr>
                      <w:rFonts w:hint="eastAsia"/>
                      <w:kern w:val="0"/>
                      <w:szCs w:val="21"/>
                      <w:lang w:val="en-US" w:eastAsia="zh-CN"/>
                    </w:rPr>
                    <w:t>3.2</w:t>
                  </w:r>
                </w:p>
              </w:tc>
              <w:tc>
                <w:tcPr>
                  <w:tcW w:w="606" w:type="pct"/>
                  <w:noWrap w:val="0"/>
                  <w:vAlign w:val="center"/>
                </w:tcPr>
                <w:p>
                  <w:pPr>
                    <w:snapToGrid w:val="0"/>
                    <w:jc w:val="center"/>
                    <w:rPr>
                      <w:rFonts w:hint="default"/>
                      <w:kern w:val="0"/>
                      <w:szCs w:val="21"/>
                      <w:lang w:val="en-US" w:eastAsia="zh-CN"/>
                    </w:rPr>
                  </w:pPr>
                  <w:r>
                    <w:rPr>
                      <w:rFonts w:hint="eastAsia"/>
                      <w:kern w:val="0"/>
                      <w:szCs w:val="21"/>
                      <w:lang w:val="en-US" w:eastAsia="zh-CN"/>
                    </w:rPr>
                    <w:t>0</w:t>
                  </w:r>
                </w:p>
              </w:tc>
              <w:tc>
                <w:tcPr>
                  <w:tcW w:w="1493" w:type="pct"/>
                  <w:noWrap w:val="0"/>
                  <w:vAlign w:val="center"/>
                </w:tcPr>
                <w:p>
                  <w:pPr>
                    <w:snapToGrid w:val="0"/>
                    <w:jc w:val="center"/>
                    <w:rPr>
                      <w:kern w:val="0"/>
                      <w:szCs w:val="21"/>
                    </w:rPr>
                  </w:pPr>
                  <w:r>
                    <w:rPr>
                      <w:rFonts w:hint="default" w:ascii="Times New Roman" w:hAnsi="Times New Roman" w:cs="Times New Roman"/>
                      <w:bCs/>
                      <w:szCs w:val="22"/>
                    </w:rPr>
                    <w:t>回用于车辆冲洗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43" w:type="pct"/>
                  <w:gridSpan w:val="2"/>
                  <w:noWrap w:val="0"/>
                  <w:vAlign w:val="center"/>
                </w:tcPr>
                <w:p>
                  <w:pPr>
                    <w:snapToGrid w:val="0"/>
                    <w:jc w:val="center"/>
                    <w:rPr>
                      <w:rFonts w:hint="eastAsia"/>
                      <w:kern w:val="0"/>
                      <w:szCs w:val="21"/>
                    </w:rPr>
                  </w:pPr>
                  <w:r>
                    <w:rPr>
                      <w:kern w:val="0"/>
                      <w:szCs w:val="21"/>
                    </w:rPr>
                    <w:t>合计</w:t>
                  </w:r>
                </w:p>
              </w:tc>
              <w:tc>
                <w:tcPr>
                  <w:tcW w:w="599" w:type="pct"/>
                  <w:noWrap w:val="0"/>
                  <w:vAlign w:val="center"/>
                </w:tcPr>
                <w:p>
                  <w:pPr>
                    <w:snapToGrid w:val="0"/>
                    <w:jc w:val="center"/>
                    <w:rPr>
                      <w:rFonts w:hint="default" w:eastAsia="宋体"/>
                      <w:kern w:val="0"/>
                      <w:szCs w:val="21"/>
                      <w:lang w:val="en-US" w:eastAsia="zh-CN"/>
                    </w:rPr>
                  </w:pPr>
                  <w:r>
                    <w:rPr>
                      <w:rFonts w:hint="eastAsia"/>
                      <w:kern w:val="0"/>
                      <w:szCs w:val="21"/>
                      <w:lang w:val="en-US" w:eastAsia="zh-CN"/>
                    </w:rPr>
                    <w:t>2.33</w:t>
                  </w:r>
                </w:p>
              </w:tc>
              <w:tc>
                <w:tcPr>
                  <w:tcW w:w="571" w:type="pct"/>
                  <w:noWrap w:val="0"/>
                  <w:vAlign w:val="center"/>
                </w:tcPr>
                <w:p>
                  <w:pPr>
                    <w:snapToGrid w:val="0"/>
                    <w:jc w:val="center"/>
                    <w:rPr>
                      <w:rFonts w:hint="default" w:eastAsia="宋体"/>
                      <w:kern w:val="0"/>
                      <w:szCs w:val="21"/>
                      <w:lang w:val="en-US" w:eastAsia="zh-CN"/>
                    </w:rPr>
                  </w:pPr>
                  <w:r>
                    <w:rPr>
                      <w:rFonts w:hint="eastAsia"/>
                      <w:kern w:val="0"/>
                      <w:szCs w:val="21"/>
                      <w:lang w:val="en-US" w:eastAsia="zh-CN"/>
                    </w:rPr>
                    <w:t>1.106</w:t>
                  </w:r>
                </w:p>
              </w:tc>
              <w:tc>
                <w:tcPr>
                  <w:tcW w:w="584" w:type="pct"/>
                  <w:noWrap w:val="0"/>
                  <w:vAlign w:val="center"/>
                </w:tcPr>
                <w:p>
                  <w:pPr>
                    <w:snapToGrid w:val="0"/>
                    <w:jc w:val="center"/>
                    <w:rPr>
                      <w:rFonts w:hint="default" w:eastAsia="宋体"/>
                      <w:kern w:val="0"/>
                      <w:szCs w:val="21"/>
                      <w:lang w:val="en-US" w:eastAsia="zh-CN"/>
                    </w:rPr>
                  </w:pPr>
                  <w:r>
                    <w:rPr>
                      <w:rFonts w:hint="eastAsia"/>
                      <w:kern w:val="0"/>
                      <w:szCs w:val="21"/>
                      <w:lang w:val="en-US" w:eastAsia="zh-CN"/>
                    </w:rPr>
                    <w:t>4.424</w:t>
                  </w:r>
                </w:p>
              </w:tc>
              <w:tc>
                <w:tcPr>
                  <w:tcW w:w="606" w:type="pct"/>
                  <w:noWrap w:val="0"/>
                  <w:vAlign w:val="center"/>
                </w:tcPr>
                <w:p>
                  <w:pPr>
                    <w:snapToGrid w:val="0"/>
                    <w:jc w:val="center"/>
                    <w:rPr>
                      <w:rFonts w:hint="default" w:eastAsia="宋体"/>
                      <w:kern w:val="0"/>
                      <w:szCs w:val="21"/>
                      <w:lang w:val="en-US" w:eastAsia="zh-CN"/>
                    </w:rPr>
                  </w:pPr>
                  <w:r>
                    <w:rPr>
                      <w:rFonts w:hint="eastAsia"/>
                      <w:kern w:val="0"/>
                      <w:szCs w:val="21"/>
                      <w:lang w:val="en-US" w:eastAsia="zh-CN"/>
                    </w:rPr>
                    <w:t>1.224</w:t>
                  </w:r>
                </w:p>
              </w:tc>
              <w:tc>
                <w:tcPr>
                  <w:tcW w:w="1493" w:type="pct"/>
                  <w:noWrap w:val="0"/>
                  <w:vAlign w:val="center"/>
                </w:tcPr>
                <w:p>
                  <w:pPr>
                    <w:snapToGrid w:val="0"/>
                    <w:jc w:val="center"/>
                    <w:rPr>
                      <w:kern w:val="0"/>
                      <w:szCs w:val="21"/>
                    </w:rPr>
                  </w:pPr>
                  <w:r>
                    <w:rPr>
                      <w:kern w:val="0"/>
                      <w:szCs w:val="21"/>
                    </w:rPr>
                    <w:t>/</w:t>
                  </w:r>
                </w:p>
              </w:tc>
            </w:tr>
          </w:tbl>
          <w:p>
            <w:pPr>
              <w:pStyle w:val="8"/>
              <w:snapToGrid/>
              <w:spacing w:before="120" w:beforeLines="50" w:after="0" w:line="360" w:lineRule="auto"/>
              <w:ind w:right="0" w:firstLine="420" w:firstLineChars="200"/>
              <w:rPr>
                <w:bCs/>
                <w:sz w:val="21"/>
                <w:szCs w:val="16"/>
              </w:rPr>
            </w:pPr>
            <w:r>
              <w:rPr>
                <w:bCs/>
                <w:sz w:val="21"/>
                <w:szCs w:val="16"/>
              </w:rPr>
              <w:t>项目水平衡见图</w:t>
            </w:r>
            <w:r>
              <w:rPr>
                <w:rFonts w:hint="eastAsia"/>
                <w:bCs/>
                <w:sz w:val="21"/>
                <w:szCs w:val="16"/>
              </w:rPr>
              <w:t>2-</w:t>
            </w:r>
            <w:r>
              <w:rPr>
                <w:bCs/>
                <w:sz w:val="21"/>
                <w:szCs w:val="16"/>
              </w:rPr>
              <w:t>1：</w:t>
            </w:r>
          </w:p>
          <w:p>
            <w:pPr>
              <w:adjustRightInd w:val="0"/>
              <w:snapToGrid w:val="0"/>
              <w:spacing w:line="360" w:lineRule="auto"/>
              <w:jc w:val="center"/>
              <w:rPr>
                <w:rFonts w:hint="eastAsia"/>
                <w:b/>
                <w:szCs w:val="21"/>
              </w:rPr>
            </w:pPr>
            <w:r>
              <w:rPr>
                <w:rFonts w:hint="eastAsia"/>
                <w:b/>
                <w:szCs w:val="21"/>
              </w:rPr>
              <w:object>
                <v:shape id="_x0000_i1038" o:spt="75" type="#_x0000_t75" style="height:198.05pt;width:406.85pt;" o:ole="t" filled="f" o:preferrelative="t" stroked="f" coordsize="21600,21600">
                  <v:path/>
                  <v:fill on="f" focussize="0,0"/>
                  <v:stroke on="f"/>
                  <v:imagedata r:id="rId14" o:title=""/>
                  <o:lock v:ext="edit" aspectratio="f"/>
                  <w10:wrap type="none"/>
                  <w10:anchorlock/>
                </v:shape>
                <o:OLEObject Type="Embed" ProgID="Visio.Drawing.15" ShapeID="_x0000_i1038" DrawAspect="Content" ObjectID="_1468075726" r:id="rId13">
                  <o:LockedField>false</o:LockedField>
                </o:OLEObject>
              </w:object>
            </w:r>
          </w:p>
          <w:p>
            <w:pPr>
              <w:pStyle w:val="8"/>
              <w:snapToGrid/>
              <w:spacing w:before="120" w:beforeLines="50" w:after="0" w:line="240" w:lineRule="auto"/>
              <w:ind w:right="0" w:firstLine="422" w:firstLineChars="200"/>
              <w:jc w:val="center"/>
              <w:rPr>
                <w:b/>
                <w:sz w:val="21"/>
                <w:szCs w:val="16"/>
              </w:rPr>
            </w:pPr>
            <w:r>
              <w:rPr>
                <w:b/>
                <w:sz w:val="21"/>
                <w:szCs w:val="16"/>
              </w:rPr>
              <w:t>图2-1项目水平衡图单位：m</w:t>
            </w:r>
            <w:r>
              <w:rPr>
                <w:b/>
                <w:sz w:val="21"/>
                <w:szCs w:val="16"/>
                <w:vertAlign w:val="superscript"/>
              </w:rPr>
              <w:t>3</w:t>
            </w:r>
            <w:r>
              <w:rPr>
                <w:b/>
                <w:sz w:val="21"/>
                <w:szCs w:val="16"/>
              </w:rPr>
              <w:t>/d</w:t>
            </w:r>
          </w:p>
          <w:p>
            <w:pPr>
              <w:spacing w:line="360" w:lineRule="auto"/>
              <w:ind w:firstLine="420" w:firstLineChars="200"/>
              <w:rPr>
                <w:szCs w:val="21"/>
              </w:rPr>
            </w:pPr>
            <w:r>
              <w:rPr>
                <w:szCs w:val="21"/>
              </w:rPr>
              <w:t>（3）供电</w:t>
            </w:r>
          </w:p>
          <w:p>
            <w:pPr>
              <w:spacing w:line="360" w:lineRule="auto"/>
              <w:ind w:firstLine="420" w:firstLineChars="200"/>
              <w:rPr>
                <w:szCs w:val="21"/>
              </w:rPr>
            </w:pPr>
            <w:r>
              <w:rPr>
                <w:szCs w:val="21"/>
              </w:rPr>
              <w:t>项目供电依托市政电网统一供电。</w:t>
            </w:r>
          </w:p>
          <w:p>
            <w:pPr>
              <w:spacing w:line="360" w:lineRule="auto"/>
              <w:ind w:firstLine="420" w:firstLineChars="200"/>
              <w:rPr>
                <w:szCs w:val="21"/>
              </w:rPr>
            </w:pPr>
            <w:r>
              <w:rPr>
                <w:szCs w:val="21"/>
              </w:rPr>
              <w:t>（4）供暖、制冷</w:t>
            </w:r>
          </w:p>
          <w:p>
            <w:pPr>
              <w:spacing w:line="360" w:lineRule="auto"/>
              <w:ind w:firstLine="420" w:firstLineChars="200"/>
              <w:rPr>
                <w:kern w:val="0"/>
                <w:szCs w:val="21"/>
              </w:rPr>
            </w:pPr>
            <w:r>
              <w:rPr>
                <w:kern w:val="0"/>
                <w:szCs w:val="21"/>
              </w:rPr>
              <w:t>采用冷暖型分体式空调</w:t>
            </w:r>
            <w:r>
              <w:rPr>
                <w:rFonts w:hint="eastAsia"/>
                <w:kern w:val="0"/>
                <w:szCs w:val="21"/>
              </w:rPr>
              <w:t>供暖、制冷</w:t>
            </w:r>
            <w:r>
              <w:rPr>
                <w:kern w:val="0"/>
                <w:szCs w:val="21"/>
              </w:rPr>
              <w:t>。</w:t>
            </w:r>
          </w:p>
          <w:p>
            <w:pPr>
              <w:spacing w:line="360" w:lineRule="auto"/>
              <w:ind w:firstLine="420" w:firstLineChars="200"/>
              <w:rPr>
                <w:kern w:val="0"/>
                <w:szCs w:val="21"/>
              </w:rPr>
            </w:pPr>
            <w:r>
              <w:rPr>
                <w:kern w:val="0"/>
                <w:szCs w:val="21"/>
              </w:rPr>
              <w:t>（5）消防</w:t>
            </w:r>
          </w:p>
          <w:p>
            <w:pPr>
              <w:spacing w:line="360" w:lineRule="auto"/>
              <w:ind w:firstLine="420" w:firstLineChars="200"/>
              <w:textAlignment w:val="center"/>
              <w:rPr>
                <w:szCs w:val="21"/>
              </w:rPr>
            </w:pPr>
            <w:r>
              <w:rPr>
                <w:szCs w:val="21"/>
              </w:rPr>
              <w:t>在加油区内对可能发生火灾的各类场所，根据其火灾危险性、区域大小等实际情况，分别设置一定数量的移动式灭火器，以便及时扑救初始零星火灾。本项目灭火器配置情况如下表所示。</w:t>
            </w:r>
          </w:p>
          <w:p>
            <w:pPr>
              <w:jc w:val="both"/>
              <w:textAlignment w:val="center"/>
              <w:rPr>
                <w:b/>
                <w:szCs w:val="21"/>
              </w:rPr>
            </w:pPr>
          </w:p>
          <w:p>
            <w:pPr>
              <w:jc w:val="center"/>
              <w:textAlignment w:val="center"/>
              <w:rPr>
                <w:b/>
                <w:szCs w:val="21"/>
              </w:rPr>
            </w:pPr>
            <w:r>
              <w:rPr>
                <w:b/>
                <w:szCs w:val="21"/>
              </w:rPr>
              <w:t>表2-</w:t>
            </w:r>
            <w:r>
              <w:rPr>
                <w:rFonts w:hint="eastAsia"/>
                <w:b/>
                <w:szCs w:val="21"/>
                <w:lang w:val="en-US" w:eastAsia="zh-CN"/>
              </w:rPr>
              <w:t>8</w:t>
            </w:r>
            <w:r>
              <w:rPr>
                <w:b/>
                <w:szCs w:val="21"/>
              </w:rPr>
              <w:t>灭火器配置一览表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1"/>
              <w:gridCol w:w="3193"/>
              <w:gridCol w:w="1179"/>
              <w:gridCol w:w="1191"/>
              <w:gridCol w:w="2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3"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序号</w:t>
                  </w:r>
                </w:p>
              </w:tc>
              <w:tc>
                <w:tcPr>
                  <w:tcW w:w="1850"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安全防护设施</w:t>
                  </w:r>
                </w:p>
              </w:tc>
              <w:tc>
                <w:tcPr>
                  <w:tcW w:w="683"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单位</w:t>
                  </w:r>
                </w:p>
              </w:tc>
              <w:tc>
                <w:tcPr>
                  <w:tcW w:w="690"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数量</w:t>
                  </w:r>
                </w:p>
              </w:tc>
              <w:tc>
                <w:tcPr>
                  <w:tcW w:w="1172"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3"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w:t>
                  </w:r>
                </w:p>
              </w:tc>
              <w:tc>
                <w:tcPr>
                  <w:tcW w:w="1850"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35kg</w:t>
                  </w:r>
                  <w:r>
                    <w:rPr>
                      <w:rFonts w:hint="eastAsia"/>
                      <w:szCs w:val="21"/>
                      <w:lang w:val="en-US" w:eastAsia="zh-CN"/>
                    </w:rPr>
                    <w:t>推车式</w:t>
                  </w:r>
                  <w:r>
                    <w:rPr>
                      <w:rFonts w:hint="eastAsia"/>
                      <w:szCs w:val="21"/>
                    </w:rPr>
                    <w:t>干粉灭火器</w:t>
                  </w:r>
                </w:p>
              </w:tc>
              <w:tc>
                <w:tcPr>
                  <w:tcW w:w="683"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具</w:t>
                  </w:r>
                </w:p>
              </w:tc>
              <w:tc>
                <w:tcPr>
                  <w:tcW w:w="690"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2</w:t>
                  </w:r>
                </w:p>
              </w:tc>
              <w:tc>
                <w:tcPr>
                  <w:tcW w:w="117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szCs w:val="21"/>
                    </w:rPr>
                  </w:pPr>
                  <w:r>
                    <w:rPr>
                      <w:rFonts w:hint="eastAsia"/>
                      <w:szCs w:val="21"/>
                    </w:rPr>
                    <w:t>加油区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603"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2</w:t>
                  </w:r>
                </w:p>
              </w:tc>
              <w:tc>
                <w:tcPr>
                  <w:tcW w:w="1850"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lang w:val="en-US" w:eastAsia="zh-CN"/>
                    </w:rPr>
                    <w:t>8</w:t>
                  </w:r>
                  <w:r>
                    <w:rPr>
                      <w:szCs w:val="21"/>
                    </w:rPr>
                    <w:t>kg</w:t>
                  </w:r>
                  <w:r>
                    <w:rPr>
                      <w:rFonts w:hint="eastAsia"/>
                      <w:szCs w:val="21"/>
                      <w:lang w:val="en-US" w:eastAsia="zh-CN"/>
                    </w:rPr>
                    <w:t>手提</w:t>
                  </w:r>
                  <w:r>
                    <w:rPr>
                      <w:rFonts w:hint="eastAsia"/>
                      <w:szCs w:val="21"/>
                    </w:rPr>
                    <w:t>式干粉灭火器</w:t>
                  </w:r>
                </w:p>
              </w:tc>
              <w:tc>
                <w:tcPr>
                  <w:tcW w:w="683"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具</w:t>
                  </w:r>
                </w:p>
              </w:tc>
              <w:tc>
                <w:tcPr>
                  <w:tcW w:w="69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szCs w:val="21"/>
                    </w:rPr>
                    <w:t>1</w:t>
                  </w:r>
                  <w:r>
                    <w:rPr>
                      <w:rFonts w:hint="eastAsia"/>
                      <w:szCs w:val="21"/>
                      <w:lang w:val="en-US" w:eastAsia="zh-CN"/>
                    </w:rPr>
                    <w:t>2</w:t>
                  </w:r>
                </w:p>
              </w:tc>
              <w:tc>
                <w:tcPr>
                  <w:tcW w:w="117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eastAsia="宋体"/>
                      <w:szCs w:val="21"/>
                      <w:lang w:val="en-US" w:eastAsia="zh-CN"/>
                    </w:rPr>
                  </w:pPr>
                  <w:r>
                    <w:rPr>
                      <w:rFonts w:hint="eastAsia"/>
                      <w:szCs w:val="21"/>
                    </w:rPr>
                    <w:t>加油区</w:t>
                  </w:r>
                  <w:r>
                    <w:rPr>
                      <w:rFonts w:hint="eastAsia"/>
                      <w:szCs w:val="21"/>
                      <w:lang w:eastAsia="zh-CN"/>
                    </w:rPr>
                    <w:t>、</w:t>
                  </w:r>
                  <w:r>
                    <w:rPr>
                      <w:rFonts w:hint="eastAsia"/>
                      <w:szCs w:val="21"/>
                      <w:lang w:val="en-US" w:eastAsia="zh-CN"/>
                    </w:rPr>
                    <w:t>站房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60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val="en-US" w:eastAsia="zh-CN"/>
                    </w:rPr>
                  </w:pPr>
                  <w:r>
                    <w:rPr>
                      <w:rFonts w:hint="eastAsia"/>
                      <w:szCs w:val="21"/>
                      <w:lang w:val="en-US" w:eastAsia="zh-CN"/>
                    </w:rPr>
                    <w:t>3</w:t>
                  </w:r>
                </w:p>
              </w:tc>
              <w:tc>
                <w:tcPr>
                  <w:tcW w:w="185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szCs w:val="21"/>
                      <w:lang w:val="en-US" w:eastAsia="zh-CN"/>
                    </w:rPr>
                  </w:pPr>
                  <w:r>
                    <w:rPr>
                      <w:rFonts w:hint="eastAsia"/>
                      <w:szCs w:val="21"/>
                      <w:lang w:val="en-US" w:eastAsia="zh-CN"/>
                    </w:rPr>
                    <w:t>3</w:t>
                  </w:r>
                  <w:r>
                    <w:rPr>
                      <w:szCs w:val="21"/>
                    </w:rPr>
                    <w:t>kg</w:t>
                  </w:r>
                  <w:r>
                    <w:rPr>
                      <w:rFonts w:hint="eastAsia"/>
                      <w:szCs w:val="21"/>
                      <w:lang w:val="en-US" w:eastAsia="zh-CN"/>
                    </w:rPr>
                    <w:t>手提</w:t>
                  </w:r>
                  <w:r>
                    <w:rPr>
                      <w:rFonts w:hint="eastAsia"/>
                      <w:szCs w:val="21"/>
                    </w:rPr>
                    <w:t>式干粉灭火器</w:t>
                  </w:r>
                </w:p>
              </w:tc>
              <w:tc>
                <w:tcPr>
                  <w:tcW w:w="68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szCs w:val="21"/>
                    </w:rPr>
                  </w:pPr>
                  <w:r>
                    <w:rPr>
                      <w:rFonts w:hint="eastAsia"/>
                      <w:szCs w:val="21"/>
                    </w:rPr>
                    <w:t>具</w:t>
                  </w:r>
                </w:p>
              </w:tc>
              <w:tc>
                <w:tcPr>
                  <w:tcW w:w="690"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lang w:val="en-US" w:eastAsia="zh-CN"/>
                    </w:rPr>
                    <w:t>2</w:t>
                  </w:r>
                </w:p>
              </w:tc>
              <w:tc>
                <w:tcPr>
                  <w:tcW w:w="117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szCs w:val="21"/>
                    </w:rPr>
                  </w:pPr>
                  <w:r>
                    <w:rPr>
                      <w:rFonts w:hint="eastAsia"/>
                      <w:szCs w:val="21"/>
                      <w:lang w:val="en-US" w:eastAsia="zh-CN"/>
                    </w:rPr>
                    <w:t>站房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eastAsia="zh-CN"/>
                    </w:rPr>
                  </w:pPr>
                  <w:r>
                    <w:rPr>
                      <w:rFonts w:hint="eastAsia"/>
                      <w:szCs w:val="21"/>
                      <w:lang w:val="en-US" w:eastAsia="zh-CN"/>
                    </w:rPr>
                    <w:t>4</w:t>
                  </w:r>
                </w:p>
              </w:tc>
              <w:tc>
                <w:tcPr>
                  <w:tcW w:w="1850"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灭火毯</w:t>
                  </w:r>
                </w:p>
              </w:tc>
              <w:tc>
                <w:tcPr>
                  <w:tcW w:w="683"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块</w:t>
                  </w:r>
                </w:p>
              </w:tc>
              <w:tc>
                <w:tcPr>
                  <w:tcW w:w="69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eastAsia="zh-CN"/>
                    </w:rPr>
                  </w:pPr>
                  <w:r>
                    <w:rPr>
                      <w:rFonts w:hint="eastAsia"/>
                      <w:szCs w:val="21"/>
                      <w:lang w:val="en-US" w:eastAsia="zh-CN"/>
                    </w:rPr>
                    <w:t>7</w:t>
                  </w:r>
                </w:p>
              </w:tc>
              <w:tc>
                <w:tcPr>
                  <w:tcW w:w="117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szCs w:val="21"/>
                    </w:rPr>
                  </w:pPr>
                  <w:r>
                    <w:rPr>
                      <w:rFonts w:hint="eastAsia"/>
                      <w:szCs w:val="21"/>
                    </w:rPr>
                    <w:t>加油区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eastAsia="zh-CN"/>
                    </w:rPr>
                  </w:pPr>
                  <w:r>
                    <w:rPr>
                      <w:rFonts w:hint="eastAsia"/>
                      <w:szCs w:val="21"/>
                      <w:lang w:val="en-US" w:eastAsia="zh-CN"/>
                    </w:rPr>
                    <w:t>5</w:t>
                  </w:r>
                </w:p>
              </w:tc>
              <w:tc>
                <w:tcPr>
                  <w:tcW w:w="1850"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消防沙箱</w:t>
                  </w:r>
                </w:p>
              </w:tc>
              <w:tc>
                <w:tcPr>
                  <w:tcW w:w="683" w:type="pct"/>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rFonts w:hint="eastAsia"/>
                      <w:szCs w:val="21"/>
                    </w:rPr>
                    <w:t>座</w:t>
                  </w:r>
                </w:p>
              </w:tc>
              <w:tc>
                <w:tcPr>
                  <w:tcW w:w="69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eastAsia="zh-CN"/>
                    </w:rPr>
                  </w:pPr>
                  <w:r>
                    <w:rPr>
                      <w:rFonts w:hint="eastAsia"/>
                      <w:szCs w:val="21"/>
                      <w:lang w:val="en-US" w:eastAsia="zh-CN"/>
                    </w:rPr>
                    <w:t>2</w:t>
                  </w:r>
                </w:p>
              </w:tc>
              <w:tc>
                <w:tcPr>
                  <w:tcW w:w="117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szCs w:val="21"/>
                    </w:rPr>
                  </w:pPr>
                  <w:r>
                    <w:rPr>
                      <w:rFonts w:hint="eastAsia"/>
                      <w:szCs w:val="21"/>
                    </w:rPr>
                    <w:t>卸油口附近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szCs w:val="21"/>
                      <w:lang w:eastAsia="zh-CN"/>
                    </w:rPr>
                  </w:pPr>
                  <w:r>
                    <w:rPr>
                      <w:rFonts w:hint="eastAsia" w:ascii="Times New Roman" w:hAnsi="Times New Roman" w:eastAsia="宋体" w:cs="Times New Roman"/>
                      <w:szCs w:val="21"/>
                      <w:lang w:val="en-US" w:eastAsia="zh-CN"/>
                    </w:rPr>
                    <w:t>6</w:t>
                  </w:r>
                </w:p>
              </w:tc>
              <w:tc>
                <w:tcPr>
                  <w:tcW w:w="185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szCs w:val="21"/>
                      <w:lang w:eastAsia="zh-CN"/>
                    </w:rPr>
                  </w:pPr>
                  <w:r>
                    <w:rPr>
                      <w:rFonts w:hint="eastAsia" w:ascii="Times New Roman" w:hAnsi="Times New Roman" w:eastAsia="宋体" w:cs="Times New Roman"/>
                      <w:szCs w:val="21"/>
                      <w:lang w:val="en-US" w:eastAsia="zh-CN"/>
                    </w:rPr>
                    <w:t>消防锨</w:t>
                  </w:r>
                </w:p>
              </w:tc>
              <w:tc>
                <w:tcPr>
                  <w:tcW w:w="68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vertAlign w:val="superscript"/>
                      <w:lang w:eastAsia="zh-CN"/>
                    </w:rPr>
                  </w:pPr>
                  <w:r>
                    <w:rPr>
                      <w:rFonts w:hint="eastAsia"/>
                      <w:szCs w:val="21"/>
                      <w:lang w:val="en-US" w:eastAsia="zh-CN"/>
                    </w:rPr>
                    <w:t>把</w:t>
                  </w:r>
                </w:p>
              </w:tc>
              <w:tc>
                <w:tcPr>
                  <w:tcW w:w="69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eastAsia="zh-CN"/>
                    </w:rPr>
                  </w:pPr>
                  <w:r>
                    <w:rPr>
                      <w:rFonts w:hint="eastAsia"/>
                      <w:szCs w:val="21"/>
                      <w:lang w:val="en-US" w:eastAsia="zh-CN"/>
                    </w:rPr>
                    <w:t>6</w:t>
                  </w:r>
                </w:p>
              </w:tc>
              <w:tc>
                <w:tcPr>
                  <w:tcW w:w="117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szCs w:val="21"/>
                    </w:rPr>
                  </w:pPr>
                  <w:r>
                    <w:rPr>
                      <w:rFonts w:hint="eastAsia"/>
                      <w:szCs w:val="21"/>
                    </w:rPr>
                    <w:t>卸油口附近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eastAsia="zh-CN"/>
                    </w:rPr>
                  </w:pPr>
                  <w:r>
                    <w:rPr>
                      <w:rFonts w:hint="eastAsia"/>
                      <w:szCs w:val="21"/>
                      <w:lang w:val="en-US" w:eastAsia="zh-CN"/>
                    </w:rPr>
                    <w:t>7</w:t>
                  </w:r>
                </w:p>
              </w:tc>
              <w:tc>
                <w:tcPr>
                  <w:tcW w:w="185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eastAsia="zh-CN"/>
                    </w:rPr>
                  </w:pPr>
                  <w:r>
                    <w:rPr>
                      <w:rFonts w:hint="eastAsia"/>
                      <w:szCs w:val="21"/>
                    </w:rPr>
                    <w:t>消防</w:t>
                  </w:r>
                  <w:r>
                    <w:rPr>
                      <w:rFonts w:hint="eastAsia"/>
                      <w:szCs w:val="21"/>
                      <w:lang w:val="en-US" w:eastAsia="zh-CN"/>
                    </w:rPr>
                    <w:t>桶</w:t>
                  </w:r>
                </w:p>
              </w:tc>
              <w:tc>
                <w:tcPr>
                  <w:tcW w:w="683"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eastAsia="zh-CN"/>
                    </w:rPr>
                  </w:pPr>
                  <w:r>
                    <w:rPr>
                      <w:rFonts w:hint="eastAsia"/>
                      <w:szCs w:val="21"/>
                      <w:lang w:val="en-US" w:eastAsia="zh-CN"/>
                    </w:rPr>
                    <w:t>个</w:t>
                  </w:r>
                </w:p>
              </w:tc>
              <w:tc>
                <w:tcPr>
                  <w:tcW w:w="69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Cs w:val="21"/>
                      <w:lang w:eastAsia="zh-CN"/>
                    </w:rPr>
                  </w:pPr>
                  <w:r>
                    <w:rPr>
                      <w:rFonts w:hint="eastAsia"/>
                      <w:szCs w:val="21"/>
                      <w:lang w:val="en-US" w:eastAsia="zh-CN"/>
                    </w:rPr>
                    <w:t>6</w:t>
                  </w:r>
                </w:p>
              </w:tc>
              <w:tc>
                <w:tcPr>
                  <w:tcW w:w="1172" w:type="pct"/>
                  <w:tcBorders>
                    <w:top w:val="single" w:color="auto" w:sz="4" w:space="0"/>
                    <w:left w:val="single" w:color="auto" w:sz="4" w:space="0"/>
                    <w:bottom w:val="single" w:color="auto" w:sz="4" w:space="0"/>
                    <w:right w:val="single" w:color="auto" w:sz="4" w:space="0"/>
                  </w:tcBorders>
                  <w:noWrap w:val="0"/>
                  <w:vAlign w:val="center"/>
                </w:tcPr>
                <w:p>
                  <w:pPr>
                    <w:widowControl/>
                    <w:jc w:val="center"/>
                    <w:rPr>
                      <w:szCs w:val="21"/>
                    </w:rPr>
                  </w:pPr>
                  <w:r>
                    <w:rPr>
                      <w:rFonts w:hint="eastAsia"/>
                      <w:szCs w:val="21"/>
                    </w:rPr>
                    <w:t>卸油口附近</w:t>
                  </w:r>
                </w:p>
              </w:tc>
            </w:tr>
          </w:tbl>
          <w:p>
            <w:pPr>
              <w:pStyle w:val="3"/>
              <w:spacing w:before="0" w:beforeLines="0" w:after="0" w:afterLines="0"/>
              <w:ind w:firstLine="422" w:firstLineChars="200"/>
              <w:rPr>
                <w:b/>
                <w:bCs/>
                <w:sz w:val="21"/>
                <w:szCs w:val="21"/>
              </w:rPr>
            </w:pPr>
            <w:r>
              <w:rPr>
                <w:rFonts w:hint="eastAsia"/>
                <w:b/>
                <w:bCs/>
                <w:sz w:val="21"/>
                <w:szCs w:val="21"/>
              </w:rPr>
              <w:t>9</w:t>
            </w:r>
            <w:r>
              <w:rPr>
                <w:b/>
                <w:bCs/>
                <w:sz w:val="21"/>
                <w:szCs w:val="21"/>
              </w:rPr>
              <w:t>、平面布置合理性分析</w:t>
            </w:r>
          </w:p>
          <w:p>
            <w:pPr>
              <w:spacing w:line="360" w:lineRule="auto"/>
              <w:ind w:firstLine="420" w:firstLineChars="200"/>
              <w:rPr>
                <w:color w:val="0000FF"/>
                <w:szCs w:val="21"/>
              </w:rPr>
            </w:pPr>
            <w:r>
              <w:rPr>
                <w:rFonts w:hint="eastAsia"/>
                <w:lang w:val="en-US" w:eastAsia="zh-CN"/>
              </w:rPr>
              <w:t>本项目占地面</w:t>
            </w:r>
            <w:r>
              <w:rPr>
                <w:rFonts w:hint="eastAsia" w:ascii="Times New Roman" w:hAnsi="Times New Roman" w:eastAsia="宋体" w:cs="Times New Roman"/>
                <w:color w:val="auto"/>
                <w:szCs w:val="21"/>
                <w:highlight w:val="none"/>
                <w:vertAlign w:val="baseline"/>
                <w:lang w:val="en-US" w:eastAsia="zh-CN"/>
              </w:rPr>
              <w:t>积4159.69</w:t>
            </w:r>
            <w:r>
              <w:rPr>
                <w:color w:val="auto"/>
                <w:szCs w:val="21"/>
                <w:highlight w:val="none"/>
              </w:rPr>
              <w:t>m</w:t>
            </w:r>
            <w:r>
              <w:rPr>
                <w:color w:val="auto"/>
                <w:szCs w:val="21"/>
                <w:highlight w:val="none"/>
                <w:vertAlign w:val="superscript"/>
              </w:rPr>
              <w:t>2</w:t>
            </w:r>
            <w:r>
              <w:rPr>
                <w:rFonts w:hint="eastAsia"/>
                <w:color w:val="auto"/>
                <w:szCs w:val="21"/>
                <w:highlight w:val="none"/>
                <w:vertAlign w:val="baseline"/>
                <w:lang w:eastAsia="zh-CN"/>
              </w:rPr>
              <w:t>，</w:t>
            </w:r>
            <w:r>
              <w:rPr>
                <w:szCs w:val="21"/>
              </w:rPr>
              <w:t>项目场地整体功能上</w:t>
            </w:r>
            <w:r>
              <w:rPr>
                <w:rFonts w:hint="eastAsia"/>
                <w:szCs w:val="21"/>
              </w:rPr>
              <w:t>分站房、加油区、储油区、卸油区四个区域</w:t>
            </w:r>
            <w:r>
              <w:rPr>
                <w:szCs w:val="21"/>
              </w:rPr>
              <w:t>设置，分区功能明确。站房布置在站区</w:t>
            </w:r>
            <w:r>
              <w:rPr>
                <w:rFonts w:hint="eastAsia"/>
                <w:szCs w:val="21"/>
                <w:lang w:val="en-US" w:eastAsia="zh-CN"/>
              </w:rPr>
              <w:t>南</w:t>
            </w:r>
            <w:r>
              <w:rPr>
                <w:rFonts w:hint="eastAsia"/>
                <w:szCs w:val="21"/>
              </w:rPr>
              <w:t>侧，为1层</w:t>
            </w:r>
            <w:r>
              <w:rPr>
                <w:rFonts w:hint="eastAsia"/>
                <w:szCs w:val="21"/>
                <w:lang w:val="en-US" w:eastAsia="zh-CN"/>
              </w:rPr>
              <w:t>砖混</w:t>
            </w:r>
            <w:r>
              <w:rPr>
                <w:rFonts w:hint="eastAsia"/>
                <w:szCs w:val="21"/>
              </w:rPr>
              <w:t>结构建筑物，站房内设置便利店、综合办公室、</w:t>
            </w:r>
            <w:r>
              <w:rPr>
                <w:rFonts w:hint="eastAsia"/>
                <w:szCs w:val="21"/>
                <w:lang w:val="en-US" w:eastAsia="zh-CN"/>
              </w:rPr>
              <w:t>值班室</w:t>
            </w:r>
            <w:r>
              <w:rPr>
                <w:szCs w:val="21"/>
              </w:rPr>
              <w:t>；加油区布置在</w:t>
            </w:r>
            <w:r>
              <w:rPr>
                <w:rFonts w:hint="eastAsia"/>
                <w:szCs w:val="21"/>
              </w:rPr>
              <w:t>站区中部</w:t>
            </w:r>
            <w:r>
              <w:rPr>
                <w:szCs w:val="21"/>
              </w:rPr>
              <w:t>，面向</w:t>
            </w:r>
            <w:r>
              <w:rPr>
                <w:rFonts w:hint="eastAsia"/>
                <w:szCs w:val="21"/>
              </w:rPr>
              <w:t>站前</w:t>
            </w:r>
            <w:r>
              <w:rPr>
                <w:rFonts w:hint="eastAsia"/>
                <w:szCs w:val="21"/>
                <w:lang w:val="en-US" w:eastAsia="zh-CN"/>
              </w:rPr>
              <w:t>咸宁东</w:t>
            </w:r>
            <w:r>
              <w:rPr>
                <w:rFonts w:hint="eastAsia"/>
                <w:szCs w:val="21"/>
              </w:rPr>
              <w:t>路</w:t>
            </w:r>
            <w:r>
              <w:rPr>
                <w:szCs w:val="21"/>
              </w:rPr>
              <w:t>敞开布置；储油区布置在</w:t>
            </w:r>
            <w:r>
              <w:rPr>
                <w:rFonts w:hint="eastAsia"/>
                <w:szCs w:val="21"/>
                <w:lang w:val="en-US" w:eastAsia="zh-CN"/>
              </w:rPr>
              <w:t>东南角</w:t>
            </w:r>
            <w:r>
              <w:rPr>
                <w:szCs w:val="21"/>
              </w:rPr>
              <w:t>；卸油区布置在</w:t>
            </w:r>
            <w:r>
              <w:rPr>
                <w:rFonts w:hint="eastAsia"/>
                <w:szCs w:val="21"/>
              </w:rPr>
              <w:t>罩棚东</w:t>
            </w:r>
            <w:r>
              <w:rPr>
                <w:szCs w:val="21"/>
              </w:rPr>
              <w:t>侧</w:t>
            </w:r>
            <w:r>
              <w:rPr>
                <w:rFonts w:hint="eastAsia"/>
                <w:szCs w:val="21"/>
              </w:rPr>
              <w:t>。站区道路采用混凝土路面，车道宽度满足规范要求，转弯半径9m，加油区、卸油区按平坡设计。站区</w:t>
            </w:r>
            <w:r>
              <w:rPr>
                <w:rFonts w:hint="eastAsia"/>
                <w:szCs w:val="21"/>
                <w:lang w:val="en-US" w:eastAsia="zh-CN"/>
              </w:rPr>
              <w:t>南</w:t>
            </w:r>
            <w:r>
              <w:rPr>
                <w:rFonts w:hint="eastAsia"/>
                <w:szCs w:val="21"/>
              </w:rPr>
              <w:t>侧、西侧</w:t>
            </w:r>
            <w:r>
              <w:rPr>
                <w:rFonts w:hint="eastAsia"/>
                <w:szCs w:val="21"/>
                <w:lang w:val="en-US" w:eastAsia="zh-CN"/>
              </w:rPr>
              <w:t>和东侧</w:t>
            </w:r>
            <w:r>
              <w:rPr>
                <w:rFonts w:hint="eastAsia"/>
                <w:szCs w:val="21"/>
              </w:rPr>
              <w:t>设置实体围墙，围墙高2.</w:t>
            </w:r>
            <w:r>
              <w:rPr>
                <w:rFonts w:hint="eastAsia"/>
                <w:szCs w:val="21"/>
                <w:lang w:val="en-US" w:eastAsia="zh-CN"/>
              </w:rPr>
              <w:t>5</w:t>
            </w:r>
            <w:r>
              <w:rPr>
                <w:rFonts w:hint="eastAsia"/>
                <w:szCs w:val="21"/>
              </w:rPr>
              <w:t>m。同时，结合加油站油罐、加油机和通气管管口与站外建、构筑物的防火距离，加油站平面布置较为合理。本项目总平面布置检查表见表2-</w:t>
            </w:r>
            <w:r>
              <w:rPr>
                <w:rFonts w:hint="eastAsia"/>
                <w:szCs w:val="21"/>
                <w:lang w:val="en-US" w:eastAsia="zh-CN"/>
              </w:rPr>
              <w:t>9</w:t>
            </w:r>
            <w:r>
              <w:rPr>
                <w:rFonts w:hint="eastAsia"/>
                <w:szCs w:val="21"/>
                <w:lang w:eastAsia="zh-CN"/>
              </w:rPr>
              <w:t>，</w:t>
            </w:r>
            <w:r>
              <w:rPr>
                <w:rFonts w:hint="eastAsia"/>
                <w:szCs w:val="21"/>
                <w:highlight w:val="none"/>
                <w:lang w:val="en-US" w:eastAsia="zh-CN"/>
              </w:rPr>
              <w:t>站内设施防火间距表见表2-10，</w:t>
            </w:r>
            <w:r>
              <w:rPr>
                <w:rFonts w:hint="eastAsia"/>
                <w:szCs w:val="21"/>
              </w:rPr>
              <w:t>项目平面布置图见图2</w:t>
            </w:r>
            <w:r>
              <w:rPr>
                <w:rFonts w:hint="eastAsia"/>
                <w:szCs w:val="21"/>
                <w:lang w:val="en-US" w:eastAsia="zh-CN"/>
              </w:rPr>
              <w:t>-2</w:t>
            </w:r>
            <w:r>
              <w:rPr>
                <w:rFonts w:hint="eastAsia"/>
                <w:szCs w:val="21"/>
              </w:rPr>
              <w:t>。</w:t>
            </w:r>
          </w:p>
          <w:p>
            <w:pPr>
              <w:widowControl/>
              <w:tabs>
                <w:tab w:val="left" w:pos="1260"/>
              </w:tabs>
              <w:jc w:val="center"/>
              <w:rPr>
                <w:b/>
                <w:bCs/>
                <w:szCs w:val="21"/>
              </w:rPr>
            </w:pPr>
            <w:r>
              <w:rPr>
                <w:rFonts w:hint="eastAsia"/>
                <w:b/>
                <w:bCs/>
                <w:szCs w:val="21"/>
              </w:rPr>
              <w:t>表2-</w:t>
            </w:r>
            <w:r>
              <w:rPr>
                <w:rFonts w:hint="eastAsia"/>
                <w:b/>
                <w:bCs/>
                <w:szCs w:val="21"/>
                <w:lang w:val="en-US" w:eastAsia="zh-CN"/>
              </w:rPr>
              <w:t>9</w:t>
            </w:r>
            <w:r>
              <w:rPr>
                <w:b/>
                <w:bCs/>
                <w:szCs w:val="21"/>
              </w:rPr>
              <w:t>加油站总平面布置检查表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2"/>
              <w:gridCol w:w="3281"/>
              <w:gridCol w:w="1476"/>
              <w:gridCol w:w="2483"/>
              <w:gridCol w:w="7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4" w:type="pct"/>
                  <w:noWrap w:val="0"/>
                  <w:vAlign w:val="center"/>
                </w:tcPr>
                <w:p>
                  <w:pPr>
                    <w:snapToGrid w:val="0"/>
                    <w:jc w:val="center"/>
                    <w:rPr>
                      <w:b/>
                      <w:bCs/>
                      <w:color w:val="000000"/>
                      <w:szCs w:val="21"/>
                      <w:lang w:val="zh-CN"/>
                    </w:rPr>
                  </w:pPr>
                  <w:r>
                    <w:rPr>
                      <w:b/>
                      <w:bCs/>
                      <w:color w:val="000000"/>
                      <w:szCs w:val="21"/>
                      <w:lang w:val="zh-CN"/>
                    </w:rPr>
                    <w:t>序号</w:t>
                  </w:r>
                </w:p>
              </w:tc>
              <w:tc>
                <w:tcPr>
                  <w:tcW w:w="1900" w:type="pct"/>
                  <w:noWrap w:val="0"/>
                  <w:vAlign w:val="center"/>
                </w:tcPr>
                <w:p>
                  <w:pPr>
                    <w:snapToGrid w:val="0"/>
                    <w:jc w:val="center"/>
                    <w:rPr>
                      <w:b/>
                      <w:bCs/>
                      <w:color w:val="000000"/>
                      <w:szCs w:val="21"/>
                      <w:lang w:val="zh-CN"/>
                    </w:rPr>
                  </w:pPr>
                  <w:r>
                    <w:rPr>
                      <w:b/>
                      <w:bCs/>
                      <w:color w:val="000000"/>
                      <w:szCs w:val="21"/>
                      <w:lang w:val="zh-CN"/>
                    </w:rPr>
                    <w:t>检查内容</w:t>
                  </w:r>
                </w:p>
              </w:tc>
              <w:tc>
                <w:tcPr>
                  <w:tcW w:w="855" w:type="pct"/>
                  <w:noWrap w:val="0"/>
                  <w:vAlign w:val="center"/>
                </w:tcPr>
                <w:p>
                  <w:pPr>
                    <w:snapToGrid w:val="0"/>
                    <w:jc w:val="center"/>
                    <w:rPr>
                      <w:b/>
                      <w:bCs/>
                      <w:color w:val="000000"/>
                      <w:szCs w:val="21"/>
                      <w:lang w:val="zh-CN"/>
                    </w:rPr>
                  </w:pPr>
                  <w:r>
                    <w:rPr>
                      <w:b/>
                      <w:bCs/>
                      <w:color w:val="000000"/>
                      <w:szCs w:val="21"/>
                      <w:lang w:val="zh-CN"/>
                    </w:rPr>
                    <w:t>依据</w:t>
                  </w:r>
                </w:p>
              </w:tc>
              <w:tc>
                <w:tcPr>
                  <w:tcW w:w="1438" w:type="pct"/>
                  <w:noWrap w:val="0"/>
                  <w:vAlign w:val="center"/>
                </w:tcPr>
                <w:p>
                  <w:pPr>
                    <w:snapToGrid w:val="0"/>
                    <w:jc w:val="center"/>
                    <w:rPr>
                      <w:b/>
                      <w:bCs/>
                      <w:color w:val="000000"/>
                      <w:szCs w:val="21"/>
                      <w:lang w:val="zh-CN"/>
                    </w:rPr>
                  </w:pPr>
                  <w:r>
                    <w:rPr>
                      <w:b/>
                      <w:bCs/>
                      <w:color w:val="000000"/>
                      <w:szCs w:val="21"/>
                      <w:lang w:val="zh-CN"/>
                    </w:rPr>
                    <w:t>检查记录</w:t>
                  </w:r>
                </w:p>
              </w:tc>
              <w:tc>
                <w:tcPr>
                  <w:tcW w:w="422" w:type="pct"/>
                  <w:noWrap w:val="0"/>
                  <w:vAlign w:val="center"/>
                </w:tcPr>
                <w:p>
                  <w:pPr>
                    <w:snapToGrid w:val="0"/>
                    <w:jc w:val="center"/>
                    <w:rPr>
                      <w:b/>
                      <w:bCs/>
                      <w:color w:val="000000"/>
                      <w:szCs w:val="21"/>
                      <w:lang w:val="zh-CN"/>
                    </w:rPr>
                  </w:pPr>
                  <w:r>
                    <w:rPr>
                      <w:b/>
                      <w:bCs/>
                      <w:color w:val="000000"/>
                      <w:szCs w:val="21"/>
                      <w:lang w:val="zh-CN"/>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84" w:type="pct"/>
                  <w:noWrap w:val="0"/>
                  <w:vAlign w:val="center"/>
                </w:tcPr>
                <w:p>
                  <w:pPr>
                    <w:snapToGrid w:val="0"/>
                    <w:jc w:val="center"/>
                    <w:rPr>
                      <w:color w:val="000000"/>
                      <w:szCs w:val="21"/>
                      <w:lang w:val="zh-CN"/>
                    </w:rPr>
                  </w:pPr>
                  <w:r>
                    <w:rPr>
                      <w:color w:val="000000"/>
                      <w:szCs w:val="21"/>
                      <w:lang w:val="zh-CN"/>
                    </w:rPr>
                    <w:t>1</w:t>
                  </w:r>
                </w:p>
              </w:tc>
              <w:tc>
                <w:tcPr>
                  <w:tcW w:w="1900" w:type="pct"/>
                  <w:noWrap w:val="0"/>
                  <w:vAlign w:val="center"/>
                </w:tcPr>
                <w:p>
                  <w:pPr>
                    <w:snapToGrid w:val="0"/>
                    <w:jc w:val="center"/>
                    <w:rPr>
                      <w:color w:val="000000"/>
                      <w:szCs w:val="21"/>
                      <w:lang w:val="zh-CN"/>
                    </w:rPr>
                  </w:pPr>
                  <w:r>
                    <w:rPr>
                      <w:color w:val="000000"/>
                      <w:szCs w:val="21"/>
                      <w:lang w:val="zh-CN"/>
                    </w:rPr>
                    <w:t>车辆入口和出口应分开设置。</w:t>
                  </w:r>
                </w:p>
              </w:tc>
              <w:tc>
                <w:tcPr>
                  <w:tcW w:w="855" w:type="pct"/>
                  <w:noWrap w:val="0"/>
                  <w:vAlign w:val="center"/>
                </w:tcPr>
                <w:p>
                  <w:pPr>
                    <w:snapToGrid w:val="0"/>
                    <w:jc w:val="center"/>
                    <w:rPr>
                      <w:color w:val="000000"/>
                      <w:szCs w:val="21"/>
                      <w:lang w:val="zh-CN"/>
                    </w:rPr>
                  </w:pPr>
                  <w:r>
                    <w:rPr>
                      <w:color w:val="000000"/>
                      <w:szCs w:val="21"/>
                      <w:lang w:val="zh-CN"/>
                    </w:rPr>
                    <w:t>GB50156-2</w:t>
                  </w:r>
                  <w:r>
                    <w:rPr>
                      <w:rFonts w:hint="eastAsia"/>
                      <w:color w:val="000000"/>
                      <w:szCs w:val="21"/>
                    </w:rPr>
                    <w:t>021</w:t>
                  </w:r>
                  <w:r>
                    <w:rPr>
                      <w:color w:val="000000"/>
                      <w:szCs w:val="21"/>
                      <w:lang w:val="zh-CN"/>
                    </w:rPr>
                    <w:t>第5.0.1条</w:t>
                  </w:r>
                </w:p>
              </w:tc>
              <w:tc>
                <w:tcPr>
                  <w:tcW w:w="1438" w:type="pct"/>
                  <w:noWrap w:val="0"/>
                  <w:vAlign w:val="center"/>
                </w:tcPr>
                <w:p>
                  <w:pPr>
                    <w:snapToGrid w:val="0"/>
                    <w:jc w:val="center"/>
                    <w:rPr>
                      <w:color w:val="000000"/>
                      <w:szCs w:val="21"/>
                      <w:lang w:val="zh-CN"/>
                    </w:rPr>
                  </w:pPr>
                  <w:r>
                    <w:rPr>
                      <w:rFonts w:hint="eastAsia"/>
                      <w:color w:val="000000"/>
                      <w:szCs w:val="21"/>
                      <w:lang w:val="zh-CN"/>
                    </w:rPr>
                    <w:t>本项目</w:t>
                  </w:r>
                  <w:r>
                    <w:rPr>
                      <w:color w:val="000000"/>
                      <w:szCs w:val="21"/>
                      <w:lang w:val="zh-CN"/>
                    </w:rPr>
                    <w:t>车辆入口和出口分开设置</w:t>
                  </w:r>
                  <w:r>
                    <w:rPr>
                      <w:rFonts w:hint="eastAsia"/>
                      <w:color w:val="000000"/>
                      <w:szCs w:val="21"/>
                      <w:lang w:val="zh-CN"/>
                    </w:rPr>
                    <w:t>。</w:t>
                  </w:r>
                </w:p>
              </w:tc>
              <w:tc>
                <w:tcPr>
                  <w:tcW w:w="422" w:type="pct"/>
                  <w:noWrap w:val="0"/>
                  <w:vAlign w:val="center"/>
                </w:tcPr>
                <w:p>
                  <w:pPr>
                    <w:snapToGrid w:val="0"/>
                    <w:jc w:val="center"/>
                    <w:rPr>
                      <w:color w:val="000000"/>
                      <w:szCs w:val="21"/>
                      <w:lang w:val="zh-CN"/>
                    </w:rPr>
                  </w:pPr>
                  <w:r>
                    <w:rPr>
                      <w:color w:val="000000"/>
                      <w:szCs w:val="21"/>
                      <w:lang w:val="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4" w:type="pct"/>
                  <w:noWrap w:val="0"/>
                  <w:vAlign w:val="center"/>
                </w:tcPr>
                <w:p>
                  <w:pPr>
                    <w:snapToGrid w:val="0"/>
                    <w:jc w:val="center"/>
                    <w:rPr>
                      <w:color w:val="000000"/>
                      <w:szCs w:val="21"/>
                      <w:lang w:val="zh-CN"/>
                    </w:rPr>
                  </w:pPr>
                  <w:r>
                    <w:rPr>
                      <w:color w:val="000000"/>
                      <w:szCs w:val="21"/>
                      <w:lang w:val="zh-CN"/>
                    </w:rPr>
                    <w:t>2</w:t>
                  </w:r>
                </w:p>
              </w:tc>
              <w:tc>
                <w:tcPr>
                  <w:tcW w:w="1900" w:type="pct"/>
                  <w:noWrap w:val="0"/>
                  <w:vAlign w:val="center"/>
                </w:tcPr>
                <w:p>
                  <w:pPr>
                    <w:snapToGrid w:val="0"/>
                    <w:jc w:val="center"/>
                    <w:rPr>
                      <w:color w:val="000000"/>
                      <w:szCs w:val="21"/>
                      <w:lang w:val="zh-CN"/>
                    </w:rPr>
                  </w:pPr>
                  <w:r>
                    <w:rPr>
                      <w:color w:val="000000"/>
                      <w:szCs w:val="21"/>
                      <w:lang w:val="zh-CN"/>
                    </w:rPr>
                    <w:t>①单车道宽度不应小于4m，双车道宽度不应小于</w:t>
                  </w:r>
                  <w:r>
                    <w:rPr>
                      <w:rFonts w:hint="eastAsia"/>
                      <w:color w:val="000000"/>
                      <w:szCs w:val="21"/>
                    </w:rPr>
                    <w:t>6</w:t>
                  </w:r>
                  <w:r>
                    <w:rPr>
                      <w:color w:val="000000"/>
                      <w:szCs w:val="21"/>
                      <w:lang w:val="zh-CN"/>
                    </w:rPr>
                    <w:t>m。②站内的道路转弯半径按行驶车型确定，且不宜小于9m；道路坡度不应大于8%，且宜坡向站外；在汽车槽车（含子站车）卸车停车位处，宜按平坡设计。③站内停车场和道路路面不应采用沥青路面。</w:t>
                  </w:r>
                </w:p>
              </w:tc>
              <w:tc>
                <w:tcPr>
                  <w:tcW w:w="855" w:type="pct"/>
                  <w:noWrap w:val="0"/>
                  <w:vAlign w:val="center"/>
                </w:tcPr>
                <w:p>
                  <w:pPr>
                    <w:snapToGrid w:val="0"/>
                    <w:jc w:val="center"/>
                    <w:rPr>
                      <w:color w:val="000000"/>
                      <w:szCs w:val="21"/>
                      <w:lang w:val="zh-CN"/>
                    </w:rPr>
                  </w:pPr>
                  <w:r>
                    <w:rPr>
                      <w:color w:val="000000"/>
                      <w:szCs w:val="21"/>
                      <w:lang w:val="zh-CN"/>
                    </w:rPr>
                    <w:t>GB50156-20</w:t>
                  </w:r>
                  <w:r>
                    <w:rPr>
                      <w:rFonts w:hint="eastAsia"/>
                      <w:color w:val="000000"/>
                      <w:szCs w:val="21"/>
                    </w:rPr>
                    <w:t>21</w:t>
                  </w:r>
                  <w:r>
                    <w:rPr>
                      <w:color w:val="000000"/>
                      <w:szCs w:val="21"/>
                      <w:lang w:val="zh-CN"/>
                    </w:rPr>
                    <w:t>第5.0.2条</w:t>
                  </w:r>
                </w:p>
                <w:p>
                  <w:pPr>
                    <w:snapToGrid w:val="0"/>
                    <w:jc w:val="center"/>
                    <w:rPr>
                      <w:color w:val="000000"/>
                      <w:szCs w:val="21"/>
                      <w:lang w:val="zh-CN"/>
                    </w:rPr>
                  </w:pPr>
                </w:p>
              </w:tc>
              <w:tc>
                <w:tcPr>
                  <w:tcW w:w="1438" w:type="pct"/>
                  <w:noWrap w:val="0"/>
                  <w:vAlign w:val="center"/>
                </w:tcPr>
                <w:p>
                  <w:pPr>
                    <w:snapToGrid w:val="0"/>
                    <w:jc w:val="center"/>
                    <w:rPr>
                      <w:color w:val="000000"/>
                      <w:szCs w:val="21"/>
                      <w:lang w:val="zh-CN"/>
                    </w:rPr>
                  </w:pPr>
                  <w:r>
                    <w:rPr>
                      <w:rFonts w:hint="eastAsia"/>
                      <w:color w:val="000000"/>
                      <w:szCs w:val="21"/>
                      <w:lang w:val="zh-CN"/>
                    </w:rPr>
                    <w:t>本项目</w:t>
                  </w:r>
                  <w:r>
                    <w:rPr>
                      <w:color w:val="000000"/>
                      <w:szCs w:val="21"/>
                      <w:lang w:val="zh-CN"/>
                    </w:rPr>
                    <w:t>单车道宽度</w:t>
                  </w:r>
                  <w:r>
                    <w:rPr>
                      <w:rFonts w:hint="eastAsia"/>
                      <w:color w:val="000000"/>
                      <w:szCs w:val="21"/>
                      <w:lang w:val="en-US" w:eastAsia="zh-CN"/>
                    </w:rPr>
                    <w:t>为6</w:t>
                  </w:r>
                  <w:r>
                    <w:rPr>
                      <w:color w:val="000000"/>
                      <w:szCs w:val="21"/>
                      <w:lang w:val="zh-CN"/>
                    </w:rPr>
                    <w:t>m，</w:t>
                  </w:r>
                  <w:r>
                    <w:rPr>
                      <w:rFonts w:hint="eastAsia"/>
                      <w:color w:val="000000"/>
                      <w:szCs w:val="21"/>
                      <w:lang w:val="en-US" w:eastAsia="zh-CN"/>
                    </w:rPr>
                    <w:t>双车道宽度为8m，</w:t>
                  </w:r>
                  <w:r>
                    <w:rPr>
                      <w:rFonts w:hint="eastAsia"/>
                      <w:color w:val="000000"/>
                      <w:szCs w:val="21"/>
                    </w:rPr>
                    <w:t>转弯半径9m，</w:t>
                  </w:r>
                  <w:r>
                    <w:rPr>
                      <w:rFonts w:hint="eastAsia"/>
                      <w:color w:val="000000"/>
                      <w:szCs w:val="21"/>
                      <w:lang w:val="zh-CN"/>
                    </w:rPr>
                    <w:t>整个加油站站区均为</w:t>
                  </w:r>
                  <w:r>
                    <w:rPr>
                      <w:color w:val="000000"/>
                      <w:szCs w:val="21"/>
                      <w:lang w:val="zh-CN"/>
                    </w:rPr>
                    <w:t>平地设计</w:t>
                  </w:r>
                  <w:r>
                    <w:rPr>
                      <w:rFonts w:hint="eastAsia"/>
                      <w:color w:val="000000"/>
                      <w:szCs w:val="21"/>
                      <w:lang w:val="zh-CN"/>
                    </w:rPr>
                    <w:t>，加油站</w:t>
                  </w:r>
                  <w:r>
                    <w:rPr>
                      <w:color w:val="000000"/>
                      <w:szCs w:val="21"/>
                      <w:lang w:val="zh-CN"/>
                    </w:rPr>
                    <w:t>站内停车位和道路路面</w:t>
                  </w:r>
                  <w:r>
                    <w:rPr>
                      <w:rFonts w:hint="eastAsia"/>
                      <w:color w:val="000000"/>
                      <w:szCs w:val="21"/>
                      <w:lang w:val="zh-CN"/>
                    </w:rPr>
                    <w:t>均</w:t>
                  </w:r>
                  <w:r>
                    <w:rPr>
                      <w:color w:val="000000"/>
                      <w:szCs w:val="21"/>
                      <w:lang w:val="zh-CN"/>
                    </w:rPr>
                    <w:t>采用混凝土路面，</w:t>
                  </w:r>
                  <w:r>
                    <w:rPr>
                      <w:rFonts w:hint="eastAsia"/>
                      <w:color w:val="000000"/>
                      <w:szCs w:val="21"/>
                      <w:lang w:val="zh-CN"/>
                    </w:rPr>
                    <w:t>无沥青路面</w:t>
                  </w:r>
                  <w:r>
                    <w:rPr>
                      <w:color w:val="000000"/>
                      <w:szCs w:val="21"/>
                      <w:lang w:val="zh-CN"/>
                    </w:rPr>
                    <w:t>。</w:t>
                  </w:r>
                </w:p>
              </w:tc>
              <w:tc>
                <w:tcPr>
                  <w:tcW w:w="422" w:type="pct"/>
                  <w:noWrap w:val="0"/>
                  <w:vAlign w:val="center"/>
                </w:tcPr>
                <w:p>
                  <w:pPr>
                    <w:snapToGrid w:val="0"/>
                    <w:jc w:val="center"/>
                    <w:rPr>
                      <w:color w:val="000000"/>
                      <w:szCs w:val="21"/>
                      <w:lang w:val="zh-CN"/>
                    </w:rPr>
                  </w:pPr>
                  <w:r>
                    <w:rPr>
                      <w:color w:val="000000"/>
                      <w:szCs w:val="21"/>
                      <w:lang w:val="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4" w:type="pct"/>
                  <w:noWrap w:val="0"/>
                  <w:vAlign w:val="center"/>
                </w:tcPr>
                <w:p>
                  <w:pPr>
                    <w:snapToGrid w:val="0"/>
                    <w:jc w:val="center"/>
                    <w:rPr>
                      <w:color w:val="000000"/>
                      <w:szCs w:val="21"/>
                      <w:lang w:val="zh-CN"/>
                    </w:rPr>
                  </w:pPr>
                  <w:r>
                    <w:rPr>
                      <w:color w:val="000000"/>
                      <w:szCs w:val="21"/>
                      <w:lang w:val="zh-CN"/>
                    </w:rPr>
                    <w:t>3</w:t>
                  </w:r>
                </w:p>
              </w:tc>
              <w:tc>
                <w:tcPr>
                  <w:tcW w:w="1900" w:type="pct"/>
                  <w:noWrap w:val="0"/>
                  <w:vAlign w:val="center"/>
                </w:tcPr>
                <w:p>
                  <w:pPr>
                    <w:snapToGrid w:val="0"/>
                    <w:jc w:val="center"/>
                    <w:rPr>
                      <w:color w:val="000000"/>
                      <w:szCs w:val="21"/>
                      <w:lang w:val="zh-CN"/>
                    </w:rPr>
                  </w:pPr>
                  <w:r>
                    <w:rPr>
                      <w:color w:val="000000"/>
                      <w:szCs w:val="21"/>
                      <w:lang w:val="zh-CN"/>
                    </w:rPr>
                    <w:t>加油作业区内，不得有“明火地点”或“散发火花地点”。</w:t>
                  </w:r>
                </w:p>
              </w:tc>
              <w:tc>
                <w:tcPr>
                  <w:tcW w:w="855" w:type="pct"/>
                  <w:noWrap w:val="0"/>
                  <w:vAlign w:val="center"/>
                </w:tcPr>
                <w:p>
                  <w:pPr>
                    <w:snapToGrid w:val="0"/>
                    <w:jc w:val="center"/>
                    <w:rPr>
                      <w:color w:val="000000"/>
                      <w:szCs w:val="21"/>
                      <w:lang w:val="zh-CN"/>
                    </w:rPr>
                  </w:pPr>
                  <w:r>
                    <w:rPr>
                      <w:color w:val="000000"/>
                      <w:szCs w:val="21"/>
                      <w:lang w:val="zh-CN"/>
                    </w:rPr>
                    <w:t>GB50156-20</w:t>
                  </w:r>
                  <w:r>
                    <w:rPr>
                      <w:rFonts w:hint="eastAsia"/>
                      <w:color w:val="000000"/>
                      <w:szCs w:val="21"/>
                    </w:rPr>
                    <w:t>21</w:t>
                  </w:r>
                  <w:r>
                    <w:rPr>
                      <w:color w:val="000000"/>
                      <w:szCs w:val="21"/>
                      <w:lang w:val="zh-CN"/>
                    </w:rPr>
                    <w:t>第5.0.5条</w:t>
                  </w:r>
                </w:p>
              </w:tc>
              <w:tc>
                <w:tcPr>
                  <w:tcW w:w="1438" w:type="pct"/>
                  <w:noWrap w:val="0"/>
                  <w:vAlign w:val="center"/>
                </w:tcPr>
                <w:p>
                  <w:pPr>
                    <w:snapToGrid w:val="0"/>
                    <w:jc w:val="center"/>
                    <w:rPr>
                      <w:color w:val="000000"/>
                      <w:szCs w:val="21"/>
                      <w:lang w:val="zh-CN"/>
                    </w:rPr>
                  </w:pPr>
                  <w:r>
                    <w:rPr>
                      <w:rFonts w:hint="eastAsia"/>
                      <w:color w:val="000000"/>
                      <w:szCs w:val="21"/>
                    </w:rPr>
                    <w:t>加油</w:t>
                  </w:r>
                  <w:r>
                    <w:rPr>
                      <w:color w:val="000000"/>
                      <w:szCs w:val="21"/>
                      <w:lang w:val="zh-CN"/>
                    </w:rPr>
                    <w:t>作业区内，没有“明火地点”或“散发火花地点”。</w:t>
                  </w:r>
                </w:p>
              </w:tc>
              <w:tc>
                <w:tcPr>
                  <w:tcW w:w="422" w:type="pct"/>
                  <w:noWrap w:val="0"/>
                  <w:vAlign w:val="center"/>
                </w:tcPr>
                <w:p>
                  <w:pPr>
                    <w:snapToGrid w:val="0"/>
                    <w:jc w:val="center"/>
                    <w:rPr>
                      <w:color w:val="000000"/>
                      <w:szCs w:val="21"/>
                      <w:lang w:val="zh-CN"/>
                    </w:rPr>
                  </w:pPr>
                  <w:r>
                    <w:rPr>
                      <w:color w:val="000000"/>
                      <w:szCs w:val="21"/>
                      <w:lang w:val="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4" w:type="pct"/>
                  <w:noWrap w:val="0"/>
                  <w:vAlign w:val="center"/>
                </w:tcPr>
                <w:p>
                  <w:pPr>
                    <w:snapToGrid w:val="0"/>
                    <w:jc w:val="center"/>
                    <w:rPr>
                      <w:color w:val="000000"/>
                      <w:szCs w:val="21"/>
                      <w:lang w:val="zh-CN"/>
                    </w:rPr>
                  </w:pPr>
                  <w:r>
                    <w:rPr>
                      <w:color w:val="000000"/>
                      <w:szCs w:val="21"/>
                      <w:lang w:val="zh-CN"/>
                    </w:rPr>
                    <w:t>4</w:t>
                  </w:r>
                </w:p>
              </w:tc>
              <w:tc>
                <w:tcPr>
                  <w:tcW w:w="1900" w:type="pct"/>
                  <w:noWrap w:val="0"/>
                  <w:vAlign w:val="center"/>
                </w:tcPr>
                <w:p>
                  <w:pPr>
                    <w:snapToGrid w:val="0"/>
                    <w:jc w:val="center"/>
                    <w:rPr>
                      <w:color w:val="000000"/>
                      <w:szCs w:val="21"/>
                      <w:lang w:val="zh-CN"/>
                    </w:rPr>
                  </w:pPr>
                  <w:r>
                    <w:rPr>
                      <w:color w:val="000000"/>
                      <w:szCs w:val="21"/>
                      <w:lang w:val="zh-CN"/>
                    </w:rPr>
                    <w:t>加油站的配电间或室外变压器应布置在</w:t>
                  </w:r>
                  <w:r>
                    <w:rPr>
                      <w:rFonts w:hint="eastAsia"/>
                      <w:color w:val="000000"/>
                      <w:szCs w:val="21"/>
                    </w:rPr>
                    <w:t>作业区</w:t>
                  </w:r>
                  <w:r>
                    <w:rPr>
                      <w:color w:val="000000"/>
                      <w:szCs w:val="21"/>
                      <w:lang w:val="zh-CN"/>
                    </w:rPr>
                    <w:t>之外。</w:t>
                  </w:r>
                </w:p>
              </w:tc>
              <w:tc>
                <w:tcPr>
                  <w:tcW w:w="855" w:type="pct"/>
                  <w:noWrap w:val="0"/>
                  <w:vAlign w:val="center"/>
                </w:tcPr>
                <w:p>
                  <w:pPr>
                    <w:snapToGrid w:val="0"/>
                    <w:jc w:val="center"/>
                    <w:rPr>
                      <w:color w:val="000000"/>
                      <w:szCs w:val="21"/>
                      <w:lang w:val="zh-CN"/>
                    </w:rPr>
                  </w:pPr>
                  <w:r>
                    <w:rPr>
                      <w:color w:val="000000"/>
                      <w:szCs w:val="21"/>
                      <w:lang w:val="zh-CN"/>
                    </w:rPr>
                    <w:t>GB50156-20</w:t>
                  </w:r>
                  <w:r>
                    <w:rPr>
                      <w:rFonts w:hint="eastAsia"/>
                      <w:color w:val="000000"/>
                      <w:szCs w:val="21"/>
                    </w:rPr>
                    <w:t>21</w:t>
                  </w:r>
                  <w:r>
                    <w:rPr>
                      <w:color w:val="000000"/>
                      <w:szCs w:val="21"/>
                      <w:lang w:val="zh-CN"/>
                    </w:rPr>
                    <w:t>第5.0.8条</w:t>
                  </w:r>
                </w:p>
              </w:tc>
              <w:tc>
                <w:tcPr>
                  <w:tcW w:w="1438" w:type="pct"/>
                  <w:noWrap w:val="0"/>
                  <w:vAlign w:val="center"/>
                </w:tcPr>
                <w:p>
                  <w:pPr>
                    <w:snapToGrid w:val="0"/>
                    <w:jc w:val="center"/>
                    <w:rPr>
                      <w:color w:val="000000"/>
                      <w:szCs w:val="21"/>
                      <w:lang w:val="zh-CN"/>
                    </w:rPr>
                  </w:pPr>
                  <w:r>
                    <w:rPr>
                      <w:rFonts w:hint="eastAsia"/>
                      <w:color w:val="000000"/>
                      <w:szCs w:val="21"/>
                      <w:lang w:val="zh-CN"/>
                    </w:rPr>
                    <w:t>本项目</w:t>
                  </w:r>
                  <w:r>
                    <w:rPr>
                      <w:rFonts w:hint="eastAsia"/>
                      <w:color w:val="000000"/>
                      <w:szCs w:val="21"/>
                    </w:rPr>
                    <w:t>加油站</w:t>
                  </w:r>
                  <w:r>
                    <w:rPr>
                      <w:color w:val="000000"/>
                      <w:szCs w:val="21"/>
                      <w:lang w:val="zh-CN"/>
                    </w:rPr>
                    <w:t>的配电室不在</w:t>
                  </w:r>
                  <w:r>
                    <w:rPr>
                      <w:rFonts w:hint="eastAsia"/>
                      <w:color w:val="000000"/>
                      <w:szCs w:val="21"/>
                    </w:rPr>
                    <w:t>作业区</w:t>
                  </w:r>
                  <w:r>
                    <w:rPr>
                      <w:color w:val="000000"/>
                      <w:szCs w:val="21"/>
                      <w:lang w:val="zh-CN"/>
                    </w:rPr>
                    <w:t>内。</w:t>
                  </w:r>
                </w:p>
              </w:tc>
              <w:tc>
                <w:tcPr>
                  <w:tcW w:w="422" w:type="pct"/>
                  <w:noWrap w:val="0"/>
                  <w:vAlign w:val="center"/>
                </w:tcPr>
                <w:p>
                  <w:pPr>
                    <w:snapToGrid w:val="0"/>
                    <w:jc w:val="center"/>
                    <w:rPr>
                      <w:color w:val="000000"/>
                      <w:szCs w:val="21"/>
                      <w:lang w:val="zh-CN"/>
                    </w:rPr>
                  </w:pPr>
                  <w:r>
                    <w:rPr>
                      <w:color w:val="000000"/>
                      <w:szCs w:val="21"/>
                      <w:lang w:val="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4" w:type="pct"/>
                  <w:noWrap w:val="0"/>
                  <w:vAlign w:val="center"/>
                </w:tcPr>
                <w:p>
                  <w:pPr>
                    <w:snapToGrid w:val="0"/>
                    <w:jc w:val="center"/>
                    <w:rPr>
                      <w:color w:val="000000"/>
                      <w:szCs w:val="21"/>
                      <w:lang w:val="zh-CN"/>
                    </w:rPr>
                  </w:pPr>
                  <w:r>
                    <w:rPr>
                      <w:color w:val="000000"/>
                      <w:szCs w:val="21"/>
                      <w:lang w:val="zh-CN"/>
                    </w:rPr>
                    <w:t>5</w:t>
                  </w:r>
                </w:p>
              </w:tc>
              <w:tc>
                <w:tcPr>
                  <w:tcW w:w="1900" w:type="pct"/>
                  <w:noWrap w:val="0"/>
                  <w:vAlign w:val="center"/>
                </w:tcPr>
                <w:p>
                  <w:pPr>
                    <w:snapToGrid w:val="0"/>
                    <w:jc w:val="center"/>
                    <w:rPr>
                      <w:color w:val="000000"/>
                      <w:szCs w:val="21"/>
                      <w:lang w:val="zh-CN"/>
                    </w:rPr>
                  </w:pPr>
                  <w:r>
                    <w:rPr>
                      <w:color w:val="000000"/>
                      <w:szCs w:val="21"/>
                      <w:lang w:val="zh-CN"/>
                    </w:rPr>
                    <w:t>站房</w:t>
                  </w:r>
                  <w:r>
                    <w:rPr>
                      <w:rFonts w:hint="eastAsia"/>
                      <w:color w:val="000000"/>
                      <w:szCs w:val="21"/>
                    </w:rPr>
                    <w:t>不应布置在爆炸危险区域，站房部分位于作业区内时。建筑面积等应符合本标准第14.2.10条中规定</w:t>
                  </w:r>
                  <w:r>
                    <w:rPr>
                      <w:color w:val="000000"/>
                      <w:szCs w:val="21"/>
                      <w:lang w:val="zh-CN"/>
                    </w:rPr>
                    <w:t>。</w:t>
                  </w:r>
                </w:p>
              </w:tc>
              <w:tc>
                <w:tcPr>
                  <w:tcW w:w="855" w:type="pct"/>
                  <w:noWrap w:val="0"/>
                  <w:vAlign w:val="center"/>
                </w:tcPr>
                <w:p>
                  <w:pPr>
                    <w:snapToGrid w:val="0"/>
                    <w:jc w:val="center"/>
                    <w:rPr>
                      <w:color w:val="000000"/>
                      <w:szCs w:val="21"/>
                      <w:lang w:val="zh-CN"/>
                    </w:rPr>
                  </w:pPr>
                  <w:r>
                    <w:rPr>
                      <w:color w:val="000000"/>
                      <w:szCs w:val="21"/>
                      <w:lang w:val="zh-CN"/>
                    </w:rPr>
                    <w:t>GB50156-20</w:t>
                  </w:r>
                  <w:r>
                    <w:rPr>
                      <w:rFonts w:hint="eastAsia"/>
                      <w:color w:val="000000"/>
                      <w:szCs w:val="21"/>
                    </w:rPr>
                    <w:t>21</w:t>
                  </w:r>
                  <w:r>
                    <w:rPr>
                      <w:color w:val="000000"/>
                      <w:szCs w:val="21"/>
                      <w:lang w:val="zh-CN"/>
                    </w:rPr>
                    <w:t>第5.0.9条</w:t>
                  </w:r>
                </w:p>
              </w:tc>
              <w:tc>
                <w:tcPr>
                  <w:tcW w:w="1438" w:type="pct"/>
                  <w:noWrap w:val="0"/>
                  <w:vAlign w:val="center"/>
                </w:tcPr>
                <w:p>
                  <w:pPr>
                    <w:snapToGrid w:val="0"/>
                    <w:jc w:val="center"/>
                    <w:rPr>
                      <w:color w:val="000000"/>
                      <w:szCs w:val="21"/>
                      <w:lang w:val="zh-CN"/>
                    </w:rPr>
                  </w:pPr>
                  <w:r>
                    <w:rPr>
                      <w:rFonts w:hint="eastAsia"/>
                      <w:color w:val="000000"/>
                      <w:szCs w:val="21"/>
                      <w:lang w:val="zh-CN"/>
                    </w:rPr>
                    <w:t>本项目</w:t>
                  </w:r>
                  <w:r>
                    <w:rPr>
                      <w:rFonts w:hint="eastAsia"/>
                      <w:color w:val="000000"/>
                      <w:szCs w:val="21"/>
                    </w:rPr>
                    <w:t>加油站</w:t>
                  </w:r>
                  <w:r>
                    <w:rPr>
                      <w:color w:val="000000"/>
                      <w:szCs w:val="21"/>
                      <w:lang w:val="zh-CN"/>
                    </w:rPr>
                    <w:t>的站房未布置在加油作业区内。</w:t>
                  </w:r>
                </w:p>
              </w:tc>
              <w:tc>
                <w:tcPr>
                  <w:tcW w:w="422" w:type="pct"/>
                  <w:noWrap w:val="0"/>
                  <w:vAlign w:val="center"/>
                </w:tcPr>
                <w:p>
                  <w:pPr>
                    <w:snapToGrid w:val="0"/>
                    <w:jc w:val="center"/>
                    <w:rPr>
                      <w:color w:val="000000"/>
                      <w:szCs w:val="21"/>
                      <w:lang w:val="zh-CN"/>
                    </w:rPr>
                  </w:pPr>
                  <w:r>
                    <w:rPr>
                      <w:color w:val="000000"/>
                      <w:szCs w:val="21"/>
                      <w:lang w:val="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4" w:type="pct"/>
                  <w:noWrap w:val="0"/>
                  <w:vAlign w:val="center"/>
                </w:tcPr>
                <w:p>
                  <w:pPr>
                    <w:snapToGrid w:val="0"/>
                    <w:jc w:val="center"/>
                    <w:rPr>
                      <w:color w:val="000000"/>
                      <w:szCs w:val="21"/>
                      <w:lang w:val="zh-CN"/>
                    </w:rPr>
                  </w:pPr>
                  <w:r>
                    <w:rPr>
                      <w:color w:val="000000"/>
                      <w:szCs w:val="21"/>
                      <w:lang w:val="zh-CN"/>
                    </w:rPr>
                    <w:t>6</w:t>
                  </w:r>
                </w:p>
              </w:tc>
              <w:tc>
                <w:tcPr>
                  <w:tcW w:w="1900" w:type="pct"/>
                  <w:noWrap w:val="0"/>
                  <w:vAlign w:val="center"/>
                </w:tcPr>
                <w:p>
                  <w:pPr>
                    <w:snapToGrid w:val="0"/>
                    <w:jc w:val="center"/>
                    <w:rPr>
                      <w:color w:val="000000"/>
                      <w:szCs w:val="21"/>
                      <w:lang w:val="zh-CN"/>
                    </w:rPr>
                  </w:pPr>
                  <w:r>
                    <w:rPr>
                      <w:rFonts w:hint="eastAsia"/>
                      <w:color w:val="000000"/>
                      <w:szCs w:val="21"/>
                    </w:rPr>
                    <w:t>当站内</w:t>
                  </w:r>
                  <w:r>
                    <w:rPr>
                      <w:color w:val="000000"/>
                      <w:szCs w:val="21"/>
                      <w:lang w:val="zh-CN"/>
                    </w:rPr>
                    <w:t>经营性餐饮、汽车服务</w:t>
                  </w:r>
                  <w:r>
                    <w:rPr>
                      <w:rFonts w:hint="eastAsia"/>
                      <w:color w:val="000000"/>
                      <w:szCs w:val="21"/>
                      <w:lang w:val="zh-CN"/>
                    </w:rPr>
                    <w:t>、</w:t>
                  </w:r>
                  <w:r>
                    <w:rPr>
                      <w:rFonts w:hint="eastAsia"/>
                      <w:color w:val="000000"/>
                      <w:szCs w:val="21"/>
                    </w:rPr>
                    <w:t>司机休息室</w:t>
                  </w:r>
                  <w:r>
                    <w:rPr>
                      <w:color w:val="000000"/>
                      <w:szCs w:val="21"/>
                      <w:lang w:val="zh-CN"/>
                    </w:rPr>
                    <w:t>等设施内设置明火设备</w:t>
                  </w:r>
                  <w:r>
                    <w:rPr>
                      <w:rFonts w:hint="eastAsia"/>
                      <w:color w:val="000000"/>
                      <w:szCs w:val="21"/>
                    </w:rPr>
                    <w:t>时</w:t>
                  </w:r>
                  <w:r>
                    <w:rPr>
                      <w:color w:val="000000"/>
                      <w:szCs w:val="21"/>
                      <w:lang w:val="zh-CN"/>
                    </w:rPr>
                    <w:t>，</w:t>
                  </w:r>
                  <w:r>
                    <w:rPr>
                      <w:rFonts w:hint="eastAsia"/>
                      <w:color w:val="000000"/>
                      <w:szCs w:val="21"/>
                    </w:rPr>
                    <w:t>应等同于</w:t>
                  </w:r>
                  <w:r>
                    <w:rPr>
                      <w:color w:val="000000"/>
                      <w:szCs w:val="21"/>
                      <w:lang w:val="zh-CN"/>
                    </w:rPr>
                    <w:t>“明火地点”或“散发火花地点”。</w:t>
                  </w:r>
                </w:p>
              </w:tc>
              <w:tc>
                <w:tcPr>
                  <w:tcW w:w="855" w:type="pct"/>
                  <w:noWrap w:val="0"/>
                  <w:vAlign w:val="center"/>
                </w:tcPr>
                <w:p>
                  <w:pPr>
                    <w:snapToGrid w:val="0"/>
                    <w:jc w:val="center"/>
                    <w:rPr>
                      <w:color w:val="000000"/>
                      <w:szCs w:val="21"/>
                      <w:lang w:val="zh-CN"/>
                    </w:rPr>
                  </w:pPr>
                  <w:r>
                    <w:rPr>
                      <w:color w:val="000000"/>
                      <w:szCs w:val="21"/>
                      <w:lang w:val="zh-CN"/>
                    </w:rPr>
                    <w:t>GB50156-20</w:t>
                  </w:r>
                  <w:r>
                    <w:rPr>
                      <w:rFonts w:hint="eastAsia"/>
                      <w:color w:val="000000"/>
                      <w:szCs w:val="21"/>
                    </w:rPr>
                    <w:t>21</w:t>
                  </w:r>
                  <w:r>
                    <w:rPr>
                      <w:color w:val="000000"/>
                      <w:szCs w:val="21"/>
                      <w:lang w:val="zh-CN"/>
                    </w:rPr>
                    <w:t>第5.0.10条</w:t>
                  </w:r>
                </w:p>
              </w:tc>
              <w:tc>
                <w:tcPr>
                  <w:tcW w:w="1438" w:type="pct"/>
                  <w:noWrap w:val="0"/>
                  <w:vAlign w:val="center"/>
                </w:tcPr>
                <w:p>
                  <w:pPr>
                    <w:snapToGrid w:val="0"/>
                    <w:jc w:val="center"/>
                    <w:rPr>
                      <w:color w:val="000000"/>
                      <w:szCs w:val="21"/>
                      <w:lang w:val="zh-CN"/>
                    </w:rPr>
                  </w:pPr>
                  <w:r>
                    <w:rPr>
                      <w:rFonts w:hint="eastAsia"/>
                      <w:color w:val="000000"/>
                      <w:szCs w:val="21"/>
                      <w:lang w:val="zh-CN"/>
                    </w:rPr>
                    <w:t>本项目</w:t>
                  </w:r>
                  <w:r>
                    <w:rPr>
                      <w:rFonts w:hint="eastAsia"/>
                      <w:color w:val="000000"/>
                      <w:szCs w:val="21"/>
                    </w:rPr>
                    <w:t>加油站</w:t>
                  </w:r>
                  <w:r>
                    <w:rPr>
                      <w:color w:val="000000"/>
                      <w:szCs w:val="21"/>
                      <w:lang w:val="zh-CN"/>
                    </w:rPr>
                    <w:t>的</w:t>
                  </w:r>
                  <w:r>
                    <w:rPr>
                      <w:rFonts w:hint="eastAsia"/>
                      <w:color w:val="000000"/>
                      <w:szCs w:val="21"/>
                      <w:lang w:val="zh-CN"/>
                    </w:rPr>
                    <w:t>站区内</w:t>
                  </w:r>
                  <w:r>
                    <w:rPr>
                      <w:color w:val="000000"/>
                      <w:szCs w:val="21"/>
                      <w:lang w:val="zh-CN"/>
                    </w:rPr>
                    <w:t>不设经营性餐饮</w:t>
                  </w:r>
                  <w:r>
                    <w:rPr>
                      <w:rFonts w:hint="eastAsia"/>
                      <w:color w:val="000000"/>
                      <w:szCs w:val="21"/>
                      <w:lang w:val="zh-CN"/>
                    </w:rPr>
                    <w:t>，</w:t>
                  </w:r>
                  <w:r>
                    <w:rPr>
                      <w:rFonts w:hint="eastAsia"/>
                      <w:color w:val="000000"/>
                      <w:szCs w:val="21"/>
                      <w:lang w:val="en-US" w:eastAsia="zh-CN"/>
                    </w:rPr>
                    <w:t>不设置</w:t>
                  </w:r>
                  <w:r>
                    <w:rPr>
                      <w:color w:val="000000"/>
                      <w:szCs w:val="21"/>
                      <w:lang w:val="zh-CN"/>
                    </w:rPr>
                    <w:t>明火设备。</w:t>
                  </w:r>
                </w:p>
              </w:tc>
              <w:tc>
                <w:tcPr>
                  <w:tcW w:w="422" w:type="pct"/>
                  <w:noWrap w:val="0"/>
                  <w:vAlign w:val="center"/>
                </w:tcPr>
                <w:p>
                  <w:pPr>
                    <w:snapToGrid w:val="0"/>
                    <w:jc w:val="center"/>
                    <w:rPr>
                      <w:color w:val="000000"/>
                      <w:szCs w:val="21"/>
                      <w:lang w:val="zh-CN"/>
                    </w:rPr>
                  </w:pPr>
                  <w:r>
                    <w:rPr>
                      <w:color w:val="000000"/>
                      <w:szCs w:val="21"/>
                      <w:lang w:val="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384" w:type="pct"/>
                  <w:noWrap w:val="0"/>
                  <w:vAlign w:val="center"/>
                </w:tcPr>
                <w:p>
                  <w:pPr>
                    <w:snapToGrid w:val="0"/>
                    <w:jc w:val="center"/>
                    <w:rPr>
                      <w:color w:val="000000"/>
                      <w:szCs w:val="21"/>
                      <w:lang w:val="zh-CN"/>
                    </w:rPr>
                  </w:pPr>
                  <w:r>
                    <w:rPr>
                      <w:color w:val="000000"/>
                      <w:szCs w:val="21"/>
                      <w:lang w:val="zh-CN"/>
                    </w:rPr>
                    <w:t>7</w:t>
                  </w:r>
                </w:p>
              </w:tc>
              <w:tc>
                <w:tcPr>
                  <w:tcW w:w="1900" w:type="pct"/>
                  <w:noWrap w:val="0"/>
                  <w:vAlign w:val="center"/>
                </w:tcPr>
                <w:p>
                  <w:pPr>
                    <w:snapToGrid w:val="0"/>
                    <w:jc w:val="center"/>
                    <w:rPr>
                      <w:rFonts w:hint="eastAsia"/>
                      <w:color w:val="000000"/>
                      <w:szCs w:val="21"/>
                    </w:rPr>
                  </w:pPr>
                  <w:r>
                    <w:rPr>
                      <w:color w:val="000000"/>
                      <w:szCs w:val="21"/>
                      <w:lang w:val="zh-CN"/>
                    </w:rPr>
                    <w:t>汽车加油加气加氢站的工艺设</w:t>
                  </w:r>
                  <w:r>
                    <w:rPr>
                      <w:rFonts w:hint="eastAsia"/>
                      <w:color w:val="000000"/>
                      <w:szCs w:val="21"/>
                    </w:rPr>
                    <w:t>备</w:t>
                  </w:r>
                </w:p>
                <w:p>
                  <w:pPr>
                    <w:snapToGrid w:val="0"/>
                    <w:jc w:val="center"/>
                    <w:rPr>
                      <w:rFonts w:hint="eastAsia"/>
                      <w:color w:val="000000"/>
                      <w:szCs w:val="21"/>
                    </w:rPr>
                  </w:pPr>
                  <w:r>
                    <w:rPr>
                      <w:color w:val="000000"/>
                      <w:szCs w:val="21"/>
                      <w:lang w:val="zh-CN"/>
                    </w:rPr>
                    <w:t>与站外建(构)筑物之间</w:t>
                  </w:r>
                  <w:r>
                    <w:rPr>
                      <w:rFonts w:hint="eastAsia"/>
                      <w:color w:val="000000"/>
                      <w:szCs w:val="21"/>
                      <w:lang w:val="zh-CN"/>
                    </w:rPr>
                    <w:t>，</w:t>
                  </w:r>
                  <w:r>
                    <w:rPr>
                      <w:color w:val="000000"/>
                      <w:szCs w:val="21"/>
                      <w:lang w:val="zh-CN"/>
                    </w:rPr>
                    <w:t>宜设置不燃烧体实体围墙</w:t>
                  </w:r>
                  <w:r>
                    <w:rPr>
                      <w:rFonts w:hint="eastAsia"/>
                      <w:color w:val="000000"/>
                      <w:szCs w:val="21"/>
                      <w:lang w:val="zh-CN"/>
                    </w:rPr>
                    <w:t>，</w:t>
                  </w:r>
                  <w:r>
                    <w:rPr>
                      <w:color w:val="000000"/>
                      <w:szCs w:val="21"/>
                      <w:lang w:val="zh-CN"/>
                    </w:rPr>
                    <w:t>围墙高度相对于站内和站外地坪均不宜低于2</w:t>
                  </w:r>
                  <w:r>
                    <w:rPr>
                      <w:rFonts w:hint="eastAsia"/>
                      <w:color w:val="000000"/>
                      <w:szCs w:val="21"/>
                    </w:rPr>
                    <w:t>.</w:t>
                  </w:r>
                  <w:r>
                    <w:rPr>
                      <w:color w:val="000000"/>
                      <w:szCs w:val="21"/>
                      <w:lang w:val="zh-CN"/>
                    </w:rPr>
                    <w:t>2m</w:t>
                  </w:r>
                  <w:r>
                    <w:rPr>
                      <w:rFonts w:hint="eastAsia"/>
                      <w:color w:val="000000"/>
                      <w:szCs w:val="21"/>
                      <w:lang w:val="zh-CN"/>
                    </w:rPr>
                    <w:t>。</w:t>
                  </w:r>
                </w:p>
              </w:tc>
              <w:tc>
                <w:tcPr>
                  <w:tcW w:w="855" w:type="pct"/>
                  <w:noWrap w:val="0"/>
                  <w:vAlign w:val="center"/>
                </w:tcPr>
                <w:p>
                  <w:pPr>
                    <w:snapToGrid w:val="0"/>
                    <w:jc w:val="center"/>
                    <w:rPr>
                      <w:color w:val="000000"/>
                      <w:szCs w:val="21"/>
                      <w:lang w:val="zh-CN"/>
                    </w:rPr>
                  </w:pPr>
                  <w:r>
                    <w:rPr>
                      <w:color w:val="000000"/>
                      <w:szCs w:val="21"/>
                      <w:lang w:val="zh-CN"/>
                    </w:rPr>
                    <w:t>GB50156-20</w:t>
                  </w:r>
                  <w:r>
                    <w:rPr>
                      <w:rFonts w:hint="eastAsia"/>
                      <w:color w:val="000000"/>
                      <w:szCs w:val="21"/>
                    </w:rPr>
                    <w:t>21</w:t>
                  </w:r>
                  <w:r>
                    <w:rPr>
                      <w:color w:val="000000"/>
                      <w:szCs w:val="21"/>
                      <w:lang w:val="zh-CN"/>
                    </w:rPr>
                    <w:t>第5.0.12条</w:t>
                  </w:r>
                </w:p>
              </w:tc>
              <w:tc>
                <w:tcPr>
                  <w:tcW w:w="1438" w:type="pct"/>
                  <w:noWrap w:val="0"/>
                  <w:vAlign w:val="center"/>
                </w:tcPr>
                <w:p>
                  <w:pPr>
                    <w:snapToGrid w:val="0"/>
                    <w:jc w:val="center"/>
                    <w:rPr>
                      <w:color w:val="000000"/>
                      <w:szCs w:val="21"/>
                    </w:rPr>
                  </w:pPr>
                  <w:r>
                    <w:rPr>
                      <w:rFonts w:hint="eastAsia"/>
                      <w:color w:val="000000"/>
                      <w:szCs w:val="21"/>
                      <w:lang w:val="zh-CN"/>
                    </w:rPr>
                    <w:t>本项目</w:t>
                  </w:r>
                  <w:r>
                    <w:rPr>
                      <w:rFonts w:hint="eastAsia"/>
                      <w:color w:val="000000"/>
                      <w:szCs w:val="21"/>
                    </w:rPr>
                    <w:t>加油站西侧、</w:t>
                  </w:r>
                  <w:r>
                    <w:rPr>
                      <w:rFonts w:hint="eastAsia"/>
                      <w:color w:val="000000"/>
                      <w:szCs w:val="21"/>
                      <w:lang w:val="en-US" w:eastAsia="zh-CN"/>
                    </w:rPr>
                    <w:t>南</w:t>
                  </w:r>
                  <w:r>
                    <w:rPr>
                      <w:rFonts w:hint="eastAsia"/>
                      <w:color w:val="000000"/>
                      <w:szCs w:val="21"/>
                    </w:rPr>
                    <w:t>侧</w:t>
                  </w:r>
                  <w:r>
                    <w:rPr>
                      <w:rFonts w:hint="eastAsia"/>
                      <w:color w:val="000000"/>
                      <w:szCs w:val="21"/>
                      <w:lang w:val="en-US" w:eastAsia="zh-CN"/>
                    </w:rPr>
                    <w:t>和西侧</w:t>
                  </w:r>
                  <w:r>
                    <w:rPr>
                      <w:color w:val="000000"/>
                      <w:szCs w:val="21"/>
                      <w:lang w:val="zh-CN"/>
                    </w:rPr>
                    <w:t>建有高度为2.</w:t>
                  </w:r>
                  <w:r>
                    <w:rPr>
                      <w:rFonts w:hint="eastAsia"/>
                      <w:color w:val="000000"/>
                      <w:szCs w:val="21"/>
                      <w:lang w:val="en-US" w:eastAsia="zh-CN"/>
                    </w:rPr>
                    <w:t>5</w:t>
                  </w:r>
                  <w:r>
                    <w:rPr>
                      <w:color w:val="000000"/>
                      <w:szCs w:val="21"/>
                      <w:lang w:val="zh-CN"/>
                    </w:rPr>
                    <w:t>m的</w:t>
                  </w:r>
                  <w:r>
                    <w:rPr>
                      <w:rFonts w:hint="eastAsia"/>
                      <w:color w:val="000000"/>
                      <w:szCs w:val="21"/>
                    </w:rPr>
                    <w:t>实体</w:t>
                  </w:r>
                  <w:r>
                    <w:rPr>
                      <w:color w:val="000000"/>
                      <w:szCs w:val="21"/>
                      <w:lang w:val="zh-CN"/>
                    </w:rPr>
                    <w:t>围墙</w:t>
                  </w:r>
                </w:p>
              </w:tc>
              <w:tc>
                <w:tcPr>
                  <w:tcW w:w="422" w:type="pct"/>
                  <w:noWrap w:val="0"/>
                  <w:vAlign w:val="center"/>
                </w:tcPr>
                <w:p>
                  <w:pPr>
                    <w:snapToGrid w:val="0"/>
                    <w:jc w:val="center"/>
                    <w:rPr>
                      <w:color w:val="000000"/>
                      <w:szCs w:val="21"/>
                      <w:lang w:val="zh-CN"/>
                    </w:rPr>
                  </w:pPr>
                  <w:r>
                    <w:rPr>
                      <w:color w:val="000000"/>
                      <w:szCs w:val="21"/>
                      <w:lang w:val="zh-CN"/>
                    </w:rPr>
                    <w:t>符合</w:t>
                  </w:r>
                </w:p>
              </w:tc>
            </w:tr>
          </w:tbl>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center"/>
              <w:textAlignment w:val="auto"/>
              <w:rPr>
                <w:rFonts w:hint="default" w:eastAsia="宋体"/>
                <w:szCs w:val="21"/>
                <w:highlight w:val="none"/>
                <w:lang w:val="en-US" w:eastAsia="zh-CN"/>
              </w:rPr>
            </w:pPr>
            <w:r>
              <w:rPr>
                <w:rFonts w:hint="eastAsia"/>
                <w:b/>
                <w:bCs/>
                <w:szCs w:val="21"/>
                <w:highlight w:val="none"/>
              </w:rPr>
              <w:t>表2-</w:t>
            </w:r>
            <w:r>
              <w:rPr>
                <w:rFonts w:hint="eastAsia"/>
                <w:b/>
                <w:bCs/>
                <w:szCs w:val="21"/>
                <w:highlight w:val="none"/>
                <w:lang w:val="en-US" w:eastAsia="zh-CN"/>
              </w:rPr>
              <w:t>10</w:t>
            </w:r>
            <w:r>
              <w:rPr>
                <w:b/>
                <w:bCs/>
                <w:szCs w:val="21"/>
                <w:highlight w:val="none"/>
              </w:rPr>
              <w:t>加油站</w:t>
            </w:r>
            <w:r>
              <w:rPr>
                <w:rFonts w:hint="eastAsia"/>
                <w:b/>
                <w:bCs/>
                <w:szCs w:val="21"/>
                <w:highlight w:val="none"/>
                <w:lang w:val="en-US" w:eastAsia="zh-CN"/>
              </w:rPr>
              <w:t>站内设施防火间距表（单位：m）</w:t>
            </w:r>
          </w:p>
          <w:tbl>
            <w:tblPr>
              <w:tblStyle w:val="24"/>
              <w:tblW w:w="86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2"/>
              <w:gridCol w:w="996"/>
              <w:gridCol w:w="953"/>
              <w:gridCol w:w="909"/>
              <w:gridCol w:w="1062"/>
              <w:gridCol w:w="1073"/>
              <w:gridCol w:w="963"/>
              <w:gridCol w:w="1056"/>
              <w:gridCol w:w="6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7" w:type="pct"/>
                  <w:gridSpan w:val="2"/>
                  <w:noWrap w:val="0"/>
                  <w:vAlign w:val="center"/>
                </w:tcPr>
                <w:p>
                  <w:pPr>
                    <w:pStyle w:val="59"/>
                    <w:spacing w:before="78"/>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val="en-US" w:eastAsia="zh-CN"/>
                    </w:rPr>
                    <w:t>设施名称</w:t>
                  </w:r>
                </w:p>
              </w:tc>
              <w:tc>
                <w:tcPr>
                  <w:tcW w:w="549" w:type="pct"/>
                  <w:noWrap w:val="0"/>
                  <w:vAlign w:val="center"/>
                </w:tcPr>
                <w:p>
                  <w:pPr>
                    <w:pStyle w:val="59"/>
                    <w:spacing w:before="78"/>
                    <w:jc w:val="center"/>
                    <w:rPr>
                      <w:rFonts w:hint="default" w:ascii="Times New Roman" w:hAnsi="Times New Roman" w:eastAsia="宋体" w:cs="Times New Roman"/>
                      <w:b/>
                      <w:bCs/>
                      <w:kern w:val="0"/>
                      <w:sz w:val="21"/>
                      <w:szCs w:val="21"/>
                      <w:lang w:val="en-US" w:eastAsia="zh-CN"/>
                    </w:rPr>
                  </w:pPr>
                  <w:r>
                    <w:rPr>
                      <w:rFonts w:hint="default" w:ascii="Times New Roman" w:hAnsi="Times New Roman" w:eastAsia="宋体" w:cs="Times New Roman"/>
                      <w:b/>
                      <w:bCs/>
                      <w:kern w:val="0"/>
                      <w:sz w:val="21"/>
                      <w:szCs w:val="21"/>
                      <w:lang w:val="en-US" w:eastAsia="zh-CN"/>
                    </w:rPr>
                    <w:t>汽油罐</w:t>
                  </w:r>
                </w:p>
              </w:tc>
              <w:tc>
                <w:tcPr>
                  <w:tcW w:w="523" w:type="pct"/>
                  <w:noWrap w:val="0"/>
                  <w:vAlign w:val="center"/>
                </w:tcPr>
                <w:p>
                  <w:pPr>
                    <w:pStyle w:val="59"/>
                    <w:spacing w:before="78"/>
                    <w:jc w:val="center"/>
                    <w:rPr>
                      <w:rFonts w:hint="default" w:ascii="Times New Roman" w:hAnsi="Times New Roman" w:eastAsia="宋体" w:cs="Times New Roman"/>
                      <w:b/>
                      <w:bCs/>
                      <w:kern w:val="0"/>
                      <w:sz w:val="21"/>
                      <w:szCs w:val="21"/>
                      <w:lang w:val="en-US" w:eastAsia="zh-CN"/>
                    </w:rPr>
                  </w:pPr>
                  <w:r>
                    <w:rPr>
                      <w:rFonts w:hint="default" w:ascii="Times New Roman" w:hAnsi="Times New Roman" w:eastAsia="宋体" w:cs="Times New Roman"/>
                      <w:b/>
                      <w:bCs/>
                      <w:kern w:val="0"/>
                      <w:sz w:val="21"/>
                      <w:szCs w:val="21"/>
                      <w:lang w:val="en-US" w:eastAsia="zh-CN"/>
                    </w:rPr>
                    <w:t>柴油罐</w:t>
                  </w:r>
                </w:p>
              </w:tc>
              <w:tc>
                <w:tcPr>
                  <w:tcW w:w="612" w:type="pct"/>
                  <w:noWrap w:val="0"/>
                  <w:vAlign w:val="center"/>
                </w:tcPr>
                <w:p>
                  <w:pPr>
                    <w:pStyle w:val="59"/>
                    <w:spacing w:before="78"/>
                    <w:jc w:val="center"/>
                    <w:rPr>
                      <w:rFonts w:hint="default" w:ascii="Times New Roman" w:hAnsi="Times New Roman" w:eastAsia="宋体" w:cs="Times New Roman"/>
                      <w:b/>
                      <w:bCs/>
                      <w:kern w:val="0"/>
                      <w:sz w:val="21"/>
                      <w:szCs w:val="21"/>
                      <w:lang w:val="en-US" w:eastAsia="zh-CN"/>
                    </w:rPr>
                  </w:pPr>
                  <w:r>
                    <w:rPr>
                      <w:rFonts w:hint="default" w:ascii="Times New Roman" w:hAnsi="Times New Roman" w:eastAsia="宋体" w:cs="Times New Roman"/>
                      <w:b/>
                      <w:bCs/>
                      <w:kern w:val="0"/>
                      <w:sz w:val="21"/>
                      <w:szCs w:val="21"/>
                      <w:lang w:val="en-US" w:eastAsia="zh-CN"/>
                    </w:rPr>
                    <w:t>汽油通气管管口</w:t>
                  </w:r>
                </w:p>
              </w:tc>
              <w:tc>
                <w:tcPr>
                  <w:tcW w:w="618" w:type="pct"/>
                  <w:noWrap w:val="0"/>
                  <w:vAlign w:val="center"/>
                </w:tcPr>
                <w:p>
                  <w:pPr>
                    <w:pStyle w:val="59"/>
                    <w:spacing w:before="78"/>
                    <w:jc w:val="center"/>
                    <w:rPr>
                      <w:rFonts w:hint="default" w:ascii="Times New Roman" w:hAnsi="Times New Roman" w:eastAsia="宋体" w:cs="Times New Roman"/>
                      <w:b/>
                      <w:bCs/>
                      <w:kern w:val="0"/>
                      <w:sz w:val="21"/>
                      <w:szCs w:val="21"/>
                      <w:lang w:val="en-US" w:eastAsia="zh-CN"/>
                    </w:rPr>
                  </w:pPr>
                  <w:r>
                    <w:rPr>
                      <w:rFonts w:hint="default" w:ascii="Times New Roman" w:hAnsi="Times New Roman" w:eastAsia="宋体" w:cs="Times New Roman"/>
                      <w:b/>
                      <w:bCs/>
                      <w:kern w:val="0"/>
                      <w:sz w:val="21"/>
                      <w:szCs w:val="21"/>
                      <w:lang w:val="en-US" w:eastAsia="zh-CN"/>
                    </w:rPr>
                    <w:t>柴油通气管管口</w:t>
                  </w:r>
                </w:p>
              </w:tc>
              <w:tc>
                <w:tcPr>
                  <w:tcW w:w="555" w:type="pct"/>
                  <w:noWrap w:val="0"/>
                  <w:vAlign w:val="center"/>
                </w:tcPr>
                <w:p>
                  <w:pPr>
                    <w:pStyle w:val="59"/>
                    <w:spacing w:before="78"/>
                    <w:jc w:val="center"/>
                    <w:rPr>
                      <w:rFonts w:hint="default" w:ascii="Times New Roman" w:hAnsi="Times New Roman" w:eastAsia="宋体" w:cs="Times New Roman"/>
                      <w:b/>
                      <w:bCs/>
                      <w:kern w:val="0"/>
                      <w:sz w:val="21"/>
                      <w:szCs w:val="21"/>
                      <w:lang w:val="en-US" w:eastAsia="zh-CN"/>
                    </w:rPr>
                  </w:pPr>
                  <w:r>
                    <w:rPr>
                      <w:rFonts w:hint="default" w:ascii="Times New Roman" w:hAnsi="Times New Roman" w:eastAsia="宋体" w:cs="Times New Roman"/>
                      <w:b/>
                      <w:bCs/>
                      <w:kern w:val="0"/>
                      <w:sz w:val="21"/>
                      <w:szCs w:val="21"/>
                      <w:lang w:val="en-US" w:eastAsia="zh-CN"/>
                    </w:rPr>
                    <w:t>油品卸车点</w:t>
                  </w:r>
                </w:p>
              </w:tc>
              <w:tc>
                <w:tcPr>
                  <w:tcW w:w="608" w:type="pct"/>
                  <w:noWrap w:val="0"/>
                  <w:vAlign w:val="center"/>
                </w:tcPr>
                <w:p>
                  <w:pPr>
                    <w:pStyle w:val="59"/>
                    <w:spacing w:before="78"/>
                    <w:jc w:val="center"/>
                    <w:rPr>
                      <w:rFonts w:hint="default" w:ascii="Times New Roman" w:hAnsi="Times New Roman" w:eastAsia="宋体" w:cs="Times New Roman"/>
                      <w:b/>
                      <w:bCs/>
                      <w:kern w:val="0"/>
                      <w:sz w:val="21"/>
                      <w:szCs w:val="21"/>
                      <w:lang w:val="en-US" w:eastAsia="zh-CN"/>
                    </w:rPr>
                  </w:pPr>
                  <w:r>
                    <w:rPr>
                      <w:rFonts w:hint="default" w:ascii="Times New Roman" w:hAnsi="Times New Roman" w:eastAsia="宋体" w:cs="Times New Roman"/>
                      <w:b/>
                      <w:bCs/>
                      <w:kern w:val="0"/>
                      <w:sz w:val="21"/>
                      <w:szCs w:val="21"/>
                      <w:lang w:val="en-US" w:eastAsia="zh-CN"/>
                    </w:rPr>
                    <w:t>加油机</w:t>
                  </w:r>
                </w:p>
              </w:tc>
              <w:tc>
                <w:tcPr>
                  <w:tcW w:w="375" w:type="pct"/>
                  <w:noWrap w:val="0"/>
                  <w:vAlign w:val="center"/>
                </w:tcPr>
                <w:p>
                  <w:pPr>
                    <w:pStyle w:val="59"/>
                    <w:spacing w:before="78"/>
                    <w:jc w:val="center"/>
                    <w:rPr>
                      <w:rFonts w:hint="default" w:ascii="Times New Roman" w:hAnsi="Times New Roman" w:eastAsia="宋体" w:cs="Times New Roman"/>
                      <w:b/>
                      <w:bCs/>
                      <w:kern w:val="0"/>
                      <w:sz w:val="21"/>
                      <w:szCs w:val="21"/>
                      <w:lang w:val="en-US" w:eastAsia="zh-CN"/>
                    </w:rPr>
                  </w:pPr>
                  <w:r>
                    <w:rPr>
                      <w:rFonts w:hint="default" w:ascii="Times New Roman" w:hAnsi="Times New Roman" w:eastAsia="宋体" w:cs="Times New Roman"/>
                      <w:b/>
                      <w:bCs/>
                      <w:kern w:val="0"/>
                      <w:sz w:val="21"/>
                      <w:szCs w:val="21"/>
                      <w:lang w:val="en-US" w:eastAsia="zh-CN"/>
                    </w:rPr>
                    <w:t>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83" w:type="pct"/>
                  <w:vMerge w:val="restart"/>
                  <w:noWrap w:val="0"/>
                  <w:vAlign w:val="center"/>
                </w:tcPr>
                <w:p>
                  <w:pPr>
                    <w:pStyle w:val="23"/>
                    <w:ind w:left="0" w:lef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汽油罐</w:t>
                  </w: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规范</w:t>
                  </w:r>
                </w:p>
              </w:tc>
              <w:tc>
                <w:tcPr>
                  <w:tcW w:w="549"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0.5</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0.5</w:t>
                  </w:r>
                </w:p>
              </w:tc>
              <w:tc>
                <w:tcPr>
                  <w:tcW w:w="612"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555"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608"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restar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jc w:val="center"/>
              </w:trPr>
              <w:tc>
                <w:tcPr>
                  <w:tcW w:w="583" w:type="pct"/>
                  <w:vMerge w:val="continue"/>
                  <w:noWrap w:val="0"/>
                  <w:vAlign w:val="center"/>
                </w:tcPr>
                <w:p>
                  <w:pPr>
                    <w:snapToGrid w:val="0"/>
                    <w:jc w:val="center"/>
                    <w:rPr>
                      <w:rFonts w:hint="default" w:ascii="Times New Roman" w:hAnsi="Times New Roman" w:cs="Times New Roman"/>
                      <w:sz w:val="21"/>
                      <w:szCs w:val="21"/>
                    </w:rPr>
                  </w:pP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本项目</w:t>
                  </w:r>
                </w:p>
              </w:tc>
              <w:tc>
                <w:tcPr>
                  <w:tcW w:w="549"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0.5</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0.5</w:t>
                  </w:r>
                </w:p>
              </w:tc>
              <w:tc>
                <w:tcPr>
                  <w:tcW w:w="612"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555"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608"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continue"/>
                  <w:noWrap w:val="0"/>
                  <w:vAlign w:val="center"/>
                </w:tcPr>
                <w:p>
                  <w:pPr>
                    <w:snapToGrid w:val="0"/>
                    <w:jc w:val="center"/>
                    <w:rPr>
                      <w:rFonts w:hint="default" w:ascii="Times New Roman" w:hAnsi="Times New Roman" w:cs="Times New Roman"/>
                      <w:bC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583" w:type="pct"/>
                  <w:vMerge w:val="restart"/>
                  <w:noWrap w:val="0"/>
                  <w:vAlign w:val="center"/>
                </w:tcPr>
                <w:p>
                  <w:pPr>
                    <w:snapToGrid w:val="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柴油罐</w:t>
                  </w: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规范</w:t>
                  </w:r>
                </w:p>
              </w:tc>
              <w:tc>
                <w:tcPr>
                  <w:tcW w:w="549"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0.5</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0.5</w:t>
                  </w:r>
                </w:p>
              </w:tc>
              <w:tc>
                <w:tcPr>
                  <w:tcW w:w="612"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555"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0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restar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583" w:type="pct"/>
                  <w:vMerge w:val="continue"/>
                  <w:noWrap w:val="0"/>
                  <w:vAlign w:val="center"/>
                </w:tcPr>
                <w:p>
                  <w:pPr>
                    <w:snapToGrid w:val="0"/>
                    <w:jc w:val="center"/>
                    <w:rPr>
                      <w:rFonts w:hint="default" w:ascii="Times New Roman" w:hAnsi="Times New Roman" w:cs="Times New Roman"/>
                      <w:sz w:val="21"/>
                      <w:szCs w:val="21"/>
                    </w:rPr>
                  </w:pP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本项目</w:t>
                  </w:r>
                </w:p>
              </w:tc>
              <w:tc>
                <w:tcPr>
                  <w:tcW w:w="549"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0.5</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0.5</w:t>
                  </w:r>
                </w:p>
              </w:tc>
              <w:tc>
                <w:tcPr>
                  <w:tcW w:w="612"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555"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0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continue"/>
                  <w:noWrap w:val="0"/>
                  <w:vAlign w:val="center"/>
                </w:tcPr>
                <w:p>
                  <w:pPr>
                    <w:snapToGrid w:val="0"/>
                    <w:jc w:val="center"/>
                    <w:rPr>
                      <w:rFonts w:hint="default" w:ascii="Times New Roman" w:hAnsi="Times New Roman" w:cs="Times New Roman"/>
                      <w:bC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83" w:type="pct"/>
                  <w:vMerge w:val="restart"/>
                  <w:noWrap w:val="0"/>
                  <w:vAlign w:val="center"/>
                </w:tcPr>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汽油通气管管口</w:t>
                  </w: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规范</w:t>
                  </w:r>
                </w:p>
              </w:tc>
              <w:tc>
                <w:tcPr>
                  <w:tcW w:w="549"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12"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555"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3</w:t>
                  </w:r>
                </w:p>
              </w:tc>
              <w:tc>
                <w:tcPr>
                  <w:tcW w:w="608"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restar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83" w:type="pct"/>
                  <w:vMerge w:val="continue"/>
                  <w:noWrap w:val="0"/>
                  <w:vAlign w:val="center"/>
                </w:tcPr>
                <w:p>
                  <w:pPr>
                    <w:pStyle w:val="23"/>
                    <w:ind w:left="0" w:leftChars="0" w:firstLine="0" w:firstLineChars="0"/>
                    <w:jc w:val="center"/>
                    <w:rPr>
                      <w:rFonts w:hint="default" w:ascii="Times New Roman" w:hAnsi="Times New Roman" w:cs="Times New Roman"/>
                      <w:sz w:val="21"/>
                      <w:szCs w:val="21"/>
                    </w:rPr>
                  </w:pP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本项目</w:t>
                  </w:r>
                </w:p>
              </w:tc>
              <w:tc>
                <w:tcPr>
                  <w:tcW w:w="549"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12"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555"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10.9</w:t>
                  </w:r>
                </w:p>
              </w:tc>
              <w:tc>
                <w:tcPr>
                  <w:tcW w:w="608"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continue"/>
                  <w:noWrap w:val="0"/>
                  <w:vAlign w:val="center"/>
                </w:tcPr>
                <w:p>
                  <w:pPr>
                    <w:snapToGrid w:val="0"/>
                    <w:jc w:val="center"/>
                    <w:rPr>
                      <w:rFonts w:hint="default" w:ascii="Times New Roman" w:hAnsi="Times New Roman" w:cs="Times New Roman"/>
                      <w:bC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583" w:type="pct"/>
                  <w:vMerge w:val="restart"/>
                  <w:noWrap w:val="0"/>
                  <w:vAlign w:val="center"/>
                </w:tcPr>
                <w:p>
                  <w:pPr>
                    <w:pStyle w:val="2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柴油通气管管口</w:t>
                  </w: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规范</w:t>
                  </w:r>
                </w:p>
              </w:tc>
              <w:tc>
                <w:tcPr>
                  <w:tcW w:w="549"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12"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555"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2</w:t>
                  </w:r>
                </w:p>
              </w:tc>
              <w:tc>
                <w:tcPr>
                  <w:tcW w:w="60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restar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3" w:type="pct"/>
                  <w:vMerge w:val="continue"/>
                  <w:noWrap w:val="0"/>
                  <w:vAlign w:val="center"/>
                </w:tcPr>
                <w:p>
                  <w:pPr>
                    <w:pStyle w:val="23"/>
                    <w:ind w:left="0" w:leftChars="0" w:firstLine="0" w:firstLineChars="0"/>
                    <w:jc w:val="center"/>
                    <w:rPr>
                      <w:rFonts w:hint="default" w:ascii="Times New Roman" w:hAnsi="Times New Roman" w:cs="Times New Roman"/>
                      <w:sz w:val="21"/>
                      <w:szCs w:val="21"/>
                    </w:rPr>
                  </w:pPr>
                </w:p>
              </w:tc>
              <w:tc>
                <w:tcPr>
                  <w:tcW w:w="574"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Cs/>
                      <w:sz w:val="21"/>
                      <w:szCs w:val="21"/>
                    </w:rPr>
                  </w:pPr>
                  <w:r>
                    <w:rPr>
                      <w:rFonts w:hint="default" w:ascii="Times New Roman" w:hAnsi="Times New Roman" w:cs="Times New Roman"/>
                      <w:bCs/>
                      <w:sz w:val="21"/>
                      <w:szCs w:val="21"/>
                    </w:rPr>
                    <w:t>本项目</w:t>
                  </w:r>
                </w:p>
              </w:tc>
              <w:tc>
                <w:tcPr>
                  <w:tcW w:w="549"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523"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12"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1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555"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10.9</w:t>
                  </w:r>
                </w:p>
              </w:tc>
              <w:tc>
                <w:tcPr>
                  <w:tcW w:w="608" w:type="pct"/>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continue"/>
                  <w:noWrap w:val="0"/>
                  <w:vAlign w:val="center"/>
                </w:tcPr>
                <w:p>
                  <w:pPr>
                    <w:snapToGrid w:val="0"/>
                    <w:jc w:val="center"/>
                    <w:rPr>
                      <w:rFonts w:hint="default" w:ascii="Times New Roman" w:hAnsi="Times New Roman" w:cs="Times New Roman"/>
                      <w:bC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83" w:type="pct"/>
                  <w:vMerge w:val="restart"/>
                  <w:noWrap w:val="0"/>
                  <w:vAlign w:val="center"/>
                </w:tcPr>
                <w:p>
                  <w:pPr>
                    <w:snapToGrid w:val="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油品卸车点</w:t>
                  </w: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规范</w:t>
                  </w:r>
                </w:p>
              </w:tc>
              <w:tc>
                <w:tcPr>
                  <w:tcW w:w="549"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12"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3</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2</w:t>
                  </w:r>
                </w:p>
              </w:tc>
              <w:tc>
                <w:tcPr>
                  <w:tcW w:w="555"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608"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restar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83" w:type="pct"/>
                  <w:vMerge w:val="continue"/>
                  <w:noWrap w:val="0"/>
                  <w:vAlign w:val="center"/>
                </w:tcPr>
                <w:p>
                  <w:pPr>
                    <w:snapToGrid w:val="0"/>
                    <w:jc w:val="center"/>
                    <w:rPr>
                      <w:rFonts w:hint="default" w:ascii="Times New Roman" w:hAnsi="Times New Roman" w:cs="Times New Roman"/>
                      <w:sz w:val="21"/>
                      <w:szCs w:val="21"/>
                    </w:rPr>
                  </w:pP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本项目</w:t>
                  </w:r>
                </w:p>
              </w:tc>
              <w:tc>
                <w:tcPr>
                  <w:tcW w:w="549"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12"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10.9</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10.9</w:t>
                  </w:r>
                </w:p>
              </w:tc>
              <w:tc>
                <w:tcPr>
                  <w:tcW w:w="555"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608"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continue"/>
                  <w:noWrap w:val="0"/>
                  <w:vAlign w:val="center"/>
                </w:tcPr>
                <w:p>
                  <w:pPr>
                    <w:snapToGrid w:val="0"/>
                    <w:jc w:val="center"/>
                    <w:rPr>
                      <w:rFonts w:hint="default" w:ascii="Times New Roman" w:hAnsi="Times New Roman" w:cs="Times New Roman"/>
                      <w:bC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83" w:type="pct"/>
                  <w:vMerge w:val="restart"/>
                  <w:noWrap w:val="0"/>
                  <w:vAlign w:val="center"/>
                </w:tcPr>
                <w:p>
                  <w:pPr>
                    <w:snapToGrid w:val="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站房</w:t>
                  </w:r>
                  <w:r>
                    <w:rPr>
                      <w:rFonts w:hint="eastAsia" w:ascii="Times New Roman" w:hAnsi="Times New Roman" w:cs="Times New Roman"/>
                      <w:sz w:val="21"/>
                      <w:szCs w:val="21"/>
                      <w:lang w:val="en-US" w:eastAsia="zh-CN"/>
                    </w:rPr>
                    <w:t>1</w:t>
                  </w:r>
                </w:p>
              </w:tc>
              <w:tc>
                <w:tcPr>
                  <w:tcW w:w="574" w:type="pct"/>
                  <w:noWrap w:val="0"/>
                  <w:vAlign w:val="center"/>
                </w:tcPr>
                <w:p>
                  <w:pPr>
                    <w:snapToGrid w:val="0"/>
                    <w:jc w:val="center"/>
                    <w:rPr>
                      <w:rFonts w:hint="default" w:ascii="Times New Roman" w:hAnsi="Times New Roman" w:cs="Times New Roman"/>
                      <w:bCs/>
                      <w:kern w:val="2"/>
                      <w:sz w:val="21"/>
                      <w:szCs w:val="21"/>
                      <w:lang w:val="en-US" w:eastAsia="zh-CN" w:bidi="ar-SA"/>
                    </w:rPr>
                  </w:pPr>
                  <w:r>
                    <w:rPr>
                      <w:rFonts w:hint="default" w:ascii="Times New Roman" w:hAnsi="Times New Roman" w:cs="Times New Roman"/>
                      <w:bCs/>
                      <w:sz w:val="21"/>
                      <w:szCs w:val="21"/>
                    </w:rPr>
                    <w:t>规范</w:t>
                  </w:r>
                </w:p>
              </w:tc>
              <w:tc>
                <w:tcPr>
                  <w:tcW w:w="549"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4</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3</w:t>
                  </w:r>
                </w:p>
              </w:tc>
              <w:tc>
                <w:tcPr>
                  <w:tcW w:w="612"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4</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3.5</w:t>
                  </w:r>
                </w:p>
              </w:tc>
              <w:tc>
                <w:tcPr>
                  <w:tcW w:w="555"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5</w:t>
                  </w:r>
                </w:p>
              </w:tc>
              <w:tc>
                <w:tcPr>
                  <w:tcW w:w="608"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5（4）</w:t>
                  </w:r>
                </w:p>
              </w:tc>
              <w:tc>
                <w:tcPr>
                  <w:tcW w:w="375" w:type="pct"/>
                  <w:vMerge w:val="restar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83" w:type="pct"/>
                  <w:vMerge w:val="continue"/>
                  <w:noWrap w:val="0"/>
                  <w:vAlign w:val="center"/>
                </w:tcPr>
                <w:p>
                  <w:pPr>
                    <w:snapToGrid w:val="0"/>
                    <w:jc w:val="center"/>
                    <w:rPr>
                      <w:rFonts w:hint="default" w:ascii="Times New Roman" w:hAnsi="Times New Roman" w:cs="Times New Roman"/>
                      <w:sz w:val="21"/>
                      <w:szCs w:val="21"/>
                    </w:rPr>
                  </w:pPr>
                </w:p>
              </w:tc>
              <w:tc>
                <w:tcPr>
                  <w:tcW w:w="574" w:type="pct"/>
                  <w:noWrap w:val="0"/>
                  <w:vAlign w:val="center"/>
                </w:tcPr>
                <w:p>
                  <w:pPr>
                    <w:snapToGrid w:val="0"/>
                    <w:jc w:val="center"/>
                    <w:rPr>
                      <w:rFonts w:hint="default" w:ascii="Times New Roman" w:hAnsi="Times New Roman" w:cs="Times New Roman"/>
                      <w:bCs/>
                      <w:kern w:val="2"/>
                      <w:sz w:val="21"/>
                      <w:szCs w:val="21"/>
                      <w:lang w:val="en-US" w:eastAsia="zh-CN" w:bidi="ar-SA"/>
                    </w:rPr>
                  </w:pPr>
                  <w:r>
                    <w:rPr>
                      <w:rFonts w:hint="default" w:ascii="Times New Roman" w:hAnsi="Times New Roman" w:cs="Times New Roman"/>
                      <w:bCs/>
                      <w:sz w:val="21"/>
                      <w:szCs w:val="21"/>
                    </w:rPr>
                    <w:t>本项目</w:t>
                  </w:r>
                </w:p>
              </w:tc>
              <w:tc>
                <w:tcPr>
                  <w:tcW w:w="549"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8</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4.8</w:t>
                  </w:r>
                </w:p>
              </w:tc>
              <w:tc>
                <w:tcPr>
                  <w:tcW w:w="612"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12.2</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13</w:t>
                  </w:r>
                </w:p>
              </w:tc>
              <w:tc>
                <w:tcPr>
                  <w:tcW w:w="555"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12.3</w:t>
                  </w:r>
                </w:p>
              </w:tc>
              <w:tc>
                <w:tcPr>
                  <w:tcW w:w="608"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8.5（22.4）</w:t>
                  </w:r>
                </w:p>
              </w:tc>
              <w:tc>
                <w:tcPr>
                  <w:tcW w:w="375" w:type="pct"/>
                  <w:vMerge w:val="continue"/>
                  <w:noWrap w:val="0"/>
                  <w:vAlign w:val="center"/>
                </w:tcPr>
                <w:p>
                  <w:pPr>
                    <w:snapToGrid w:val="0"/>
                    <w:jc w:val="center"/>
                    <w:rPr>
                      <w:rFonts w:hint="default" w:ascii="Times New Roman" w:hAnsi="Times New Roman" w:cs="Times New Roman"/>
                      <w:bC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83" w:type="pct"/>
                  <w:vMerge w:val="restart"/>
                  <w:noWrap w:val="0"/>
                  <w:vAlign w:val="center"/>
                </w:tcPr>
                <w:p>
                  <w:pPr>
                    <w:snapToGrid w:val="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洗车房</w:t>
                  </w:r>
                </w:p>
              </w:tc>
              <w:tc>
                <w:tcPr>
                  <w:tcW w:w="574" w:type="pct"/>
                  <w:noWrap w:val="0"/>
                  <w:vAlign w:val="center"/>
                </w:tcPr>
                <w:p>
                  <w:pPr>
                    <w:snapToGrid w:val="0"/>
                    <w:jc w:val="center"/>
                    <w:rPr>
                      <w:rFonts w:hint="default" w:ascii="Times New Roman" w:hAnsi="Times New Roman" w:cs="Times New Roman"/>
                      <w:bCs/>
                      <w:kern w:val="2"/>
                      <w:sz w:val="21"/>
                      <w:szCs w:val="21"/>
                      <w:lang w:val="en-US" w:eastAsia="zh-CN" w:bidi="ar-SA"/>
                    </w:rPr>
                  </w:pPr>
                  <w:r>
                    <w:rPr>
                      <w:rFonts w:hint="default" w:ascii="Times New Roman" w:hAnsi="Times New Roman" w:cs="Times New Roman"/>
                      <w:bCs/>
                      <w:sz w:val="21"/>
                      <w:szCs w:val="21"/>
                    </w:rPr>
                    <w:t>规范</w:t>
                  </w:r>
                </w:p>
              </w:tc>
              <w:tc>
                <w:tcPr>
                  <w:tcW w:w="549"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8.5</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6</w:t>
                  </w:r>
                </w:p>
              </w:tc>
              <w:tc>
                <w:tcPr>
                  <w:tcW w:w="612"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7</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6</w:t>
                  </w:r>
                </w:p>
              </w:tc>
              <w:tc>
                <w:tcPr>
                  <w:tcW w:w="555"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w:t>
                  </w:r>
                </w:p>
              </w:tc>
              <w:tc>
                <w:tcPr>
                  <w:tcW w:w="608"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7（6）</w:t>
                  </w:r>
                </w:p>
              </w:tc>
              <w:tc>
                <w:tcPr>
                  <w:tcW w:w="375" w:type="pct"/>
                  <w:vMerge w:val="restar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9" w:hRule="atLeast"/>
                <w:jc w:val="center"/>
              </w:trPr>
              <w:tc>
                <w:tcPr>
                  <w:tcW w:w="583" w:type="pct"/>
                  <w:vMerge w:val="continue"/>
                  <w:noWrap w:val="0"/>
                  <w:vAlign w:val="center"/>
                </w:tcPr>
                <w:p>
                  <w:pPr>
                    <w:snapToGrid w:val="0"/>
                    <w:jc w:val="center"/>
                    <w:rPr>
                      <w:rFonts w:hint="default" w:ascii="Times New Roman" w:hAnsi="Times New Roman" w:cs="Times New Roman"/>
                      <w:sz w:val="21"/>
                      <w:szCs w:val="21"/>
                    </w:rPr>
                  </w:pPr>
                </w:p>
              </w:tc>
              <w:tc>
                <w:tcPr>
                  <w:tcW w:w="574" w:type="pct"/>
                  <w:noWrap w:val="0"/>
                  <w:vAlign w:val="center"/>
                </w:tcPr>
                <w:p>
                  <w:pPr>
                    <w:snapToGrid w:val="0"/>
                    <w:jc w:val="center"/>
                    <w:rPr>
                      <w:rFonts w:hint="default" w:ascii="Times New Roman" w:hAnsi="Times New Roman" w:cs="Times New Roman"/>
                      <w:bCs/>
                      <w:kern w:val="2"/>
                      <w:sz w:val="21"/>
                      <w:szCs w:val="21"/>
                      <w:lang w:val="en-US" w:eastAsia="zh-CN" w:bidi="ar-SA"/>
                    </w:rPr>
                  </w:pPr>
                  <w:r>
                    <w:rPr>
                      <w:rFonts w:hint="default" w:ascii="Times New Roman" w:hAnsi="Times New Roman" w:cs="Times New Roman"/>
                      <w:bCs/>
                      <w:sz w:val="21"/>
                      <w:szCs w:val="21"/>
                    </w:rPr>
                    <w:t>本项目</w:t>
                  </w:r>
                </w:p>
              </w:tc>
              <w:tc>
                <w:tcPr>
                  <w:tcW w:w="549"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52</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48</w:t>
                  </w:r>
                </w:p>
              </w:tc>
              <w:tc>
                <w:tcPr>
                  <w:tcW w:w="612"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58</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58</w:t>
                  </w:r>
                </w:p>
              </w:tc>
              <w:tc>
                <w:tcPr>
                  <w:tcW w:w="555"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53.5</w:t>
                  </w:r>
                </w:p>
              </w:tc>
              <w:tc>
                <w:tcPr>
                  <w:tcW w:w="608" w:type="pct"/>
                  <w:noWrap w:val="0"/>
                  <w:vAlign w:val="center"/>
                </w:tcPr>
                <w:p>
                  <w:pPr>
                    <w:snapToGrid w:val="0"/>
                    <w:jc w:val="center"/>
                    <w:rPr>
                      <w:rFonts w:hint="default" w:ascii="Times New Roman" w:hAnsi="Times New Roman" w:eastAsia="宋体" w:cs="Times New Roman"/>
                      <w:bCs/>
                      <w:sz w:val="21"/>
                      <w:szCs w:val="21"/>
                      <w:lang w:val="en-US" w:eastAsia="zh-CN"/>
                    </w:rPr>
                  </w:pPr>
                  <w:r>
                    <w:rPr>
                      <w:rFonts w:hint="default" w:ascii="Times New Roman" w:hAnsi="Times New Roman" w:cs="Times New Roman"/>
                      <w:bCs/>
                      <w:sz w:val="21"/>
                      <w:szCs w:val="21"/>
                      <w:lang w:val="en-US" w:eastAsia="zh-CN"/>
                    </w:rPr>
                    <w:t>14（14）</w:t>
                  </w:r>
                </w:p>
              </w:tc>
              <w:tc>
                <w:tcPr>
                  <w:tcW w:w="375" w:type="pct"/>
                  <w:vMerge w:val="continue"/>
                  <w:noWrap w:val="0"/>
                  <w:vAlign w:val="center"/>
                </w:tcPr>
                <w:p>
                  <w:pPr>
                    <w:snapToGrid w:val="0"/>
                    <w:jc w:val="center"/>
                    <w:rPr>
                      <w:rFonts w:hint="default" w:ascii="Times New Roman" w:hAnsi="Times New Roman" w:cs="Times New Roman"/>
                      <w:bC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583" w:type="pct"/>
                  <w:vMerge w:val="restart"/>
                  <w:noWrap w:val="0"/>
                  <w:vAlign w:val="center"/>
                </w:tcPr>
                <w:p>
                  <w:pPr>
                    <w:snapToGrid w:val="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配电室</w:t>
                  </w: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规范</w:t>
                  </w:r>
                </w:p>
              </w:tc>
              <w:tc>
                <w:tcPr>
                  <w:tcW w:w="549"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3</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3</w:t>
                  </w:r>
                </w:p>
              </w:tc>
              <w:tc>
                <w:tcPr>
                  <w:tcW w:w="612"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3</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3</w:t>
                  </w:r>
                </w:p>
              </w:tc>
              <w:tc>
                <w:tcPr>
                  <w:tcW w:w="555"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3</w:t>
                  </w:r>
                </w:p>
              </w:tc>
              <w:tc>
                <w:tcPr>
                  <w:tcW w:w="60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3</w:t>
                  </w:r>
                </w:p>
              </w:tc>
              <w:tc>
                <w:tcPr>
                  <w:tcW w:w="375" w:type="pct"/>
                  <w:vMerge w:val="restar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583" w:type="pct"/>
                  <w:vMerge w:val="continue"/>
                  <w:noWrap w:val="0"/>
                  <w:vAlign w:val="center"/>
                </w:tcPr>
                <w:p>
                  <w:pPr>
                    <w:snapToGrid w:val="0"/>
                    <w:jc w:val="center"/>
                    <w:rPr>
                      <w:rFonts w:hint="default" w:ascii="Times New Roman" w:hAnsi="Times New Roman" w:cs="Times New Roman"/>
                      <w:sz w:val="21"/>
                      <w:szCs w:val="21"/>
                    </w:rPr>
                  </w:pP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本项目</w:t>
                  </w:r>
                </w:p>
              </w:tc>
              <w:tc>
                <w:tcPr>
                  <w:tcW w:w="549"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51</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50</w:t>
                  </w:r>
                </w:p>
              </w:tc>
              <w:tc>
                <w:tcPr>
                  <w:tcW w:w="612"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55</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55</w:t>
                  </w:r>
                </w:p>
              </w:tc>
              <w:tc>
                <w:tcPr>
                  <w:tcW w:w="555"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55.5</w:t>
                  </w:r>
                </w:p>
              </w:tc>
              <w:tc>
                <w:tcPr>
                  <w:tcW w:w="60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23.3</w:t>
                  </w:r>
                </w:p>
              </w:tc>
              <w:tc>
                <w:tcPr>
                  <w:tcW w:w="375" w:type="pct"/>
                  <w:vMerge w:val="continue"/>
                  <w:noWrap w:val="0"/>
                  <w:vAlign w:val="center"/>
                </w:tcPr>
                <w:p>
                  <w:pPr>
                    <w:snapToGrid w:val="0"/>
                    <w:jc w:val="center"/>
                    <w:rPr>
                      <w:rFonts w:hint="default" w:ascii="Times New Roman" w:hAnsi="Times New Roman" w:cs="Times New Roman"/>
                      <w:bC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583" w:type="pct"/>
                  <w:vMerge w:val="restart"/>
                  <w:noWrap w:val="0"/>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柴油发电机房</w:t>
                  </w: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规范</w:t>
                  </w:r>
                </w:p>
              </w:tc>
              <w:tc>
                <w:tcPr>
                  <w:tcW w:w="549"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8</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6</w:t>
                  </w:r>
                </w:p>
              </w:tc>
              <w:tc>
                <w:tcPr>
                  <w:tcW w:w="612"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8</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6</w:t>
                  </w:r>
                </w:p>
              </w:tc>
              <w:tc>
                <w:tcPr>
                  <w:tcW w:w="555"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8</w:t>
                  </w:r>
                </w:p>
              </w:tc>
              <w:tc>
                <w:tcPr>
                  <w:tcW w:w="60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8（6）</w:t>
                  </w:r>
                </w:p>
              </w:tc>
              <w:tc>
                <w:tcPr>
                  <w:tcW w:w="375" w:type="pct"/>
                  <w:vMerge w:val="restar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583" w:type="pct"/>
                  <w:vMerge w:val="continue"/>
                  <w:noWrap w:val="0"/>
                  <w:vAlign w:val="center"/>
                </w:tcPr>
                <w:p>
                  <w:pPr>
                    <w:snapToGrid w:val="0"/>
                    <w:jc w:val="center"/>
                    <w:rPr>
                      <w:rFonts w:hint="default" w:ascii="Times New Roman" w:hAnsi="Times New Roman" w:cs="Times New Roman"/>
                      <w:sz w:val="21"/>
                      <w:szCs w:val="21"/>
                    </w:rPr>
                  </w:pP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本项目</w:t>
                  </w:r>
                </w:p>
              </w:tc>
              <w:tc>
                <w:tcPr>
                  <w:tcW w:w="549"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50</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49</w:t>
                  </w:r>
                </w:p>
              </w:tc>
              <w:tc>
                <w:tcPr>
                  <w:tcW w:w="612"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54</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54.5</w:t>
                  </w:r>
                </w:p>
              </w:tc>
              <w:tc>
                <w:tcPr>
                  <w:tcW w:w="555"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55</w:t>
                  </w:r>
                </w:p>
              </w:tc>
              <w:tc>
                <w:tcPr>
                  <w:tcW w:w="60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20.4（32.1）</w:t>
                  </w:r>
                </w:p>
              </w:tc>
              <w:tc>
                <w:tcPr>
                  <w:tcW w:w="375" w:type="pct"/>
                  <w:vMerge w:val="continue"/>
                  <w:noWrap w:val="0"/>
                  <w:vAlign w:val="center"/>
                </w:tcPr>
                <w:p>
                  <w:pPr>
                    <w:snapToGrid w:val="0"/>
                    <w:jc w:val="center"/>
                    <w:rPr>
                      <w:rFonts w:hint="default" w:ascii="Times New Roman" w:hAnsi="Times New Roman" w:cs="Times New Roman"/>
                      <w:bC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583" w:type="pct"/>
                  <w:vMerge w:val="restart"/>
                  <w:noWrap w:val="0"/>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站区围墙</w:t>
                  </w: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规范</w:t>
                  </w:r>
                </w:p>
              </w:tc>
              <w:tc>
                <w:tcPr>
                  <w:tcW w:w="549"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2</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2</w:t>
                  </w:r>
                </w:p>
              </w:tc>
              <w:tc>
                <w:tcPr>
                  <w:tcW w:w="612"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2</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2</w:t>
                  </w:r>
                </w:p>
              </w:tc>
              <w:tc>
                <w:tcPr>
                  <w:tcW w:w="555"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0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restar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583" w:type="pct"/>
                  <w:vMerge w:val="continue"/>
                  <w:noWrap w:val="0"/>
                  <w:vAlign w:val="center"/>
                </w:tcPr>
                <w:p>
                  <w:pPr>
                    <w:snapToGrid w:val="0"/>
                    <w:jc w:val="center"/>
                    <w:rPr>
                      <w:rFonts w:hint="default" w:ascii="Times New Roman" w:hAnsi="Times New Roman" w:cs="Times New Roman"/>
                      <w:sz w:val="21"/>
                      <w:szCs w:val="21"/>
                    </w:rPr>
                  </w:pP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本项目</w:t>
                  </w:r>
                </w:p>
              </w:tc>
              <w:tc>
                <w:tcPr>
                  <w:tcW w:w="549"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4.3</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4.3</w:t>
                  </w:r>
                </w:p>
              </w:tc>
              <w:tc>
                <w:tcPr>
                  <w:tcW w:w="612"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3</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3</w:t>
                  </w:r>
                </w:p>
              </w:tc>
              <w:tc>
                <w:tcPr>
                  <w:tcW w:w="555"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0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375" w:type="pct"/>
                  <w:vMerge w:val="continue"/>
                  <w:noWrap w:val="0"/>
                  <w:vAlign w:val="center"/>
                </w:tcPr>
                <w:p>
                  <w:pPr>
                    <w:snapToGrid w:val="0"/>
                    <w:jc w:val="center"/>
                    <w:rPr>
                      <w:rFonts w:hint="default" w:ascii="Times New Roman" w:hAnsi="Times New Roman" w:cs="Times New Roman"/>
                      <w:bCs/>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583" w:type="pct"/>
                  <w:vMerge w:val="restart"/>
                  <w:noWrap w:val="0"/>
                  <w:vAlign w:val="center"/>
                </w:tcPr>
                <w:p>
                  <w:pPr>
                    <w:keepNext w:val="0"/>
                    <w:keepLines w:val="0"/>
                    <w:widowControl/>
                    <w:suppressLineNumbers w:val="0"/>
                    <w:jc w:val="center"/>
                    <w:rPr>
                      <w:rFonts w:hint="default" w:ascii="Times New Roman" w:hAnsi="Times New Roman" w:cs="Times New Roman"/>
                      <w:sz w:val="21"/>
                      <w:szCs w:val="21"/>
                    </w:rPr>
                  </w:pPr>
                  <w:r>
                    <w:rPr>
                      <w:rFonts w:hint="default" w:ascii="Times New Roman" w:hAnsi="Times New Roman" w:eastAsia="宋体" w:cs="Times New Roman"/>
                      <w:color w:val="000000"/>
                      <w:kern w:val="0"/>
                      <w:sz w:val="21"/>
                      <w:szCs w:val="21"/>
                      <w:lang w:val="en-US" w:eastAsia="zh-CN" w:bidi="ar"/>
                    </w:rPr>
                    <w:t>辅助用房</w:t>
                  </w: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规范</w:t>
                  </w:r>
                </w:p>
              </w:tc>
              <w:tc>
                <w:tcPr>
                  <w:tcW w:w="549"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8.5</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6</w:t>
                  </w:r>
                </w:p>
              </w:tc>
              <w:tc>
                <w:tcPr>
                  <w:tcW w:w="612"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7</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6</w:t>
                  </w:r>
                </w:p>
              </w:tc>
              <w:tc>
                <w:tcPr>
                  <w:tcW w:w="555"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w:t>
                  </w:r>
                </w:p>
              </w:tc>
              <w:tc>
                <w:tcPr>
                  <w:tcW w:w="60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7（6）</w:t>
                  </w:r>
                </w:p>
              </w:tc>
              <w:tc>
                <w:tcPr>
                  <w:tcW w:w="375" w:type="pct"/>
                  <w:vMerge w:val="restar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3" w:type="pct"/>
                  <w:vMerge w:val="continue"/>
                  <w:noWrap w:val="0"/>
                  <w:vAlign w:val="center"/>
                </w:tcPr>
                <w:p>
                  <w:pPr>
                    <w:snapToGrid w:val="0"/>
                    <w:jc w:val="center"/>
                    <w:rPr>
                      <w:rFonts w:hint="default" w:ascii="Times New Roman" w:hAnsi="Times New Roman" w:cs="Times New Roman"/>
                      <w:sz w:val="21"/>
                      <w:szCs w:val="21"/>
                    </w:rPr>
                  </w:pPr>
                </w:p>
              </w:tc>
              <w:tc>
                <w:tcPr>
                  <w:tcW w:w="574" w:type="pct"/>
                  <w:noWrap w:val="0"/>
                  <w:vAlign w:val="center"/>
                </w:tcPr>
                <w:p>
                  <w:pPr>
                    <w:snapToGrid w:val="0"/>
                    <w:jc w:val="center"/>
                    <w:rPr>
                      <w:rFonts w:hint="default" w:ascii="Times New Roman" w:hAnsi="Times New Roman" w:cs="Times New Roman"/>
                      <w:bCs/>
                      <w:sz w:val="21"/>
                      <w:szCs w:val="21"/>
                    </w:rPr>
                  </w:pPr>
                  <w:r>
                    <w:rPr>
                      <w:rFonts w:hint="default" w:ascii="Times New Roman" w:hAnsi="Times New Roman" w:cs="Times New Roman"/>
                      <w:bCs/>
                      <w:sz w:val="21"/>
                      <w:szCs w:val="21"/>
                    </w:rPr>
                    <w:t>本项目</w:t>
                  </w:r>
                </w:p>
              </w:tc>
              <w:tc>
                <w:tcPr>
                  <w:tcW w:w="549"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15.2</w:t>
                  </w:r>
                </w:p>
              </w:tc>
              <w:tc>
                <w:tcPr>
                  <w:tcW w:w="523"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14.6</w:t>
                  </w:r>
                </w:p>
              </w:tc>
              <w:tc>
                <w:tcPr>
                  <w:tcW w:w="612"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26.0</w:t>
                  </w:r>
                </w:p>
              </w:tc>
              <w:tc>
                <w:tcPr>
                  <w:tcW w:w="61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26.0</w:t>
                  </w:r>
                </w:p>
              </w:tc>
              <w:tc>
                <w:tcPr>
                  <w:tcW w:w="555"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12.0</w:t>
                  </w:r>
                </w:p>
              </w:tc>
              <w:tc>
                <w:tcPr>
                  <w:tcW w:w="608" w:type="pct"/>
                  <w:noWrap w:val="0"/>
                  <w:vAlign w:val="center"/>
                </w:tcPr>
                <w:p>
                  <w:pPr>
                    <w:snapToGrid w:val="0"/>
                    <w:jc w:val="center"/>
                    <w:rPr>
                      <w:rFonts w:hint="default" w:ascii="Times New Roman" w:hAnsi="Times New Roman" w:cs="Times New Roman"/>
                      <w:bCs/>
                      <w:sz w:val="21"/>
                      <w:szCs w:val="21"/>
                      <w:lang w:val="en-US" w:eastAsia="zh-CN"/>
                    </w:rPr>
                  </w:pPr>
                  <w:r>
                    <w:rPr>
                      <w:rFonts w:hint="default" w:ascii="Times New Roman" w:hAnsi="Times New Roman" w:cs="Times New Roman"/>
                      <w:bCs/>
                      <w:sz w:val="21"/>
                      <w:szCs w:val="21"/>
                      <w:lang w:val="en-US" w:eastAsia="zh-CN"/>
                    </w:rPr>
                    <w:t>21.9（20.6）</w:t>
                  </w:r>
                </w:p>
              </w:tc>
              <w:tc>
                <w:tcPr>
                  <w:tcW w:w="375" w:type="pct"/>
                  <w:vMerge w:val="continue"/>
                  <w:noWrap w:val="0"/>
                  <w:vAlign w:val="center"/>
                </w:tcPr>
                <w:p>
                  <w:pPr>
                    <w:snapToGrid w:val="0"/>
                    <w:jc w:val="center"/>
                    <w:rPr>
                      <w:rFonts w:hint="default" w:ascii="Times New Roman" w:hAnsi="Times New Roman" w:cs="Times New Roman"/>
                      <w:bCs/>
                      <w:sz w:val="21"/>
                      <w:szCs w:val="21"/>
                      <w:lang w:val="en-US" w:eastAsia="zh-CN"/>
                    </w:rPr>
                  </w:pPr>
                </w:p>
              </w:tc>
            </w:tr>
          </w:tbl>
          <w:p>
            <w:pPr>
              <w:spacing w:line="360" w:lineRule="auto"/>
              <w:ind w:firstLine="420" w:firstLineChars="200"/>
            </w:pPr>
            <w:r>
              <w:rPr>
                <w:rFonts w:hint="eastAsia"/>
                <w:szCs w:val="21"/>
              </w:rPr>
              <w:t>综上所述，本项目平面布置较为合理。</w:t>
            </w:r>
          </w:p>
        </w:tc>
      </w:tr>
    </w:tbl>
    <w:p>
      <w:pPr>
        <w:pStyle w:val="20"/>
        <w:adjustRightInd w:val="0"/>
        <w:snapToGrid w:val="0"/>
        <w:spacing w:before="0" w:beforeAutospacing="0" w:after="0" w:afterAutospacing="0"/>
        <w:jc w:val="center"/>
        <w:rPr>
          <w:rFonts w:ascii="Times New Roman" w:hAnsi="Times New Roman"/>
          <w:sz w:val="21"/>
          <w:szCs w:val="21"/>
        </w:rPr>
        <w:sectPr>
          <w:pgSz w:w="11906" w:h="16838"/>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p>
    <w:p>
      <w:pPr>
        <w:pStyle w:val="20"/>
        <w:adjustRightInd w:val="0"/>
        <w:snapToGrid w:val="0"/>
        <w:spacing w:before="0" w:beforeAutospacing="0" w:after="0" w:afterAutospacing="0"/>
        <w:jc w:val="center"/>
        <w:rPr>
          <w:rFonts w:hint="eastAsia" w:ascii="Times New Roman" w:hAnsi="Times New Roman" w:eastAsia="宋体"/>
          <w:sz w:val="21"/>
          <w:szCs w:val="21"/>
          <w:lang w:eastAsia="zh-CN"/>
        </w:rPr>
      </w:pPr>
      <w:r>
        <w:rPr>
          <w:sz w:val="21"/>
        </w:rPr>
        <mc:AlternateContent>
          <mc:Choice Requires="wps">
            <w:drawing>
              <wp:anchor distT="0" distB="0" distL="114300" distR="114300" simplePos="0" relativeHeight="251664384" behindDoc="0" locked="0" layoutInCell="1" allowOverlap="1">
                <wp:simplePos x="0" y="0"/>
                <wp:positionH relativeFrom="column">
                  <wp:posOffset>1004570</wp:posOffset>
                </wp:positionH>
                <wp:positionV relativeFrom="paragraph">
                  <wp:posOffset>3175</wp:posOffset>
                </wp:positionV>
                <wp:extent cx="6881495" cy="5022850"/>
                <wp:effectExtent l="4445" t="5080" r="10160" b="13970"/>
                <wp:wrapNone/>
                <wp:docPr id="6" name="矩形 35"/>
                <wp:cNvGraphicFramePr/>
                <a:graphic xmlns:a="http://schemas.openxmlformats.org/drawingml/2006/main">
                  <a:graphicData uri="http://schemas.microsoft.com/office/word/2010/wordprocessingShape">
                    <wps:wsp>
                      <wps:cNvSpPr/>
                      <wps:spPr>
                        <a:xfrm>
                          <a:off x="0" y="0"/>
                          <a:ext cx="6881495" cy="5022850"/>
                        </a:xfrm>
                        <a:prstGeom prst="rect">
                          <a:avLst/>
                        </a:prstGeom>
                        <a:noFill/>
                        <a:ln w="9525" cap="flat" cmpd="sng">
                          <a:solidFill>
                            <a:srgbClr val="000000"/>
                          </a:solidFill>
                          <a:prstDash val="solid"/>
                          <a:miter/>
                          <a:headEnd type="none" w="med" len="med"/>
                          <a:tailEnd type="none" w="med" len="med"/>
                        </a:ln>
                      </wps:spPr>
                      <wps:bodyPr vert="horz" wrap="square" anchor="t" anchorCtr="0" upright="1"/>
                    </wps:wsp>
                  </a:graphicData>
                </a:graphic>
              </wp:anchor>
            </w:drawing>
          </mc:Choice>
          <mc:Fallback>
            <w:pict>
              <v:rect id="矩形 35" o:spid="_x0000_s1026" o:spt="1" style="position:absolute;left:0pt;margin-left:79.1pt;margin-top:0.25pt;height:395.5pt;width:541.85pt;z-index:251664384;mso-width-relative:page;mso-height-relative:page;" filled="f" stroked="t" coordsize="21600,21600" o:gfxdata="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1r7Op1wAAAAkBAAAPAAAA&#10;AAAAAAEAIAAAACIAAABkcnMvZG93bnJldi54bWxQSwECFAAUAAAACACHTuJAiIaXPRYCAAAqBAAA&#10;DgAAAAAAAAABACAAAAAmAQAAZHJzL2Uyb0RvYy54bWxQSwUGAAAAAAYABgBZAQAArgUAAAAA&#10;">
                <v:fill on="f" focussize="0,0"/>
                <v:stroke color="#000000" joinstyle="miter"/>
                <v:imagedata o:title=""/>
                <o:lock v:ext="edit" aspectratio="f"/>
              </v:rect>
            </w:pict>
          </mc:Fallback>
        </mc:AlternateContent>
      </w:r>
      <w:r>
        <w:rPr>
          <w:sz w:val="21"/>
        </w:rPr>
        <w:drawing>
          <wp:inline distT="0" distB="0" distL="114300" distR="114300">
            <wp:extent cx="6875780" cy="5041900"/>
            <wp:effectExtent l="0" t="0" r="7620" b="0"/>
            <wp:docPr id="14" name="图片 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4" descr="5"/>
                    <pic:cNvPicPr>
                      <a:picLocks noChangeAspect="1"/>
                    </pic:cNvPicPr>
                  </pic:nvPicPr>
                  <pic:blipFill>
                    <a:blip r:embed="rId15"/>
                    <a:stretch>
                      <a:fillRect/>
                    </a:stretch>
                  </pic:blipFill>
                  <pic:spPr>
                    <a:xfrm>
                      <a:off x="0" y="0"/>
                      <a:ext cx="6875780" cy="5041900"/>
                    </a:xfrm>
                    <a:prstGeom prst="rect">
                      <a:avLst/>
                    </a:prstGeom>
                    <a:noFill/>
                    <a:ln>
                      <a:noFill/>
                    </a:ln>
                  </pic:spPr>
                </pic:pic>
              </a:graphicData>
            </a:graphic>
          </wp:inline>
        </w:drawing>
      </w:r>
    </w:p>
    <w:p>
      <w:pPr>
        <w:bidi w:val="0"/>
        <w:rPr>
          <w:rFonts w:hint="eastAsia"/>
          <w:lang w:eastAsia="zh-CN"/>
        </w:rPr>
      </w:pPr>
    </w:p>
    <w:p>
      <w:pPr>
        <w:bidi w:val="0"/>
        <w:rPr>
          <w:rFonts w:hint="eastAsia"/>
          <w:lang w:eastAsia="zh-CN"/>
        </w:rPr>
      </w:pPr>
    </w:p>
    <w:p>
      <w:pPr>
        <w:bidi w:val="0"/>
        <w:rPr>
          <w:rFonts w:hint="eastAsia"/>
          <w:lang w:eastAsia="zh-CN"/>
        </w:rPr>
      </w:pPr>
    </w:p>
    <w:p>
      <w:pPr>
        <w:bidi w:val="0"/>
        <w:rPr>
          <w:rFonts w:hint="eastAsia"/>
          <w:lang w:eastAsia="zh-CN"/>
        </w:rPr>
      </w:pPr>
    </w:p>
    <w:p>
      <w:pPr>
        <w:tabs>
          <w:tab w:val="left" w:pos="12618"/>
        </w:tabs>
        <w:bidi w:val="0"/>
        <w:jc w:val="both"/>
        <w:rPr>
          <w:rFonts w:hint="default"/>
          <w:lang w:val="en-US" w:eastAsia="zh-CN"/>
        </w:rPr>
        <w:sectPr>
          <w:pgSz w:w="16838" w:h="11906" w:orient="landscape"/>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p>
    <w:tbl>
      <w:tblPr>
        <w:tblStyle w:val="24"/>
        <w:tblW w:w="499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2"/>
        <w:gridCol w:w="885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3" w:hRule="atLeast"/>
          <w:jc w:val="center"/>
        </w:trPr>
        <w:tc>
          <w:tcPr>
            <w:tcW w:w="422" w:type="dxa"/>
            <w:noWrap w:val="0"/>
            <w:vAlign w:val="center"/>
          </w:tcPr>
          <w:p>
            <w:pPr>
              <w:pStyle w:val="20"/>
              <w:adjustRightInd w:val="0"/>
              <w:snapToGrid w:val="0"/>
              <w:spacing w:before="0" w:beforeAutospacing="0" w:after="0" w:afterAutospacing="0"/>
              <w:jc w:val="center"/>
              <w:rPr>
                <w:rFonts w:ascii="Times New Roman" w:hAnsi="Times New Roman"/>
                <w:sz w:val="21"/>
                <w:szCs w:val="21"/>
              </w:rPr>
            </w:pPr>
            <w:r>
              <w:rPr>
                <w:rFonts w:ascii="Times New Roman" w:hAnsi="Times New Roman"/>
                <w:sz w:val="21"/>
                <w:szCs w:val="21"/>
              </w:rPr>
              <w:t>工艺流程和产排污环节</w:t>
            </w:r>
          </w:p>
        </w:tc>
        <w:tc>
          <w:tcPr>
            <w:tcW w:w="8857" w:type="dxa"/>
            <w:noWrap w:val="0"/>
            <w:vAlign w:val="top"/>
          </w:tcPr>
          <w:p>
            <w:pPr>
              <w:spacing w:line="360" w:lineRule="auto"/>
              <w:ind w:firstLine="438" w:firstLineChars="200"/>
              <w:rPr>
                <w:b/>
                <w:bCs/>
                <w:spacing w:val="4"/>
                <w:szCs w:val="21"/>
              </w:rPr>
            </w:pPr>
            <w:r>
              <w:rPr>
                <w:b/>
                <w:bCs/>
                <w:spacing w:val="4"/>
                <w:szCs w:val="21"/>
              </w:rPr>
              <w:t>1、施工期工艺流程及产污环节</w:t>
            </w:r>
          </w:p>
          <w:p>
            <w:pPr>
              <w:autoSpaceDE w:val="0"/>
              <w:autoSpaceDN w:val="0"/>
              <w:adjustRightInd w:val="0"/>
              <w:snapToGrid w:val="0"/>
              <w:spacing w:line="360" w:lineRule="auto"/>
              <w:ind w:firstLine="420" w:firstLineChars="200"/>
              <w:jc w:val="left"/>
              <w:rPr>
                <w:rFonts w:hint="eastAsia" w:ascii="Times New Roman" w:hAnsi="Times New Roman" w:eastAsia="宋体" w:cs="Times New Roman"/>
                <w:bCs/>
                <w:lang w:val="en-US" w:eastAsia="zh-CN"/>
              </w:rPr>
            </w:pPr>
            <w:r>
              <w:rPr>
                <w:rFonts w:hint="eastAsia" w:ascii="Times New Roman" w:hAnsi="Times New Roman" w:eastAsia="宋体" w:cs="Times New Roman"/>
                <w:bCs/>
                <w:lang w:val="en-US" w:eastAsia="zh-CN"/>
              </w:rPr>
              <w:t>根据现场调查，本项目已全部建设完成，</w:t>
            </w:r>
            <w:r>
              <w:rPr>
                <w:rFonts w:ascii="Times New Roman" w:hAnsi="Times New Roman" w:eastAsia="宋体" w:cs="Times New Roman"/>
                <w:bCs/>
              </w:rPr>
              <w:t>故不再对施工期进行分析评价</w:t>
            </w:r>
            <w:r>
              <w:rPr>
                <w:rFonts w:hint="eastAsia" w:ascii="Times New Roman" w:hAnsi="Times New Roman" w:eastAsia="宋体" w:cs="Times New Roman"/>
                <w:bCs/>
                <w:lang w:val="en-US" w:eastAsia="zh-CN"/>
              </w:rPr>
              <w:t>。</w:t>
            </w:r>
          </w:p>
          <w:p>
            <w:pPr>
              <w:spacing w:line="360" w:lineRule="auto"/>
              <w:ind w:firstLine="438" w:firstLineChars="200"/>
              <w:rPr>
                <w:b/>
                <w:bCs/>
                <w:spacing w:val="4"/>
                <w:szCs w:val="21"/>
              </w:rPr>
            </w:pPr>
            <w:r>
              <w:rPr>
                <w:b/>
                <w:bCs/>
                <w:spacing w:val="4"/>
                <w:szCs w:val="21"/>
              </w:rPr>
              <w:t>2、运营期工艺流程及产污环节</w:t>
            </w:r>
          </w:p>
          <w:p>
            <w:pPr>
              <w:autoSpaceDE w:val="0"/>
              <w:autoSpaceDN w:val="0"/>
              <w:adjustRightInd w:val="0"/>
              <w:snapToGrid w:val="0"/>
              <w:spacing w:line="360" w:lineRule="auto"/>
              <w:ind w:firstLine="420" w:firstLineChars="200"/>
              <w:jc w:val="left"/>
            </w:pPr>
            <w:r>
              <w:t>（1）汽油加油过程工艺流程</w:t>
            </w:r>
          </w:p>
          <w:p>
            <w:pPr>
              <w:autoSpaceDE w:val="0"/>
              <w:autoSpaceDN w:val="0"/>
              <w:adjustRightInd w:val="0"/>
              <w:snapToGrid w:val="0"/>
              <w:spacing w:line="360" w:lineRule="auto"/>
              <w:ind w:firstLine="420" w:firstLineChars="200"/>
              <w:jc w:val="left"/>
              <w:rPr>
                <w:b/>
                <w:sz w:val="18"/>
                <w:szCs w:val="18"/>
              </w:rPr>
            </w:pPr>
            <w:r>
              <w:rPr>
                <w:bCs/>
              </w:rPr>
              <w:t>本项目营运期的工艺较为简单，主要是完成油品卸入（入油罐）和油品输入（出售过程），项目加油站工艺流程及产污环节见图2-</w:t>
            </w:r>
            <w:r>
              <w:rPr>
                <w:rFonts w:hint="eastAsia"/>
                <w:bCs/>
              </w:rPr>
              <w:t>3</w:t>
            </w:r>
            <w:r>
              <w:rPr>
                <w:bCs/>
              </w:rPr>
              <w:t>所示。</w:t>
            </w:r>
          </w:p>
          <w:p>
            <w:pPr>
              <w:adjustRightInd w:val="0"/>
              <w:snapToGrid w:val="0"/>
              <w:jc w:val="center"/>
              <w:rPr>
                <w:bCs/>
              </w:rPr>
            </w:pPr>
            <w:r>
              <w:drawing>
                <wp:inline distT="0" distB="0" distL="114300" distR="114300">
                  <wp:extent cx="5440680" cy="1536065"/>
                  <wp:effectExtent l="0" t="0" r="0" b="0"/>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16"/>
                          <a:stretch>
                            <a:fillRect/>
                          </a:stretch>
                        </pic:blipFill>
                        <pic:spPr>
                          <a:xfrm>
                            <a:off x="0" y="0"/>
                            <a:ext cx="5440680" cy="1536065"/>
                          </a:xfrm>
                          <a:prstGeom prst="rect">
                            <a:avLst/>
                          </a:prstGeom>
                          <a:noFill/>
                          <a:ln>
                            <a:noFill/>
                          </a:ln>
                        </pic:spPr>
                      </pic:pic>
                    </a:graphicData>
                  </a:graphic>
                </wp:inline>
              </w:drawing>
            </w:r>
            <w:r>
              <w:rPr>
                <w:b/>
                <w:szCs w:val="21"/>
              </w:rPr>
              <w:t>图2-</w:t>
            </w:r>
            <w:r>
              <w:rPr>
                <w:rFonts w:hint="eastAsia"/>
                <w:b/>
                <w:szCs w:val="21"/>
              </w:rPr>
              <w:t>3</w:t>
            </w:r>
            <w:r>
              <w:rPr>
                <w:b/>
                <w:szCs w:val="21"/>
              </w:rPr>
              <w:t>汽油加油工艺流程图及产污环节</w:t>
            </w:r>
          </w:p>
          <w:p>
            <w:pPr>
              <w:autoSpaceDE w:val="0"/>
              <w:autoSpaceDN w:val="0"/>
              <w:adjustRightInd w:val="0"/>
              <w:snapToGrid w:val="0"/>
              <w:spacing w:line="360" w:lineRule="auto"/>
              <w:ind w:firstLine="420" w:firstLineChars="200"/>
              <w:jc w:val="left"/>
              <w:rPr>
                <w:szCs w:val="20"/>
              </w:rPr>
            </w:pPr>
            <w:r>
              <w:rPr>
                <w:bCs/>
              </w:rPr>
              <w:t>工艺流程说明：</w:t>
            </w:r>
          </w:p>
          <w:p>
            <w:pPr>
              <w:autoSpaceDE w:val="0"/>
              <w:autoSpaceDN w:val="0"/>
              <w:adjustRightInd w:val="0"/>
              <w:spacing w:line="360" w:lineRule="auto"/>
              <w:ind w:firstLine="420" w:firstLineChars="200"/>
              <w:jc w:val="left"/>
            </w:pPr>
            <w:r>
              <w:rPr>
                <w:rFonts w:hint="eastAsia"/>
                <w:lang w:val="en-US" w:eastAsia="zh-CN"/>
              </w:rPr>
              <w:t>成品油</w:t>
            </w:r>
            <w:r>
              <w:t>由槽车运送至加油站密闭卸油点处，将其与卸油口接头快速连接好，打开储罐的开启阀门，闭合</w:t>
            </w:r>
            <w:r>
              <w:rPr>
                <w:rFonts w:hint="eastAsia"/>
              </w:rPr>
              <w:t>其他</w:t>
            </w:r>
            <w:r>
              <w:t>储罐阀门，利用位差将车用</w:t>
            </w:r>
            <w:r>
              <w:rPr>
                <w:rFonts w:hint="eastAsia"/>
                <w:lang w:val="en-US" w:eastAsia="zh-CN"/>
              </w:rPr>
              <w:t>成品油</w:t>
            </w:r>
            <w:r>
              <w:t>输送至相应的储罐储存（常压）；然后通过带有计量、计价和税控装置的电脑加油机将储罐内的油气抽出，实现为汽车油箱</w:t>
            </w:r>
            <w:r>
              <w:rPr>
                <w:rFonts w:hint="eastAsia"/>
                <w:lang w:val="en-US" w:eastAsia="zh-CN"/>
              </w:rPr>
              <w:t>加油</w:t>
            </w:r>
            <w:r>
              <w:t>的外售作业。</w:t>
            </w:r>
          </w:p>
          <w:p>
            <w:pPr>
              <w:autoSpaceDE w:val="0"/>
              <w:autoSpaceDN w:val="0"/>
              <w:adjustRightInd w:val="0"/>
              <w:spacing w:line="360" w:lineRule="auto"/>
              <w:ind w:firstLine="420" w:firstLineChars="200"/>
              <w:jc w:val="left"/>
            </w:pPr>
            <w:r>
              <w:t>①油罐车卸油：</w:t>
            </w:r>
            <w:r>
              <w:rPr>
                <w:kern w:val="0"/>
              </w:rPr>
              <w:t>该站采用油罐车经连通软管与油罐卸油孔连通卸油的方式卸油。装满</w:t>
            </w:r>
            <w:r>
              <w:rPr>
                <w:rFonts w:hint="eastAsia"/>
                <w:kern w:val="0"/>
                <w:lang w:val="en-US" w:eastAsia="zh-CN"/>
              </w:rPr>
              <w:t>成品油</w:t>
            </w:r>
            <w:r>
              <w:rPr>
                <w:kern w:val="0"/>
              </w:rPr>
              <w:t>的油槽车到达加油站罐区后，在油罐附近停稳熄火，将连通软管与油罐车的卸油口、储罐的进油口利用密闭快速接头连接好，接好静电接地装置，静止15分钟后开始卸油。油品卸完后，拆除连通软管，人工封闭好油罐进口和罐车卸油口，拆除静电接地装置，发动油品罐车缓慢离开罐区。</w:t>
            </w:r>
          </w:p>
          <w:p>
            <w:pPr>
              <w:autoSpaceDE w:val="0"/>
              <w:autoSpaceDN w:val="0"/>
              <w:adjustRightInd w:val="0"/>
              <w:spacing w:line="360" w:lineRule="auto"/>
              <w:ind w:firstLine="420" w:firstLineChars="200"/>
              <w:jc w:val="left"/>
            </w:pPr>
            <w:r>
              <w:t>②储油：成品油在储油罐内静置储存过程中，储油罐内的温度昼夜有规律的变化。白天温度升高，热量使油气膨胀，压力增高，造成油气的挥发；晚间温度降低，罐内气体压力降低，吸入新鲜空气，为平衡蒸汽压，油气从液相中蒸发，制止油液面上的气体达到新的饱和蒸汽压，造成油气的挥发。上述过程昼夜交替进行，产生油气排放。</w:t>
            </w:r>
          </w:p>
          <w:p>
            <w:pPr>
              <w:autoSpaceDE w:val="0"/>
              <w:autoSpaceDN w:val="0"/>
              <w:adjustRightInd w:val="0"/>
              <w:spacing w:line="360" w:lineRule="auto"/>
              <w:ind w:firstLine="420" w:firstLineChars="200"/>
              <w:jc w:val="left"/>
            </w:pPr>
            <w:r>
              <w:t>③加油：在向车用油箱加油时，先通过加油机本身自带的压力泵将埋地罐中的汽油送至加油机计量系统进行计量，然后再通过与加油机连接的加油枪将油品送入车用油箱中，每个加油枪设单独管线吸油。该工序产生的油气在车用油箱的加油口处无组织排放，加油油气回收系统即是针对这部分油气而设计的，其原理是利用一根同轴胶管的连接形成一个回路，可以使机动车加油和油气回收同时进行，并且通过一个导入式的管口形成密闭系统，从而为蒸气平衡提供条件。此系统要求在加油枪和机动车的油罐口之间的接触面具有充分的密闭性。</w:t>
            </w:r>
            <w:r>
              <w:rPr>
                <w:color w:val="auto"/>
              </w:rPr>
              <w:t>加油油气回收系统回收油气效率约为95%。经加油油气回收系统处理后，此工序有少量油气的排放。</w:t>
            </w:r>
            <w:r>
              <w:t>同时加油机工作及车辆进出场地会产生噪声。</w:t>
            </w:r>
          </w:p>
          <w:p>
            <w:pPr>
              <w:pStyle w:val="3"/>
              <w:spacing w:before="0" w:beforeLines="0" w:after="0" w:afterLines="0"/>
              <w:ind w:firstLine="420" w:firstLineChars="200"/>
              <w:jc w:val="left"/>
              <w:rPr>
                <w:sz w:val="21"/>
                <w:szCs w:val="21"/>
              </w:rPr>
            </w:pPr>
            <w:r>
              <w:rPr>
                <w:sz w:val="21"/>
                <w:szCs w:val="21"/>
              </w:rPr>
              <w:t>（2）清理工艺如下：</w:t>
            </w:r>
          </w:p>
          <w:p>
            <w:pPr>
              <w:spacing w:line="360" w:lineRule="auto"/>
              <w:ind w:firstLine="420" w:firstLineChars="200"/>
              <w:jc w:val="left"/>
              <w:rPr>
                <w:szCs w:val="21"/>
              </w:rPr>
            </w:pPr>
            <w:r>
              <w:rPr>
                <w:szCs w:val="21"/>
              </w:rPr>
              <w:t>油罐使用一定时期后，油罐底部会积聚杂质和水分，油罐壁将附着一定的油污垢，必须进行清洗。油罐一般</w:t>
            </w:r>
            <w:r>
              <w:rPr>
                <w:rFonts w:hint="eastAsia"/>
                <w:szCs w:val="21"/>
                <w:lang w:val="en-US" w:eastAsia="zh-CN"/>
              </w:rPr>
              <w:t>十</w:t>
            </w:r>
            <w:r>
              <w:rPr>
                <w:szCs w:val="21"/>
              </w:rPr>
              <w:t>年清理一次，加油站油罐清洗工序委托具有清洗资质单位操作，清洗废油、油泥、油渣等由委托的清洗单位进行回收处理。</w:t>
            </w:r>
          </w:p>
          <w:p>
            <w:pPr>
              <w:spacing w:line="360" w:lineRule="auto"/>
              <w:ind w:firstLine="420" w:firstLineChars="200"/>
              <w:jc w:val="left"/>
              <w:rPr>
                <w:szCs w:val="21"/>
              </w:rPr>
            </w:pPr>
            <w:r>
              <w:rPr>
                <w:szCs w:val="21"/>
              </w:rPr>
              <w:t>（3）</w:t>
            </w:r>
            <w:r>
              <w:rPr>
                <w:rFonts w:hint="eastAsia"/>
                <w:szCs w:val="21"/>
              </w:rPr>
              <w:t>三</w:t>
            </w:r>
            <w:r>
              <w:rPr>
                <w:szCs w:val="21"/>
              </w:rPr>
              <w:t>级油气回收工艺</w:t>
            </w:r>
          </w:p>
          <w:p>
            <w:pPr>
              <w:spacing w:line="360" w:lineRule="auto"/>
              <w:ind w:firstLine="420" w:firstLineChars="200"/>
              <w:jc w:val="left"/>
              <w:rPr>
                <w:kern w:val="0"/>
                <w:szCs w:val="21"/>
              </w:rPr>
            </w:pPr>
            <w:r>
              <w:rPr>
                <w:lang w:val="zh-CN"/>
              </w:rPr>
              <w:t>密闭卸油油气回收系统（</w:t>
            </w:r>
            <w:r>
              <w:rPr>
                <w:kern w:val="0"/>
                <w:szCs w:val="21"/>
              </w:rPr>
              <w:t>一级油气回收系统</w:t>
            </w:r>
            <w:r>
              <w:rPr>
                <w:lang w:val="zh-CN"/>
              </w:rPr>
              <w:t>）</w:t>
            </w:r>
            <w:r>
              <w:rPr>
                <w:kern w:val="0"/>
                <w:szCs w:val="21"/>
              </w:rPr>
              <w:t>：当装满挥发性油料的储油罐逐渐放空时，空余的空间就会被空气和油蒸气的混合气体所填充。油罐车在加油站装卸油料时，随着新的油料进入地下油罐，罐中的油蒸气就会排入空气中。一级油气回收系统主要是针对这一部分的逃逸蒸气而设计的，它是指在油罐车卸油时采用密封式卸油，减少油气向外界</w:t>
            </w:r>
            <w:r>
              <w:rPr>
                <w:rFonts w:hint="eastAsia"/>
                <w:kern w:val="0"/>
                <w:szCs w:val="21"/>
              </w:rPr>
              <w:t>逸散</w:t>
            </w:r>
            <w:r>
              <w:rPr>
                <w:kern w:val="0"/>
                <w:szCs w:val="21"/>
              </w:rPr>
              <w:t>。其基本原理就是用导管将逃逸的油气重新输送回油罐车里，完成油气循环的卸油过程。回收到油罐车的油气，可由油罐车带回油库后再经冷凝、吸附</w:t>
            </w:r>
            <w:r>
              <w:rPr>
                <w:rFonts w:hint="eastAsia"/>
                <w:kern w:val="0"/>
                <w:szCs w:val="21"/>
              </w:rPr>
              <w:t>或其他</w:t>
            </w:r>
            <w:r>
              <w:rPr>
                <w:kern w:val="0"/>
                <w:szCs w:val="21"/>
              </w:rPr>
              <w:t>方式处理。这一系统实施后其回收率可达到9</w:t>
            </w:r>
            <w:r>
              <w:rPr>
                <w:rFonts w:hint="eastAsia"/>
                <w:kern w:val="0"/>
                <w:szCs w:val="21"/>
                <w:lang w:val="en-US" w:eastAsia="zh-CN"/>
              </w:rPr>
              <w:t>5</w:t>
            </w:r>
            <w:r>
              <w:rPr>
                <w:kern w:val="0"/>
                <w:szCs w:val="21"/>
              </w:rPr>
              <w:t>%。</w:t>
            </w:r>
          </w:p>
          <w:p>
            <w:pPr>
              <w:spacing w:line="360" w:lineRule="auto"/>
              <w:ind w:firstLine="420" w:firstLineChars="200"/>
              <w:jc w:val="left"/>
              <w:rPr>
                <w:kern w:val="0"/>
                <w:szCs w:val="21"/>
                <w:highlight w:val="green"/>
              </w:rPr>
            </w:pPr>
            <w:r>
              <w:rPr>
                <w:kern w:val="0"/>
                <w:szCs w:val="21"/>
              </w:rPr>
              <w:t>目前，国内的一级油气回收系统主要采用</w:t>
            </w:r>
            <w:r>
              <w:rPr>
                <w:rFonts w:hint="eastAsia"/>
                <w:kern w:val="0"/>
                <w:szCs w:val="21"/>
              </w:rPr>
              <w:t>“</w:t>
            </w:r>
            <w:r>
              <w:rPr>
                <w:kern w:val="0"/>
                <w:szCs w:val="21"/>
              </w:rPr>
              <w:t>两点式油气回收系统</w:t>
            </w:r>
            <w:r>
              <w:rPr>
                <w:rFonts w:hint="eastAsia"/>
                <w:kern w:val="0"/>
                <w:szCs w:val="21"/>
              </w:rPr>
              <w:t>”</w:t>
            </w:r>
            <w:r>
              <w:rPr>
                <w:kern w:val="0"/>
                <w:szCs w:val="21"/>
              </w:rPr>
              <w:t>，此系统的出口一个用于连接输油管，一个用于连接装有弹性阀的蒸气回收管。当油罐车上油气回收管线正确连接到油罐的回收口时，回收口的弹性阀就会打开，同时排气管关闭，使油罐中的油气能完全由回收管回到油罐车内。</w:t>
            </w:r>
            <w:r>
              <w:rPr>
                <w:rFonts w:hint="eastAsia"/>
                <w:kern w:val="0"/>
                <w:szCs w:val="21"/>
              </w:rPr>
              <w:t>一级</w:t>
            </w:r>
            <w:r>
              <w:rPr>
                <w:kern w:val="0"/>
                <w:szCs w:val="21"/>
              </w:rPr>
              <w:t>油气回收系统见下图。</w:t>
            </w:r>
          </w:p>
          <w:p>
            <w:pPr>
              <w:autoSpaceDE w:val="0"/>
              <w:autoSpaceDN w:val="0"/>
              <w:adjustRightInd w:val="0"/>
              <w:jc w:val="center"/>
              <w:rPr>
                <w:rFonts w:hint="eastAsia"/>
                <w:color w:val="FF0000"/>
              </w:rPr>
            </w:pPr>
            <w:r>
              <w:rPr>
                <w:rFonts w:hint="eastAsia"/>
                <w:color w:val="FF0000"/>
              </w:rPr>
              <w:drawing>
                <wp:inline distT="0" distB="0" distL="114300" distR="114300">
                  <wp:extent cx="5335905" cy="2209165"/>
                  <wp:effectExtent l="0" t="0" r="10795" b="635"/>
                  <wp:docPr id="16" name="图片 9" descr="e8c71d25552f3fa0efa8ba3ecfd8d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descr="e8c71d25552f3fa0efa8ba3ecfd8d2a"/>
                          <pic:cNvPicPr>
                            <a:picLocks noChangeAspect="1"/>
                          </pic:cNvPicPr>
                        </pic:nvPicPr>
                        <pic:blipFill>
                          <a:blip r:embed="rId17"/>
                          <a:stretch>
                            <a:fillRect/>
                          </a:stretch>
                        </pic:blipFill>
                        <pic:spPr>
                          <a:xfrm>
                            <a:off x="0" y="0"/>
                            <a:ext cx="5335905" cy="2209165"/>
                          </a:xfrm>
                          <a:prstGeom prst="rect">
                            <a:avLst/>
                          </a:prstGeom>
                          <a:noFill/>
                          <a:ln>
                            <a:noFill/>
                          </a:ln>
                        </pic:spPr>
                      </pic:pic>
                    </a:graphicData>
                  </a:graphic>
                </wp:inline>
              </w:drawing>
            </w:r>
          </w:p>
          <w:p>
            <w:pPr>
              <w:spacing w:line="360" w:lineRule="auto"/>
              <w:jc w:val="center"/>
              <w:rPr>
                <w:rFonts w:hint="eastAsia"/>
                <w:b/>
                <w:bCs/>
              </w:rPr>
            </w:pPr>
            <w:r>
              <w:rPr>
                <w:b/>
                <w:bCs/>
                <w:lang w:val="zh-CN"/>
              </w:rPr>
              <w:t>图</w:t>
            </w:r>
            <w:r>
              <w:rPr>
                <w:rFonts w:hint="eastAsia"/>
                <w:b/>
                <w:bCs/>
              </w:rPr>
              <w:t>2-4一级</w:t>
            </w:r>
            <w:r>
              <w:rPr>
                <w:b/>
                <w:bCs/>
                <w:lang w:val="zh-CN"/>
              </w:rPr>
              <w:t>油气回收系统</w:t>
            </w:r>
            <w:r>
              <w:rPr>
                <w:rFonts w:hint="eastAsia"/>
                <w:b/>
                <w:bCs/>
              </w:rPr>
              <w:t>示意图</w:t>
            </w:r>
          </w:p>
          <w:p>
            <w:pPr>
              <w:spacing w:line="360" w:lineRule="auto"/>
              <w:ind w:firstLine="420" w:firstLineChars="200"/>
              <w:jc w:val="left"/>
              <w:rPr>
                <w:kern w:val="0"/>
              </w:rPr>
            </w:pPr>
            <w:r>
              <w:rPr>
                <w:lang w:val="zh-CN"/>
              </w:rPr>
              <w:t>加油油气回收系统（</w:t>
            </w:r>
            <w:r>
              <w:rPr>
                <w:rFonts w:hint="eastAsia"/>
                <w:kern w:val="0"/>
              </w:rPr>
              <w:t>二级</w:t>
            </w:r>
            <w:r>
              <w:rPr>
                <w:kern w:val="0"/>
              </w:rPr>
              <w:t>油气回收系统</w:t>
            </w:r>
            <w:r>
              <w:rPr>
                <w:lang w:val="zh-CN"/>
              </w:rPr>
              <w:t>）</w:t>
            </w:r>
            <w:r>
              <w:rPr>
                <w:kern w:val="0"/>
              </w:rPr>
              <w:t>：这种油气回收系统主要是指在汽车加油时，利用油枪上的特殊装置，将原来会由汽车油箱逸散于空气中的油气由加油枪、抽气电动机汇入油罐内。常采用</w:t>
            </w:r>
            <w:r>
              <w:rPr>
                <w:rFonts w:hint="eastAsia"/>
                <w:kern w:val="0"/>
              </w:rPr>
              <w:t>“</w:t>
            </w:r>
            <w:r>
              <w:rPr>
                <w:kern w:val="0"/>
              </w:rPr>
              <w:t>蒸气平衡</w:t>
            </w:r>
            <w:r>
              <w:rPr>
                <w:rFonts w:hint="eastAsia"/>
                <w:kern w:val="0"/>
              </w:rPr>
              <w:t>”</w:t>
            </w:r>
            <w:r>
              <w:rPr>
                <w:kern w:val="0"/>
              </w:rPr>
              <w:t>加油回收系统，即利用油</w:t>
            </w:r>
            <w:r>
              <w:rPr>
                <w:rFonts w:hint="eastAsia"/>
                <w:kern w:val="0"/>
                <w:lang w:val="en-US" w:eastAsia="zh-CN"/>
              </w:rPr>
              <w:t>品</w:t>
            </w:r>
            <w:r>
              <w:rPr>
                <w:kern w:val="0"/>
              </w:rPr>
              <w:t>和油气相互交换比例接近于1:1的原理进行回收。该回收系统主要依靠加油枪油管口的面板与机动车油罐口之间的密封连接来完成。利用一根同轴胶管的连接形成一个回路，可以使机动车加油和油气回收同时进行，并且通过一个导入式的管口形成密闭系统，从而为蒸气平衡提供条件。此系统要求在加油枪和机动车的油罐口之间的接触面具有充分的密闭性。油气回收系统回收综合效率可达95%。</w:t>
            </w:r>
            <w:r>
              <w:rPr>
                <w:rFonts w:hint="eastAsia"/>
                <w:kern w:val="0"/>
              </w:rPr>
              <w:t>二次油气回收分为分散式油气回收和集中式油气回收两种形式，本项目加油站为分散式油气回收。</w:t>
            </w:r>
            <w:r>
              <w:rPr>
                <w:kern w:val="0"/>
              </w:rPr>
              <w:t>二</w:t>
            </w:r>
            <w:r>
              <w:rPr>
                <w:rFonts w:hint="eastAsia"/>
                <w:kern w:val="0"/>
              </w:rPr>
              <w:t>级</w:t>
            </w:r>
            <w:r>
              <w:rPr>
                <w:kern w:val="0"/>
              </w:rPr>
              <w:t>油气回收系统见下图。</w:t>
            </w:r>
          </w:p>
          <w:p>
            <w:pPr>
              <w:jc w:val="center"/>
              <w:rPr>
                <w:rFonts w:hint="eastAsia" w:eastAsia="仿宋_GB2312"/>
                <w:sz w:val="32"/>
                <w:szCs w:val="32"/>
              </w:rPr>
            </w:pPr>
            <w:r>
              <w:rPr>
                <w:rFonts w:hint="eastAsia" w:eastAsia="仿宋_GB2312"/>
                <w:sz w:val="32"/>
                <w:szCs w:val="32"/>
              </w:rPr>
              <w:drawing>
                <wp:inline distT="0" distB="0" distL="114300" distR="114300">
                  <wp:extent cx="5344795" cy="2489835"/>
                  <wp:effectExtent l="0" t="0" r="1905" b="12065"/>
                  <wp:docPr id="17" name="图片 10" descr="17e978a8afd16561d9030aa00204d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descr="17e978a8afd16561d9030aa00204d39"/>
                          <pic:cNvPicPr>
                            <a:picLocks noChangeAspect="1"/>
                          </pic:cNvPicPr>
                        </pic:nvPicPr>
                        <pic:blipFill>
                          <a:blip r:embed="rId18"/>
                          <a:stretch>
                            <a:fillRect/>
                          </a:stretch>
                        </pic:blipFill>
                        <pic:spPr>
                          <a:xfrm>
                            <a:off x="0" y="0"/>
                            <a:ext cx="5344795" cy="2489835"/>
                          </a:xfrm>
                          <a:prstGeom prst="rect">
                            <a:avLst/>
                          </a:prstGeom>
                          <a:noFill/>
                          <a:ln>
                            <a:noFill/>
                          </a:ln>
                        </pic:spPr>
                      </pic:pic>
                    </a:graphicData>
                  </a:graphic>
                </wp:inline>
              </w:drawing>
            </w:r>
          </w:p>
          <w:p>
            <w:pPr>
              <w:spacing w:line="360" w:lineRule="auto"/>
              <w:jc w:val="center"/>
              <w:rPr>
                <w:b/>
                <w:bCs/>
                <w:lang w:val="zh-CN"/>
              </w:rPr>
            </w:pPr>
            <w:r>
              <w:rPr>
                <w:b/>
                <w:bCs/>
                <w:lang w:val="zh-CN"/>
              </w:rPr>
              <w:t>图</w:t>
            </w:r>
            <w:r>
              <w:rPr>
                <w:rFonts w:hint="eastAsia"/>
                <w:b/>
                <w:bCs/>
              </w:rPr>
              <w:t>2-5二级</w:t>
            </w:r>
            <w:r>
              <w:rPr>
                <w:b/>
                <w:bCs/>
                <w:lang w:val="zh-CN"/>
              </w:rPr>
              <w:t>油气回收系统示意图</w:t>
            </w:r>
          </w:p>
          <w:p>
            <w:pPr>
              <w:keepNext w:val="0"/>
              <w:keepLines w:val="0"/>
              <w:widowControl/>
              <w:suppressLineNumbers w:val="0"/>
              <w:spacing w:line="360" w:lineRule="auto"/>
              <w:ind w:firstLine="420" w:firstLineChars="200"/>
              <w:jc w:val="left"/>
              <w:rPr>
                <w:rFonts w:hint="eastAsia"/>
                <w:b/>
                <w:bCs/>
                <w:color w:val="auto"/>
                <w:kern w:val="0"/>
                <w:sz w:val="21"/>
                <w:szCs w:val="21"/>
              </w:rPr>
            </w:pPr>
            <w:r>
              <w:rPr>
                <w:rFonts w:hint="eastAsia" w:ascii="Times New Roman" w:hAnsi="Times New Roman" w:eastAsia="宋体" w:cs="Times New Roman"/>
                <w:kern w:val="0"/>
                <w:sz w:val="21"/>
                <w:szCs w:val="21"/>
                <w:lang w:val="zh-CN" w:eastAsia="zh-CN" w:bidi="ar-SA"/>
              </w:rPr>
              <w:t>油气排放处理装置（三级油气回收系统）：</w:t>
            </w:r>
            <w:r>
              <w:rPr>
                <w:rFonts w:hint="eastAsia" w:ascii="Times New Roman" w:hAnsi="Times New Roman" w:eastAsia="宋体" w:cs="Times New Roman"/>
                <w:kern w:val="0"/>
                <w:sz w:val="21"/>
                <w:szCs w:val="21"/>
                <w:lang w:val="en-US" w:eastAsia="zh-CN" w:bidi="ar-SA"/>
              </w:rPr>
              <w:t>三次油气回收阶段是指在油品储存过程中，对储油罐内呼出的油气进行处理，其工作原理为储油罐内油气压力达到三次油气回收装置启动条件，三次油气回收设备启动，将油罐内的油气转化为液态回到</w:t>
            </w:r>
            <w:r>
              <w:rPr>
                <w:rFonts w:hint="eastAsia" w:ascii="Times New Roman" w:hAnsi="Times New Roman" w:eastAsia="宋体" w:cs="Times New Roman"/>
                <w:color w:val="auto"/>
                <w:kern w:val="0"/>
                <w:sz w:val="21"/>
                <w:szCs w:val="21"/>
                <w:lang w:val="en-US" w:eastAsia="zh-CN" w:bidi="ar-SA"/>
              </w:rPr>
              <w:t>集液罐或储油罐中。根据国家《加油站大气污染物排放标准》（</w:t>
            </w:r>
            <w:r>
              <w:rPr>
                <w:rFonts w:hint="default" w:ascii="Times New Roman" w:hAnsi="Times New Roman" w:eastAsia="宋体" w:cs="Times New Roman"/>
                <w:color w:val="auto"/>
                <w:kern w:val="0"/>
                <w:sz w:val="21"/>
                <w:szCs w:val="21"/>
                <w:lang w:val="en-US" w:eastAsia="zh-CN" w:bidi="ar-SA"/>
              </w:rPr>
              <w:t>GB20952-2020</w:t>
            </w:r>
            <w:r>
              <w:rPr>
                <w:rFonts w:hint="eastAsia" w:ascii="Times New Roman" w:hAnsi="Times New Roman" w:eastAsia="宋体" w:cs="Times New Roman"/>
                <w:color w:val="auto"/>
                <w:kern w:val="0"/>
                <w:sz w:val="21"/>
                <w:szCs w:val="21"/>
                <w:lang w:val="en-US" w:eastAsia="zh-CN" w:bidi="ar-SA"/>
              </w:rPr>
              <w:t>）要求，油气排放处理装置通过采用吸附、吸收、冷凝、膜分离等方法对这部分排放的油气进行回收处理。本项目加油站的三级油气回收阶段采用的方法为膜分离，</w:t>
            </w:r>
            <w:r>
              <w:rPr>
                <w:rFonts w:hint="eastAsia" w:ascii="Times New Roman" w:hAnsi="Times New Roman" w:eastAsia="宋体" w:cs="Times New Roman"/>
                <w:color w:val="auto"/>
                <w:kern w:val="0"/>
                <w:sz w:val="21"/>
                <w:szCs w:val="21"/>
                <w:lang w:val="zh-CN" w:eastAsia="zh-CN" w:bidi="ar-SA"/>
              </w:rPr>
              <w:t>三级油气回收系统回收综合效率可达9</w:t>
            </w:r>
            <w:r>
              <w:rPr>
                <w:rFonts w:hint="eastAsia" w:ascii="Times New Roman" w:hAnsi="Times New Roman" w:eastAsia="宋体" w:cs="Times New Roman"/>
                <w:color w:val="auto"/>
                <w:kern w:val="0"/>
                <w:sz w:val="21"/>
                <w:szCs w:val="21"/>
                <w:lang w:val="en-US" w:eastAsia="zh-CN" w:bidi="ar-SA"/>
              </w:rPr>
              <w:t>3</w:t>
            </w:r>
            <w:r>
              <w:rPr>
                <w:rFonts w:hint="eastAsia" w:ascii="Times New Roman" w:hAnsi="Times New Roman" w:eastAsia="宋体" w:cs="Times New Roman"/>
                <w:color w:val="auto"/>
                <w:kern w:val="0"/>
                <w:sz w:val="21"/>
                <w:szCs w:val="21"/>
                <w:lang w:val="zh-CN" w:eastAsia="zh-CN" w:bidi="ar-SA"/>
              </w:rPr>
              <w:t>%，经三级油气回收系统后的废气经通气管有组织排放。</w:t>
            </w:r>
          </w:p>
          <w:p>
            <w:pPr>
              <w:numPr>
                <w:ilvl w:val="0"/>
                <w:numId w:val="3"/>
              </w:numPr>
              <w:spacing w:line="360" w:lineRule="auto"/>
              <w:rPr>
                <w:rFonts w:hint="eastAsia"/>
                <w:b/>
                <w:bCs/>
                <w:kern w:val="0"/>
                <w:sz w:val="21"/>
                <w:szCs w:val="21"/>
                <w:lang w:val="en-US" w:eastAsia="zh-CN"/>
              </w:rPr>
            </w:pPr>
            <w:r>
              <w:rPr>
                <w:rFonts w:hint="eastAsia"/>
                <w:b/>
                <w:bCs/>
                <w:kern w:val="0"/>
                <w:sz w:val="21"/>
                <w:szCs w:val="21"/>
                <w:lang w:val="en-US" w:eastAsia="zh-CN"/>
              </w:rPr>
              <w:t>产污情况</w:t>
            </w:r>
          </w:p>
          <w:p>
            <w:pPr>
              <w:pStyle w:val="6"/>
              <w:numPr>
                <w:ilvl w:val="0"/>
                <w:numId w:val="0"/>
              </w:numPr>
              <w:spacing w:line="360" w:lineRule="auto"/>
              <w:ind w:firstLine="420" w:firstLineChars="200"/>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本项目运营期污染工序与污染因子见表2-11。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kern w:val="0"/>
                <w:sz w:val="21"/>
                <w:szCs w:val="21"/>
                <w:lang w:val="en-US" w:eastAsia="zh-CN" w:bidi="ar-SA"/>
              </w:rPr>
            </w:pPr>
            <w:r>
              <w:rPr>
                <w:rFonts w:hint="eastAsia" w:ascii="Times New Roman" w:hAnsi="Times New Roman" w:eastAsia="宋体" w:cs="Times New Roman"/>
                <w:b/>
                <w:bCs/>
                <w:kern w:val="0"/>
                <w:sz w:val="21"/>
                <w:szCs w:val="21"/>
                <w:lang w:val="en-US" w:eastAsia="zh-CN" w:bidi="ar-SA"/>
              </w:rPr>
              <w:t>表2-11运营期污染因子分析</w:t>
            </w:r>
          </w:p>
          <w:tbl>
            <w:tblPr>
              <w:tblStyle w:val="25"/>
              <w:tblW w:w="86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1038"/>
              <w:gridCol w:w="3142"/>
              <w:gridCol w:w="44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038"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b/>
                      <w:bCs/>
                      <w:kern w:val="0"/>
                      <w:sz w:val="21"/>
                      <w:szCs w:val="21"/>
                      <w:lang w:val="en-US" w:eastAsia="zh-CN" w:bidi="ar-SA"/>
                    </w:rPr>
                  </w:pPr>
                  <w:r>
                    <w:rPr>
                      <w:rFonts w:hint="eastAsia" w:ascii="Times New Roman" w:hAnsi="Times New Roman" w:eastAsia="宋体" w:cs="Times New Roman"/>
                      <w:b/>
                      <w:bCs/>
                      <w:kern w:val="0"/>
                      <w:sz w:val="21"/>
                      <w:szCs w:val="21"/>
                      <w:lang w:val="en-US" w:eastAsia="zh-CN" w:bidi="ar-SA"/>
                    </w:rPr>
                    <w:t>类别</w:t>
                  </w:r>
                </w:p>
              </w:tc>
              <w:tc>
                <w:tcPr>
                  <w:tcW w:w="3142"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b/>
                      <w:bCs/>
                      <w:kern w:val="0"/>
                      <w:sz w:val="21"/>
                      <w:szCs w:val="21"/>
                      <w:lang w:val="en-US" w:eastAsia="zh-CN" w:bidi="ar-SA"/>
                    </w:rPr>
                  </w:pPr>
                  <w:r>
                    <w:rPr>
                      <w:rFonts w:hint="eastAsia" w:ascii="Times New Roman" w:hAnsi="Times New Roman" w:eastAsia="宋体" w:cs="Times New Roman"/>
                      <w:b/>
                      <w:bCs/>
                      <w:kern w:val="0"/>
                      <w:sz w:val="21"/>
                      <w:szCs w:val="21"/>
                      <w:lang w:val="en-US" w:eastAsia="zh-CN" w:bidi="ar-SA"/>
                    </w:rPr>
                    <w:t>污染源</w:t>
                  </w:r>
                  <w:r>
                    <w:rPr>
                      <w:rFonts w:hint="default" w:ascii="Times New Roman" w:hAnsi="Times New Roman" w:eastAsia="宋体" w:cs="Times New Roman"/>
                      <w:b/>
                      <w:bCs/>
                      <w:kern w:val="0"/>
                      <w:sz w:val="21"/>
                      <w:szCs w:val="21"/>
                      <w:lang w:val="en-US" w:eastAsia="zh-CN" w:bidi="ar-SA"/>
                    </w:rPr>
                    <w:t>/</w:t>
                  </w:r>
                  <w:r>
                    <w:rPr>
                      <w:rFonts w:hint="eastAsia" w:ascii="Times New Roman" w:hAnsi="Times New Roman" w:eastAsia="宋体" w:cs="Times New Roman"/>
                      <w:b/>
                      <w:bCs/>
                      <w:kern w:val="0"/>
                      <w:sz w:val="21"/>
                      <w:szCs w:val="21"/>
                      <w:lang w:val="en-US" w:eastAsia="zh-CN" w:bidi="ar-SA"/>
                    </w:rPr>
                    <w:t>工序</w:t>
                  </w:r>
                </w:p>
              </w:tc>
              <w:tc>
                <w:tcPr>
                  <w:tcW w:w="4461"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主要污染物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038" w:type="dxa"/>
                  <w:vMerge w:val="restart"/>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废气</w:t>
                  </w:r>
                </w:p>
              </w:tc>
              <w:tc>
                <w:tcPr>
                  <w:tcW w:w="3142"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卸油、储存、加油过程</w:t>
                  </w:r>
                </w:p>
              </w:tc>
              <w:tc>
                <w:tcPr>
                  <w:tcW w:w="4461" w:type="dxa"/>
                  <w:noWrap w:val="0"/>
                  <w:vAlign w:val="center"/>
                </w:tcPr>
                <w:p>
                  <w:pPr>
                    <w:keepNext w:val="0"/>
                    <w:keepLines w:val="0"/>
                    <w:widowControl/>
                    <w:suppressLineNumbers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038" w:type="dxa"/>
                  <w:vMerge w:val="continue"/>
                  <w:noWrap w:val="0"/>
                  <w:vAlign w:val="center"/>
                </w:tcPr>
                <w:p>
                  <w:pPr>
                    <w:pStyle w:val="6"/>
                    <w:spacing w:line="240" w:lineRule="auto"/>
                    <w:jc w:val="center"/>
                    <w:rPr>
                      <w:rFonts w:hint="default" w:ascii="Times New Roman" w:hAnsi="Times New Roman" w:eastAsia="宋体" w:cs="Times New Roman"/>
                      <w:kern w:val="0"/>
                      <w:sz w:val="21"/>
                      <w:szCs w:val="21"/>
                      <w:lang w:val="en-US" w:eastAsia="zh-CN" w:bidi="ar-SA"/>
                    </w:rPr>
                  </w:pPr>
                </w:p>
              </w:tc>
              <w:tc>
                <w:tcPr>
                  <w:tcW w:w="3142"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车辆出入</w:t>
                  </w:r>
                </w:p>
              </w:tc>
              <w:tc>
                <w:tcPr>
                  <w:tcW w:w="4461" w:type="dxa"/>
                  <w:noWrap w:val="0"/>
                  <w:vAlign w:val="center"/>
                </w:tcPr>
                <w:p>
                  <w:pPr>
                    <w:keepNext w:val="0"/>
                    <w:keepLines w:val="0"/>
                    <w:widowControl/>
                    <w:suppressLineNumbers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CO、NOx和HC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038" w:type="dxa"/>
                  <w:vMerge w:val="restart"/>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废水</w:t>
                  </w:r>
                </w:p>
              </w:tc>
              <w:tc>
                <w:tcPr>
                  <w:tcW w:w="3142"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加油站内工作人员及顾客生活</w:t>
                  </w:r>
                </w:p>
              </w:tc>
              <w:tc>
                <w:tcPr>
                  <w:tcW w:w="4461" w:type="dxa"/>
                  <w:noWrap w:val="0"/>
                  <w:vAlign w:val="center"/>
                </w:tcPr>
                <w:p>
                  <w:pPr>
                    <w:keepNext w:val="0"/>
                    <w:keepLines w:val="0"/>
                    <w:widowControl/>
                    <w:suppressLineNumbers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COD、BOD</w:t>
                  </w:r>
                  <w:r>
                    <w:rPr>
                      <w:rFonts w:hint="default" w:ascii="Times New Roman" w:hAnsi="Times New Roman" w:eastAsia="宋体" w:cs="Times New Roman"/>
                      <w:color w:val="000000"/>
                      <w:kern w:val="0"/>
                      <w:sz w:val="21"/>
                      <w:szCs w:val="21"/>
                      <w:vertAlign w:val="subscript"/>
                      <w:lang w:val="en-US" w:eastAsia="zh-CN" w:bidi="ar"/>
                    </w:rPr>
                    <w:t>5</w:t>
                  </w:r>
                  <w:r>
                    <w:rPr>
                      <w:rFonts w:hint="default" w:ascii="Times New Roman" w:hAnsi="Times New Roman" w:eastAsia="宋体" w:cs="Times New Roman"/>
                      <w:color w:val="000000"/>
                      <w:kern w:val="0"/>
                      <w:sz w:val="21"/>
                      <w:szCs w:val="21"/>
                      <w:lang w:val="en-US" w:eastAsia="zh-CN" w:bidi="ar"/>
                    </w:rPr>
                    <w:t>、SS、氨氮、总磷、总氮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038" w:type="dxa"/>
                  <w:vMerge w:val="continue"/>
                  <w:noWrap w:val="0"/>
                  <w:vAlign w:val="center"/>
                </w:tcPr>
                <w:p>
                  <w:pPr>
                    <w:pStyle w:val="6"/>
                    <w:spacing w:line="240" w:lineRule="auto"/>
                    <w:jc w:val="center"/>
                    <w:rPr>
                      <w:rFonts w:hint="default" w:ascii="Times New Roman" w:hAnsi="Times New Roman" w:eastAsia="宋体" w:cs="Times New Roman"/>
                      <w:kern w:val="0"/>
                      <w:sz w:val="21"/>
                      <w:szCs w:val="21"/>
                      <w:lang w:val="en-US" w:eastAsia="zh-CN" w:bidi="ar-SA"/>
                    </w:rPr>
                  </w:pPr>
                </w:p>
              </w:tc>
              <w:tc>
                <w:tcPr>
                  <w:tcW w:w="3142" w:type="dxa"/>
                  <w:noWrap w:val="0"/>
                  <w:vAlign w:val="center"/>
                </w:tcPr>
                <w:p>
                  <w:pPr>
                    <w:pStyle w:val="6"/>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洗车废水</w:t>
                  </w:r>
                </w:p>
              </w:tc>
              <w:tc>
                <w:tcPr>
                  <w:tcW w:w="4461" w:type="dxa"/>
                  <w:noWrap w:val="0"/>
                  <w:vAlign w:val="center"/>
                </w:tcPr>
                <w:p>
                  <w:pPr>
                    <w:keepNext w:val="0"/>
                    <w:keepLines w:val="0"/>
                    <w:widowControl/>
                    <w:suppressLineNumbers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COD、BOD</w:t>
                  </w:r>
                  <w:r>
                    <w:rPr>
                      <w:rFonts w:hint="default" w:ascii="Times New Roman" w:hAnsi="Times New Roman" w:eastAsia="宋体" w:cs="Times New Roman"/>
                      <w:color w:val="000000"/>
                      <w:kern w:val="0"/>
                      <w:sz w:val="21"/>
                      <w:szCs w:val="21"/>
                      <w:vertAlign w:val="subscript"/>
                      <w:lang w:val="en-US" w:eastAsia="zh-CN" w:bidi="ar"/>
                    </w:rPr>
                    <w:t>5</w:t>
                  </w:r>
                  <w:r>
                    <w:rPr>
                      <w:rFonts w:hint="default" w:ascii="Times New Roman" w:hAnsi="Times New Roman" w:eastAsia="宋体" w:cs="Times New Roman"/>
                      <w:color w:val="000000"/>
                      <w:kern w:val="0"/>
                      <w:sz w:val="21"/>
                      <w:szCs w:val="21"/>
                      <w:lang w:val="en-US" w:eastAsia="zh-CN" w:bidi="ar"/>
                    </w:rPr>
                    <w:t>、SS、氨氮、总磷、总氮、石油类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038" w:type="dxa"/>
                  <w:vMerge w:val="restart"/>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噪声</w:t>
                  </w:r>
                </w:p>
              </w:tc>
              <w:tc>
                <w:tcPr>
                  <w:tcW w:w="3142"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设备运行噪声</w:t>
                  </w:r>
                </w:p>
              </w:tc>
              <w:tc>
                <w:tcPr>
                  <w:tcW w:w="4461" w:type="dxa"/>
                  <w:vMerge w:val="restart"/>
                  <w:noWrap w:val="0"/>
                  <w:vAlign w:val="center"/>
                </w:tcPr>
                <w:p>
                  <w:pPr>
                    <w:keepNext w:val="0"/>
                    <w:keepLines w:val="0"/>
                    <w:widowControl/>
                    <w:suppressLineNumbers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等效声级Leq(A)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038" w:type="dxa"/>
                  <w:vMerge w:val="continue"/>
                  <w:noWrap w:val="0"/>
                  <w:vAlign w:val="center"/>
                </w:tcPr>
                <w:p>
                  <w:pPr>
                    <w:pStyle w:val="6"/>
                    <w:spacing w:line="240" w:lineRule="auto"/>
                    <w:jc w:val="center"/>
                    <w:rPr>
                      <w:rFonts w:hint="default" w:ascii="Times New Roman" w:hAnsi="Times New Roman" w:eastAsia="宋体" w:cs="Times New Roman"/>
                      <w:kern w:val="0"/>
                      <w:sz w:val="21"/>
                      <w:szCs w:val="21"/>
                      <w:lang w:val="en-US" w:eastAsia="zh-CN" w:bidi="ar-SA"/>
                    </w:rPr>
                  </w:pPr>
                </w:p>
              </w:tc>
              <w:tc>
                <w:tcPr>
                  <w:tcW w:w="3142"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进出车辆噪声</w:t>
                  </w:r>
                </w:p>
              </w:tc>
              <w:tc>
                <w:tcPr>
                  <w:tcW w:w="4461" w:type="dxa"/>
                  <w:vMerge w:val="continue"/>
                  <w:noWrap w:val="0"/>
                  <w:vAlign w:val="center"/>
                </w:tcPr>
                <w:p>
                  <w:pPr>
                    <w:pStyle w:val="6"/>
                    <w:spacing w:line="240" w:lineRule="auto"/>
                    <w:jc w:val="center"/>
                    <w:rPr>
                      <w:rFonts w:hint="default" w:ascii="Times New Roman" w:hAnsi="Times New Roman" w:eastAsia="宋体" w:cs="Times New Roman"/>
                      <w:kern w:val="0"/>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038" w:type="dxa"/>
                  <w:vMerge w:val="restart"/>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固废</w:t>
                  </w:r>
                </w:p>
              </w:tc>
              <w:tc>
                <w:tcPr>
                  <w:tcW w:w="3142"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加油站运营过程</w:t>
                  </w:r>
                </w:p>
              </w:tc>
              <w:tc>
                <w:tcPr>
                  <w:tcW w:w="4461" w:type="dxa"/>
                  <w:noWrap w:val="0"/>
                  <w:vAlign w:val="center"/>
                </w:tcPr>
                <w:p>
                  <w:pPr>
                    <w:keepNext w:val="0"/>
                    <w:keepLines w:val="0"/>
                    <w:widowControl/>
                    <w:suppressLineNumbers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含油棉纱、手套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90" w:hRule="atLeast"/>
              </w:trPr>
              <w:tc>
                <w:tcPr>
                  <w:tcW w:w="1038" w:type="dxa"/>
                  <w:vMerge w:val="continue"/>
                  <w:noWrap w:val="0"/>
                  <w:vAlign w:val="center"/>
                </w:tcPr>
                <w:p>
                  <w:pPr>
                    <w:pStyle w:val="6"/>
                    <w:spacing w:line="240" w:lineRule="auto"/>
                    <w:jc w:val="center"/>
                    <w:rPr>
                      <w:rFonts w:hint="default" w:ascii="Times New Roman" w:hAnsi="Times New Roman" w:eastAsia="宋体" w:cs="Times New Roman"/>
                      <w:kern w:val="0"/>
                      <w:sz w:val="21"/>
                      <w:szCs w:val="21"/>
                      <w:lang w:val="en-US" w:eastAsia="zh-CN" w:bidi="ar-SA"/>
                    </w:rPr>
                  </w:pPr>
                </w:p>
              </w:tc>
              <w:tc>
                <w:tcPr>
                  <w:tcW w:w="3142"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三次油气回收系统</w:t>
                  </w:r>
                </w:p>
              </w:tc>
              <w:tc>
                <w:tcPr>
                  <w:tcW w:w="4461" w:type="dxa"/>
                  <w:noWrap w:val="0"/>
                  <w:vAlign w:val="center"/>
                </w:tcPr>
                <w:p>
                  <w:pPr>
                    <w:keepNext w:val="0"/>
                    <w:keepLines w:val="0"/>
                    <w:widowControl/>
                    <w:suppressLineNumbers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废高分子膜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142" w:hRule="atLeast"/>
              </w:trPr>
              <w:tc>
                <w:tcPr>
                  <w:tcW w:w="1038" w:type="dxa"/>
                  <w:vMerge w:val="continue"/>
                  <w:noWrap w:val="0"/>
                  <w:vAlign w:val="center"/>
                </w:tcPr>
                <w:p>
                  <w:pPr>
                    <w:pStyle w:val="6"/>
                    <w:spacing w:line="240" w:lineRule="auto"/>
                    <w:jc w:val="center"/>
                    <w:rPr>
                      <w:rFonts w:hint="default" w:ascii="Times New Roman" w:hAnsi="Times New Roman" w:eastAsia="宋体" w:cs="Times New Roman"/>
                      <w:kern w:val="0"/>
                      <w:sz w:val="21"/>
                      <w:szCs w:val="21"/>
                      <w:lang w:val="en-US" w:eastAsia="zh-CN" w:bidi="ar-SA"/>
                    </w:rPr>
                  </w:pPr>
                </w:p>
              </w:tc>
              <w:tc>
                <w:tcPr>
                  <w:tcW w:w="3142"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清罐</w:t>
                  </w:r>
                </w:p>
              </w:tc>
              <w:tc>
                <w:tcPr>
                  <w:tcW w:w="4461" w:type="dxa"/>
                  <w:noWrap w:val="0"/>
                  <w:vAlign w:val="center"/>
                </w:tcPr>
                <w:p>
                  <w:pPr>
                    <w:keepNext w:val="0"/>
                    <w:keepLines w:val="0"/>
                    <w:widowControl/>
                    <w:suppressLineNumbers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清罐废渣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140" w:hRule="atLeast"/>
              </w:trPr>
              <w:tc>
                <w:tcPr>
                  <w:tcW w:w="1038" w:type="dxa"/>
                  <w:vMerge w:val="continue"/>
                  <w:noWrap w:val="0"/>
                  <w:vAlign w:val="center"/>
                </w:tcPr>
                <w:p>
                  <w:pPr>
                    <w:pStyle w:val="6"/>
                    <w:spacing w:line="240" w:lineRule="auto"/>
                    <w:jc w:val="center"/>
                    <w:rPr>
                      <w:rFonts w:hint="default" w:ascii="Times New Roman" w:hAnsi="Times New Roman" w:eastAsia="宋体" w:cs="Times New Roman"/>
                      <w:kern w:val="0"/>
                      <w:sz w:val="21"/>
                      <w:szCs w:val="21"/>
                      <w:lang w:val="en-US" w:eastAsia="zh-CN" w:bidi="ar-SA"/>
                    </w:rPr>
                  </w:pPr>
                </w:p>
              </w:tc>
              <w:tc>
                <w:tcPr>
                  <w:tcW w:w="3142" w:type="dxa"/>
                  <w:noWrap w:val="0"/>
                  <w:vAlign w:val="center"/>
                </w:tcPr>
                <w:p>
                  <w:pPr>
                    <w:keepNext w:val="0"/>
                    <w:keepLines w:val="0"/>
                    <w:widowControl/>
                    <w:suppressLineNumbers w:val="0"/>
                    <w:spacing w:line="240" w:lineRule="auto"/>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洗车房洗车</w:t>
                  </w:r>
                </w:p>
              </w:tc>
              <w:tc>
                <w:tcPr>
                  <w:tcW w:w="4461" w:type="dxa"/>
                  <w:noWrap w:val="0"/>
                  <w:vAlign w:val="center"/>
                </w:tcPr>
                <w:p>
                  <w:pPr>
                    <w:keepNext w:val="0"/>
                    <w:keepLines w:val="0"/>
                    <w:widowControl/>
                    <w:suppressLineNumbers w:val="0"/>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kern w:val="0"/>
                      <w:sz w:val="21"/>
                      <w:szCs w:val="21"/>
                      <w:lang w:val="en-US" w:eastAsia="zh-CN" w:bidi="ar-SA"/>
                    </w:rPr>
                    <w:t>污泥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038" w:type="dxa"/>
                  <w:vMerge w:val="continue"/>
                  <w:noWrap w:val="0"/>
                  <w:vAlign w:val="center"/>
                </w:tcPr>
                <w:p>
                  <w:pPr>
                    <w:pStyle w:val="6"/>
                    <w:spacing w:line="240" w:lineRule="auto"/>
                    <w:jc w:val="center"/>
                    <w:rPr>
                      <w:rFonts w:hint="default" w:ascii="Times New Roman" w:hAnsi="Times New Roman" w:eastAsia="宋体" w:cs="Times New Roman"/>
                      <w:kern w:val="0"/>
                      <w:sz w:val="21"/>
                      <w:szCs w:val="21"/>
                      <w:lang w:val="en-US" w:eastAsia="zh-CN" w:bidi="ar-SA"/>
                    </w:rPr>
                  </w:pPr>
                </w:p>
              </w:tc>
              <w:tc>
                <w:tcPr>
                  <w:tcW w:w="3142" w:type="dxa"/>
                  <w:noWrap w:val="0"/>
                  <w:vAlign w:val="center"/>
                </w:tcPr>
                <w:p>
                  <w:pPr>
                    <w:keepNext w:val="0"/>
                    <w:keepLines w:val="0"/>
                    <w:widowControl/>
                    <w:suppressLineNumbers w:val="0"/>
                    <w:spacing w:line="240" w:lineRule="auto"/>
                    <w:jc w:val="center"/>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加油顾客、站内工作人员生活</w:t>
                  </w:r>
                </w:p>
              </w:tc>
              <w:tc>
                <w:tcPr>
                  <w:tcW w:w="4461" w:type="dxa"/>
                  <w:noWrap w:val="0"/>
                  <w:vAlign w:val="center"/>
                </w:tcPr>
                <w:p>
                  <w:pPr>
                    <w:keepNext w:val="0"/>
                    <w:keepLines w:val="0"/>
                    <w:widowControl/>
                    <w:suppressLineNumbers w:val="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000000"/>
                      <w:kern w:val="0"/>
                      <w:sz w:val="21"/>
                      <w:szCs w:val="21"/>
                      <w:lang w:val="en-US" w:eastAsia="zh-CN" w:bidi="ar"/>
                    </w:rPr>
                    <w:t>生活垃圾</w:t>
                  </w:r>
                </w:p>
              </w:tc>
            </w:tr>
          </w:tbl>
          <w:p>
            <w:pPr>
              <w:pStyle w:val="6"/>
              <w:rPr>
                <w:rFonts w:hint="default"/>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91" w:hRule="atLeast"/>
          <w:jc w:val="center"/>
        </w:trPr>
        <w:tc>
          <w:tcPr>
            <w:tcW w:w="422" w:type="dxa"/>
            <w:noWrap w:val="0"/>
            <w:vAlign w:val="center"/>
          </w:tcPr>
          <w:p>
            <w:pPr>
              <w:pStyle w:val="20"/>
              <w:adjustRightInd w:val="0"/>
              <w:snapToGrid w:val="0"/>
              <w:spacing w:before="0" w:beforeAutospacing="0" w:after="0" w:afterAutospacing="0"/>
              <w:jc w:val="both"/>
              <w:rPr>
                <w:rFonts w:ascii="Times New Roman" w:hAnsi="Times New Roman"/>
                <w:sz w:val="21"/>
                <w:szCs w:val="21"/>
              </w:rPr>
            </w:pPr>
            <w:r>
              <w:rPr>
                <w:rFonts w:ascii="Times New Roman" w:hAnsi="Times New Roman"/>
                <w:bCs/>
                <w:kern w:val="2"/>
                <w:sz w:val="21"/>
                <w:szCs w:val="21"/>
              </w:rPr>
              <w:t>与项目有关的原有环境污染问题</w:t>
            </w:r>
          </w:p>
        </w:tc>
        <w:tc>
          <w:tcPr>
            <w:tcW w:w="8857" w:type="dxa"/>
            <w:noWrap w:val="0"/>
            <w:vAlign w:val="center"/>
          </w:tcPr>
          <w:p>
            <w:pPr>
              <w:keepNext w:val="0"/>
              <w:keepLines w:val="0"/>
              <w:widowControl/>
              <w:suppressLineNumbers w:val="0"/>
              <w:spacing w:line="360" w:lineRule="auto"/>
              <w:ind w:firstLine="420" w:firstLineChars="200"/>
              <w:jc w:val="left"/>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现有环保设施：本项目加油站已安装了三次油气回收系统；洗车废水、生活污水均得到合理有效处置；现场已设置限速、禁止鸣笛措施；生活垃圾交由环卫部门处理，危险废物已设置了危废贮存点，暂存后交由陕西新天地固体废物综合处置有限公司处置；储罐区均为双层罐，并设置了监控系统；加油站已编制了安全现状评价，已取得排污许可证、安全事故应急预案备案登记表和西安市油气回收治理工程环境保护验收合格证。</w:t>
            </w:r>
          </w:p>
          <w:p>
            <w:pPr>
              <w:keepNext w:val="0"/>
              <w:keepLines w:val="0"/>
              <w:widowControl/>
              <w:suppressLineNumbers w:val="0"/>
              <w:spacing w:line="360" w:lineRule="auto"/>
              <w:ind w:firstLine="420" w:firstLineChars="200"/>
              <w:jc w:val="left"/>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kern w:val="0"/>
                <w:sz w:val="21"/>
                <w:szCs w:val="21"/>
                <w:lang w:val="en-US" w:eastAsia="zh-CN" w:bidi="ar-SA"/>
              </w:rPr>
              <w:t>根据现场踏勘，本项目加油站已建成，目前正常运行。现场踏勘未发现乱放乱排等违法行为，项目存在的主要环境问题是未取得环境风险应急预案备案表和未进</w:t>
            </w:r>
            <w:r>
              <w:rPr>
                <w:rFonts w:hint="eastAsia" w:ascii="Times New Roman" w:hAnsi="Times New Roman" w:eastAsia="宋体" w:cs="Times New Roman"/>
                <w:color w:val="auto"/>
                <w:kern w:val="0"/>
                <w:sz w:val="21"/>
                <w:szCs w:val="21"/>
                <w:lang w:val="en-US" w:eastAsia="zh-CN" w:bidi="ar-SA"/>
              </w:rPr>
              <w:t>行环境影响评价工作，加油站应积极编制环境风险应急预案和环境影响报告表并取得备案表和批复。加油站</w:t>
            </w:r>
            <w:r>
              <w:rPr>
                <w:rFonts w:hint="default"/>
                <w:color w:val="auto"/>
                <w:sz w:val="21"/>
                <w:szCs w:val="21"/>
                <w:lang w:val="en-US" w:eastAsia="zh-CN"/>
              </w:rPr>
              <w:t>现状见</w:t>
            </w:r>
            <w:r>
              <w:rPr>
                <w:rFonts w:hint="default"/>
                <w:color w:val="auto"/>
                <w:sz w:val="21"/>
                <w:szCs w:val="21"/>
                <w:highlight w:val="none"/>
                <w:lang w:val="en-US" w:eastAsia="zh-CN"/>
              </w:rPr>
              <w:t>图2-</w:t>
            </w:r>
            <w:r>
              <w:rPr>
                <w:rFonts w:hint="eastAsia"/>
                <w:color w:val="auto"/>
                <w:sz w:val="21"/>
                <w:szCs w:val="21"/>
                <w:highlight w:val="none"/>
                <w:lang w:val="en-US" w:eastAsia="zh-CN"/>
              </w:rPr>
              <w:t>6</w:t>
            </w:r>
            <w:r>
              <w:rPr>
                <w:rFonts w:hint="default"/>
                <w:color w:val="auto"/>
                <w:sz w:val="21"/>
                <w:szCs w:val="21"/>
                <w:lang w:val="en-US" w:eastAsia="zh-CN"/>
              </w:rPr>
              <w:t>。</w:t>
            </w:r>
          </w:p>
          <w:tbl>
            <w:tblPr>
              <w:tblStyle w:val="25"/>
              <w:tblW w:w="86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94"/>
              <w:gridCol w:w="42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4" w:type="dxa"/>
                  <w:noWrap w:val="0"/>
                  <w:vAlign w:val="center"/>
                </w:tcPr>
                <w:p>
                  <w:pPr>
                    <w:keepNext w:val="0"/>
                    <w:keepLines w:val="0"/>
                    <w:widowControl/>
                    <w:suppressLineNumbers w:val="0"/>
                    <w:ind w:left="0" w:leftChars="0" w:firstLine="0" w:firstLineChars="0"/>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drawing>
                      <wp:inline distT="0" distB="0" distL="114300" distR="114300">
                        <wp:extent cx="2534920" cy="1904365"/>
                        <wp:effectExtent l="0" t="0" r="5080" b="635"/>
                        <wp:docPr id="18" name="图片 30" descr="568e7b596d4cae21676264075fe26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0" descr="568e7b596d4cae21676264075fe26be"/>
                                <pic:cNvPicPr>
                                  <a:picLocks noChangeAspect="1"/>
                                </pic:cNvPicPr>
                              </pic:nvPicPr>
                              <pic:blipFill>
                                <a:blip r:embed="rId19"/>
                                <a:stretch>
                                  <a:fillRect/>
                                </a:stretch>
                              </pic:blipFill>
                              <pic:spPr>
                                <a:xfrm>
                                  <a:off x="0" y="0"/>
                                  <a:ext cx="2534920" cy="1904365"/>
                                </a:xfrm>
                                <a:prstGeom prst="rect">
                                  <a:avLst/>
                                </a:prstGeom>
                                <a:noFill/>
                                <a:ln>
                                  <a:noFill/>
                                </a:ln>
                              </pic:spPr>
                            </pic:pic>
                          </a:graphicData>
                        </a:graphic>
                      </wp:inline>
                    </w:drawing>
                  </w:r>
                </w:p>
              </w:tc>
              <w:tc>
                <w:tcPr>
                  <w:tcW w:w="4262" w:type="dxa"/>
                  <w:noWrap w:val="0"/>
                  <w:vAlign w:val="center"/>
                </w:tcPr>
                <w:p>
                  <w:pPr>
                    <w:keepNext w:val="0"/>
                    <w:keepLines w:val="0"/>
                    <w:widowControl/>
                    <w:suppressLineNumbers w:val="0"/>
                    <w:ind w:left="0" w:leftChars="0" w:firstLine="0" w:firstLineChars="0"/>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drawing>
                      <wp:inline distT="0" distB="0" distL="114300" distR="114300">
                        <wp:extent cx="2557145" cy="1913890"/>
                        <wp:effectExtent l="0" t="0" r="8255" b="3810"/>
                        <wp:docPr id="19" name="图片 31" descr="158b846faca7ef77d4fbedaf55a5f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1" descr="158b846faca7ef77d4fbedaf55a5f2b"/>
                                <pic:cNvPicPr>
                                  <a:picLocks noChangeAspect="1"/>
                                </pic:cNvPicPr>
                              </pic:nvPicPr>
                              <pic:blipFill>
                                <a:blip r:embed="rId20"/>
                                <a:stretch>
                                  <a:fillRect/>
                                </a:stretch>
                              </pic:blipFill>
                              <pic:spPr>
                                <a:xfrm>
                                  <a:off x="0" y="0"/>
                                  <a:ext cx="2557145" cy="19138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trPr>
              <w:tc>
                <w:tcPr>
                  <w:tcW w:w="4394" w:type="dxa"/>
                  <w:noWrap w:val="0"/>
                  <w:vAlign w:val="center"/>
                </w:tcPr>
                <w:p>
                  <w:pPr>
                    <w:keepNext w:val="0"/>
                    <w:keepLines w:val="0"/>
                    <w:widowControl/>
                    <w:suppressLineNumbers w:val="0"/>
                    <w:ind w:left="0" w:leftChars="0" w:firstLine="0" w:firstLineChars="0"/>
                    <w:jc w:val="center"/>
                    <w:rPr>
                      <w:rFonts w:hint="default" w:ascii="Times New Roman" w:hAnsi="Times New Roman" w:cs="Times New Roman"/>
                      <w:b/>
                      <w:bCs/>
                      <w:color w:val="auto"/>
                      <w:sz w:val="21"/>
                      <w:szCs w:val="21"/>
                      <w:vertAlign w:val="baseline"/>
                      <w:lang w:val="en-US" w:eastAsia="zh-CN"/>
                    </w:rPr>
                  </w:pPr>
                  <w:r>
                    <w:rPr>
                      <w:rFonts w:hint="eastAsia" w:cs="Times New Roman"/>
                      <w:color w:val="auto"/>
                      <w:kern w:val="24"/>
                      <w:sz w:val="21"/>
                      <w:szCs w:val="21"/>
                      <w:lang w:val="en-US" w:eastAsia="zh-CN"/>
                    </w:rPr>
                    <w:t>加油站现状</w:t>
                  </w:r>
                </w:p>
              </w:tc>
              <w:tc>
                <w:tcPr>
                  <w:tcW w:w="4262" w:type="dxa"/>
                  <w:noWrap w:val="0"/>
                  <w:vAlign w:val="center"/>
                </w:tcPr>
                <w:p>
                  <w:pPr>
                    <w:keepNext w:val="0"/>
                    <w:keepLines w:val="0"/>
                    <w:widowControl/>
                    <w:suppressLineNumbers w:val="0"/>
                    <w:ind w:left="0" w:leftChars="0" w:firstLine="0" w:firstLineChars="0"/>
                    <w:jc w:val="center"/>
                    <w:rPr>
                      <w:rFonts w:hint="default" w:ascii="Times New Roman" w:hAnsi="Times New Roman" w:cs="Times New Roman"/>
                      <w:b/>
                      <w:bCs/>
                      <w:color w:val="auto"/>
                      <w:sz w:val="21"/>
                      <w:szCs w:val="21"/>
                      <w:vertAlign w:val="baseline"/>
                      <w:lang w:val="en-US" w:eastAsia="zh-CN"/>
                    </w:rPr>
                  </w:pPr>
                  <w:r>
                    <w:rPr>
                      <w:rFonts w:hint="eastAsia" w:cs="Times New Roman"/>
                      <w:color w:val="auto"/>
                      <w:kern w:val="24"/>
                      <w:sz w:val="21"/>
                      <w:szCs w:val="21"/>
                      <w:lang w:val="en-US" w:eastAsia="zh-CN"/>
                    </w:rPr>
                    <w:t>加油站储罐区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4" w:type="dxa"/>
                  <w:noWrap w:val="0"/>
                  <w:vAlign w:val="center"/>
                </w:tcPr>
                <w:p>
                  <w:pPr>
                    <w:keepNext w:val="0"/>
                    <w:keepLines w:val="0"/>
                    <w:widowControl/>
                    <w:suppressLineNumbers w:val="0"/>
                    <w:ind w:left="0" w:leftChars="0" w:firstLine="0" w:firstLineChars="0"/>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drawing>
                      <wp:inline distT="0" distB="0" distL="114300" distR="114300">
                        <wp:extent cx="2638425" cy="1974850"/>
                        <wp:effectExtent l="0" t="0" r="3175" b="6350"/>
                        <wp:docPr id="20" name="图片 32" descr="27da69fda7336c2f17d49a607913e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2" descr="27da69fda7336c2f17d49a607913eb1"/>
                                <pic:cNvPicPr>
                                  <a:picLocks noChangeAspect="1"/>
                                </pic:cNvPicPr>
                              </pic:nvPicPr>
                              <pic:blipFill>
                                <a:blip r:embed="rId21"/>
                                <a:stretch>
                                  <a:fillRect/>
                                </a:stretch>
                              </pic:blipFill>
                              <pic:spPr>
                                <a:xfrm>
                                  <a:off x="0" y="0"/>
                                  <a:ext cx="2638425" cy="1974850"/>
                                </a:xfrm>
                                <a:prstGeom prst="rect">
                                  <a:avLst/>
                                </a:prstGeom>
                                <a:noFill/>
                                <a:ln>
                                  <a:noFill/>
                                </a:ln>
                              </pic:spPr>
                            </pic:pic>
                          </a:graphicData>
                        </a:graphic>
                      </wp:inline>
                    </w:drawing>
                  </w:r>
                </w:p>
              </w:tc>
              <w:tc>
                <w:tcPr>
                  <w:tcW w:w="4262" w:type="dxa"/>
                  <w:noWrap w:val="0"/>
                  <w:vAlign w:val="center"/>
                </w:tcPr>
                <w:p>
                  <w:pPr>
                    <w:keepNext w:val="0"/>
                    <w:keepLines w:val="0"/>
                    <w:widowControl/>
                    <w:suppressLineNumbers w:val="0"/>
                    <w:ind w:left="0" w:leftChars="0" w:firstLine="0" w:firstLineChars="0"/>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drawing>
                      <wp:inline distT="0" distB="0" distL="114300" distR="114300">
                        <wp:extent cx="2564130" cy="1926590"/>
                        <wp:effectExtent l="0" t="0" r="1270" b="3810"/>
                        <wp:docPr id="21" name="图片 33" descr="648731e13f47dee88e813a2ac6b92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3" descr="648731e13f47dee88e813a2ac6b92b8"/>
                                <pic:cNvPicPr>
                                  <a:picLocks noChangeAspect="1"/>
                                </pic:cNvPicPr>
                              </pic:nvPicPr>
                              <pic:blipFill>
                                <a:blip r:embed="rId22"/>
                                <a:stretch>
                                  <a:fillRect/>
                                </a:stretch>
                              </pic:blipFill>
                              <pic:spPr>
                                <a:xfrm>
                                  <a:off x="0" y="0"/>
                                  <a:ext cx="2564130" cy="19265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4" w:type="dxa"/>
                  <w:noWrap w:val="0"/>
                  <w:vAlign w:val="center"/>
                </w:tcPr>
                <w:p>
                  <w:pPr>
                    <w:pStyle w:val="59"/>
                    <w:bidi w:val="0"/>
                    <w:jc w:val="center"/>
                    <w:rPr>
                      <w:rFonts w:hint="default" w:ascii="Times New Roman" w:hAnsi="Times New Roman" w:cs="Times New Roman"/>
                      <w:b/>
                      <w:bCs/>
                      <w:color w:val="auto"/>
                      <w:sz w:val="21"/>
                      <w:szCs w:val="21"/>
                      <w:vertAlign w:val="baseline"/>
                      <w:lang w:val="en-US" w:eastAsia="zh-CN"/>
                    </w:rPr>
                  </w:pPr>
                  <w:r>
                    <w:rPr>
                      <w:rFonts w:hint="eastAsia" w:cs="Times New Roman"/>
                      <w:color w:val="auto"/>
                      <w:kern w:val="24"/>
                      <w:sz w:val="21"/>
                      <w:szCs w:val="21"/>
                      <w:lang w:val="en-US" w:eastAsia="zh-CN"/>
                    </w:rPr>
                    <w:t>加油站危废贮存点</w:t>
                  </w:r>
                </w:p>
              </w:tc>
              <w:tc>
                <w:tcPr>
                  <w:tcW w:w="4262" w:type="dxa"/>
                  <w:noWrap w:val="0"/>
                  <w:vAlign w:val="center"/>
                </w:tcPr>
                <w:p>
                  <w:pPr>
                    <w:pStyle w:val="59"/>
                    <w:bidi w:val="0"/>
                    <w:jc w:val="center"/>
                    <w:rPr>
                      <w:rFonts w:hint="default" w:ascii="Times New Roman" w:hAnsi="Times New Roman" w:cs="Times New Roman"/>
                      <w:b/>
                      <w:bCs/>
                      <w:color w:val="auto"/>
                      <w:sz w:val="21"/>
                      <w:szCs w:val="21"/>
                      <w:vertAlign w:val="baseline"/>
                      <w:lang w:val="en-US" w:eastAsia="zh-CN"/>
                    </w:rPr>
                  </w:pPr>
                  <w:r>
                    <w:rPr>
                      <w:rFonts w:hint="eastAsia" w:cs="Times New Roman"/>
                      <w:color w:val="auto"/>
                      <w:kern w:val="24"/>
                      <w:sz w:val="21"/>
                      <w:szCs w:val="21"/>
                      <w:lang w:val="en-US" w:eastAsia="zh-CN"/>
                    </w:rPr>
                    <w:t>加油站卫生间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4" w:type="dxa"/>
                  <w:noWrap w:val="0"/>
                  <w:vAlign w:val="center"/>
                </w:tcPr>
                <w:p>
                  <w:pPr>
                    <w:pStyle w:val="59"/>
                    <w:bidi w:val="0"/>
                    <w:jc w:val="center"/>
                    <w:rPr>
                      <w:rFonts w:hint="eastAsia" w:cs="Times New Roman"/>
                      <w:color w:val="auto"/>
                      <w:kern w:val="24"/>
                      <w:sz w:val="21"/>
                      <w:szCs w:val="21"/>
                      <w:lang w:val="en-US" w:eastAsia="zh-CN"/>
                    </w:rPr>
                  </w:pPr>
                  <w:r>
                    <w:rPr>
                      <w:rFonts w:hint="eastAsia" w:cs="Times New Roman"/>
                      <w:color w:val="auto"/>
                      <w:kern w:val="24"/>
                      <w:sz w:val="21"/>
                      <w:szCs w:val="21"/>
                      <w:lang w:val="en-US" w:eastAsia="zh-CN"/>
                    </w:rPr>
                    <w:drawing>
                      <wp:inline distT="0" distB="0" distL="114300" distR="114300">
                        <wp:extent cx="2638425" cy="1974850"/>
                        <wp:effectExtent l="0" t="0" r="3175" b="6350"/>
                        <wp:docPr id="22" name="图片 34" descr="5b5f63989cef35d4fa0712d8de0f7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4" descr="5b5f63989cef35d4fa0712d8de0f72e"/>
                                <pic:cNvPicPr>
                                  <a:picLocks noChangeAspect="1"/>
                                </pic:cNvPicPr>
                              </pic:nvPicPr>
                              <pic:blipFill>
                                <a:blip r:embed="rId23"/>
                                <a:stretch>
                                  <a:fillRect/>
                                </a:stretch>
                              </pic:blipFill>
                              <pic:spPr>
                                <a:xfrm>
                                  <a:off x="0" y="0"/>
                                  <a:ext cx="2638425" cy="1974850"/>
                                </a:xfrm>
                                <a:prstGeom prst="rect">
                                  <a:avLst/>
                                </a:prstGeom>
                                <a:noFill/>
                                <a:ln>
                                  <a:noFill/>
                                </a:ln>
                              </pic:spPr>
                            </pic:pic>
                          </a:graphicData>
                        </a:graphic>
                      </wp:inline>
                    </w:drawing>
                  </w:r>
                </w:p>
              </w:tc>
              <w:tc>
                <w:tcPr>
                  <w:tcW w:w="4262" w:type="dxa"/>
                  <w:noWrap w:val="0"/>
                  <w:vAlign w:val="center"/>
                </w:tcPr>
                <w:p>
                  <w:pPr>
                    <w:pStyle w:val="59"/>
                    <w:bidi w:val="0"/>
                    <w:jc w:val="center"/>
                    <w:rPr>
                      <w:rFonts w:hint="eastAsia" w:cs="Times New Roman"/>
                      <w:color w:val="auto"/>
                      <w:kern w:val="24"/>
                      <w:sz w:val="21"/>
                      <w:szCs w:val="21"/>
                      <w:lang w:val="en-US" w:eastAsia="zh-CN"/>
                    </w:rPr>
                  </w:pPr>
                  <w:r>
                    <w:rPr>
                      <w:rFonts w:hint="eastAsia" w:cs="Times New Roman"/>
                      <w:color w:val="auto"/>
                      <w:kern w:val="24"/>
                      <w:sz w:val="21"/>
                      <w:szCs w:val="21"/>
                      <w:lang w:val="en-US" w:eastAsia="zh-CN"/>
                    </w:rPr>
                    <w:drawing>
                      <wp:inline distT="0" distB="0" distL="114300" distR="114300">
                        <wp:extent cx="2557145" cy="1913890"/>
                        <wp:effectExtent l="0" t="0" r="8255" b="3810"/>
                        <wp:docPr id="23" name="图片 35" descr="1b578423808440fb193e1d20f1db8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5" descr="1b578423808440fb193e1d20f1db84b"/>
                                <pic:cNvPicPr>
                                  <a:picLocks noChangeAspect="1"/>
                                </pic:cNvPicPr>
                              </pic:nvPicPr>
                              <pic:blipFill>
                                <a:blip r:embed="rId24"/>
                                <a:stretch>
                                  <a:fillRect/>
                                </a:stretch>
                              </pic:blipFill>
                              <pic:spPr>
                                <a:xfrm>
                                  <a:off x="0" y="0"/>
                                  <a:ext cx="2557145" cy="19138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4" w:type="dxa"/>
                  <w:noWrap w:val="0"/>
                  <w:vAlign w:val="center"/>
                </w:tcPr>
                <w:p>
                  <w:pPr>
                    <w:pStyle w:val="59"/>
                    <w:bidi w:val="0"/>
                    <w:jc w:val="center"/>
                    <w:rPr>
                      <w:rFonts w:hint="default" w:cs="Times New Roman"/>
                      <w:color w:val="auto"/>
                      <w:kern w:val="24"/>
                      <w:sz w:val="21"/>
                      <w:szCs w:val="21"/>
                      <w:lang w:val="en-US" w:eastAsia="zh-CN"/>
                    </w:rPr>
                  </w:pPr>
                  <w:r>
                    <w:rPr>
                      <w:rFonts w:hint="eastAsia" w:cs="Times New Roman"/>
                      <w:color w:val="auto"/>
                      <w:kern w:val="24"/>
                      <w:sz w:val="21"/>
                      <w:szCs w:val="21"/>
                      <w:lang w:val="en-US" w:eastAsia="zh-CN"/>
                    </w:rPr>
                    <w:t>加油站消防设施</w:t>
                  </w:r>
                </w:p>
              </w:tc>
              <w:tc>
                <w:tcPr>
                  <w:tcW w:w="4262" w:type="dxa"/>
                  <w:noWrap w:val="0"/>
                  <w:vAlign w:val="center"/>
                </w:tcPr>
                <w:p>
                  <w:pPr>
                    <w:pStyle w:val="59"/>
                    <w:bidi w:val="0"/>
                    <w:jc w:val="center"/>
                    <w:rPr>
                      <w:rFonts w:hint="default" w:cs="Times New Roman"/>
                      <w:color w:val="auto"/>
                      <w:kern w:val="24"/>
                      <w:sz w:val="21"/>
                      <w:szCs w:val="21"/>
                      <w:lang w:val="en-US" w:eastAsia="zh-CN"/>
                    </w:rPr>
                  </w:pPr>
                  <w:r>
                    <w:rPr>
                      <w:rFonts w:hint="eastAsia" w:cs="Times New Roman"/>
                      <w:color w:val="auto"/>
                      <w:kern w:val="24"/>
                      <w:sz w:val="21"/>
                      <w:szCs w:val="21"/>
                      <w:lang w:val="en-US" w:eastAsia="zh-CN"/>
                    </w:rPr>
                    <w:t>加油站站房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4" w:type="dxa"/>
                  <w:noWrap w:val="0"/>
                  <w:vAlign w:val="center"/>
                </w:tcPr>
                <w:p>
                  <w:pPr>
                    <w:pStyle w:val="59"/>
                    <w:bidi w:val="0"/>
                    <w:jc w:val="center"/>
                    <w:rPr>
                      <w:rFonts w:hint="eastAsia" w:cs="Times New Roman"/>
                      <w:color w:val="auto"/>
                      <w:kern w:val="24"/>
                      <w:sz w:val="21"/>
                      <w:szCs w:val="21"/>
                      <w:lang w:val="en-US" w:eastAsia="zh-CN"/>
                    </w:rPr>
                  </w:pPr>
                  <w:r>
                    <w:rPr>
                      <w:rFonts w:hint="eastAsia" w:cs="Times New Roman"/>
                      <w:color w:val="auto"/>
                      <w:kern w:val="24"/>
                      <w:sz w:val="21"/>
                      <w:szCs w:val="21"/>
                      <w:lang w:val="en-US" w:eastAsia="zh-CN"/>
                    </w:rPr>
                    <w:drawing>
                      <wp:inline distT="0" distB="0" distL="114300" distR="114300">
                        <wp:extent cx="2638425" cy="1974850"/>
                        <wp:effectExtent l="0" t="0" r="3175" b="6350"/>
                        <wp:docPr id="24" name="图片 36" descr="e3572445e9a86b85705c606df52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6" descr="e3572445e9a86b85705c606df521842"/>
                                <pic:cNvPicPr>
                                  <a:picLocks noChangeAspect="1"/>
                                </pic:cNvPicPr>
                              </pic:nvPicPr>
                              <pic:blipFill>
                                <a:blip r:embed="rId25"/>
                                <a:stretch>
                                  <a:fillRect/>
                                </a:stretch>
                              </pic:blipFill>
                              <pic:spPr>
                                <a:xfrm>
                                  <a:off x="0" y="0"/>
                                  <a:ext cx="2638425" cy="1974850"/>
                                </a:xfrm>
                                <a:prstGeom prst="rect">
                                  <a:avLst/>
                                </a:prstGeom>
                                <a:noFill/>
                                <a:ln>
                                  <a:noFill/>
                                </a:ln>
                              </pic:spPr>
                            </pic:pic>
                          </a:graphicData>
                        </a:graphic>
                      </wp:inline>
                    </w:drawing>
                  </w:r>
                </w:p>
              </w:tc>
              <w:tc>
                <w:tcPr>
                  <w:tcW w:w="4262" w:type="dxa"/>
                  <w:noWrap w:val="0"/>
                  <w:vAlign w:val="center"/>
                </w:tcPr>
                <w:p>
                  <w:pPr>
                    <w:pStyle w:val="59"/>
                    <w:bidi w:val="0"/>
                    <w:jc w:val="center"/>
                    <w:rPr>
                      <w:rFonts w:hint="eastAsia" w:cs="Times New Roman"/>
                      <w:color w:val="auto"/>
                      <w:kern w:val="24"/>
                      <w:sz w:val="21"/>
                      <w:szCs w:val="21"/>
                      <w:lang w:val="en-US" w:eastAsia="zh-CN"/>
                    </w:rPr>
                  </w:pPr>
                  <w:r>
                    <w:rPr>
                      <w:rFonts w:hint="eastAsia" w:cs="Times New Roman"/>
                      <w:color w:val="auto"/>
                      <w:kern w:val="24"/>
                      <w:sz w:val="21"/>
                      <w:szCs w:val="21"/>
                      <w:lang w:val="en-US" w:eastAsia="zh-CN"/>
                    </w:rPr>
                    <w:drawing>
                      <wp:inline distT="0" distB="0" distL="114300" distR="114300">
                        <wp:extent cx="2557145" cy="1913890"/>
                        <wp:effectExtent l="0" t="0" r="8255" b="3810"/>
                        <wp:docPr id="25" name="图片 37" descr="1803f3943d1036f5b815ece39d992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7" descr="1803f3943d1036f5b815ece39d992c7"/>
                                <pic:cNvPicPr>
                                  <a:picLocks noChangeAspect="1"/>
                                </pic:cNvPicPr>
                              </pic:nvPicPr>
                              <pic:blipFill>
                                <a:blip r:embed="rId26"/>
                                <a:stretch>
                                  <a:fillRect/>
                                </a:stretch>
                              </pic:blipFill>
                              <pic:spPr>
                                <a:xfrm>
                                  <a:off x="0" y="0"/>
                                  <a:ext cx="2557145" cy="19138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94" w:type="dxa"/>
                  <w:noWrap w:val="0"/>
                  <w:vAlign w:val="center"/>
                </w:tcPr>
                <w:p>
                  <w:pPr>
                    <w:pStyle w:val="59"/>
                    <w:bidi w:val="0"/>
                    <w:jc w:val="center"/>
                    <w:rPr>
                      <w:rFonts w:hint="default" w:cs="Times New Roman"/>
                      <w:color w:val="auto"/>
                      <w:kern w:val="24"/>
                      <w:sz w:val="21"/>
                      <w:szCs w:val="21"/>
                      <w:lang w:val="en-US" w:eastAsia="zh-CN"/>
                    </w:rPr>
                  </w:pPr>
                  <w:r>
                    <w:rPr>
                      <w:rFonts w:hint="eastAsia" w:cs="Times New Roman"/>
                      <w:color w:val="auto"/>
                      <w:kern w:val="24"/>
                      <w:sz w:val="21"/>
                      <w:szCs w:val="21"/>
                      <w:lang w:val="en-US" w:eastAsia="zh-CN"/>
                    </w:rPr>
                    <w:t>西侧在建五建花苑小区</w:t>
                  </w:r>
                </w:p>
              </w:tc>
              <w:tc>
                <w:tcPr>
                  <w:tcW w:w="4262" w:type="dxa"/>
                  <w:noWrap w:val="0"/>
                  <w:vAlign w:val="center"/>
                </w:tcPr>
                <w:p>
                  <w:pPr>
                    <w:pStyle w:val="59"/>
                    <w:bidi w:val="0"/>
                    <w:jc w:val="center"/>
                    <w:rPr>
                      <w:rFonts w:hint="default" w:cs="Times New Roman"/>
                      <w:color w:val="auto"/>
                      <w:kern w:val="24"/>
                      <w:sz w:val="21"/>
                      <w:szCs w:val="21"/>
                      <w:lang w:val="en-US" w:eastAsia="zh-CN"/>
                    </w:rPr>
                  </w:pPr>
                  <w:r>
                    <w:rPr>
                      <w:rFonts w:hint="eastAsia" w:cs="Times New Roman"/>
                      <w:color w:val="auto"/>
                      <w:kern w:val="24"/>
                      <w:sz w:val="21"/>
                      <w:szCs w:val="21"/>
                      <w:lang w:val="en-US" w:eastAsia="zh-CN"/>
                    </w:rPr>
                    <w:t>加油站洗车台</w:t>
                  </w:r>
                </w:p>
              </w:tc>
            </w:tr>
          </w:tbl>
          <w:p>
            <w:pPr>
              <w:keepNext w:val="0"/>
              <w:keepLines w:val="0"/>
              <w:widowControl/>
              <w:suppressLineNumbers w:val="0"/>
              <w:ind w:left="0" w:leftChars="0" w:firstLine="0" w:firstLineChars="0"/>
              <w:jc w:val="center"/>
              <w:rPr>
                <w:bCs/>
                <w:szCs w:val="21"/>
              </w:rPr>
            </w:pPr>
            <w:r>
              <w:rPr>
                <w:rFonts w:hint="default"/>
                <w:b/>
                <w:bCs/>
                <w:color w:val="auto"/>
                <w:sz w:val="21"/>
                <w:szCs w:val="21"/>
                <w:lang w:val="en-US" w:eastAsia="zh-CN"/>
              </w:rPr>
              <w:t>图2-</w:t>
            </w:r>
            <w:r>
              <w:rPr>
                <w:rFonts w:hint="eastAsia"/>
                <w:b/>
                <w:bCs/>
                <w:color w:val="auto"/>
                <w:sz w:val="21"/>
                <w:szCs w:val="21"/>
                <w:lang w:val="en-US" w:eastAsia="zh-CN"/>
              </w:rPr>
              <w:t>6纺南路加油站</w:t>
            </w:r>
            <w:r>
              <w:rPr>
                <w:rFonts w:hint="default"/>
                <w:b/>
                <w:bCs/>
                <w:color w:val="auto"/>
                <w:sz w:val="21"/>
                <w:szCs w:val="21"/>
                <w:lang w:val="en-US" w:eastAsia="zh-CN"/>
              </w:rPr>
              <w:t>现状</w:t>
            </w:r>
            <w:r>
              <w:rPr>
                <w:rFonts w:hint="eastAsia"/>
                <w:b/>
                <w:bCs/>
                <w:color w:val="auto"/>
                <w:sz w:val="21"/>
                <w:szCs w:val="21"/>
                <w:lang w:val="en-US" w:eastAsia="zh-CN"/>
              </w:rPr>
              <w:t>图</w:t>
            </w:r>
          </w:p>
        </w:tc>
      </w:tr>
    </w:tbl>
    <w:p>
      <w:pPr>
        <w:pStyle w:val="20"/>
        <w:jc w:val="center"/>
        <w:rPr>
          <w:rFonts w:ascii="Times New Roman" w:hAnsi="Times New Roman" w:eastAsia="黑体"/>
          <w:snapToGrid w:val="0"/>
          <w:sz w:val="36"/>
          <w:szCs w:val="36"/>
        </w:rPr>
        <w:sectPr>
          <w:pgSz w:w="11906" w:h="16838"/>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p>
    <w:p>
      <w:pPr>
        <w:pStyle w:val="20"/>
        <w:adjustRightInd w:val="0"/>
        <w:snapToGrid w:val="0"/>
        <w:spacing w:before="0" w:beforeAutospacing="0" w:after="0" w:afterAutospacing="0" w:line="14" w:lineRule="auto"/>
        <w:jc w:val="center"/>
        <w:outlineLvl w:val="0"/>
        <w:rPr>
          <w:rFonts w:ascii="Times New Roman" w:hAnsi="Times New Roman" w:eastAsia="黑体"/>
          <w:snapToGrid w:val="0"/>
          <w:sz w:val="30"/>
          <w:szCs w:val="30"/>
        </w:rPr>
      </w:pPr>
    </w:p>
    <w:p>
      <w:pPr>
        <w:pStyle w:val="2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三、区域环境质量现状、环境保护目标及评价标准</w:t>
      </w: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84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827" w:type="dxa"/>
            <w:noWrap w:val="0"/>
            <w:vAlign w:val="center"/>
          </w:tcPr>
          <w:p>
            <w:pPr>
              <w:adjustRightInd w:val="0"/>
              <w:snapToGrid w:val="0"/>
              <w:jc w:val="center"/>
              <w:rPr>
                <w:kern w:val="0"/>
                <w:szCs w:val="21"/>
              </w:rPr>
            </w:pPr>
            <w:r>
              <w:rPr>
                <w:kern w:val="0"/>
                <w:szCs w:val="21"/>
              </w:rPr>
              <w:t>区域</w:t>
            </w:r>
          </w:p>
          <w:p>
            <w:pPr>
              <w:adjustRightInd w:val="0"/>
              <w:snapToGrid w:val="0"/>
              <w:jc w:val="center"/>
              <w:rPr>
                <w:kern w:val="0"/>
                <w:szCs w:val="21"/>
              </w:rPr>
            </w:pPr>
            <w:r>
              <w:rPr>
                <w:kern w:val="0"/>
                <w:szCs w:val="21"/>
              </w:rPr>
              <w:t>环境</w:t>
            </w:r>
          </w:p>
          <w:p>
            <w:pPr>
              <w:adjustRightInd w:val="0"/>
              <w:snapToGrid w:val="0"/>
              <w:jc w:val="center"/>
              <w:rPr>
                <w:kern w:val="0"/>
                <w:szCs w:val="21"/>
              </w:rPr>
            </w:pPr>
            <w:r>
              <w:rPr>
                <w:kern w:val="0"/>
                <w:szCs w:val="21"/>
              </w:rPr>
              <w:t>质量</w:t>
            </w:r>
          </w:p>
          <w:p>
            <w:pPr>
              <w:adjustRightInd w:val="0"/>
              <w:snapToGrid w:val="0"/>
              <w:jc w:val="center"/>
              <w:rPr>
                <w:kern w:val="0"/>
                <w:szCs w:val="21"/>
              </w:rPr>
            </w:pPr>
            <w:r>
              <w:rPr>
                <w:kern w:val="0"/>
                <w:szCs w:val="21"/>
              </w:rPr>
              <w:t>现状</w:t>
            </w:r>
          </w:p>
        </w:tc>
        <w:tc>
          <w:tcPr>
            <w:tcW w:w="8462" w:type="dxa"/>
            <w:noWrap w:val="0"/>
            <w:vAlign w:val="center"/>
          </w:tcPr>
          <w:p>
            <w:pPr>
              <w:tabs>
                <w:tab w:val="left" w:pos="3555"/>
              </w:tabs>
              <w:spacing w:before="120" w:beforeLines="50" w:line="360" w:lineRule="auto"/>
              <w:ind w:firstLine="422" w:firstLineChars="200"/>
              <w:rPr>
                <w:rStyle w:val="44"/>
                <w:b/>
                <w:szCs w:val="21"/>
              </w:rPr>
            </w:pPr>
            <w:r>
              <w:rPr>
                <w:rStyle w:val="44"/>
                <w:b/>
                <w:szCs w:val="21"/>
              </w:rPr>
              <w:t>1、环境空气质量现状</w:t>
            </w:r>
          </w:p>
          <w:p>
            <w:pPr>
              <w:tabs>
                <w:tab w:val="left" w:pos="8607"/>
              </w:tabs>
              <w:adjustRightInd w:val="0"/>
              <w:snapToGrid w:val="0"/>
              <w:spacing w:line="360" w:lineRule="auto"/>
              <w:ind w:firstLine="420" w:firstLineChars="200"/>
              <w:rPr>
                <w:rFonts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基本</w:t>
            </w:r>
            <w:r>
              <w:rPr>
                <w:rFonts w:hint="eastAsia" w:ascii="Times New Roman" w:hAnsi="Times New Roman" w:eastAsia="宋体" w:cs="Times New Roman"/>
                <w:color w:val="auto"/>
                <w:sz w:val="21"/>
                <w:szCs w:val="21"/>
                <w:lang w:val="en-US" w:eastAsia="zh-CN"/>
              </w:rPr>
              <w:t>污染</w:t>
            </w:r>
            <w:r>
              <w:rPr>
                <w:rFonts w:hint="default" w:ascii="Times New Roman" w:hAnsi="Times New Roman" w:eastAsia="宋体" w:cs="Times New Roman"/>
                <w:color w:val="auto"/>
                <w:sz w:val="21"/>
                <w:szCs w:val="21"/>
                <w:lang w:val="en-US" w:eastAsia="zh-CN"/>
              </w:rPr>
              <w:t>因子</w:t>
            </w:r>
          </w:p>
          <w:p>
            <w:pPr>
              <w:tabs>
                <w:tab w:val="left" w:pos="8607"/>
              </w:tabs>
              <w:adjustRightInd w:val="0"/>
              <w:snapToGrid w:val="0"/>
              <w:spacing w:line="360" w:lineRule="auto"/>
              <w:ind w:firstLine="420" w:firstLineChars="200"/>
              <w:rPr>
                <w:color w:val="auto"/>
                <w:sz w:val="21"/>
                <w:szCs w:val="21"/>
              </w:rPr>
            </w:pPr>
            <w:r>
              <w:rPr>
                <w:color w:val="auto"/>
                <w:sz w:val="21"/>
                <w:szCs w:val="21"/>
              </w:rPr>
              <w:t>本项目位于</w:t>
            </w:r>
            <w:r>
              <w:rPr>
                <w:rFonts w:hint="eastAsia"/>
                <w:color w:val="auto"/>
                <w:sz w:val="21"/>
                <w:szCs w:val="21"/>
              </w:rPr>
              <w:t>陕西省西安市灞桥区</w:t>
            </w:r>
            <w:r>
              <w:rPr>
                <w:color w:val="auto"/>
                <w:sz w:val="21"/>
                <w:szCs w:val="21"/>
              </w:rPr>
              <w:t>，根据陕西省</w:t>
            </w:r>
            <w:r>
              <w:rPr>
                <w:rFonts w:hint="eastAsia"/>
                <w:color w:val="auto"/>
                <w:sz w:val="21"/>
                <w:szCs w:val="21"/>
              </w:rPr>
              <w:t>生态</w:t>
            </w:r>
            <w:r>
              <w:rPr>
                <w:color w:val="auto"/>
                <w:sz w:val="21"/>
                <w:szCs w:val="21"/>
              </w:rPr>
              <w:t>环境厅办公室发布的《202</w:t>
            </w:r>
            <w:r>
              <w:rPr>
                <w:rFonts w:hint="eastAsia"/>
                <w:color w:val="auto"/>
                <w:sz w:val="21"/>
                <w:szCs w:val="21"/>
                <w:lang w:val="en-US" w:eastAsia="zh-CN"/>
              </w:rPr>
              <w:t>2</w:t>
            </w:r>
            <w:r>
              <w:rPr>
                <w:color w:val="auto"/>
                <w:sz w:val="21"/>
                <w:szCs w:val="21"/>
              </w:rPr>
              <w:t>年12月及1~12月全省环境空气质量状况》中</w:t>
            </w:r>
            <w:r>
              <w:rPr>
                <w:rFonts w:hint="eastAsia"/>
                <w:color w:val="auto"/>
                <w:sz w:val="21"/>
                <w:szCs w:val="21"/>
              </w:rPr>
              <w:t>西安市灞桥区</w:t>
            </w:r>
            <w:r>
              <w:rPr>
                <w:color w:val="auto"/>
                <w:sz w:val="21"/>
                <w:szCs w:val="21"/>
              </w:rPr>
              <w:t>环境空气常规六项污染物统计结果，对区域环境空气质量现状进行分析。</w:t>
            </w:r>
          </w:p>
          <w:p>
            <w:pPr>
              <w:jc w:val="center"/>
              <w:rPr>
                <w:rFonts w:hint="eastAsia" w:ascii="Times New Roman" w:hAnsi="Times New Roman" w:eastAsia="宋体" w:cs="Times New Roman"/>
                <w:b/>
                <w:bCs/>
                <w:kern w:val="0"/>
                <w:szCs w:val="21"/>
              </w:rPr>
            </w:pPr>
            <w:r>
              <w:rPr>
                <w:rFonts w:hint="eastAsia" w:ascii="Times New Roman" w:hAnsi="Times New Roman" w:eastAsia="宋体" w:cs="Times New Roman"/>
                <w:b/>
                <w:bCs/>
                <w:kern w:val="0"/>
                <w:szCs w:val="21"/>
              </w:rPr>
              <w:t>表3</w:t>
            </w:r>
            <w:r>
              <w:rPr>
                <w:rFonts w:hint="eastAsia" w:ascii="Times New Roman" w:hAnsi="Times New Roman" w:eastAsia="宋体" w:cs="Times New Roman"/>
                <w:b/>
                <w:bCs/>
                <w:kern w:val="0"/>
                <w:szCs w:val="21"/>
                <w:lang w:val="en-US" w:eastAsia="zh-CN"/>
              </w:rPr>
              <w:t>-</w:t>
            </w:r>
            <w:r>
              <w:rPr>
                <w:rFonts w:hint="eastAsia" w:ascii="Times New Roman" w:hAnsi="Times New Roman" w:eastAsia="宋体" w:cs="Times New Roman"/>
                <w:b/>
                <w:bCs/>
                <w:kern w:val="0"/>
                <w:szCs w:val="21"/>
              </w:rPr>
              <w:t>1</w:t>
            </w:r>
            <w:r>
              <w:rPr>
                <w:rFonts w:hint="eastAsia" w:ascii="Times New Roman" w:hAnsi="Times New Roman" w:eastAsia="宋体" w:cs="Times New Roman"/>
                <w:b/>
                <w:bCs/>
                <w:kern w:val="0"/>
                <w:szCs w:val="21"/>
                <w:lang w:val="en-US" w:eastAsia="zh-CN"/>
              </w:rPr>
              <w:t xml:space="preserve">  </w:t>
            </w:r>
            <w:r>
              <w:rPr>
                <w:rFonts w:hint="eastAsia" w:ascii="Times New Roman" w:hAnsi="Times New Roman" w:eastAsia="宋体" w:cs="Times New Roman"/>
                <w:b/>
                <w:bCs/>
                <w:kern w:val="0"/>
                <w:szCs w:val="21"/>
              </w:rPr>
              <w:t>202</w:t>
            </w:r>
            <w:r>
              <w:rPr>
                <w:rFonts w:hint="eastAsia" w:ascii="Times New Roman" w:hAnsi="Times New Roman" w:eastAsia="宋体" w:cs="Times New Roman"/>
                <w:b/>
                <w:bCs/>
                <w:kern w:val="0"/>
                <w:szCs w:val="21"/>
                <w:lang w:val="en-US" w:eastAsia="zh-CN"/>
              </w:rPr>
              <w:t>2</w:t>
            </w:r>
            <w:r>
              <w:rPr>
                <w:rFonts w:hint="eastAsia" w:ascii="Times New Roman" w:hAnsi="Times New Roman" w:eastAsia="宋体" w:cs="Times New Roman"/>
                <w:b/>
                <w:bCs/>
                <w:kern w:val="0"/>
                <w:szCs w:val="21"/>
              </w:rPr>
              <w:t>年1~12月灞桥区环境空气质量状况统计表</w:t>
            </w:r>
          </w:p>
          <w:tbl>
            <w:tblPr>
              <w:tblStyle w:val="24"/>
              <w:tblW w:w="8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4"/>
              <w:gridCol w:w="1915"/>
              <w:gridCol w:w="903"/>
              <w:gridCol w:w="1162"/>
              <w:gridCol w:w="903"/>
              <w:gridCol w:w="1010"/>
              <w:gridCol w:w="1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8" w:type="pct"/>
                  <w:noWrap w:val="0"/>
                  <w:vAlign w:val="center"/>
                </w:tcPr>
                <w:p>
                  <w:pPr>
                    <w:adjustRightInd w:val="0"/>
                    <w:snapToGrid w:val="0"/>
                    <w:spacing w:line="240" w:lineRule="auto"/>
                    <w:jc w:val="center"/>
                    <w:rPr>
                      <w:b/>
                      <w:bCs/>
                      <w:color w:val="auto"/>
                      <w:sz w:val="21"/>
                      <w:szCs w:val="21"/>
                    </w:rPr>
                  </w:pPr>
                  <w:r>
                    <w:rPr>
                      <w:b/>
                      <w:bCs/>
                      <w:color w:val="auto"/>
                      <w:sz w:val="21"/>
                      <w:szCs w:val="21"/>
                    </w:rPr>
                    <w:t>污染物</w:t>
                  </w:r>
                </w:p>
              </w:tc>
              <w:tc>
                <w:tcPr>
                  <w:tcW w:w="1184" w:type="pct"/>
                  <w:noWrap w:val="0"/>
                  <w:vAlign w:val="center"/>
                </w:tcPr>
                <w:p>
                  <w:pPr>
                    <w:adjustRightInd w:val="0"/>
                    <w:snapToGrid w:val="0"/>
                    <w:spacing w:line="240" w:lineRule="auto"/>
                    <w:jc w:val="center"/>
                    <w:rPr>
                      <w:b/>
                      <w:bCs/>
                      <w:color w:val="auto"/>
                      <w:sz w:val="21"/>
                      <w:szCs w:val="21"/>
                    </w:rPr>
                  </w:pPr>
                  <w:r>
                    <w:rPr>
                      <w:b/>
                      <w:bCs/>
                      <w:color w:val="auto"/>
                      <w:sz w:val="21"/>
                      <w:szCs w:val="21"/>
                    </w:rPr>
                    <w:t>评价指标</w:t>
                  </w:r>
                </w:p>
              </w:tc>
              <w:tc>
                <w:tcPr>
                  <w:tcW w:w="558" w:type="pct"/>
                  <w:noWrap w:val="0"/>
                  <w:vAlign w:val="center"/>
                </w:tcPr>
                <w:p>
                  <w:pPr>
                    <w:adjustRightInd w:val="0"/>
                    <w:snapToGrid w:val="0"/>
                    <w:spacing w:line="240" w:lineRule="auto"/>
                    <w:jc w:val="center"/>
                    <w:rPr>
                      <w:b/>
                      <w:bCs/>
                      <w:color w:val="auto"/>
                      <w:sz w:val="21"/>
                      <w:szCs w:val="21"/>
                    </w:rPr>
                  </w:pPr>
                  <w:r>
                    <w:rPr>
                      <w:b/>
                      <w:bCs/>
                      <w:color w:val="auto"/>
                      <w:sz w:val="21"/>
                      <w:szCs w:val="21"/>
                    </w:rPr>
                    <w:t>单位</w:t>
                  </w:r>
                </w:p>
              </w:tc>
              <w:tc>
                <w:tcPr>
                  <w:tcW w:w="718" w:type="pct"/>
                  <w:noWrap w:val="0"/>
                  <w:vAlign w:val="center"/>
                </w:tcPr>
                <w:p>
                  <w:pPr>
                    <w:adjustRightInd w:val="0"/>
                    <w:snapToGrid w:val="0"/>
                    <w:spacing w:line="240" w:lineRule="auto"/>
                    <w:jc w:val="center"/>
                    <w:rPr>
                      <w:b/>
                      <w:bCs/>
                      <w:color w:val="auto"/>
                      <w:sz w:val="21"/>
                      <w:szCs w:val="21"/>
                    </w:rPr>
                  </w:pPr>
                  <w:r>
                    <w:rPr>
                      <w:b/>
                      <w:bCs/>
                      <w:color w:val="auto"/>
                      <w:sz w:val="21"/>
                      <w:szCs w:val="21"/>
                    </w:rPr>
                    <w:t>现状浓度</w:t>
                  </w:r>
                </w:p>
              </w:tc>
              <w:tc>
                <w:tcPr>
                  <w:tcW w:w="558" w:type="pct"/>
                  <w:noWrap w:val="0"/>
                  <w:vAlign w:val="center"/>
                </w:tcPr>
                <w:p>
                  <w:pPr>
                    <w:adjustRightInd w:val="0"/>
                    <w:snapToGrid w:val="0"/>
                    <w:spacing w:line="240" w:lineRule="auto"/>
                    <w:jc w:val="center"/>
                    <w:rPr>
                      <w:b/>
                      <w:bCs/>
                      <w:color w:val="auto"/>
                      <w:sz w:val="21"/>
                      <w:szCs w:val="21"/>
                    </w:rPr>
                  </w:pPr>
                  <w:r>
                    <w:rPr>
                      <w:b/>
                      <w:bCs/>
                      <w:color w:val="auto"/>
                      <w:sz w:val="21"/>
                      <w:szCs w:val="21"/>
                    </w:rPr>
                    <w:t>标准值</w:t>
                  </w:r>
                </w:p>
              </w:tc>
              <w:tc>
                <w:tcPr>
                  <w:tcW w:w="624" w:type="pct"/>
                  <w:noWrap w:val="0"/>
                  <w:vAlign w:val="center"/>
                </w:tcPr>
                <w:p>
                  <w:pPr>
                    <w:adjustRightInd w:val="0"/>
                    <w:snapToGrid w:val="0"/>
                    <w:spacing w:line="240" w:lineRule="auto"/>
                    <w:jc w:val="center"/>
                    <w:rPr>
                      <w:b/>
                      <w:bCs/>
                      <w:color w:val="auto"/>
                      <w:sz w:val="21"/>
                      <w:szCs w:val="21"/>
                    </w:rPr>
                  </w:pPr>
                  <w:r>
                    <w:rPr>
                      <w:b/>
                      <w:bCs/>
                      <w:color w:val="auto"/>
                      <w:sz w:val="21"/>
                      <w:szCs w:val="21"/>
                    </w:rPr>
                    <w:t>占标率</w:t>
                  </w:r>
                </w:p>
              </w:tc>
              <w:tc>
                <w:tcPr>
                  <w:tcW w:w="701" w:type="pct"/>
                  <w:noWrap w:val="0"/>
                  <w:vAlign w:val="center"/>
                </w:tcPr>
                <w:p>
                  <w:pPr>
                    <w:adjustRightInd w:val="0"/>
                    <w:snapToGrid w:val="0"/>
                    <w:spacing w:line="240" w:lineRule="auto"/>
                    <w:jc w:val="center"/>
                    <w:rPr>
                      <w:b/>
                      <w:bCs/>
                      <w:color w:val="auto"/>
                      <w:sz w:val="21"/>
                      <w:szCs w:val="21"/>
                    </w:rPr>
                  </w:pPr>
                  <w:r>
                    <w:rPr>
                      <w:b/>
                      <w:bCs/>
                      <w:color w:val="auto"/>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658" w:type="pct"/>
                  <w:noWrap w:val="0"/>
                  <w:vAlign w:val="center"/>
                </w:tcPr>
                <w:p>
                  <w:pPr>
                    <w:widowControl/>
                    <w:adjustRightInd w:val="0"/>
                    <w:snapToGrid w:val="0"/>
                    <w:spacing w:line="240" w:lineRule="auto"/>
                    <w:jc w:val="center"/>
                    <w:textAlignment w:val="center"/>
                    <w:rPr>
                      <w:color w:val="auto"/>
                      <w:sz w:val="21"/>
                      <w:szCs w:val="21"/>
                    </w:rPr>
                  </w:pPr>
                  <w:r>
                    <w:rPr>
                      <w:color w:val="auto"/>
                      <w:sz w:val="21"/>
                      <w:szCs w:val="21"/>
                    </w:rPr>
                    <w:t>PM</w:t>
                  </w:r>
                  <w:r>
                    <w:rPr>
                      <w:color w:val="auto"/>
                      <w:sz w:val="21"/>
                      <w:szCs w:val="21"/>
                      <w:vertAlign w:val="subscript"/>
                    </w:rPr>
                    <w:t>10</w:t>
                  </w:r>
                </w:p>
              </w:tc>
              <w:tc>
                <w:tcPr>
                  <w:tcW w:w="1184" w:type="pct"/>
                  <w:noWrap w:val="0"/>
                  <w:vAlign w:val="center"/>
                </w:tcPr>
                <w:p>
                  <w:pPr>
                    <w:adjustRightInd w:val="0"/>
                    <w:snapToGrid w:val="0"/>
                    <w:spacing w:line="240" w:lineRule="auto"/>
                    <w:jc w:val="center"/>
                    <w:rPr>
                      <w:color w:val="auto"/>
                      <w:sz w:val="21"/>
                      <w:szCs w:val="21"/>
                    </w:rPr>
                  </w:pPr>
                  <w:r>
                    <w:rPr>
                      <w:color w:val="auto"/>
                      <w:sz w:val="21"/>
                      <w:szCs w:val="21"/>
                    </w:rPr>
                    <w:t>年平均质量浓度</w:t>
                  </w:r>
                </w:p>
              </w:tc>
              <w:tc>
                <w:tcPr>
                  <w:tcW w:w="558" w:type="pct"/>
                  <w:noWrap w:val="0"/>
                  <w:vAlign w:val="center"/>
                </w:tcPr>
                <w:p>
                  <w:pPr>
                    <w:adjustRightInd w:val="0"/>
                    <w:snapToGrid w:val="0"/>
                    <w:spacing w:line="240" w:lineRule="auto"/>
                    <w:jc w:val="center"/>
                    <w:rPr>
                      <w:color w:val="auto"/>
                      <w:sz w:val="21"/>
                      <w:szCs w:val="21"/>
                    </w:rPr>
                  </w:pPr>
                  <w:r>
                    <w:rPr>
                      <w:color w:val="auto"/>
                      <w:sz w:val="21"/>
                      <w:szCs w:val="21"/>
                    </w:rPr>
                    <w:t>μg/m</w:t>
                  </w:r>
                  <w:r>
                    <w:rPr>
                      <w:color w:val="auto"/>
                      <w:sz w:val="21"/>
                      <w:szCs w:val="21"/>
                      <w:vertAlign w:val="superscript"/>
                    </w:rPr>
                    <w:t>3</w:t>
                  </w:r>
                </w:p>
              </w:tc>
              <w:tc>
                <w:tcPr>
                  <w:tcW w:w="718" w:type="pct"/>
                  <w:noWrap w:val="0"/>
                  <w:vAlign w:val="center"/>
                </w:tcPr>
                <w:p>
                  <w:pPr>
                    <w:adjustRightInd w:val="0"/>
                    <w:snapToGrid w:val="0"/>
                    <w:spacing w:line="240" w:lineRule="auto"/>
                    <w:jc w:val="center"/>
                    <w:rPr>
                      <w:rFonts w:hint="eastAsia" w:eastAsia="宋体"/>
                      <w:color w:val="auto"/>
                      <w:sz w:val="21"/>
                      <w:szCs w:val="21"/>
                      <w:lang w:eastAsia="zh-CN"/>
                    </w:rPr>
                  </w:pPr>
                  <w:r>
                    <w:rPr>
                      <w:rFonts w:hint="eastAsia"/>
                      <w:color w:val="auto"/>
                      <w:sz w:val="21"/>
                      <w:szCs w:val="21"/>
                    </w:rPr>
                    <w:t>7</w:t>
                  </w:r>
                  <w:r>
                    <w:rPr>
                      <w:rFonts w:hint="eastAsia"/>
                      <w:color w:val="auto"/>
                      <w:sz w:val="21"/>
                      <w:szCs w:val="21"/>
                      <w:lang w:val="en-US" w:eastAsia="zh-CN"/>
                    </w:rPr>
                    <w:t>5</w:t>
                  </w:r>
                </w:p>
              </w:tc>
              <w:tc>
                <w:tcPr>
                  <w:tcW w:w="558" w:type="pct"/>
                  <w:noWrap w:val="0"/>
                  <w:vAlign w:val="center"/>
                </w:tcPr>
                <w:p>
                  <w:pPr>
                    <w:widowControl/>
                    <w:spacing w:line="240" w:lineRule="auto"/>
                    <w:jc w:val="center"/>
                    <w:rPr>
                      <w:color w:val="auto"/>
                      <w:sz w:val="21"/>
                      <w:szCs w:val="21"/>
                    </w:rPr>
                  </w:pPr>
                  <w:r>
                    <w:rPr>
                      <w:color w:val="auto"/>
                      <w:sz w:val="21"/>
                      <w:szCs w:val="21"/>
                    </w:rPr>
                    <w:t>70</w:t>
                  </w:r>
                </w:p>
              </w:tc>
              <w:tc>
                <w:tcPr>
                  <w:tcW w:w="624" w:type="pct"/>
                  <w:noWrap w:val="0"/>
                  <w:vAlign w:val="center"/>
                </w:tcPr>
                <w:p>
                  <w:pPr>
                    <w:widowControl/>
                    <w:spacing w:line="240" w:lineRule="auto"/>
                    <w:jc w:val="center"/>
                    <w:rPr>
                      <w:color w:val="auto"/>
                      <w:sz w:val="21"/>
                      <w:szCs w:val="21"/>
                    </w:rPr>
                  </w:pPr>
                  <w:r>
                    <w:rPr>
                      <w:rFonts w:hint="eastAsia"/>
                      <w:color w:val="auto"/>
                      <w:sz w:val="21"/>
                      <w:szCs w:val="21"/>
                      <w:lang w:val="en-US" w:eastAsia="zh-CN"/>
                    </w:rPr>
                    <w:t>107.14</w:t>
                  </w:r>
                  <w:r>
                    <w:rPr>
                      <w:color w:val="auto"/>
                      <w:sz w:val="21"/>
                      <w:szCs w:val="21"/>
                    </w:rPr>
                    <w:t>%</w:t>
                  </w:r>
                </w:p>
              </w:tc>
              <w:tc>
                <w:tcPr>
                  <w:tcW w:w="701" w:type="pct"/>
                  <w:noWrap w:val="0"/>
                  <w:vAlign w:val="center"/>
                </w:tcPr>
                <w:p>
                  <w:pPr>
                    <w:widowControl/>
                    <w:spacing w:line="240" w:lineRule="auto"/>
                    <w:jc w:val="center"/>
                    <w:rPr>
                      <w:color w:val="auto"/>
                      <w:sz w:val="21"/>
                      <w:szCs w:val="21"/>
                    </w:rPr>
                  </w:pPr>
                  <w:r>
                    <w:rPr>
                      <w:color w:val="auto"/>
                      <w:sz w:val="21"/>
                      <w:szCs w:val="21"/>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658" w:type="pct"/>
                  <w:noWrap w:val="0"/>
                  <w:vAlign w:val="center"/>
                </w:tcPr>
                <w:p>
                  <w:pPr>
                    <w:adjustRightInd w:val="0"/>
                    <w:snapToGrid w:val="0"/>
                    <w:spacing w:line="240" w:lineRule="auto"/>
                    <w:jc w:val="center"/>
                    <w:rPr>
                      <w:color w:val="auto"/>
                      <w:sz w:val="21"/>
                      <w:szCs w:val="21"/>
                    </w:rPr>
                  </w:pPr>
                  <w:r>
                    <w:rPr>
                      <w:color w:val="auto"/>
                      <w:sz w:val="21"/>
                      <w:szCs w:val="21"/>
                    </w:rPr>
                    <w:t>PM</w:t>
                  </w:r>
                  <w:r>
                    <w:rPr>
                      <w:color w:val="auto"/>
                      <w:sz w:val="21"/>
                      <w:szCs w:val="21"/>
                      <w:vertAlign w:val="subscript"/>
                    </w:rPr>
                    <w:t>2.5</w:t>
                  </w:r>
                </w:p>
              </w:tc>
              <w:tc>
                <w:tcPr>
                  <w:tcW w:w="1184" w:type="pct"/>
                  <w:noWrap w:val="0"/>
                  <w:vAlign w:val="center"/>
                </w:tcPr>
                <w:p>
                  <w:pPr>
                    <w:adjustRightInd w:val="0"/>
                    <w:snapToGrid w:val="0"/>
                    <w:spacing w:line="240" w:lineRule="auto"/>
                    <w:jc w:val="center"/>
                    <w:rPr>
                      <w:color w:val="auto"/>
                      <w:sz w:val="21"/>
                      <w:szCs w:val="21"/>
                    </w:rPr>
                  </w:pPr>
                  <w:r>
                    <w:rPr>
                      <w:color w:val="auto"/>
                      <w:sz w:val="21"/>
                      <w:szCs w:val="21"/>
                    </w:rPr>
                    <w:t>年平均质量浓度</w:t>
                  </w:r>
                </w:p>
              </w:tc>
              <w:tc>
                <w:tcPr>
                  <w:tcW w:w="558" w:type="pct"/>
                  <w:noWrap w:val="0"/>
                  <w:vAlign w:val="center"/>
                </w:tcPr>
                <w:p>
                  <w:pPr>
                    <w:adjustRightInd w:val="0"/>
                    <w:snapToGrid w:val="0"/>
                    <w:spacing w:line="240" w:lineRule="auto"/>
                    <w:jc w:val="center"/>
                    <w:rPr>
                      <w:color w:val="auto"/>
                      <w:sz w:val="21"/>
                      <w:szCs w:val="21"/>
                    </w:rPr>
                  </w:pPr>
                  <w:r>
                    <w:rPr>
                      <w:color w:val="auto"/>
                      <w:sz w:val="21"/>
                      <w:szCs w:val="21"/>
                    </w:rPr>
                    <w:t>μg/m</w:t>
                  </w:r>
                  <w:r>
                    <w:rPr>
                      <w:color w:val="auto"/>
                      <w:sz w:val="21"/>
                      <w:szCs w:val="21"/>
                      <w:vertAlign w:val="superscript"/>
                    </w:rPr>
                    <w:t>3</w:t>
                  </w:r>
                </w:p>
              </w:tc>
              <w:tc>
                <w:tcPr>
                  <w:tcW w:w="718" w:type="pct"/>
                  <w:noWrap w:val="0"/>
                  <w:vAlign w:val="center"/>
                </w:tcPr>
                <w:p>
                  <w:pPr>
                    <w:adjustRightInd w:val="0"/>
                    <w:snapToGrid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45</w:t>
                  </w:r>
                </w:p>
              </w:tc>
              <w:tc>
                <w:tcPr>
                  <w:tcW w:w="558" w:type="pct"/>
                  <w:noWrap w:val="0"/>
                  <w:vAlign w:val="center"/>
                </w:tcPr>
                <w:p>
                  <w:pPr>
                    <w:widowControl/>
                    <w:spacing w:line="240" w:lineRule="auto"/>
                    <w:jc w:val="center"/>
                    <w:rPr>
                      <w:color w:val="auto"/>
                      <w:sz w:val="21"/>
                      <w:szCs w:val="21"/>
                    </w:rPr>
                  </w:pPr>
                  <w:r>
                    <w:rPr>
                      <w:color w:val="auto"/>
                      <w:sz w:val="21"/>
                      <w:szCs w:val="21"/>
                    </w:rPr>
                    <w:t>35</w:t>
                  </w:r>
                </w:p>
              </w:tc>
              <w:tc>
                <w:tcPr>
                  <w:tcW w:w="624" w:type="pct"/>
                  <w:noWrap w:val="0"/>
                  <w:vAlign w:val="center"/>
                </w:tcPr>
                <w:p>
                  <w:pPr>
                    <w:widowControl/>
                    <w:spacing w:line="240" w:lineRule="auto"/>
                    <w:jc w:val="center"/>
                    <w:rPr>
                      <w:color w:val="auto"/>
                      <w:sz w:val="21"/>
                      <w:szCs w:val="21"/>
                    </w:rPr>
                  </w:pPr>
                  <w:r>
                    <w:rPr>
                      <w:rFonts w:hint="eastAsia"/>
                      <w:color w:val="auto"/>
                      <w:sz w:val="21"/>
                      <w:szCs w:val="21"/>
                      <w:lang w:val="en-US" w:eastAsia="zh-CN"/>
                    </w:rPr>
                    <w:t>128.57</w:t>
                  </w:r>
                  <w:r>
                    <w:rPr>
                      <w:color w:val="auto"/>
                      <w:sz w:val="21"/>
                      <w:szCs w:val="21"/>
                    </w:rPr>
                    <w:t>%</w:t>
                  </w:r>
                </w:p>
              </w:tc>
              <w:tc>
                <w:tcPr>
                  <w:tcW w:w="701" w:type="pct"/>
                  <w:noWrap w:val="0"/>
                  <w:vAlign w:val="center"/>
                </w:tcPr>
                <w:p>
                  <w:pPr>
                    <w:widowControl/>
                    <w:spacing w:line="240" w:lineRule="auto"/>
                    <w:jc w:val="center"/>
                    <w:rPr>
                      <w:color w:val="auto"/>
                      <w:sz w:val="21"/>
                      <w:szCs w:val="21"/>
                    </w:rPr>
                  </w:pPr>
                  <w:r>
                    <w:rPr>
                      <w:color w:val="auto"/>
                      <w:sz w:val="21"/>
                      <w:szCs w:val="21"/>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658" w:type="pct"/>
                  <w:noWrap w:val="0"/>
                  <w:vAlign w:val="center"/>
                </w:tcPr>
                <w:p>
                  <w:pPr>
                    <w:adjustRightInd w:val="0"/>
                    <w:snapToGrid w:val="0"/>
                    <w:spacing w:line="240" w:lineRule="auto"/>
                    <w:jc w:val="center"/>
                    <w:rPr>
                      <w:color w:val="auto"/>
                      <w:sz w:val="21"/>
                      <w:szCs w:val="21"/>
                    </w:rPr>
                  </w:pPr>
                  <w:r>
                    <w:rPr>
                      <w:color w:val="auto"/>
                      <w:sz w:val="21"/>
                      <w:szCs w:val="21"/>
                    </w:rPr>
                    <w:t>SO</w:t>
                  </w:r>
                  <w:r>
                    <w:rPr>
                      <w:color w:val="auto"/>
                      <w:sz w:val="21"/>
                      <w:szCs w:val="21"/>
                      <w:vertAlign w:val="subscript"/>
                    </w:rPr>
                    <w:t>2</w:t>
                  </w:r>
                </w:p>
              </w:tc>
              <w:tc>
                <w:tcPr>
                  <w:tcW w:w="1184" w:type="pct"/>
                  <w:noWrap w:val="0"/>
                  <w:vAlign w:val="center"/>
                </w:tcPr>
                <w:p>
                  <w:pPr>
                    <w:adjustRightInd w:val="0"/>
                    <w:snapToGrid w:val="0"/>
                    <w:spacing w:line="240" w:lineRule="auto"/>
                    <w:jc w:val="center"/>
                    <w:rPr>
                      <w:color w:val="auto"/>
                      <w:sz w:val="21"/>
                      <w:szCs w:val="21"/>
                    </w:rPr>
                  </w:pPr>
                  <w:r>
                    <w:rPr>
                      <w:color w:val="auto"/>
                      <w:sz w:val="21"/>
                      <w:szCs w:val="21"/>
                    </w:rPr>
                    <w:t>年平均质量浓度</w:t>
                  </w:r>
                </w:p>
              </w:tc>
              <w:tc>
                <w:tcPr>
                  <w:tcW w:w="558" w:type="pct"/>
                  <w:noWrap w:val="0"/>
                  <w:vAlign w:val="center"/>
                </w:tcPr>
                <w:p>
                  <w:pPr>
                    <w:adjustRightInd w:val="0"/>
                    <w:snapToGrid w:val="0"/>
                    <w:spacing w:line="240" w:lineRule="auto"/>
                    <w:jc w:val="center"/>
                    <w:rPr>
                      <w:color w:val="auto"/>
                      <w:sz w:val="21"/>
                      <w:szCs w:val="21"/>
                    </w:rPr>
                  </w:pPr>
                  <w:r>
                    <w:rPr>
                      <w:color w:val="auto"/>
                      <w:sz w:val="21"/>
                      <w:szCs w:val="21"/>
                    </w:rPr>
                    <w:t>μg/m</w:t>
                  </w:r>
                  <w:r>
                    <w:rPr>
                      <w:color w:val="auto"/>
                      <w:sz w:val="21"/>
                      <w:szCs w:val="21"/>
                      <w:vertAlign w:val="superscript"/>
                    </w:rPr>
                    <w:t>3</w:t>
                  </w:r>
                </w:p>
              </w:tc>
              <w:tc>
                <w:tcPr>
                  <w:tcW w:w="718" w:type="pct"/>
                  <w:noWrap w:val="0"/>
                  <w:vAlign w:val="center"/>
                </w:tcPr>
                <w:p>
                  <w:pPr>
                    <w:adjustRightInd w:val="0"/>
                    <w:snapToGrid w:val="0"/>
                    <w:spacing w:line="240" w:lineRule="auto"/>
                    <w:jc w:val="center"/>
                    <w:rPr>
                      <w:color w:val="auto"/>
                      <w:sz w:val="21"/>
                      <w:szCs w:val="21"/>
                    </w:rPr>
                  </w:pPr>
                  <w:r>
                    <w:rPr>
                      <w:rFonts w:hint="eastAsia"/>
                      <w:color w:val="auto"/>
                      <w:sz w:val="21"/>
                      <w:szCs w:val="21"/>
                    </w:rPr>
                    <w:t>9</w:t>
                  </w:r>
                </w:p>
              </w:tc>
              <w:tc>
                <w:tcPr>
                  <w:tcW w:w="558" w:type="pct"/>
                  <w:noWrap w:val="0"/>
                  <w:vAlign w:val="center"/>
                </w:tcPr>
                <w:p>
                  <w:pPr>
                    <w:widowControl/>
                    <w:spacing w:line="240" w:lineRule="auto"/>
                    <w:jc w:val="center"/>
                    <w:rPr>
                      <w:color w:val="auto"/>
                      <w:sz w:val="21"/>
                      <w:szCs w:val="21"/>
                    </w:rPr>
                  </w:pPr>
                  <w:r>
                    <w:rPr>
                      <w:color w:val="auto"/>
                      <w:sz w:val="21"/>
                      <w:szCs w:val="21"/>
                    </w:rPr>
                    <w:t>60</w:t>
                  </w:r>
                </w:p>
              </w:tc>
              <w:tc>
                <w:tcPr>
                  <w:tcW w:w="624" w:type="pct"/>
                  <w:noWrap w:val="0"/>
                  <w:vAlign w:val="center"/>
                </w:tcPr>
                <w:p>
                  <w:pPr>
                    <w:widowControl/>
                    <w:spacing w:line="240" w:lineRule="auto"/>
                    <w:jc w:val="center"/>
                    <w:rPr>
                      <w:color w:val="auto"/>
                      <w:sz w:val="21"/>
                      <w:szCs w:val="21"/>
                    </w:rPr>
                  </w:pPr>
                  <w:r>
                    <w:rPr>
                      <w:rFonts w:hint="eastAsia"/>
                      <w:color w:val="auto"/>
                      <w:sz w:val="21"/>
                      <w:szCs w:val="21"/>
                    </w:rPr>
                    <w:t>15.0</w:t>
                  </w:r>
                  <w:r>
                    <w:rPr>
                      <w:rFonts w:hint="eastAsia"/>
                      <w:color w:val="auto"/>
                      <w:sz w:val="21"/>
                      <w:szCs w:val="21"/>
                      <w:lang w:val="en-US" w:eastAsia="zh-CN"/>
                    </w:rPr>
                    <w:t>0</w:t>
                  </w:r>
                  <w:r>
                    <w:rPr>
                      <w:color w:val="auto"/>
                      <w:sz w:val="21"/>
                      <w:szCs w:val="21"/>
                    </w:rPr>
                    <w:t>%</w:t>
                  </w:r>
                </w:p>
              </w:tc>
              <w:tc>
                <w:tcPr>
                  <w:tcW w:w="701" w:type="pct"/>
                  <w:noWrap w:val="0"/>
                  <w:vAlign w:val="center"/>
                </w:tcPr>
                <w:p>
                  <w:pPr>
                    <w:widowControl/>
                    <w:spacing w:line="240" w:lineRule="auto"/>
                    <w:jc w:val="center"/>
                    <w:rPr>
                      <w:color w:val="auto"/>
                      <w:sz w:val="21"/>
                      <w:szCs w:val="21"/>
                    </w:rPr>
                  </w:pPr>
                  <w:r>
                    <w:rPr>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658" w:type="pct"/>
                  <w:noWrap w:val="0"/>
                  <w:vAlign w:val="center"/>
                </w:tcPr>
                <w:p>
                  <w:pPr>
                    <w:adjustRightInd w:val="0"/>
                    <w:snapToGrid w:val="0"/>
                    <w:spacing w:line="240" w:lineRule="auto"/>
                    <w:jc w:val="center"/>
                    <w:rPr>
                      <w:color w:val="auto"/>
                      <w:sz w:val="21"/>
                      <w:szCs w:val="21"/>
                    </w:rPr>
                  </w:pPr>
                  <w:r>
                    <w:rPr>
                      <w:color w:val="auto"/>
                      <w:sz w:val="21"/>
                      <w:szCs w:val="21"/>
                    </w:rPr>
                    <w:t>NO</w:t>
                  </w:r>
                  <w:r>
                    <w:rPr>
                      <w:color w:val="auto"/>
                      <w:sz w:val="21"/>
                      <w:szCs w:val="21"/>
                      <w:vertAlign w:val="subscript"/>
                    </w:rPr>
                    <w:t>2</w:t>
                  </w:r>
                </w:p>
              </w:tc>
              <w:tc>
                <w:tcPr>
                  <w:tcW w:w="1184" w:type="pct"/>
                  <w:noWrap w:val="0"/>
                  <w:vAlign w:val="center"/>
                </w:tcPr>
                <w:p>
                  <w:pPr>
                    <w:adjustRightInd w:val="0"/>
                    <w:snapToGrid w:val="0"/>
                    <w:spacing w:line="240" w:lineRule="auto"/>
                    <w:jc w:val="center"/>
                    <w:rPr>
                      <w:color w:val="auto"/>
                      <w:sz w:val="21"/>
                      <w:szCs w:val="21"/>
                    </w:rPr>
                  </w:pPr>
                  <w:r>
                    <w:rPr>
                      <w:color w:val="auto"/>
                      <w:sz w:val="21"/>
                      <w:szCs w:val="21"/>
                    </w:rPr>
                    <w:t>年平均质量浓度</w:t>
                  </w:r>
                </w:p>
              </w:tc>
              <w:tc>
                <w:tcPr>
                  <w:tcW w:w="558" w:type="pct"/>
                  <w:noWrap w:val="0"/>
                  <w:vAlign w:val="center"/>
                </w:tcPr>
                <w:p>
                  <w:pPr>
                    <w:adjustRightInd w:val="0"/>
                    <w:snapToGrid w:val="0"/>
                    <w:spacing w:line="240" w:lineRule="auto"/>
                    <w:jc w:val="center"/>
                    <w:rPr>
                      <w:color w:val="auto"/>
                      <w:sz w:val="21"/>
                      <w:szCs w:val="21"/>
                    </w:rPr>
                  </w:pPr>
                  <w:r>
                    <w:rPr>
                      <w:color w:val="auto"/>
                      <w:sz w:val="21"/>
                      <w:szCs w:val="21"/>
                    </w:rPr>
                    <w:t>μg/m</w:t>
                  </w:r>
                  <w:r>
                    <w:rPr>
                      <w:color w:val="auto"/>
                      <w:sz w:val="21"/>
                      <w:szCs w:val="21"/>
                      <w:vertAlign w:val="superscript"/>
                    </w:rPr>
                    <w:t>3</w:t>
                  </w:r>
                </w:p>
              </w:tc>
              <w:tc>
                <w:tcPr>
                  <w:tcW w:w="718" w:type="pct"/>
                  <w:noWrap w:val="0"/>
                  <w:vAlign w:val="center"/>
                </w:tcPr>
                <w:p>
                  <w:pPr>
                    <w:adjustRightInd w:val="0"/>
                    <w:snapToGrid w:val="0"/>
                    <w:spacing w:line="240" w:lineRule="auto"/>
                    <w:jc w:val="center"/>
                    <w:rPr>
                      <w:rFonts w:hint="eastAsia" w:eastAsia="宋体"/>
                      <w:color w:val="auto"/>
                      <w:sz w:val="21"/>
                      <w:szCs w:val="21"/>
                      <w:lang w:eastAsia="zh-CN"/>
                    </w:rPr>
                  </w:pPr>
                  <w:r>
                    <w:rPr>
                      <w:rFonts w:hint="eastAsia"/>
                      <w:color w:val="auto"/>
                      <w:sz w:val="21"/>
                      <w:szCs w:val="21"/>
                    </w:rPr>
                    <w:t>3</w:t>
                  </w:r>
                  <w:r>
                    <w:rPr>
                      <w:rFonts w:hint="eastAsia"/>
                      <w:color w:val="auto"/>
                      <w:sz w:val="21"/>
                      <w:szCs w:val="21"/>
                      <w:lang w:val="en-US" w:eastAsia="zh-CN"/>
                    </w:rPr>
                    <w:t>6</w:t>
                  </w:r>
                </w:p>
              </w:tc>
              <w:tc>
                <w:tcPr>
                  <w:tcW w:w="558" w:type="pct"/>
                  <w:noWrap w:val="0"/>
                  <w:vAlign w:val="center"/>
                </w:tcPr>
                <w:p>
                  <w:pPr>
                    <w:widowControl/>
                    <w:spacing w:line="240" w:lineRule="auto"/>
                    <w:jc w:val="center"/>
                    <w:rPr>
                      <w:color w:val="auto"/>
                      <w:sz w:val="21"/>
                      <w:szCs w:val="21"/>
                    </w:rPr>
                  </w:pPr>
                  <w:r>
                    <w:rPr>
                      <w:color w:val="auto"/>
                      <w:sz w:val="21"/>
                      <w:szCs w:val="21"/>
                    </w:rPr>
                    <w:t>40</w:t>
                  </w:r>
                </w:p>
              </w:tc>
              <w:tc>
                <w:tcPr>
                  <w:tcW w:w="624" w:type="pct"/>
                  <w:noWrap w:val="0"/>
                  <w:vAlign w:val="center"/>
                </w:tcPr>
                <w:p>
                  <w:pPr>
                    <w:widowControl/>
                    <w:spacing w:line="240" w:lineRule="auto"/>
                    <w:jc w:val="center"/>
                    <w:rPr>
                      <w:color w:val="auto"/>
                      <w:sz w:val="21"/>
                      <w:szCs w:val="21"/>
                    </w:rPr>
                  </w:pPr>
                  <w:r>
                    <w:rPr>
                      <w:rFonts w:hint="eastAsia"/>
                      <w:color w:val="auto"/>
                      <w:sz w:val="21"/>
                      <w:szCs w:val="21"/>
                      <w:lang w:val="en-US" w:eastAsia="zh-CN"/>
                    </w:rPr>
                    <w:t>90.00</w:t>
                  </w:r>
                  <w:r>
                    <w:rPr>
                      <w:color w:val="auto"/>
                      <w:sz w:val="21"/>
                      <w:szCs w:val="21"/>
                    </w:rPr>
                    <w:t>%</w:t>
                  </w:r>
                </w:p>
              </w:tc>
              <w:tc>
                <w:tcPr>
                  <w:tcW w:w="701" w:type="pct"/>
                  <w:noWrap w:val="0"/>
                  <w:vAlign w:val="center"/>
                </w:tcPr>
                <w:p>
                  <w:pPr>
                    <w:widowControl/>
                    <w:spacing w:line="240" w:lineRule="auto"/>
                    <w:jc w:val="center"/>
                    <w:rPr>
                      <w:color w:val="auto"/>
                      <w:sz w:val="21"/>
                      <w:szCs w:val="21"/>
                    </w:rPr>
                  </w:pPr>
                  <w:r>
                    <w:rPr>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658" w:type="pct"/>
                  <w:noWrap w:val="0"/>
                  <w:vAlign w:val="center"/>
                </w:tcPr>
                <w:p>
                  <w:pPr>
                    <w:adjustRightInd w:val="0"/>
                    <w:snapToGrid w:val="0"/>
                    <w:spacing w:line="240" w:lineRule="auto"/>
                    <w:jc w:val="center"/>
                    <w:rPr>
                      <w:color w:val="auto"/>
                      <w:sz w:val="21"/>
                      <w:szCs w:val="21"/>
                    </w:rPr>
                  </w:pPr>
                  <w:r>
                    <w:rPr>
                      <w:color w:val="auto"/>
                      <w:sz w:val="21"/>
                      <w:szCs w:val="21"/>
                    </w:rPr>
                    <w:t>CO</w:t>
                  </w:r>
                </w:p>
              </w:tc>
              <w:tc>
                <w:tcPr>
                  <w:tcW w:w="1184" w:type="pct"/>
                  <w:noWrap w:val="0"/>
                  <w:vAlign w:val="center"/>
                </w:tcPr>
                <w:p>
                  <w:pPr>
                    <w:adjustRightInd w:val="0"/>
                    <w:snapToGrid w:val="0"/>
                    <w:spacing w:line="240" w:lineRule="auto"/>
                    <w:jc w:val="center"/>
                    <w:rPr>
                      <w:color w:val="auto"/>
                      <w:sz w:val="21"/>
                      <w:szCs w:val="21"/>
                    </w:rPr>
                  </w:pPr>
                  <w:r>
                    <w:rPr>
                      <w:color w:val="auto"/>
                      <w:sz w:val="21"/>
                      <w:szCs w:val="21"/>
                    </w:rPr>
                    <w:t>日均值平均95百分位浓度</w:t>
                  </w:r>
                </w:p>
              </w:tc>
              <w:tc>
                <w:tcPr>
                  <w:tcW w:w="558" w:type="pct"/>
                  <w:noWrap w:val="0"/>
                  <w:vAlign w:val="center"/>
                </w:tcPr>
                <w:p>
                  <w:pPr>
                    <w:adjustRightInd w:val="0"/>
                    <w:snapToGrid w:val="0"/>
                    <w:spacing w:line="240" w:lineRule="auto"/>
                    <w:jc w:val="center"/>
                    <w:rPr>
                      <w:color w:val="auto"/>
                      <w:sz w:val="21"/>
                      <w:szCs w:val="21"/>
                    </w:rPr>
                  </w:pPr>
                  <w:r>
                    <w:rPr>
                      <w:color w:val="auto"/>
                      <w:sz w:val="21"/>
                      <w:szCs w:val="21"/>
                    </w:rPr>
                    <w:t>μg/m</w:t>
                  </w:r>
                  <w:r>
                    <w:rPr>
                      <w:color w:val="auto"/>
                      <w:sz w:val="21"/>
                      <w:szCs w:val="21"/>
                      <w:vertAlign w:val="superscript"/>
                    </w:rPr>
                    <w:t>3</w:t>
                  </w:r>
                </w:p>
              </w:tc>
              <w:tc>
                <w:tcPr>
                  <w:tcW w:w="718" w:type="pct"/>
                  <w:noWrap w:val="0"/>
                  <w:vAlign w:val="center"/>
                </w:tcPr>
                <w:p>
                  <w:pPr>
                    <w:adjustRightInd w:val="0"/>
                    <w:snapToGrid w:val="0"/>
                    <w:spacing w:line="240" w:lineRule="auto"/>
                    <w:jc w:val="center"/>
                    <w:rPr>
                      <w:color w:val="auto"/>
                      <w:sz w:val="21"/>
                      <w:szCs w:val="21"/>
                    </w:rPr>
                  </w:pPr>
                  <w:r>
                    <w:rPr>
                      <w:color w:val="auto"/>
                      <w:sz w:val="21"/>
                      <w:szCs w:val="21"/>
                    </w:rPr>
                    <w:t>1</w:t>
                  </w:r>
                  <w:r>
                    <w:rPr>
                      <w:rFonts w:hint="eastAsia"/>
                      <w:color w:val="auto"/>
                      <w:sz w:val="21"/>
                      <w:szCs w:val="21"/>
                    </w:rPr>
                    <w:t>5</w:t>
                  </w:r>
                  <w:r>
                    <w:rPr>
                      <w:color w:val="auto"/>
                      <w:sz w:val="21"/>
                      <w:szCs w:val="21"/>
                    </w:rPr>
                    <w:t>00</w:t>
                  </w:r>
                </w:p>
              </w:tc>
              <w:tc>
                <w:tcPr>
                  <w:tcW w:w="558" w:type="pct"/>
                  <w:noWrap w:val="0"/>
                  <w:vAlign w:val="center"/>
                </w:tcPr>
                <w:p>
                  <w:pPr>
                    <w:widowControl/>
                    <w:spacing w:line="240" w:lineRule="auto"/>
                    <w:jc w:val="center"/>
                    <w:rPr>
                      <w:color w:val="auto"/>
                      <w:sz w:val="21"/>
                      <w:szCs w:val="21"/>
                    </w:rPr>
                  </w:pPr>
                  <w:r>
                    <w:rPr>
                      <w:color w:val="auto"/>
                      <w:sz w:val="21"/>
                      <w:szCs w:val="21"/>
                    </w:rPr>
                    <w:t>4000</w:t>
                  </w:r>
                </w:p>
              </w:tc>
              <w:tc>
                <w:tcPr>
                  <w:tcW w:w="624" w:type="pct"/>
                  <w:noWrap w:val="0"/>
                  <w:vAlign w:val="center"/>
                </w:tcPr>
                <w:p>
                  <w:pPr>
                    <w:widowControl/>
                    <w:spacing w:line="240" w:lineRule="auto"/>
                    <w:jc w:val="center"/>
                    <w:rPr>
                      <w:color w:val="auto"/>
                      <w:sz w:val="21"/>
                      <w:szCs w:val="21"/>
                    </w:rPr>
                  </w:pPr>
                  <w:r>
                    <w:rPr>
                      <w:rFonts w:hint="eastAsia"/>
                      <w:color w:val="auto"/>
                      <w:sz w:val="21"/>
                      <w:szCs w:val="21"/>
                    </w:rPr>
                    <w:t>37.5</w:t>
                  </w:r>
                  <w:r>
                    <w:rPr>
                      <w:rFonts w:hint="eastAsia"/>
                      <w:color w:val="auto"/>
                      <w:sz w:val="21"/>
                      <w:szCs w:val="21"/>
                      <w:lang w:val="en-US" w:eastAsia="zh-CN"/>
                    </w:rPr>
                    <w:t>0</w:t>
                  </w:r>
                  <w:r>
                    <w:rPr>
                      <w:color w:val="auto"/>
                      <w:sz w:val="21"/>
                      <w:szCs w:val="21"/>
                    </w:rPr>
                    <w:t>%</w:t>
                  </w:r>
                </w:p>
              </w:tc>
              <w:tc>
                <w:tcPr>
                  <w:tcW w:w="701" w:type="pct"/>
                  <w:noWrap w:val="0"/>
                  <w:vAlign w:val="center"/>
                </w:tcPr>
                <w:p>
                  <w:pPr>
                    <w:widowControl/>
                    <w:spacing w:line="240" w:lineRule="auto"/>
                    <w:jc w:val="center"/>
                    <w:rPr>
                      <w:color w:val="auto"/>
                      <w:sz w:val="21"/>
                      <w:szCs w:val="21"/>
                    </w:rPr>
                  </w:pPr>
                  <w:r>
                    <w:rPr>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 w:hRule="atLeast"/>
                <w:jc w:val="center"/>
              </w:trPr>
              <w:tc>
                <w:tcPr>
                  <w:tcW w:w="658" w:type="pct"/>
                  <w:noWrap w:val="0"/>
                  <w:vAlign w:val="center"/>
                </w:tcPr>
                <w:p>
                  <w:pPr>
                    <w:adjustRightInd w:val="0"/>
                    <w:snapToGrid w:val="0"/>
                    <w:spacing w:line="240" w:lineRule="auto"/>
                    <w:jc w:val="center"/>
                    <w:rPr>
                      <w:color w:val="auto"/>
                      <w:sz w:val="21"/>
                      <w:szCs w:val="21"/>
                    </w:rPr>
                  </w:pPr>
                  <w:r>
                    <w:rPr>
                      <w:color w:val="auto"/>
                      <w:sz w:val="21"/>
                      <w:szCs w:val="21"/>
                    </w:rPr>
                    <w:t>O</w:t>
                  </w:r>
                  <w:r>
                    <w:rPr>
                      <w:color w:val="auto"/>
                      <w:sz w:val="21"/>
                      <w:szCs w:val="21"/>
                      <w:vertAlign w:val="subscript"/>
                    </w:rPr>
                    <w:t>3</w:t>
                  </w:r>
                </w:p>
              </w:tc>
              <w:tc>
                <w:tcPr>
                  <w:tcW w:w="1184" w:type="pct"/>
                  <w:noWrap w:val="0"/>
                  <w:vAlign w:val="center"/>
                </w:tcPr>
                <w:p>
                  <w:pPr>
                    <w:adjustRightInd w:val="0"/>
                    <w:snapToGrid w:val="0"/>
                    <w:spacing w:line="240" w:lineRule="auto"/>
                    <w:jc w:val="center"/>
                    <w:rPr>
                      <w:color w:val="auto"/>
                      <w:sz w:val="21"/>
                      <w:szCs w:val="21"/>
                    </w:rPr>
                  </w:pPr>
                  <w:r>
                    <w:rPr>
                      <w:color w:val="auto"/>
                      <w:sz w:val="21"/>
                      <w:szCs w:val="21"/>
                    </w:rPr>
                    <w:t>日最大8小时平均第90百分位浓度</w:t>
                  </w:r>
                </w:p>
              </w:tc>
              <w:tc>
                <w:tcPr>
                  <w:tcW w:w="558" w:type="pct"/>
                  <w:noWrap w:val="0"/>
                  <w:vAlign w:val="center"/>
                </w:tcPr>
                <w:p>
                  <w:pPr>
                    <w:adjustRightInd w:val="0"/>
                    <w:snapToGrid w:val="0"/>
                    <w:spacing w:line="240" w:lineRule="auto"/>
                    <w:jc w:val="center"/>
                    <w:rPr>
                      <w:color w:val="auto"/>
                      <w:sz w:val="21"/>
                      <w:szCs w:val="21"/>
                    </w:rPr>
                  </w:pPr>
                  <w:r>
                    <w:rPr>
                      <w:color w:val="auto"/>
                      <w:sz w:val="21"/>
                      <w:szCs w:val="21"/>
                    </w:rPr>
                    <w:t>μg/m</w:t>
                  </w:r>
                  <w:r>
                    <w:rPr>
                      <w:color w:val="auto"/>
                      <w:sz w:val="21"/>
                      <w:szCs w:val="21"/>
                      <w:vertAlign w:val="superscript"/>
                    </w:rPr>
                    <w:t>3</w:t>
                  </w:r>
                </w:p>
              </w:tc>
              <w:tc>
                <w:tcPr>
                  <w:tcW w:w="718" w:type="pct"/>
                  <w:noWrap w:val="0"/>
                  <w:vAlign w:val="center"/>
                </w:tcPr>
                <w:p>
                  <w:pPr>
                    <w:adjustRightInd w:val="0"/>
                    <w:snapToGrid w:val="0"/>
                    <w:spacing w:line="240" w:lineRule="auto"/>
                    <w:jc w:val="center"/>
                    <w:rPr>
                      <w:rFonts w:hint="default" w:eastAsia="宋体"/>
                      <w:color w:val="auto"/>
                      <w:sz w:val="21"/>
                      <w:szCs w:val="21"/>
                      <w:lang w:val="en-US" w:eastAsia="zh-CN"/>
                    </w:rPr>
                  </w:pPr>
                  <w:r>
                    <w:rPr>
                      <w:color w:val="auto"/>
                      <w:sz w:val="21"/>
                      <w:szCs w:val="21"/>
                    </w:rPr>
                    <w:t>1</w:t>
                  </w:r>
                  <w:r>
                    <w:rPr>
                      <w:rFonts w:hint="eastAsia"/>
                      <w:color w:val="auto"/>
                      <w:sz w:val="21"/>
                      <w:szCs w:val="21"/>
                      <w:lang w:val="en-US" w:eastAsia="zh-CN"/>
                    </w:rPr>
                    <w:t>68</w:t>
                  </w:r>
                </w:p>
              </w:tc>
              <w:tc>
                <w:tcPr>
                  <w:tcW w:w="558" w:type="pct"/>
                  <w:noWrap w:val="0"/>
                  <w:vAlign w:val="center"/>
                </w:tcPr>
                <w:p>
                  <w:pPr>
                    <w:widowControl/>
                    <w:spacing w:line="240" w:lineRule="auto"/>
                    <w:jc w:val="center"/>
                    <w:rPr>
                      <w:color w:val="auto"/>
                      <w:sz w:val="21"/>
                      <w:szCs w:val="21"/>
                    </w:rPr>
                  </w:pPr>
                  <w:r>
                    <w:rPr>
                      <w:color w:val="auto"/>
                      <w:sz w:val="21"/>
                      <w:szCs w:val="21"/>
                    </w:rPr>
                    <w:t>160</w:t>
                  </w:r>
                </w:p>
              </w:tc>
              <w:tc>
                <w:tcPr>
                  <w:tcW w:w="624" w:type="pct"/>
                  <w:noWrap w:val="0"/>
                  <w:vAlign w:val="center"/>
                </w:tcPr>
                <w:p>
                  <w:pPr>
                    <w:widowControl/>
                    <w:spacing w:line="240" w:lineRule="auto"/>
                    <w:jc w:val="center"/>
                    <w:rPr>
                      <w:color w:val="auto"/>
                      <w:sz w:val="21"/>
                      <w:szCs w:val="21"/>
                    </w:rPr>
                  </w:pPr>
                  <w:r>
                    <w:rPr>
                      <w:rFonts w:hint="eastAsia"/>
                      <w:color w:val="auto"/>
                      <w:sz w:val="21"/>
                      <w:szCs w:val="21"/>
                      <w:lang w:val="en-US" w:eastAsia="zh-CN"/>
                    </w:rPr>
                    <w:t>105.00</w:t>
                  </w:r>
                  <w:r>
                    <w:rPr>
                      <w:color w:val="auto"/>
                      <w:sz w:val="21"/>
                      <w:szCs w:val="21"/>
                    </w:rPr>
                    <w:t>%</w:t>
                  </w:r>
                </w:p>
              </w:tc>
              <w:tc>
                <w:tcPr>
                  <w:tcW w:w="701" w:type="pct"/>
                  <w:noWrap w:val="0"/>
                  <w:vAlign w:val="center"/>
                </w:tcPr>
                <w:p>
                  <w:pPr>
                    <w:widowControl/>
                    <w:spacing w:line="240" w:lineRule="auto"/>
                    <w:jc w:val="center"/>
                    <w:rPr>
                      <w:color w:val="auto"/>
                      <w:sz w:val="21"/>
                      <w:szCs w:val="21"/>
                    </w:rPr>
                  </w:pPr>
                  <w:r>
                    <w:rPr>
                      <w:color w:val="auto"/>
                      <w:sz w:val="21"/>
                      <w:szCs w:val="21"/>
                    </w:rPr>
                    <w:t>超标</w:t>
                  </w:r>
                </w:p>
              </w:tc>
            </w:tr>
          </w:tbl>
          <w:p>
            <w:pPr>
              <w:spacing w:line="360" w:lineRule="auto"/>
              <w:ind w:firstLine="420" w:firstLineChars="200"/>
              <w:rPr>
                <w:rFonts w:hint="eastAsia"/>
                <w:kern w:val="0"/>
                <w:sz w:val="21"/>
                <w:szCs w:val="21"/>
              </w:rPr>
            </w:pPr>
            <w:r>
              <w:rPr>
                <w:color w:val="auto"/>
                <w:sz w:val="21"/>
                <w:szCs w:val="21"/>
              </w:rPr>
              <w:t>根据</w:t>
            </w:r>
            <w:r>
              <w:rPr>
                <w:rFonts w:hint="eastAsia"/>
                <w:color w:val="auto"/>
                <w:sz w:val="21"/>
                <w:szCs w:val="21"/>
              </w:rPr>
              <w:t>上表</w:t>
            </w:r>
            <w:r>
              <w:rPr>
                <w:color w:val="auto"/>
                <w:sz w:val="21"/>
                <w:szCs w:val="21"/>
              </w:rPr>
              <w:t>可知，</w:t>
            </w:r>
            <w:r>
              <w:rPr>
                <w:rFonts w:hint="eastAsia"/>
                <w:color w:val="auto"/>
                <w:sz w:val="21"/>
                <w:szCs w:val="21"/>
              </w:rPr>
              <w:t>本</w:t>
            </w:r>
            <w:r>
              <w:rPr>
                <w:color w:val="auto"/>
                <w:sz w:val="21"/>
                <w:szCs w:val="21"/>
              </w:rPr>
              <w:t>项目所在区域SO</w:t>
            </w:r>
            <w:r>
              <w:rPr>
                <w:color w:val="auto"/>
                <w:sz w:val="21"/>
                <w:szCs w:val="21"/>
                <w:vertAlign w:val="subscript"/>
              </w:rPr>
              <w:t>2</w:t>
            </w:r>
            <w:r>
              <w:rPr>
                <w:color w:val="auto"/>
                <w:sz w:val="21"/>
                <w:szCs w:val="21"/>
              </w:rPr>
              <w:t>的年均浓度、NO</w:t>
            </w:r>
            <w:r>
              <w:rPr>
                <w:color w:val="auto"/>
                <w:sz w:val="21"/>
                <w:szCs w:val="21"/>
                <w:vertAlign w:val="subscript"/>
              </w:rPr>
              <w:t>2</w:t>
            </w:r>
            <w:r>
              <w:rPr>
                <w:color w:val="auto"/>
                <w:sz w:val="21"/>
                <w:szCs w:val="21"/>
              </w:rPr>
              <w:t>的年均浓度</w:t>
            </w:r>
            <w:r>
              <w:rPr>
                <w:rFonts w:hint="eastAsia"/>
                <w:color w:val="auto"/>
                <w:sz w:val="21"/>
                <w:szCs w:val="21"/>
                <w:lang w:val="en-US" w:eastAsia="zh-CN"/>
              </w:rPr>
              <w:t>和</w:t>
            </w:r>
            <w:r>
              <w:rPr>
                <w:color w:val="auto"/>
                <w:sz w:val="21"/>
                <w:szCs w:val="21"/>
              </w:rPr>
              <w:t>CO的24小时平均第95百分位浓度均达到《环境空气质量标准》（GB3095-2012）中的二级标准限值；PM</w:t>
            </w:r>
            <w:r>
              <w:rPr>
                <w:color w:val="auto"/>
                <w:sz w:val="21"/>
                <w:szCs w:val="21"/>
                <w:vertAlign w:val="subscript"/>
              </w:rPr>
              <w:t>10</w:t>
            </w:r>
            <w:r>
              <w:rPr>
                <w:color w:val="auto"/>
                <w:sz w:val="21"/>
                <w:szCs w:val="21"/>
              </w:rPr>
              <w:t>、PM</w:t>
            </w:r>
            <w:r>
              <w:rPr>
                <w:color w:val="auto"/>
                <w:sz w:val="21"/>
                <w:szCs w:val="21"/>
                <w:vertAlign w:val="subscript"/>
              </w:rPr>
              <w:t>2.5</w:t>
            </w:r>
            <w:r>
              <w:rPr>
                <w:color w:val="auto"/>
                <w:sz w:val="21"/>
                <w:szCs w:val="21"/>
              </w:rPr>
              <w:t>的年均浓度和O</w:t>
            </w:r>
            <w:r>
              <w:rPr>
                <w:color w:val="auto"/>
                <w:sz w:val="21"/>
                <w:szCs w:val="21"/>
                <w:vertAlign w:val="subscript"/>
              </w:rPr>
              <w:t>3</w:t>
            </w:r>
            <w:r>
              <w:rPr>
                <w:color w:val="auto"/>
                <w:sz w:val="21"/>
                <w:szCs w:val="21"/>
              </w:rPr>
              <w:t>的日最大8小时平均第90百分位浓度均超过《环境空气质量标准》（GB3095-2012）中的二级标准限值。</w:t>
            </w:r>
          </w:p>
          <w:p>
            <w:pPr>
              <w:bidi w:val="0"/>
              <w:spacing w:line="360" w:lineRule="auto"/>
              <w:ind w:firstLine="420" w:firstLineChars="200"/>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（2）</w:t>
            </w:r>
            <w:r>
              <w:rPr>
                <w:rFonts w:hint="eastAsia" w:ascii="Times New Roman" w:hAnsi="Times New Roman" w:eastAsia="宋体" w:cs="Times New Roman"/>
                <w:sz w:val="21"/>
                <w:szCs w:val="21"/>
                <w:lang w:val="en-US" w:eastAsia="zh-CN"/>
              </w:rPr>
              <w:t>特征污染因子</w:t>
            </w:r>
          </w:p>
          <w:p>
            <w:pPr>
              <w:spacing w:line="360" w:lineRule="auto"/>
              <w:ind w:firstLine="420" w:firstLineChars="200"/>
              <w:rPr>
                <w:rFonts w:ascii="Times New Roman" w:hAnsi="Times New Roman" w:eastAsia="宋体" w:cs="Times New Roman"/>
                <w:b/>
                <w:sz w:val="21"/>
                <w:szCs w:val="21"/>
              </w:rPr>
            </w:pPr>
            <w:r>
              <w:rPr>
                <w:color w:val="auto"/>
                <w:sz w:val="21"/>
                <w:szCs w:val="21"/>
              </w:rPr>
              <w:t>项目排放的其他污染物为</w:t>
            </w:r>
            <w:r>
              <w:rPr>
                <w:rFonts w:hint="eastAsia"/>
                <w:color w:val="auto"/>
                <w:sz w:val="21"/>
                <w:szCs w:val="21"/>
                <w:lang w:val="en-US" w:eastAsia="zh-CN"/>
              </w:rPr>
              <w:t>非甲烷总烃</w:t>
            </w:r>
            <w:r>
              <w:rPr>
                <w:color w:val="auto"/>
                <w:sz w:val="21"/>
                <w:szCs w:val="21"/>
              </w:rPr>
              <w:t>。根据《&lt;建设项目环境影响报告表&gt;内容、格式及编制技术指南常见问题解答》第7条：技术指南中提到“排放国家、地方环境空气质量标准中有标准限值要求的特征污染物”，其中环境空气质量标准指《环境空气质量标准》（GB3095）和地方的环境空气质量标准，不包括《环境影响评价技术导则 大气环境》（HJ2.2-2018）附录D、《工业企业设计卫生标准》（TJ36-97）、《前苏联居住区标准》（CH245-71）、《大气污染物综合排放标准详解》等导则或参考资料。排放的特征污染物需要在国家、地方环境空气质量标准中有限值要求才涉及现状监测，且优先引用现有监测数据。本项目</w:t>
            </w:r>
            <w:r>
              <w:rPr>
                <w:rFonts w:hint="eastAsia"/>
                <w:color w:val="auto"/>
                <w:sz w:val="21"/>
                <w:szCs w:val="21"/>
                <w:lang w:val="en-US" w:eastAsia="zh-CN"/>
              </w:rPr>
              <w:t>非甲烷总烃</w:t>
            </w:r>
            <w:r>
              <w:rPr>
                <w:color w:val="auto"/>
                <w:sz w:val="21"/>
                <w:szCs w:val="21"/>
              </w:rPr>
              <w:t>不在《环境空气质量标准》（GB3095）和地方的环境空气质量标准中，故本项目</w:t>
            </w:r>
            <w:r>
              <w:rPr>
                <w:rFonts w:hint="eastAsia"/>
                <w:color w:val="auto"/>
                <w:sz w:val="21"/>
                <w:szCs w:val="21"/>
                <w:lang w:val="en-US" w:eastAsia="zh-CN"/>
              </w:rPr>
              <w:t>非甲烷总烃</w:t>
            </w:r>
            <w:r>
              <w:rPr>
                <w:color w:val="auto"/>
                <w:sz w:val="21"/>
                <w:szCs w:val="21"/>
              </w:rPr>
              <w:t>无需进行监测。</w:t>
            </w:r>
          </w:p>
          <w:p>
            <w:pPr>
              <w:snapToGrid w:val="0"/>
              <w:spacing w:line="360" w:lineRule="auto"/>
              <w:ind w:firstLine="422" w:firstLineChars="200"/>
              <w:rPr>
                <w:rFonts w:ascii="Times New Roman" w:hAnsi="Times New Roman" w:eastAsia="宋体" w:cs="Times New Roman"/>
                <w:b/>
                <w:sz w:val="21"/>
                <w:szCs w:val="21"/>
              </w:rPr>
            </w:pPr>
            <w:r>
              <w:rPr>
                <w:rFonts w:ascii="Times New Roman" w:hAnsi="Times New Roman" w:eastAsia="宋体" w:cs="Times New Roman"/>
                <w:b/>
                <w:sz w:val="21"/>
                <w:szCs w:val="21"/>
              </w:rPr>
              <w:t>2</w:t>
            </w:r>
            <w:r>
              <w:rPr>
                <w:rFonts w:hint="eastAsia" w:ascii="Times New Roman" w:hAnsi="Times New Roman" w:eastAsia="宋体" w:cs="Times New Roman"/>
                <w:b/>
                <w:sz w:val="21"/>
                <w:szCs w:val="21"/>
                <w:lang w:eastAsia="zh-CN"/>
              </w:rPr>
              <w:t>、</w:t>
            </w:r>
            <w:r>
              <w:rPr>
                <w:rFonts w:ascii="Times New Roman" w:hAnsi="Times New Roman" w:eastAsia="宋体" w:cs="Times New Roman"/>
                <w:b/>
                <w:sz w:val="21"/>
                <w:szCs w:val="21"/>
              </w:rPr>
              <w:t>声环境</w:t>
            </w:r>
            <w:r>
              <w:rPr>
                <w:rFonts w:hint="default" w:ascii="Times New Roman" w:hAnsi="Times New Roman" w:eastAsia="宋体" w:cs="Times New Roman"/>
                <w:b/>
                <w:sz w:val="21"/>
                <w:szCs w:val="21"/>
                <w:lang w:val="en-GB"/>
              </w:rPr>
              <w:t>质量现状</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Cs/>
                <w:snapToGrid w:val="0"/>
                <w:color w:val="auto"/>
                <w:kern w:val="0"/>
                <w:sz w:val="21"/>
                <w:szCs w:val="21"/>
                <w:highlight w:val="yellow"/>
                <w:lang w:val="en-US" w:eastAsia="zh-CN" w:bidi="ar-SA"/>
              </w:rPr>
            </w:pPr>
            <w:r>
              <w:rPr>
                <w:rFonts w:hint="eastAsia" w:ascii="Times New Roman" w:hAnsi="Times New Roman" w:eastAsia="宋体" w:cs="Times New Roman"/>
                <w:sz w:val="21"/>
                <w:szCs w:val="21"/>
                <w:lang w:val="en-US" w:eastAsia="zh-CN"/>
              </w:rPr>
              <w:t>本项目位于</w:t>
            </w:r>
            <w:r>
              <w:rPr>
                <w:rFonts w:hint="eastAsia"/>
                <w:szCs w:val="21"/>
                <w:u w:val="none"/>
              </w:rPr>
              <w:t>陕西</w:t>
            </w:r>
            <w:r>
              <w:rPr>
                <w:szCs w:val="21"/>
                <w:u w:val="none"/>
              </w:rPr>
              <w:t>省</w:t>
            </w:r>
            <w:r>
              <w:rPr>
                <w:rFonts w:hint="eastAsia"/>
                <w:szCs w:val="21"/>
                <w:u w:val="none"/>
              </w:rPr>
              <w:t>西安</w:t>
            </w:r>
            <w:r>
              <w:rPr>
                <w:szCs w:val="21"/>
                <w:u w:val="none"/>
              </w:rPr>
              <w:t>市</w:t>
            </w:r>
            <w:r>
              <w:rPr>
                <w:rFonts w:hint="eastAsia"/>
                <w:szCs w:val="21"/>
                <w:u w:val="none"/>
                <w:lang w:val="en-US" w:eastAsia="zh-CN"/>
              </w:rPr>
              <w:t>灞桥</w:t>
            </w:r>
            <w:r>
              <w:rPr>
                <w:szCs w:val="21"/>
                <w:u w:val="none"/>
              </w:rPr>
              <w:t>区</w:t>
            </w:r>
            <w:r>
              <w:rPr>
                <w:rFonts w:hint="eastAsia"/>
                <w:u w:val="none"/>
                <w:lang w:val="en-US" w:eastAsia="zh-CN"/>
              </w:rPr>
              <w:t>咸宁东路82号</w:t>
            </w:r>
            <w:r>
              <w:rPr>
                <w:rFonts w:hint="eastAsia" w:ascii="Times New Roman" w:hAnsi="Times New Roman" w:eastAsia="宋体" w:cs="Times New Roman"/>
                <w:sz w:val="21"/>
                <w:szCs w:val="21"/>
                <w:lang w:val="en-US" w:eastAsia="zh-CN"/>
              </w:rPr>
              <w:t>，属于2类声环境</w:t>
            </w:r>
            <w:r>
              <w:rPr>
                <w:rFonts w:hint="eastAsia" w:ascii="Times New Roman" w:hAnsi="Times New Roman" w:eastAsia="宋体" w:cs="宋体"/>
                <w:color w:val="auto"/>
                <w:kern w:val="0"/>
                <w:sz w:val="21"/>
                <w:szCs w:val="21"/>
                <w:lang w:val="en-US" w:eastAsia="zh-CN" w:bidi="ar"/>
              </w:rPr>
              <w:t>功能区，执行《声环境质量标准》（</w:t>
            </w:r>
            <w:r>
              <w:rPr>
                <w:rFonts w:hint="default" w:ascii="Times New Roman" w:hAnsi="Times New Roman" w:eastAsia="宋体" w:cs="Times New Roman"/>
                <w:color w:val="auto"/>
                <w:kern w:val="0"/>
                <w:sz w:val="21"/>
                <w:szCs w:val="21"/>
                <w:lang w:val="en-US" w:eastAsia="zh-CN" w:bidi="ar"/>
              </w:rPr>
              <w:t>GB3096-2008</w:t>
            </w:r>
            <w:r>
              <w:rPr>
                <w:rFonts w:hint="eastAsia" w:ascii="Times New Roman" w:hAnsi="Times New Roman" w:eastAsia="宋体" w:cs="宋体"/>
                <w:color w:val="auto"/>
                <w:kern w:val="0"/>
                <w:sz w:val="21"/>
                <w:szCs w:val="21"/>
                <w:lang w:val="en-US" w:eastAsia="zh-CN" w:bidi="ar"/>
              </w:rPr>
              <w:t>）中</w:t>
            </w:r>
            <w:r>
              <w:rPr>
                <w:rFonts w:hint="eastAsia" w:ascii="Times New Roman" w:hAnsi="Times New Roman" w:eastAsia="宋体" w:cs="Times New Roman"/>
                <w:color w:val="auto"/>
                <w:kern w:val="0"/>
                <w:sz w:val="21"/>
                <w:szCs w:val="21"/>
                <w:lang w:val="en-US" w:eastAsia="zh-CN" w:bidi="ar"/>
              </w:rPr>
              <w:t>2</w:t>
            </w:r>
            <w:r>
              <w:rPr>
                <w:rFonts w:hint="eastAsia" w:ascii="Times New Roman" w:hAnsi="Times New Roman" w:eastAsia="宋体" w:cs="宋体"/>
                <w:color w:val="auto"/>
                <w:kern w:val="0"/>
                <w:sz w:val="21"/>
                <w:szCs w:val="21"/>
                <w:lang w:val="en-US" w:eastAsia="zh-CN" w:bidi="ar"/>
              </w:rPr>
              <w:t>类标准要求。</w:t>
            </w:r>
            <w:r>
              <w:rPr>
                <w:rFonts w:hint="eastAsia" w:ascii="Times New Roman" w:hAnsi="Times New Roman" w:eastAsia="宋体" w:cs="Times New Roman"/>
                <w:bCs/>
                <w:snapToGrid w:val="0"/>
                <w:color w:val="auto"/>
                <w:kern w:val="0"/>
                <w:sz w:val="21"/>
                <w:szCs w:val="21"/>
                <w:lang w:val="en-US" w:eastAsia="zh-CN" w:bidi="ar-SA"/>
              </w:rPr>
              <w:t>为了解项目建设地的声环境现状，</w:t>
            </w:r>
            <w:r>
              <w:rPr>
                <w:rFonts w:hint="default" w:ascii="Times New Roman" w:hAnsi="Times New Roman" w:eastAsia="宋体" w:cs="Times New Roman"/>
                <w:bCs/>
                <w:snapToGrid w:val="0"/>
                <w:color w:val="auto"/>
                <w:kern w:val="0"/>
                <w:sz w:val="21"/>
                <w:szCs w:val="21"/>
                <w:lang w:val="en-US" w:eastAsia="zh-CN" w:bidi="ar-SA"/>
              </w:rPr>
              <w:t>本项目</w:t>
            </w:r>
            <w:r>
              <w:rPr>
                <w:rFonts w:hint="eastAsia" w:ascii="Times New Roman" w:hAnsi="Times New Roman" w:eastAsia="宋体" w:cs="Times New Roman"/>
                <w:bCs/>
                <w:snapToGrid w:val="0"/>
                <w:color w:val="auto"/>
                <w:kern w:val="0"/>
                <w:sz w:val="21"/>
                <w:szCs w:val="21"/>
                <w:lang w:val="en-US" w:eastAsia="zh-CN" w:bidi="ar-SA"/>
              </w:rPr>
              <w:t>委托</w:t>
            </w:r>
            <w:r>
              <w:rPr>
                <w:rFonts w:hint="eastAsia"/>
                <w:bCs/>
                <w:snapToGrid w:val="0"/>
                <w:kern w:val="0"/>
                <w:szCs w:val="21"/>
              </w:rPr>
              <w:t>陕西泽希检测服务有限公司</w:t>
            </w:r>
            <w:r>
              <w:rPr>
                <w:rFonts w:hint="default" w:ascii="Times New Roman" w:hAnsi="Times New Roman" w:eastAsia="宋体" w:cs="Times New Roman"/>
                <w:bCs/>
                <w:snapToGrid w:val="0"/>
                <w:color w:val="auto"/>
                <w:kern w:val="0"/>
                <w:sz w:val="21"/>
                <w:szCs w:val="21"/>
                <w:highlight w:val="none"/>
                <w:lang w:val="en-US" w:eastAsia="zh-CN" w:bidi="ar-SA"/>
              </w:rPr>
              <w:t>于20</w:t>
            </w:r>
            <w:r>
              <w:rPr>
                <w:rFonts w:hint="eastAsia" w:ascii="Times New Roman" w:hAnsi="Times New Roman" w:eastAsia="宋体" w:cs="Times New Roman"/>
                <w:bCs/>
                <w:snapToGrid w:val="0"/>
                <w:color w:val="auto"/>
                <w:kern w:val="0"/>
                <w:sz w:val="21"/>
                <w:szCs w:val="21"/>
                <w:highlight w:val="none"/>
                <w:lang w:val="en-US" w:eastAsia="zh-CN" w:bidi="ar-SA"/>
              </w:rPr>
              <w:t>23</w:t>
            </w:r>
            <w:r>
              <w:rPr>
                <w:rFonts w:hint="default" w:ascii="Times New Roman" w:hAnsi="Times New Roman" w:eastAsia="宋体" w:cs="Times New Roman"/>
                <w:bCs/>
                <w:snapToGrid w:val="0"/>
                <w:color w:val="auto"/>
                <w:kern w:val="0"/>
                <w:sz w:val="21"/>
                <w:szCs w:val="21"/>
                <w:highlight w:val="none"/>
                <w:lang w:val="en-US" w:eastAsia="zh-CN" w:bidi="ar-SA"/>
              </w:rPr>
              <w:t>年</w:t>
            </w:r>
            <w:r>
              <w:rPr>
                <w:rFonts w:hint="eastAsia" w:ascii="Times New Roman" w:hAnsi="Times New Roman" w:eastAsia="宋体" w:cs="Times New Roman"/>
                <w:bCs/>
                <w:snapToGrid w:val="0"/>
                <w:color w:val="auto"/>
                <w:kern w:val="0"/>
                <w:sz w:val="21"/>
                <w:szCs w:val="21"/>
                <w:highlight w:val="none"/>
                <w:lang w:val="en-US" w:eastAsia="zh-CN" w:bidi="ar-SA"/>
              </w:rPr>
              <w:t>8</w:t>
            </w:r>
            <w:r>
              <w:rPr>
                <w:rFonts w:hint="default" w:ascii="Times New Roman" w:hAnsi="Times New Roman" w:eastAsia="宋体" w:cs="Times New Roman"/>
                <w:bCs/>
                <w:snapToGrid w:val="0"/>
                <w:color w:val="auto"/>
                <w:kern w:val="0"/>
                <w:sz w:val="21"/>
                <w:szCs w:val="21"/>
                <w:highlight w:val="none"/>
                <w:lang w:val="en-US" w:eastAsia="zh-CN" w:bidi="ar-SA"/>
              </w:rPr>
              <w:t>月</w:t>
            </w:r>
            <w:r>
              <w:rPr>
                <w:rFonts w:hint="eastAsia" w:ascii="Times New Roman" w:hAnsi="Times New Roman" w:eastAsia="宋体" w:cs="Times New Roman"/>
                <w:bCs/>
                <w:snapToGrid w:val="0"/>
                <w:color w:val="auto"/>
                <w:kern w:val="0"/>
                <w:sz w:val="21"/>
                <w:szCs w:val="21"/>
                <w:highlight w:val="none"/>
                <w:lang w:val="en-US" w:eastAsia="zh-CN" w:bidi="ar-SA"/>
              </w:rPr>
              <w:t>10</w:t>
            </w:r>
            <w:r>
              <w:rPr>
                <w:rFonts w:hint="default" w:ascii="Times New Roman" w:hAnsi="Times New Roman" w:eastAsia="宋体" w:cs="Times New Roman"/>
                <w:bCs/>
                <w:snapToGrid w:val="0"/>
                <w:color w:val="auto"/>
                <w:kern w:val="0"/>
                <w:sz w:val="21"/>
                <w:szCs w:val="21"/>
                <w:highlight w:val="none"/>
                <w:lang w:val="en-US" w:eastAsia="zh-CN" w:bidi="ar-SA"/>
              </w:rPr>
              <w:t>日进行监测</w:t>
            </w:r>
            <w:r>
              <w:rPr>
                <w:rFonts w:hint="eastAsia" w:ascii="Times New Roman" w:hAnsi="Times New Roman" w:eastAsia="宋体" w:cs="Times New Roman"/>
                <w:bCs/>
                <w:snapToGrid w:val="0"/>
                <w:color w:val="auto"/>
                <w:kern w:val="0"/>
                <w:sz w:val="21"/>
                <w:szCs w:val="21"/>
                <w:highlight w:val="none"/>
                <w:lang w:val="en-US" w:eastAsia="zh-CN" w:bidi="ar-SA"/>
              </w:rPr>
              <w:t>，监测结果如下：</w:t>
            </w:r>
          </w:p>
          <w:p>
            <w:pPr>
              <w:autoSpaceDE w:val="0"/>
              <w:autoSpaceDN w:val="0"/>
              <w:adjustRightInd w:val="0"/>
              <w:snapToGrid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 xml:space="preserve">3-2  </w:t>
            </w:r>
            <w:r>
              <w:rPr>
                <w:rFonts w:hint="default" w:ascii="Times New Roman" w:hAnsi="Times New Roman" w:eastAsia="宋体" w:cs="Times New Roman"/>
                <w:b/>
                <w:bCs/>
                <w:color w:val="auto"/>
                <w:sz w:val="21"/>
                <w:szCs w:val="21"/>
                <w:highlight w:val="none"/>
                <w:lang w:val="en-US" w:eastAsia="zh-CN"/>
              </w:rPr>
              <w:t>声环境质量监测结果单位：LeqdB(A)</w:t>
            </w:r>
          </w:p>
          <w:tbl>
            <w:tblPr>
              <w:tblStyle w:val="24"/>
              <w:tblW w:w="8099"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2620"/>
              <w:gridCol w:w="2556"/>
              <w:gridCol w:w="2923"/>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76" w:hRule="atLeast"/>
                <w:jc w:val="center"/>
              </w:trPr>
              <w:tc>
                <w:tcPr>
                  <w:tcW w:w="2620" w:type="dxa"/>
                  <w:vMerge w:val="restart"/>
                  <w:tcBorders>
                    <w:tl2br w:val="nil"/>
                    <w:tr2bl w:val="nil"/>
                  </w:tcBorders>
                  <w:noWrap w:val="0"/>
                  <w:vAlign w:val="center"/>
                </w:tcPr>
                <w:p>
                  <w:pPr>
                    <w:snapToGrid w:val="0"/>
                    <w:spacing w:line="320" w:lineRule="exact"/>
                    <w:jc w:val="center"/>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监测点位</w:t>
                  </w:r>
                </w:p>
              </w:tc>
              <w:tc>
                <w:tcPr>
                  <w:tcW w:w="5479" w:type="dxa"/>
                  <w:gridSpan w:val="2"/>
                  <w:tcBorders>
                    <w:tl2br w:val="nil"/>
                    <w:tr2bl w:val="nil"/>
                  </w:tcBorders>
                  <w:noWrap w:val="0"/>
                  <w:vAlign w:val="center"/>
                </w:tcPr>
                <w:p>
                  <w:pPr>
                    <w:snapToGrid w:val="0"/>
                    <w:spacing w:line="320" w:lineRule="exact"/>
                    <w:jc w:val="center"/>
                    <w:rPr>
                      <w:rFonts w:hint="default" w:ascii="Times New Roman" w:hAnsi="Times New Roman" w:eastAsia="宋体" w:cs="Times New Roman"/>
                      <w:b/>
                      <w:bCs w:val="0"/>
                      <w:color w:val="auto"/>
                      <w:sz w:val="21"/>
                      <w:szCs w:val="21"/>
                      <w:highlight w:val="none"/>
                      <w:lang w:val="en-US" w:eastAsia="zh-CN"/>
                    </w:rPr>
                  </w:pPr>
                  <w:r>
                    <w:rPr>
                      <w:rFonts w:hint="eastAsia" w:ascii="Times New Roman" w:hAnsi="Times New Roman" w:eastAsia="宋体" w:cs="Times New Roman"/>
                      <w:b/>
                      <w:bCs w:val="0"/>
                      <w:color w:val="auto"/>
                      <w:sz w:val="21"/>
                      <w:szCs w:val="21"/>
                      <w:highlight w:val="none"/>
                      <w:lang w:val="en-US" w:eastAsia="zh-CN"/>
                    </w:rPr>
                    <w:t>2023年8月10日</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620" w:type="dxa"/>
                  <w:vMerge w:val="continue"/>
                  <w:tcBorders>
                    <w:tl2br w:val="nil"/>
                    <w:tr2bl w:val="nil"/>
                  </w:tcBorders>
                  <w:noWrap w:val="0"/>
                  <w:vAlign w:val="center"/>
                </w:tcPr>
                <w:p>
                  <w:pPr>
                    <w:snapToGrid w:val="0"/>
                    <w:spacing w:line="320" w:lineRule="exact"/>
                    <w:jc w:val="center"/>
                    <w:rPr>
                      <w:rFonts w:hint="default" w:ascii="Times New Roman" w:hAnsi="Times New Roman" w:cs="Times New Roman"/>
                      <w:b/>
                      <w:bCs w:val="0"/>
                      <w:color w:val="auto"/>
                      <w:sz w:val="21"/>
                      <w:szCs w:val="21"/>
                      <w:highlight w:val="none"/>
                    </w:rPr>
                  </w:pPr>
                </w:p>
              </w:tc>
              <w:tc>
                <w:tcPr>
                  <w:tcW w:w="2556" w:type="dxa"/>
                  <w:tcBorders>
                    <w:tl2br w:val="nil"/>
                    <w:tr2bl w:val="nil"/>
                  </w:tcBorders>
                  <w:noWrap w:val="0"/>
                  <w:vAlign w:val="center"/>
                </w:tcPr>
                <w:p>
                  <w:pPr>
                    <w:snapToGrid w:val="0"/>
                    <w:spacing w:line="320" w:lineRule="exact"/>
                    <w:jc w:val="center"/>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昼间（Leq）</w:t>
                  </w:r>
                </w:p>
              </w:tc>
              <w:tc>
                <w:tcPr>
                  <w:tcW w:w="2923" w:type="dxa"/>
                  <w:tcBorders>
                    <w:tl2br w:val="nil"/>
                    <w:tr2bl w:val="nil"/>
                  </w:tcBorders>
                  <w:noWrap w:val="0"/>
                  <w:vAlign w:val="center"/>
                </w:tcPr>
                <w:p>
                  <w:pPr>
                    <w:snapToGrid w:val="0"/>
                    <w:spacing w:line="320" w:lineRule="exact"/>
                    <w:jc w:val="center"/>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夜间（Leq）</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jc w:val="center"/>
              </w:trPr>
              <w:tc>
                <w:tcPr>
                  <w:tcW w:w="2620" w:type="dxa"/>
                  <w:tcBorders>
                    <w:tl2br w:val="nil"/>
                    <w:tr2bl w:val="nil"/>
                  </w:tcBorders>
                  <w:noWrap w:val="0"/>
                  <w:vAlign w:val="center"/>
                </w:tcPr>
                <w:p>
                  <w:pPr>
                    <w:pStyle w:val="7"/>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五建花苑小区（在建）</w:t>
                  </w:r>
                </w:p>
              </w:tc>
              <w:tc>
                <w:tcPr>
                  <w:tcW w:w="2556" w:type="dxa"/>
                  <w:tcBorders>
                    <w:tl2br w:val="nil"/>
                    <w:tr2bl w:val="nil"/>
                  </w:tcBorders>
                  <w:noWrap w:val="0"/>
                  <w:vAlign w:val="center"/>
                </w:tcPr>
                <w:p>
                  <w:pPr>
                    <w:pStyle w:val="59"/>
                    <w:keepNext w:val="0"/>
                    <w:keepLines w:val="0"/>
                    <w:pageBreakBefore w:val="0"/>
                    <w:widowControl w:val="0"/>
                    <w:kinsoku/>
                    <w:wordWrap/>
                    <w:overflowPunct/>
                    <w:topLinePunct w:val="0"/>
                    <w:autoSpaceDE/>
                    <w:autoSpaceDN/>
                    <w:bidi w:val="0"/>
                    <w:adjustRightInd w:val="0"/>
                    <w:snapToGrid w:val="0"/>
                    <w:spacing w:before="31" w:after="31" w:line="320" w:lineRule="exact"/>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kern w:val="2"/>
                      <w:sz w:val="21"/>
                      <w:szCs w:val="21"/>
                      <w:highlight w:val="none"/>
                      <w:lang w:val="en-US" w:eastAsia="zh-CN" w:bidi="ar-SA"/>
                    </w:rPr>
                    <w:t>50</w:t>
                  </w:r>
                </w:p>
              </w:tc>
              <w:tc>
                <w:tcPr>
                  <w:tcW w:w="2923" w:type="dxa"/>
                  <w:tcBorders>
                    <w:tl2br w:val="nil"/>
                    <w:tr2bl w:val="nil"/>
                  </w:tcBorders>
                  <w:noWrap w:val="0"/>
                  <w:vAlign w:val="center"/>
                </w:tcPr>
                <w:p>
                  <w:pPr>
                    <w:pStyle w:val="59"/>
                    <w:keepNext w:val="0"/>
                    <w:keepLines w:val="0"/>
                    <w:pageBreakBefore w:val="0"/>
                    <w:widowControl w:val="0"/>
                    <w:kinsoku/>
                    <w:wordWrap/>
                    <w:overflowPunct/>
                    <w:topLinePunct w:val="0"/>
                    <w:autoSpaceDE/>
                    <w:autoSpaceDN/>
                    <w:bidi w:val="0"/>
                    <w:adjustRightInd w:val="0"/>
                    <w:snapToGrid w:val="0"/>
                    <w:spacing w:before="31" w:after="31" w:line="320" w:lineRule="exact"/>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b w:val="0"/>
                      <w:bCs w:val="0"/>
                      <w:color w:val="auto"/>
                      <w:kern w:val="2"/>
                      <w:sz w:val="21"/>
                      <w:szCs w:val="21"/>
                      <w:highlight w:val="none"/>
                      <w:lang w:val="en-US" w:eastAsia="zh-CN" w:bidi="ar-SA"/>
                    </w:rPr>
                    <w:t>46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20" w:hRule="atLeast"/>
                <w:jc w:val="center"/>
              </w:trPr>
              <w:tc>
                <w:tcPr>
                  <w:tcW w:w="2620" w:type="dxa"/>
                  <w:tcBorders>
                    <w:tl2br w:val="nil"/>
                    <w:tr2bl w:val="nil"/>
                  </w:tcBorders>
                  <w:noWrap w:val="0"/>
                  <w:vAlign w:val="center"/>
                </w:tcPr>
                <w:p>
                  <w:pPr>
                    <w:pStyle w:val="59"/>
                    <w:keepNext w:val="0"/>
                    <w:keepLines w:val="0"/>
                    <w:pageBreakBefore w:val="0"/>
                    <w:widowControl w:val="0"/>
                    <w:kinsoku/>
                    <w:wordWrap/>
                    <w:overflowPunct/>
                    <w:topLinePunct w:val="0"/>
                    <w:autoSpaceDE/>
                    <w:autoSpaceDN/>
                    <w:bidi w:val="0"/>
                    <w:adjustRightInd w:val="0"/>
                    <w:snapToGrid w:val="0"/>
                    <w:spacing w:before="31" w:after="31" w:line="320" w:lineRule="exact"/>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《声环境质量标准》（GB3096-2008）</w:t>
                  </w:r>
                </w:p>
              </w:tc>
              <w:tc>
                <w:tcPr>
                  <w:tcW w:w="5479" w:type="dxa"/>
                  <w:gridSpan w:val="2"/>
                  <w:tcBorders>
                    <w:tl2br w:val="nil"/>
                    <w:tr2bl w:val="nil"/>
                  </w:tcBorders>
                  <w:noWrap w:val="0"/>
                  <w:vAlign w:val="center"/>
                </w:tcPr>
                <w:p>
                  <w:pPr>
                    <w:pStyle w:val="59"/>
                    <w:keepNext w:val="0"/>
                    <w:keepLines w:val="0"/>
                    <w:pageBreakBefore w:val="0"/>
                    <w:widowControl w:val="0"/>
                    <w:kinsoku/>
                    <w:wordWrap/>
                    <w:overflowPunct/>
                    <w:topLinePunct w:val="0"/>
                    <w:autoSpaceDE/>
                    <w:autoSpaceDN/>
                    <w:bidi w:val="0"/>
                    <w:adjustRightInd w:val="0"/>
                    <w:snapToGrid w:val="0"/>
                    <w:spacing w:before="31" w:after="31" w:line="320" w:lineRule="exact"/>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2类标准：昼间60dB（A），夜间50dB（A）</w:t>
                  </w:r>
                </w:p>
              </w:tc>
            </w:tr>
          </w:tbl>
          <w:p>
            <w:pPr>
              <w:spacing w:line="360" w:lineRule="auto"/>
              <w:ind w:firstLine="420" w:firstLineChars="200"/>
              <w:rPr>
                <w:b/>
                <w:snapToGrid w:val="0"/>
                <w:kern w:val="0"/>
                <w:sz w:val="21"/>
                <w:szCs w:val="21"/>
              </w:rPr>
            </w:pPr>
            <w:r>
              <w:rPr>
                <w:rFonts w:hint="default" w:ascii="Times New Roman" w:hAnsi="Times New Roman" w:cs="Times New Roman"/>
                <w:color w:val="auto"/>
                <w:sz w:val="21"/>
                <w:szCs w:val="21"/>
                <w:highlight w:val="none"/>
              </w:rPr>
              <w:t>监测结果表明，</w:t>
            </w:r>
            <w:r>
              <w:rPr>
                <w:rFonts w:hint="eastAsia" w:ascii="Times New Roman" w:hAnsi="Times New Roman" w:cs="Times New Roman"/>
                <w:color w:val="auto"/>
                <w:sz w:val="21"/>
                <w:szCs w:val="21"/>
                <w:highlight w:val="none"/>
                <w:lang w:val="en-US" w:eastAsia="zh-CN"/>
              </w:rPr>
              <w:t>项目地敏感点声环境质量现状值</w:t>
            </w:r>
            <w:r>
              <w:rPr>
                <w:rFonts w:hint="default" w:ascii="Times New Roman" w:hAnsi="Times New Roman" w:cs="Times New Roman"/>
                <w:color w:val="auto"/>
                <w:sz w:val="21"/>
                <w:szCs w:val="21"/>
                <w:highlight w:val="none"/>
                <w:lang w:val="en-US" w:eastAsia="zh-CN"/>
              </w:rPr>
              <w:t>均</w:t>
            </w:r>
            <w:r>
              <w:rPr>
                <w:rFonts w:hint="default" w:ascii="Times New Roman" w:hAnsi="Times New Roman" w:cs="Times New Roman"/>
                <w:color w:val="auto"/>
                <w:sz w:val="21"/>
                <w:szCs w:val="21"/>
                <w:highlight w:val="none"/>
              </w:rPr>
              <w:t>满足《声环境质量标准》（GB3096-2008）中</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类标准。</w:t>
            </w:r>
          </w:p>
          <w:p>
            <w:pPr>
              <w:spacing w:line="360" w:lineRule="auto"/>
              <w:ind w:firstLine="422" w:firstLineChars="200"/>
              <w:rPr>
                <w:rFonts w:hint="eastAsia"/>
                <w:bCs/>
                <w:snapToGrid w:val="0"/>
                <w:color w:val="auto"/>
                <w:kern w:val="0"/>
                <w:szCs w:val="21"/>
              </w:rPr>
            </w:pPr>
            <w:r>
              <w:rPr>
                <w:rFonts w:hint="eastAsia"/>
                <w:b/>
                <w:snapToGrid w:val="0"/>
                <w:color w:val="auto"/>
                <w:kern w:val="0"/>
                <w:szCs w:val="21"/>
                <w:highlight w:val="none"/>
                <w:lang w:val="en-US" w:eastAsia="zh-CN"/>
              </w:rPr>
              <w:t>3</w:t>
            </w:r>
            <w:r>
              <w:rPr>
                <w:b/>
                <w:snapToGrid w:val="0"/>
                <w:color w:val="auto"/>
                <w:kern w:val="0"/>
                <w:szCs w:val="21"/>
                <w:highlight w:val="none"/>
              </w:rPr>
              <w:t>、</w:t>
            </w:r>
            <w:r>
              <w:rPr>
                <w:b/>
                <w:snapToGrid w:val="0"/>
                <w:color w:val="auto"/>
                <w:kern w:val="0"/>
                <w:szCs w:val="21"/>
                <w:highlight w:val="none"/>
                <w:lang w:val="en-GB"/>
              </w:rPr>
              <w:t>地下水环境</w:t>
            </w:r>
            <w:r>
              <w:rPr>
                <w:b/>
                <w:snapToGrid w:val="0"/>
                <w:color w:val="auto"/>
                <w:kern w:val="0"/>
                <w:szCs w:val="21"/>
                <w:highlight w:val="none"/>
              </w:rPr>
              <w:t>质量现状</w:t>
            </w:r>
          </w:p>
          <w:p>
            <w:pPr>
              <w:spacing w:line="360" w:lineRule="auto"/>
              <w:ind w:firstLine="420" w:firstLineChars="200"/>
              <w:outlineLvl w:val="3"/>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 w:val="0"/>
                <w:bCs w:val="0"/>
                <w:snapToGrid w:val="0"/>
                <w:color w:val="auto"/>
                <w:szCs w:val="21"/>
                <w:highlight w:val="none"/>
                <w:lang w:val="en-US" w:eastAsia="zh-CN"/>
              </w:rPr>
              <w:t>本项目采取混凝土罐池及双层油罐的防渗措施。罐池采用防渗钢筋混凝土整体浇筑，并采用中性沙对防渗池进行回填，油罐均为SF双层油罐，自带渗漏检测立管，管道表面做防腐、防锈蚀处理，因此项目发生油品泄漏的可能性较低，若有油品泄漏的情况发生也能立即采取措施以降低对地下水环境的影响</w:t>
            </w:r>
            <w:r>
              <w:rPr>
                <w:rFonts w:hint="eastAsia" w:ascii="Times New Roman" w:hAnsi="Times New Roman" w:cs="Times New Roman"/>
                <w:b w:val="0"/>
                <w:bCs w:val="0"/>
                <w:snapToGrid w:val="0"/>
                <w:color w:val="auto"/>
                <w:szCs w:val="21"/>
                <w:highlight w:val="none"/>
                <w:lang w:val="en-US" w:eastAsia="zh-CN"/>
              </w:rPr>
              <w:t>，</w:t>
            </w:r>
            <w:r>
              <w:rPr>
                <w:rFonts w:hint="eastAsia" w:ascii="Times New Roman" w:hAnsi="Times New Roman" w:cs="Times New Roman"/>
                <w:bCs/>
                <w:color w:val="auto"/>
                <w:szCs w:val="21"/>
                <w:highlight w:val="none"/>
                <w:lang w:val="en-US" w:eastAsia="zh-CN"/>
              </w:rPr>
              <w:t>因此项目没有地下水污染途径，不需进行地下水环境质量现状监测。</w:t>
            </w:r>
          </w:p>
          <w:p>
            <w:pPr>
              <w:spacing w:line="360" w:lineRule="auto"/>
              <w:ind w:firstLine="422" w:firstLineChars="200"/>
              <w:jc w:val="left"/>
              <w:rPr>
                <w:rFonts w:hint="eastAsia"/>
                <w:b/>
                <w:bCs/>
                <w:color w:val="auto"/>
              </w:rPr>
            </w:pPr>
            <w:r>
              <w:rPr>
                <w:rFonts w:hint="eastAsia"/>
                <w:b/>
                <w:snapToGrid w:val="0"/>
                <w:color w:val="auto"/>
                <w:kern w:val="0"/>
                <w:szCs w:val="21"/>
                <w:lang w:val="en-US" w:eastAsia="zh-CN"/>
              </w:rPr>
              <w:t>4</w:t>
            </w:r>
            <w:r>
              <w:rPr>
                <w:rFonts w:hint="eastAsia"/>
                <w:b/>
                <w:snapToGrid w:val="0"/>
                <w:color w:val="auto"/>
                <w:kern w:val="0"/>
                <w:szCs w:val="21"/>
              </w:rPr>
              <w:t>、土壤环境质量现状调查与评价</w:t>
            </w:r>
          </w:p>
          <w:p>
            <w:pPr>
              <w:spacing w:line="360" w:lineRule="auto"/>
              <w:ind w:firstLine="420" w:firstLineChars="200"/>
              <w:jc w:val="left"/>
              <w:rPr>
                <w:b/>
                <w:snapToGrid w:val="0"/>
                <w:color w:val="auto"/>
                <w:kern w:val="0"/>
                <w:szCs w:val="21"/>
              </w:rPr>
            </w:pPr>
            <w:r>
              <w:rPr>
                <w:rFonts w:hint="eastAsia" w:ascii="Times New Roman" w:hAnsi="Times New Roman" w:eastAsia="宋体" w:cs="Times New Roman"/>
                <w:bCs/>
                <w:snapToGrid w:val="0"/>
                <w:color w:val="auto"/>
                <w:kern w:val="0"/>
                <w:szCs w:val="21"/>
              </w:rPr>
              <w:t>根据《建设项目环境影响报告表编制技术指南（污染影响类）》土壤环境原则上不开展环境质量现状调查。建设项目存在土壤污染途径的，应结合污染源、保护目标分布情况开展现状调查以留作背景值。本项目加油站已建成，站内设置</w:t>
            </w:r>
            <w:r>
              <w:rPr>
                <w:rFonts w:hint="eastAsia" w:ascii="Times New Roman" w:hAnsi="Times New Roman" w:eastAsia="宋体" w:cs="Times New Roman"/>
                <w:bCs/>
                <w:snapToGrid w:val="0"/>
                <w:color w:val="auto"/>
                <w:kern w:val="0"/>
                <w:szCs w:val="21"/>
                <w:lang w:val="en-US" w:eastAsia="zh-CN"/>
              </w:rPr>
              <w:t>5</w:t>
            </w:r>
            <w:r>
              <w:rPr>
                <w:rFonts w:hint="eastAsia" w:ascii="Times New Roman" w:hAnsi="Times New Roman" w:eastAsia="宋体" w:cs="Times New Roman"/>
                <w:bCs/>
                <w:snapToGrid w:val="0"/>
                <w:color w:val="auto"/>
                <w:kern w:val="0"/>
                <w:szCs w:val="21"/>
              </w:rPr>
              <w:t>个内钢外玻璃纤维增强塑料双层埋地油品储罐，并设置防渗漏检测仪，站内全部硬化，无土壤环境污染途径，因此，本项目不对项目所在区域土壤环境质量现状进行补充监测</w:t>
            </w:r>
            <w:r>
              <w:rPr>
                <w:rFonts w:hint="eastAsia" w:ascii="Times New Roman" w:hAnsi="Times New Roman" w:eastAsia="宋体" w:cs="Times New Roman"/>
                <w:bCs/>
                <w:snapToGrid w:val="0"/>
                <w:color w:val="auto"/>
                <w:kern w:val="0"/>
                <w:szCs w:val="21"/>
                <w:lang w:eastAsia="zh-CN"/>
              </w:rPr>
              <w:t>，</w:t>
            </w:r>
            <w:r>
              <w:rPr>
                <w:rFonts w:hint="eastAsia" w:ascii="Times New Roman" w:hAnsi="Times New Roman" w:eastAsia="宋体" w:cs="Times New Roman"/>
                <w:bCs/>
                <w:snapToGrid w:val="0"/>
                <w:color w:val="auto"/>
                <w:kern w:val="0"/>
                <w:szCs w:val="21"/>
                <w:lang w:val="en-US" w:eastAsia="zh-CN"/>
              </w:rPr>
              <w:t>项目周边最近敏感点为西侧在建五建花苑小区，</w:t>
            </w:r>
            <w:r>
              <w:rPr>
                <w:rFonts w:hint="eastAsia"/>
                <w:bCs/>
                <w:snapToGrid w:val="0"/>
                <w:color w:val="auto"/>
                <w:kern w:val="0"/>
                <w:szCs w:val="21"/>
              </w:rPr>
              <w:t>为了解项目区域土壤环境质量现状，本次评价委托陕西泽希检测服务有限公司于202</w:t>
            </w:r>
            <w:r>
              <w:rPr>
                <w:rFonts w:hint="eastAsia"/>
                <w:bCs/>
                <w:snapToGrid w:val="0"/>
                <w:color w:val="auto"/>
                <w:kern w:val="0"/>
                <w:szCs w:val="21"/>
                <w:lang w:val="en-US" w:eastAsia="zh-CN"/>
              </w:rPr>
              <w:t>3</w:t>
            </w:r>
            <w:r>
              <w:rPr>
                <w:rFonts w:hint="eastAsia"/>
                <w:bCs/>
                <w:snapToGrid w:val="0"/>
                <w:color w:val="auto"/>
                <w:kern w:val="0"/>
                <w:szCs w:val="21"/>
              </w:rPr>
              <w:t>年</w:t>
            </w:r>
            <w:r>
              <w:rPr>
                <w:rFonts w:hint="eastAsia"/>
                <w:bCs/>
                <w:snapToGrid w:val="0"/>
                <w:color w:val="auto"/>
                <w:kern w:val="0"/>
                <w:szCs w:val="21"/>
                <w:lang w:val="en-US" w:eastAsia="zh-CN"/>
              </w:rPr>
              <w:t>8</w:t>
            </w:r>
            <w:r>
              <w:rPr>
                <w:rFonts w:hint="eastAsia"/>
                <w:bCs/>
                <w:snapToGrid w:val="0"/>
                <w:color w:val="auto"/>
                <w:kern w:val="0"/>
                <w:szCs w:val="21"/>
              </w:rPr>
              <w:t>月2</w:t>
            </w:r>
            <w:r>
              <w:rPr>
                <w:rFonts w:hint="eastAsia"/>
                <w:bCs/>
                <w:snapToGrid w:val="0"/>
                <w:color w:val="auto"/>
                <w:kern w:val="0"/>
                <w:szCs w:val="21"/>
                <w:lang w:val="en-US" w:eastAsia="zh-CN"/>
              </w:rPr>
              <w:t>4</w:t>
            </w:r>
            <w:r>
              <w:rPr>
                <w:rFonts w:hint="eastAsia"/>
                <w:bCs/>
                <w:snapToGrid w:val="0"/>
                <w:color w:val="auto"/>
                <w:kern w:val="0"/>
                <w:szCs w:val="21"/>
              </w:rPr>
              <w:t>日</w:t>
            </w:r>
            <w:r>
              <w:rPr>
                <w:rFonts w:hint="eastAsia"/>
                <w:bCs/>
                <w:snapToGrid w:val="0"/>
                <w:color w:val="auto"/>
                <w:kern w:val="0"/>
                <w:szCs w:val="21"/>
                <w:lang w:val="en-US" w:eastAsia="zh-CN"/>
              </w:rPr>
              <w:t>对项目西侧场地外五建花苑小区</w:t>
            </w:r>
            <w:r>
              <w:rPr>
                <w:rFonts w:hint="eastAsia"/>
                <w:bCs/>
                <w:snapToGrid w:val="0"/>
                <w:color w:val="auto"/>
                <w:kern w:val="0"/>
                <w:szCs w:val="21"/>
              </w:rPr>
              <w:t>进行土壤环境质量现状监测。</w:t>
            </w:r>
            <w:r>
              <w:rPr>
                <w:rFonts w:hint="eastAsia"/>
                <w:bCs/>
                <w:snapToGrid w:val="0"/>
                <w:color w:val="auto"/>
                <w:kern w:val="0"/>
                <w:szCs w:val="21"/>
              </w:rPr>
              <w:t>监测报告及监测点位布置图见附件</w:t>
            </w:r>
            <w:r>
              <w:rPr>
                <w:rFonts w:hint="eastAsia"/>
                <w:bCs/>
                <w:snapToGrid w:val="0"/>
                <w:color w:val="auto"/>
                <w:kern w:val="0"/>
                <w:szCs w:val="21"/>
                <w:lang w:val="en-US" w:eastAsia="zh-CN"/>
              </w:rPr>
              <w:t>7</w:t>
            </w:r>
            <w:r>
              <w:rPr>
                <w:rFonts w:hint="eastAsia"/>
                <w:bCs/>
                <w:snapToGrid w:val="0"/>
                <w:color w:val="auto"/>
                <w:kern w:val="0"/>
                <w:szCs w:val="21"/>
              </w:rPr>
              <w:t>和图</w:t>
            </w:r>
            <w:r>
              <w:rPr>
                <w:rFonts w:hint="eastAsia"/>
                <w:bCs/>
                <w:snapToGrid w:val="0"/>
                <w:color w:val="auto"/>
                <w:kern w:val="0"/>
                <w:szCs w:val="21"/>
                <w:lang w:val="en-US" w:eastAsia="zh-CN"/>
              </w:rPr>
              <w:t>3-1</w:t>
            </w:r>
            <w:r>
              <w:rPr>
                <w:rFonts w:hint="eastAsia"/>
                <w:bCs/>
                <w:snapToGrid w:val="0"/>
                <w:color w:val="auto"/>
                <w:kern w:val="0"/>
                <w:szCs w:val="21"/>
                <w:lang w:eastAsia="zh-CN"/>
              </w:rPr>
              <w:t>，</w:t>
            </w:r>
            <w:r>
              <w:rPr>
                <w:rFonts w:hint="eastAsia"/>
                <w:bCs/>
                <w:snapToGrid w:val="0"/>
                <w:color w:val="auto"/>
                <w:kern w:val="0"/>
                <w:szCs w:val="21"/>
              </w:rPr>
              <w:t>监测结果见表3-</w:t>
            </w:r>
            <w:r>
              <w:rPr>
                <w:rFonts w:hint="eastAsia"/>
                <w:bCs/>
                <w:snapToGrid w:val="0"/>
                <w:color w:val="auto"/>
                <w:kern w:val="0"/>
                <w:szCs w:val="21"/>
                <w:lang w:val="en-US" w:eastAsia="zh-CN"/>
              </w:rPr>
              <w:t>3</w:t>
            </w:r>
            <w:r>
              <w:rPr>
                <w:rFonts w:hint="eastAsia"/>
                <w:bCs/>
                <w:snapToGrid w:val="0"/>
                <w:color w:val="auto"/>
                <w:kern w:val="0"/>
                <w:szCs w:val="21"/>
              </w:rPr>
              <w:t>。</w:t>
            </w:r>
          </w:p>
          <w:p>
            <w:pPr>
              <w:jc w:val="center"/>
              <w:rPr>
                <w:b/>
                <w:bCs w:val="0"/>
                <w:snapToGrid w:val="0"/>
                <w:color w:val="auto"/>
                <w:kern w:val="0"/>
                <w:szCs w:val="21"/>
              </w:rPr>
            </w:pPr>
            <w:r>
              <w:rPr>
                <w:rFonts w:hint="eastAsia"/>
                <w:b/>
                <w:bCs/>
                <w:color w:val="auto"/>
              </w:rPr>
              <w:t>表3-</w:t>
            </w:r>
            <w:r>
              <w:rPr>
                <w:rFonts w:hint="eastAsia"/>
                <w:b/>
                <w:bCs/>
                <w:color w:val="auto"/>
                <w:lang w:val="en-US" w:eastAsia="zh-CN"/>
              </w:rPr>
              <w:t>3</w:t>
            </w:r>
            <w:r>
              <w:rPr>
                <w:rFonts w:hint="eastAsia"/>
                <w:b/>
                <w:bCs/>
                <w:color w:val="auto"/>
                <w:lang w:val="en-US" w:eastAsia="zh-CN"/>
              </w:rPr>
              <w:t xml:space="preserve">  </w:t>
            </w:r>
            <w:r>
              <w:rPr>
                <w:rFonts w:hint="eastAsia"/>
                <w:b/>
                <w:bCs/>
                <w:color w:val="auto"/>
              </w:rPr>
              <w:t>土壤检测结果</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1647"/>
              <w:gridCol w:w="1647"/>
              <w:gridCol w:w="1647"/>
              <w:gridCol w:w="1647"/>
              <w:gridCol w:w="16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47" w:type="dxa"/>
                  <w:noWrap w:val="0"/>
                  <w:vAlign w:val="center"/>
                </w:tcPr>
                <w:p>
                  <w:pPr>
                    <w:keepNext w:val="0"/>
                    <w:keepLines w:val="0"/>
                    <w:pageBreakBefore w:val="0"/>
                    <w:widowControl w:val="0"/>
                    <w:kinsoku/>
                    <w:wordWrap/>
                    <w:overflowPunct/>
                    <w:topLinePunct w:val="0"/>
                    <w:autoSpaceDE/>
                    <w:autoSpaceDN/>
                    <w:bidi w:val="0"/>
                    <w:adjustRightInd/>
                    <w:spacing w:line="240" w:lineRule="exact"/>
                    <w:jc w:val="center"/>
                    <w:textAlignment w:val="auto"/>
                    <w:rPr>
                      <w:rFonts w:hint="eastAsia"/>
                      <w:b/>
                      <w:bCs/>
                      <w:snapToGrid w:val="0"/>
                      <w:color w:val="auto"/>
                      <w:kern w:val="0"/>
                      <w:szCs w:val="21"/>
                      <w:vertAlign w:val="baseline"/>
                    </w:rPr>
                  </w:pPr>
                  <w:r>
                    <w:rPr>
                      <w:rFonts w:hint="eastAsia" w:cs="Times New Roman"/>
                      <w:b/>
                      <w:bCs/>
                      <w:color w:val="auto"/>
                      <w:kern w:val="2"/>
                      <w:sz w:val="21"/>
                      <w:szCs w:val="20"/>
                      <w:lang w:val="en-US" w:eastAsia="zh-CN" w:bidi="ar-SA"/>
                    </w:rPr>
                    <w:t>采样日期</w:t>
                  </w:r>
                </w:p>
              </w:tc>
              <w:tc>
                <w:tcPr>
                  <w:tcW w:w="1647" w:type="dxa"/>
                  <w:noWrap w:val="0"/>
                  <w:vAlign w:val="center"/>
                </w:tcPr>
                <w:p>
                  <w:pPr>
                    <w:keepNext w:val="0"/>
                    <w:keepLines w:val="0"/>
                    <w:pageBreakBefore w:val="0"/>
                    <w:widowControl w:val="0"/>
                    <w:kinsoku/>
                    <w:wordWrap/>
                    <w:overflowPunct/>
                    <w:topLinePunct w:val="0"/>
                    <w:autoSpaceDE/>
                    <w:autoSpaceDN/>
                    <w:bidi w:val="0"/>
                    <w:adjustRightInd/>
                    <w:spacing w:line="240" w:lineRule="exact"/>
                    <w:jc w:val="center"/>
                    <w:textAlignment w:val="auto"/>
                    <w:rPr>
                      <w:rFonts w:hint="eastAsia"/>
                      <w:b/>
                      <w:bCs/>
                      <w:snapToGrid w:val="0"/>
                      <w:color w:val="auto"/>
                      <w:kern w:val="0"/>
                      <w:szCs w:val="21"/>
                      <w:vertAlign w:val="baseline"/>
                    </w:rPr>
                  </w:pPr>
                  <w:r>
                    <w:rPr>
                      <w:rFonts w:hint="eastAsia" w:cs="Times New Roman"/>
                      <w:b/>
                      <w:bCs/>
                      <w:color w:val="auto"/>
                      <w:kern w:val="2"/>
                      <w:sz w:val="21"/>
                      <w:szCs w:val="20"/>
                      <w:lang w:val="en-US" w:eastAsia="zh-CN" w:bidi="ar-SA"/>
                    </w:rPr>
                    <w:t>监测点位</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snapToGrid w:val="0"/>
                      <w:color w:val="auto"/>
                      <w:kern w:val="0"/>
                      <w:szCs w:val="21"/>
                      <w:vertAlign w:val="baseline"/>
                    </w:rPr>
                  </w:pPr>
                  <w:r>
                    <w:rPr>
                      <w:b/>
                      <w:bCs/>
                      <w:color w:val="auto"/>
                      <w:szCs w:val="21"/>
                    </w:rPr>
                    <w:t>监测项目</w:t>
                  </w:r>
                </w:p>
              </w:tc>
              <w:tc>
                <w:tcPr>
                  <w:tcW w:w="1647" w:type="dxa"/>
                  <w:noWrap w:val="0"/>
                  <w:vAlign w:val="center"/>
                </w:tcPr>
                <w:p>
                  <w:pPr>
                    <w:keepNext w:val="0"/>
                    <w:keepLines w:val="0"/>
                    <w:pageBreakBefore w:val="0"/>
                    <w:widowControl w:val="0"/>
                    <w:kinsoku/>
                    <w:wordWrap/>
                    <w:overflowPunct/>
                    <w:topLinePunct w:val="0"/>
                    <w:autoSpaceDE/>
                    <w:autoSpaceDN/>
                    <w:bidi w:val="0"/>
                    <w:adjustRightInd/>
                    <w:spacing w:line="240" w:lineRule="exact"/>
                    <w:jc w:val="center"/>
                    <w:textAlignment w:val="auto"/>
                    <w:rPr>
                      <w:rFonts w:hint="eastAsia"/>
                      <w:b/>
                      <w:bCs/>
                      <w:snapToGrid w:val="0"/>
                      <w:color w:val="auto"/>
                      <w:kern w:val="0"/>
                      <w:szCs w:val="21"/>
                      <w:vertAlign w:val="baseline"/>
                    </w:rPr>
                  </w:pPr>
                  <w:r>
                    <w:rPr>
                      <w:b/>
                      <w:bCs/>
                      <w:color w:val="auto"/>
                      <w:szCs w:val="21"/>
                    </w:rPr>
                    <w:t>监测结果</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snapToGrid w:val="0"/>
                      <w:color w:val="auto"/>
                      <w:kern w:val="0"/>
                      <w:szCs w:val="21"/>
                      <w:vertAlign w:val="baseline"/>
                    </w:rPr>
                  </w:pPr>
                  <w:r>
                    <w:rPr>
                      <w:b/>
                      <w:bCs/>
                      <w:color w:val="auto"/>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restart"/>
                  <w:noWrap w:val="0"/>
                  <w:vAlign w:val="center"/>
                </w:tcPr>
                <w:p>
                  <w:pPr>
                    <w:keepNext w:val="0"/>
                    <w:keepLines w:val="0"/>
                    <w:pageBreakBefore w:val="0"/>
                    <w:widowControl w:val="0"/>
                    <w:kinsoku/>
                    <w:wordWrap/>
                    <w:overflowPunct/>
                    <w:topLinePunct w:val="0"/>
                    <w:autoSpaceDE/>
                    <w:autoSpaceDN/>
                    <w:bidi w:val="0"/>
                    <w:adjustRightInd/>
                    <w:spacing w:line="240" w:lineRule="exact"/>
                    <w:jc w:val="center"/>
                    <w:textAlignment w:val="auto"/>
                    <w:rPr>
                      <w:rFonts w:hint="eastAsia"/>
                      <w:bCs/>
                      <w:snapToGrid w:val="0"/>
                      <w:color w:val="auto"/>
                      <w:kern w:val="0"/>
                      <w:szCs w:val="21"/>
                      <w:vertAlign w:val="baseline"/>
                    </w:rPr>
                  </w:pPr>
                  <w:r>
                    <w:rPr>
                      <w:rFonts w:hint="eastAsia" w:cs="Times New Roman"/>
                      <w:color w:val="auto"/>
                      <w:kern w:val="2"/>
                      <w:sz w:val="21"/>
                      <w:lang w:val="en-US" w:eastAsia="zh-CN" w:bidi="ar-SA"/>
                    </w:rPr>
                    <w:t>2023.08.10</w:t>
                  </w:r>
                </w:p>
              </w:tc>
              <w:tc>
                <w:tcPr>
                  <w:tcW w:w="1647" w:type="dxa"/>
                  <w:vMerge w:val="restart"/>
                  <w:noWrap w:val="0"/>
                  <w:vAlign w:val="center"/>
                </w:tcPr>
                <w:p>
                  <w:pPr>
                    <w:keepNext w:val="0"/>
                    <w:keepLines w:val="0"/>
                    <w:pageBreakBefore w:val="0"/>
                    <w:widowControl w:val="0"/>
                    <w:kinsoku/>
                    <w:wordWrap/>
                    <w:overflowPunct/>
                    <w:topLinePunct w:val="0"/>
                    <w:autoSpaceDE/>
                    <w:autoSpaceDN/>
                    <w:bidi w:val="0"/>
                    <w:adjustRightInd/>
                    <w:spacing w:line="240" w:lineRule="exact"/>
                    <w:jc w:val="center"/>
                    <w:textAlignment w:val="auto"/>
                    <w:rPr>
                      <w:rFonts w:hint="eastAsia"/>
                      <w:bCs/>
                      <w:snapToGrid w:val="0"/>
                      <w:color w:val="auto"/>
                      <w:kern w:val="0"/>
                      <w:szCs w:val="21"/>
                      <w:vertAlign w:val="baseline"/>
                    </w:rPr>
                  </w:pPr>
                  <w:r>
                    <w:rPr>
                      <w:rFonts w:hint="eastAsia" w:cs="Times New Roman"/>
                      <w:color w:val="auto"/>
                      <w:kern w:val="2"/>
                      <w:sz w:val="21"/>
                      <w:lang w:val="en-US" w:eastAsia="zh-CN" w:bidi="ar-SA"/>
                    </w:rPr>
                    <w:t>五建花苑小区</w:t>
                  </w: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ascii="Times New Roman" w:hAnsi="Times New Roman" w:eastAsia="宋体" w:cs="Times New Roman"/>
                      <w:color w:val="auto"/>
                      <w:kern w:val="2"/>
                      <w:sz w:val="21"/>
                      <w:szCs w:val="21"/>
                      <w:lang w:val="en-US" w:eastAsia="zh-CN" w:bidi="ar-SA"/>
                    </w:rPr>
                    <w:t>pH值</w:t>
                  </w: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ascii="Times New Roman" w:hAnsi="Times New Roman" w:eastAsia="宋体" w:cs="Times New Roman"/>
                      <w:color w:val="auto"/>
                      <w:kern w:val="2"/>
                      <w:sz w:val="21"/>
                      <w:szCs w:val="21"/>
                      <w:lang w:val="en-US" w:eastAsia="zh-CN" w:bidi="ar-SA"/>
                    </w:rPr>
                    <w:t>7.96</w:t>
                  </w:r>
                </w:p>
              </w:tc>
              <w:tc>
                <w:tcPr>
                  <w:tcW w:w="1648" w:type="dxa"/>
                  <w:noWrap w:val="0"/>
                  <w:vAlign w:val="center"/>
                </w:tcPr>
                <w:p>
                  <w:pPr>
                    <w:keepNext w:val="0"/>
                    <w:keepLines w:val="0"/>
                    <w:pageBreakBefore w:val="0"/>
                    <w:widowControl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ascii="Times New Roman" w:hAnsi="Times New Roman" w:eastAsia="宋体" w:cs="Times New Roman"/>
                      <w:color w:val="auto"/>
                      <w:sz w:val="21"/>
                      <w:szCs w:val="21"/>
                      <w:lang w:val="en-US" w:eastAsia="zh-CN"/>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240" w:lineRule="auto"/>
                    <w:ind w:left="0" w:leftChars="0" w:right="0" w:rightChars="0" w:firstLine="0" w:firstLineChars="0"/>
                    <w:jc w:val="center"/>
                    <w:textAlignment w:val="auto"/>
                    <w:rPr>
                      <w:rFonts w:hint="eastAsia"/>
                      <w:bCs/>
                      <w:snapToGrid w:val="0"/>
                      <w:color w:val="auto"/>
                      <w:kern w:val="0"/>
                      <w:szCs w:val="21"/>
                      <w:vertAlign w:val="baseline"/>
                    </w:rPr>
                  </w:pPr>
                  <w:r>
                    <w:rPr>
                      <w:rFonts w:hint="eastAsia" w:eastAsia="宋体" w:cs="Times New Roman"/>
                      <w:color w:val="auto"/>
                      <w:kern w:val="2"/>
                      <w:sz w:val="21"/>
                      <w:szCs w:val="21"/>
                      <w:lang w:val="en-US" w:eastAsia="zh-CN" w:bidi="ar"/>
                    </w:rPr>
                    <w:t>石油烃</w:t>
                  </w: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ascii="Times New Roman" w:hAnsi="Times New Roman" w:eastAsia="宋体" w:cs="Times New Roman"/>
                      <w:color w:val="auto"/>
                      <w:kern w:val="2"/>
                      <w:sz w:val="21"/>
                      <w:szCs w:val="21"/>
                      <w:lang w:val="en-US" w:eastAsia="zh-CN" w:bidi="ar-SA"/>
                    </w:rPr>
                    <w:t>6ND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jc w:val="center"/>
                    <w:textAlignment w:val="auto"/>
                    <w:rPr>
                      <w:rFonts w:hint="eastAsia"/>
                      <w:bCs/>
                      <w:snapToGrid w:val="0"/>
                      <w:color w:val="auto"/>
                      <w:kern w:val="0"/>
                      <w:szCs w:val="21"/>
                      <w:vertAlign w:val="baseline"/>
                    </w:rPr>
                  </w:pPr>
                  <w:r>
                    <w:rPr>
                      <w:rFonts w:hint="eastAsia" w:ascii="Times New Roman" w:hAnsi="Times New Roman" w:cs="Times New Roman"/>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default" w:ascii="Times New Roman" w:hAnsi="Times New Roman" w:eastAsia="宋体" w:cs="Times New Roman"/>
                      <w:color w:val="auto"/>
                      <w:kern w:val="2"/>
                      <w:sz w:val="21"/>
                      <w:szCs w:val="21"/>
                      <w:lang w:val="en-US" w:eastAsia="zh-CN" w:bidi="ar-SA"/>
                    </w:rPr>
                    <w:t>砷</w:t>
                  </w: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ascii="Times New Roman" w:hAnsi="Times New Roman" w:eastAsia="宋体" w:cs="Times New Roman"/>
                      <w:color w:val="auto"/>
                      <w:kern w:val="2"/>
                      <w:sz w:val="21"/>
                      <w:szCs w:val="21"/>
                      <w:lang w:val="en-US" w:eastAsia="zh-CN" w:bidi="ar-SA"/>
                    </w:rPr>
                    <w:t>26.8</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ascii="Times New Roman" w:hAnsi="Times New Roman" w:cs="Times New Roman"/>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bCs/>
                      <w:snapToGrid w:val="0"/>
                      <w:color w:val="auto"/>
                      <w:kern w:val="0"/>
                      <w:szCs w:val="21"/>
                      <w:vertAlign w:val="baseline"/>
                    </w:rPr>
                  </w:pPr>
                  <w:r>
                    <w:rPr>
                      <w:rFonts w:hint="default" w:ascii="Times New Roman" w:hAnsi="Times New Roman" w:eastAsia="宋体" w:cs="Times New Roman"/>
                      <w:color w:val="auto"/>
                      <w:kern w:val="2"/>
                      <w:sz w:val="21"/>
                      <w:szCs w:val="21"/>
                      <w:lang w:val="en-US" w:eastAsia="zh-CN" w:bidi="ar-SA"/>
                    </w:rPr>
                    <w:t>镉</w:t>
                  </w: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ascii="Times New Roman" w:hAnsi="Times New Roman" w:eastAsia="宋体" w:cs="Times New Roman"/>
                      <w:color w:val="auto"/>
                      <w:kern w:val="2"/>
                      <w:sz w:val="21"/>
                      <w:szCs w:val="21"/>
                      <w:lang w:val="en-US" w:eastAsia="zh-CN" w:bidi="ar-SA"/>
                    </w:rPr>
                    <w:t>0.01ND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ascii="Times New Roman" w:hAnsi="Times New Roman" w:cs="Times New Roman"/>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eastAsia="宋体" w:cs="Times New Roman"/>
                      <w:color w:val="auto"/>
                      <w:kern w:val="2"/>
                      <w:sz w:val="21"/>
                      <w:szCs w:val="21"/>
                      <w:lang w:val="en-US" w:eastAsia="zh-CN" w:bidi="ar"/>
                    </w:rPr>
                    <w:t>铬（六价）</w:t>
                  </w: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ascii="Times New Roman" w:hAnsi="Times New Roman" w:eastAsia="宋体" w:cs="Times New Roman"/>
                      <w:color w:val="auto"/>
                      <w:kern w:val="2"/>
                      <w:sz w:val="21"/>
                      <w:szCs w:val="21"/>
                      <w:lang w:val="en-US" w:eastAsia="zh-CN" w:bidi="ar-SA"/>
                    </w:rPr>
                    <w:t>0.5ND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ascii="Times New Roman" w:hAnsi="Times New Roman" w:cs="Times New Roman"/>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color w:val="auto"/>
                      <w:szCs w:val="21"/>
                    </w:rPr>
                    <w:t>铜</w:t>
                  </w: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ascii="Times New Roman" w:hAnsi="Times New Roman" w:eastAsia="宋体" w:cs="Times New Roman"/>
                      <w:color w:val="auto"/>
                      <w:kern w:val="2"/>
                      <w:sz w:val="21"/>
                      <w:szCs w:val="21"/>
                      <w:lang w:val="en-US" w:eastAsia="zh-CN" w:bidi="ar-SA"/>
                    </w:rPr>
                    <w:t>36</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ascii="Times New Roman" w:hAnsi="Times New Roman" w:cs="Times New Roman"/>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color w:val="auto"/>
                      <w:szCs w:val="21"/>
                      <w:lang w:val="en-US" w:eastAsia="zh-CN"/>
                    </w:rPr>
                    <w:t>铅</w:t>
                  </w: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ascii="Times New Roman" w:hAnsi="Times New Roman" w:eastAsia="宋体" w:cs="Times New Roman"/>
                      <w:color w:val="auto"/>
                      <w:kern w:val="2"/>
                      <w:sz w:val="21"/>
                      <w:szCs w:val="21"/>
                      <w:lang w:val="en-US" w:eastAsia="zh-CN" w:bidi="ar-SA"/>
                    </w:rPr>
                    <w:t>336</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ascii="Times New Roman" w:hAnsi="Times New Roman" w:cs="Times New Roman"/>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color w:val="auto"/>
                    </w:rPr>
                    <w:t>镍</w:t>
                  </w: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ascii="Times New Roman" w:hAnsi="Times New Roman" w:eastAsia="宋体" w:cs="Times New Roman"/>
                      <w:color w:val="auto"/>
                      <w:kern w:val="2"/>
                      <w:sz w:val="21"/>
                      <w:szCs w:val="21"/>
                      <w:lang w:val="en-US" w:eastAsia="zh-CN" w:bidi="ar-SA"/>
                    </w:rPr>
                    <w:t>0.285</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ascii="Times New Roman" w:hAnsi="Times New Roman" w:cs="Times New Roman"/>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bCs/>
                      <w:snapToGrid w:val="0"/>
                      <w:color w:val="auto"/>
                      <w:kern w:val="0"/>
                      <w:szCs w:val="21"/>
                      <w:vertAlign w:val="baseline"/>
                    </w:rPr>
                  </w:pPr>
                  <w:r>
                    <w:rPr>
                      <w:rFonts w:hint="default" w:ascii="Times New Roman" w:hAnsi="Times New Roman" w:eastAsia="宋体" w:cs="Times New Roman"/>
                      <w:color w:val="auto"/>
                      <w:kern w:val="2"/>
                      <w:sz w:val="21"/>
                      <w:szCs w:val="21"/>
                      <w:lang w:val="en-US" w:eastAsia="zh-CN" w:bidi="ar-SA"/>
                    </w:rPr>
                    <w:t>汞</w:t>
                  </w: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eastAsia" w:ascii="Times New Roman" w:hAnsi="Times New Roman" w:eastAsia="宋体" w:cs="Times New Roman"/>
                      <w:color w:val="auto"/>
                      <w:kern w:val="2"/>
                      <w:sz w:val="21"/>
                      <w:szCs w:val="21"/>
                      <w:lang w:val="en-US" w:eastAsia="zh-CN" w:bidi="ar-SA"/>
                    </w:rPr>
                    <w:t>54</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ascii="Times New Roman" w:hAnsi="Times New Roman" w:cs="Times New Roman"/>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color w:val="auto"/>
                      <w:szCs w:val="21"/>
                    </w:rPr>
                    <w:t>四氯化碳</w:t>
                  </w:r>
                </w:p>
              </w:tc>
              <w:tc>
                <w:tcPr>
                  <w:tcW w:w="1647" w:type="dxa"/>
                  <w:noWrap w:val="0"/>
                  <w:vAlign w:val="center"/>
                </w:tcPr>
                <w:p>
                  <w:pPr>
                    <w:keepNext w:val="0"/>
                    <w:keepLines w:val="0"/>
                    <w:pageBreakBefore w:val="0"/>
                    <w:widowControl/>
                    <w:suppressLineNumbers w:val="0"/>
                    <w:kinsoku/>
                    <w:wordWrap/>
                    <w:overflowPunct/>
                    <w:topLinePunct w:val="0"/>
                    <w:autoSpaceDE/>
                    <w:autoSpaceDN/>
                    <w:bidi w:val="0"/>
                    <w:adjustRightInd/>
                    <w:spacing w:line="240" w:lineRule="auto"/>
                    <w:jc w:val="center"/>
                    <w:textAlignment w:val="auto"/>
                    <w:rPr>
                      <w:rFonts w:hint="eastAsia"/>
                      <w:bCs/>
                      <w:snapToGrid w:val="0"/>
                      <w:color w:val="auto"/>
                      <w:kern w:val="0"/>
                      <w:szCs w:val="21"/>
                      <w:vertAlign w:val="baseline"/>
                    </w:rPr>
                  </w:pPr>
                  <w:r>
                    <w:rPr>
                      <w:rFonts w:hint="default" w:ascii="Times New Roman" w:hAnsi="Times New Roman" w:eastAsia="宋体" w:cs="Times New Roman"/>
                      <w:color w:val="auto"/>
                      <w:kern w:val="2"/>
                      <w:sz w:val="21"/>
                      <w:szCs w:val="21"/>
                      <w:lang w:val="en-US" w:eastAsia="zh-CN" w:bidi="ar-SA"/>
                    </w:rPr>
                    <w:t>1.3</w:t>
                  </w:r>
                  <w:r>
                    <w:rPr>
                      <w:rFonts w:hint="eastAsia" w:ascii="Times New Roman" w:hAnsi="Times New Roman" w:eastAsia="宋体" w:cs="Times New Roman"/>
                      <w:color w:val="auto"/>
                      <w:kern w:val="2"/>
                      <w:sz w:val="21"/>
                      <w:szCs w:val="21"/>
                      <w:lang w:val="en-US" w:eastAsia="zh-CN" w:bidi="ar-SA"/>
                    </w:rPr>
                    <w:t>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color w:val="auto"/>
                      <w:szCs w:val="21"/>
                    </w:rPr>
                    <w:t>氯仿</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default" w:ascii="Times New Roman" w:hAnsi="Times New Roman" w:eastAsia="宋体" w:cs="Times New Roman"/>
                      <w:color w:val="auto"/>
                      <w:szCs w:val="21"/>
                      <w:lang w:val="en-US" w:eastAsia="zh-CN"/>
                    </w:rPr>
                    <w:t>1.1</w:t>
                  </w:r>
                  <w:r>
                    <w:rPr>
                      <w:rFonts w:hint="eastAsia" w:ascii="Times New Roman" w:hAnsi="Times New Roman" w:eastAsia="宋体" w:cs="Times New Roman"/>
                      <w:color w:val="auto"/>
                      <w:szCs w:val="21"/>
                      <w:lang w:val="en-US" w:eastAsia="zh-CN"/>
                    </w:rPr>
                    <w:t>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color w:val="auto"/>
                      <w:szCs w:val="21"/>
                    </w:rPr>
                    <w:t>氯甲烷</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1.0ND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color w:val="auto"/>
                      <w:kern w:val="0"/>
                      <w:szCs w:val="21"/>
                    </w:rPr>
                    <w:t>1,1-二氯乙烷</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1.2ND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color w:val="auto"/>
                      <w:kern w:val="0"/>
                      <w:szCs w:val="21"/>
                    </w:rPr>
                    <w:t>1,2-二氯乙烷</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1.3ND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color w:val="auto"/>
                      <w:kern w:val="0"/>
                      <w:szCs w:val="21"/>
                    </w:rPr>
                    <w:t>1,1-二氯乙烯</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1.0ND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color w:val="auto"/>
                      <w:kern w:val="0"/>
                      <w:szCs w:val="21"/>
                    </w:rPr>
                    <w:t>顺</w:t>
                  </w:r>
                  <w:r>
                    <w:rPr>
                      <w:rFonts w:hint="eastAsia"/>
                      <w:color w:val="auto"/>
                      <w:kern w:val="0"/>
                      <w:szCs w:val="21"/>
                      <w:lang w:eastAsia="zh-CN"/>
                    </w:rPr>
                    <w:t>式</w:t>
                  </w:r>
                  <w:r>
                    <w:rPr>
                      <w:color w:val="auto"/>
                      <w:kern w:val="0"/>
                      <w:szCs w:val="21"/>
                    </w:rPr>
                    <w:t>-1,2-二氯乙烯</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1.3ND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color w:val="auto"/>
                      <w:kern w:val="0"/>
                      <w:szCs w:val="21"/>
                    </w:rPr>
                    <w:t>反</w:t>
                  </w:r>
                  <w:r>
                    <w:rPr>
                      <w:rFonts w:hint="eastAsia"/>
                      <w:color w:val="auto"/>
                      <w:kern w:val="0"/>
                      <w:szCs w:val="21"/>
                      <w:lang w:eastAsia="zh-CN"/>
                    </w:rPr>
                    <w:t>式</w:t>
                  </w:r>
                  <w:r>
                    <w:rPr>
                      <w:color w:val="auto"/>
                      <w:kern w:val="0"/>
                      <w:szCs w:val="21"/>
                    </w:rPr>
                    <w:t>-1,2-二氯乙烯</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1.4ND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color w:val="auto"/>
                      <w:kern w:val="0"/>
                      <w:szCs w:val="21"/>
                    </w:rPr>
                    <w:t>二氯甲烷</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1.5ND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color w:val="auto"/>
                      <w:kern w:val="0"/>
                      <w:szCs w:val="21"/>
                    </w:rPr>
                    <w:t>1,2-二氯丙烷</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1.1ND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color w:val="auto"/>
                      <w:kern w:val="0"/>
                      <w:szCs w:val="21"/>
                    </w:rPr>
                    <w:t>1,1,1,2-四氯乙烷</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1.2ND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color w:val="auto"/>
                      <w:kern w:val="0"/>
                      <w:szCs w:val="21"/>
                    </w:rPr>
                    <w:t>1,1,2,2-四氯乙烷</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1.2ND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color w:val="auto"/>
                      <w:kern w:val="0"/>
                      <w:szCs w:val="21"/>
                    </w:rPr>
                    <w:t>四氯乙烯</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1.4ND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color w:val="auto"/>
                      <w:kern w:val="0"/>
                      <w:szCs w:val="21"/>
                    </w:rPr>
                    <w:t>1,1,1-三氯乙烷</w:t>
                  </w:r>
                </w:p>
              </w:tc>
              <w:tc>
                <w:tcPr>
                  <w:tcW w:w="1647" w:type="dxa"/>
                  <w:noWrap w:val="0"/>
                  <w:vAlign w:val="center"/>
                </w:tcPr>
                <w:p>
                  <w:pPr>
                    <w:snapToGrid w:val="0"/>
                    <w:spacing w:line="240" w:lineRule="auto"/>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1.3ND</w:t>
                  </w:r>
                </w:p>
              </w:tc>
              <w:tc>
                <w:tcPr>
                  <w:tcW w:w="1648" w:type="dxa"/>
                  <w:noWrap w:val="0"/>
                  <w:vAlign w:val="center"/>
                </w:tcPr>
                <w:p>
                  <w:pPr>
                    <w:spacing w:line="240" w:lineRule="auto"/>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color w:val="auto"/>
                      <w:kern w:val="0"/>
                      <w:szCs w:val="21"/>
                    </w:rPr>
                    <w:t>1,1,2-三氯乙烷</w:t>
                  </w:r>
                </w:p>
              </w:tc>
              <w:tc>
                <w:tcPr>
                  <w:tcW w:w="1647" w:type="dxa"/>
                  <w:noWrap w:val="0"/>
                  <w:vAlign w:val="center"/>
                </w:tcPr>
                <w:p>
                  <w:pPr>
                    <w:snapToGrid w:val="0"/>
                    <w:spacing w:line="300" w:lineRule="exact"/>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1.2ND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color w:val="auto"/>
                      <w:kern w:val="0"/>
                      <w:szCs w:val="21"/>
                    </w:rPr>
                    <w:t>三氯乙烯</w:t>
                  </w:r>
                </w:p>
              </w:tc>
              <w:tc>
                <w:tcPr>
                  <w:tcW w:w="1647" w:type="dxa"/>
                  <w:noWrap w:val="0"/>
                  <w:vAlign w:val="center"/>
                </w:tcPr>
                <w:p>
                  <w:pPr>
                    <w:snapToGrid w:val="0"/>
                    <w:spacing w:line="300" w:lineRule="exact"/>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1.2ND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color w:val="auto"/>
                      <w:kern w:val="0"/>
                      <w:szCs w:val="21"/>
                    </w:rPr>
                    <w:t>1,2,3-</w:t>
                  </w:r>
                  <w:r>
                    <w:rPr>
                      <w:rFonts w:hint="eastAsia"/>
                      <w:color w:val="auto"/>
                      <w:kern w:val="0"/>
                      <w:szCs w:val="21"/>
                    </w:rPr>
                    <w:t>三</w:t>
                  </w:r>
                  <w:r>
                    <w:rPr>
                      <w:color w:val="auto"/>
                      <w:kern w:val="0"/>
                      <w:szCs w:val="21"/>
                    </w:rPr>
                    <w:t>氯丙烷</w:t>
                  </w:r>
                </w:p>
              </w:tc>
              <w:tc>
                <w:tcPr>
                  <w:tcW w:w="1647" w:type="dxa"/>
                  <w:noWrap w:val="0"/>
                  <w:vAlign w:val="center"/>
                </w:tcPr>
                <w:p>
                  <w:pPr>
                    <w:snapToGrid w:val="0"/>
                    <w:spacing w:line="300" w:lineRule="exact"/>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1.2ND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color w:val="auto"/>
                      <w:kern w:val="0"/>
                      <w:szCs w:val="21"/>
                    </w:rPr>
                    <w:t>氯乙烯</w:t>
                  </w:r>
                </w:p>
              </w:tc>
              <w:tc>
                <w:tcPr>
                  <w:tcW w:w="1647" w:type="dxa"/>
                  <w:noWrap w:val="0"/>
                  <w:vAlign w:val="center"/>
                </w:tcPr>
                <w:p>
                  <w:pPr>
                    <w:snapToGrid w:val="0"/>
                    <w:spacing w:line="300" w:lineRule="exact"/>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1.0ND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color w:val="auto"/>
                      <w:kern w:val="0"/>
                      <w:szCs w:val="21"/>
                    </w:rPr>
                    <w:t>苯</w:t>
                  </w:r>
                </w:p>
              </w:tc>
              <w:tc>
                <w:tcPr>
                  <w:tcW w:w="1647" w:type="dxa"/>
                  <w:noWrap w:val="0"/>
                  <w:vAlign w:val="center"/>
                </w:tcPr>
                <w:p>
                  <w:pPr>
                    <w:snapToGrid w:val="0"/>
                    <w:spacing w:line="300" w:lineRule="exact"/>
                    <w:jc w:val="center"/>
                    <w:rPr>
                      <w:rFonts w:hint="eastAsia"/>
                      <w:bCs/>
                      <w:snapToGrid w:val="0"/>
                      <w:color w:val="auto"/>
                      <w:kern w:val="0"/>
                      <w:szCs w:val="21"/>
                      <w:vertAlign w:val="baseline"/>
                    </w:rPr>
                  </w:pPr>
                  <w:r>
                    <w:rPr>
                      <w:rFonts w:hint="eastAsia" w:ascii="Times New Roman" w:hAnsi="Times New Roman" w:eastAsia="宋体" w:cs="Times New Roman"/>
                      <w:color w:val="auto"/>
                      <w:szCs w:val="21"/>
                      <w:lang w:val="en-US" w:eastAsia="zh-CN"/>
                    </w:rPr>
                    <w:t>1.9ND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bCs/>
                      <w:snapToGrid w:val="0"/>
                      <w:color w:val="auto"/>
                      <w:kern w:val="0"/>
                      <w:szCs w:val="21"/>
                      <w:vertAlign w:val="baseline"/>
                    </w:rPr>
                  </w:pPr>
                  <w:r>
                    <w:rPr>
                      <w:color w:val="auto"/>
                      <w:kern w:val="0"/>
                      <w:szCs w:val="21"/>
                    </w:rPr>
                    <w:t>氯苯</w:t>
                  </w:r>
                </w:p>
              </w:tc>
              <w:tc>
                <w:tcPr>
                  <w:tcW w:w="1647" w:type="dxa"/>
                  <w:noWrap w:val="0"/>
                  <w:vAlign w:val="center"/>
                </w:tcPr>
                <w:p>
                  <w:pPr>
                    <w:snapToGrid w:val="0"/>
                    <w:spacing w:line="300" w:lineRule="exact"/>
                    <w:jc w:val="center"/>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1.2ND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bCs/>
                      <w:snapToGrid w:val="0"/>
                      <w:color w:val="auto"/>
                      <w:kern w:val="0"/>
                      <w:szCs w:val="21"/>
                      <w:vertAlign w:val="baseline"/>
                    </w:rPr>
                  </w:pPr>
                  <w:r>
                    <w:rPr>
                      <w:color w:val="auto"/>
                      <w:kern w:val="0"/>
                      <w:szCs w:val="21"/>
                    </w:rPr>
                    <w:t>1,2-二氯苯</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1.5ND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bCs/>
                      <w:snapToGrid w:val="0"/>
                      <w:color w:val="auto"/>
                      <w:kern w:val="0"/>
                      <w:szCs w:val="21"/>
                      <w:vertAlign w:val="baseline"/>
                    </w:rPr>
                  </w:pPr>
                  <w:r>
                    <w:rPr>
                      <w:color w:val="auto"/>
                      <w:kern w:val="0"/>
                      <w:szCs w:val="21"/>
                    </w:rPr>
                    <w:t>1,4-二氯苯</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1.5ND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bCs/>
                      <w:snapToGrid w:val="0"/>
                      <w:color w:val="auto"/>
                      <w:kern w:val="0"/>
                      <w:szCs w:val="21"/>
                      <w:vertAlign w:val="baseline"/>
                    </w:rPr>
                  </w:pPr>
                  <w:r>
                    <w:rPr>
                      <w:color w:val="auto"/>
                      <w:kern w:val="0"/>
                      <w:szCs w:val="21"/>
                    </w:rPr>
                    <w:t>乙苯</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1.2ND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bCs/>
                      <w:snapToGrid w:val="0"/>
                      <w:color w:val="auto"/>
                      <w:kern w:val="0"/>
                      <w:szCs w:val="21"/>
                      <w:vertAlign w:val="baseline"/>
                    </w:rPr>
                  </w:pPr>
                  <w:r>
                    <w:rPr>
                      <w:color w:val="auto"/>
                      <w:kern w:val="0"/>
                      <w:szCs w:val="21"/>
                    </w:rPr>
                    <w:t>苯乙烯</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1.1ND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bCs/>
                      <w:snapToGrid w:val="0"/>
                      <w:color w:val="auto"/>
                      <w:kern w:val="0"/>
                      <w:szCs w:val="21"/>
                      <w:vertAlign w:val="baseline"/>
                    </w:rPr>
                  </w:pPr>
                  <w:r>
                    <w:rPr>
                      <w:color w:val="auto"/>
                      <w:kern w:val="0"/>
                      <w:szCs w:val="21"/>
                    </w:rPr>
                    <w:t>甲苯</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1.3ND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bCs/>
                      <w:snapToGrid w:val="0"/>
                      <w:color w:val="auto"/>
                      <w:kern w:val="0"/>
                      <w:szCs w:val="21"/>
                      <w:vertAlign w:val="baseline"/>
                    </w:rPr>
                  </w:pPr>
                  <w:r>
                    <w:rPr>
                      <w:color w:val="auto"/>
                      <w:kern w:val="0"/>
                      <w:szCs w:val="21"/>
                    </w:rPr>
                    <w:t>间二甲苯</w:t>
                  </w:r>
                  <w:r>
                    <w:rPr>
                      <w:rFonts w:hint="eastAsia"/>
                      <w:color w:val="auto"/>
                      <w:kern w:val="0"/>
                      <w:szCs w:val="21"/>
                      <w:lang w:val="en-US" w:eastAsia="zh-CN"/>
                    </w:rPr>
                    <w:t>+</w:t>
                  </w:r>
                  <w:r>
                    <w:rPr>
                      <w:color w:val="auto"/>
                      <w:kern w:val="0"/>
                      <w:szCs w:val="21"/>
                    </w:rPr>
                    <w:t>对二甲苯</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1.2ND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bCs/>
                      <w:snapToGrid w:val="0"/>
                      <w:color w:val="auto"/>
                      <w:kern w:val="0"/>
                      <w:szCs w:val="21"/>
                      <w:vertAlign w:val="baseline"/>
                    </w:rPr>
                  </w:pPr>
                  <w:r>
                    <w:rPr>
                      <w:color w:val="auto"/>
                      <w:kern w:val="0"/>
                      <w:szCs w:val="21"/>
                    </w:rPr>
                    <w:t>邻二甲苯</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1.2ND</w:t>
                  </w:r>
                </w:p>
              </w:tc>
              <w:tc>
                <w:tcPr>
                  <w:tcW w:w="1648" w:type="dxa"/>
                  <w:noWrap w:val="0"/>
                  <w:vAlign w:val="center"/>
                </w:tcPr>
                <w:p>
                  <w:pPr>
                    <w:jc w:val="center"/>
                    <w:rPr>
                      <w:rFonts w:hint="eastAsia"/>
                      <w:bCs/>
                      <w:snapToGrid w:val="0"/>
                      <w:color w:val="auto"/>
                      <w:kern w:val="0"/>
                      <w:szCs w:val="21"/>
                      <w:vertAlign w:val="baseline"/>
                    </w:rPr>
                  </w:pPr>
                  <w:r>
                    <w:rPr>
                      <w:rFonts w:hint="default"/>
                      <w:color w:val="auto"/>
                      <w:szCs w:val="21"/>
                      <w:lang w:val="en-US" w:eastAsia="zh-CN"/>
                    </w:rPr>
                    <w:t>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bCs/>
                      <w:snapToGrid w:val="0"/>
                      <w:color w:val="auto"/>
                      <w:kern w:val="0"/>
                      <w:szCs w:val="21"/>
                      <w:vertAlign w:val="baseline"/>
                    </w:rPr>
                  </w:pPr>
                  <w:r>
                    <w:rPr>
                      <w:color w:val="auto"/>
                      <w:kern w:val="0"/>
                      <w:szCs w:val="21"/>
                    </w:rPr>
                    <w:t>苯胺</w:t>
                  </w:r>
                </w:p>
              </w:tc>
              <w:tc>
                <w:tcPr>
                  <w:tcW w:w="1647" w:type="dxa"/>
                  <w:noWrap w:val="0"/>
                  <w:vAlign w:val="center"/>
                </w:tcPr>
                <w:p>
                  <w:pPr>
                    <w:spacing w:line="300" w:lineRule="exact"/>
                    <w:jc w:val="center"/>
                    <w:rPr>
                      <w:rFonts w:hint="eastAsia"/>
                      <w:bCs/>
                      <w:snapToGrid w:val="0"/>
                      <w:color w:val="auto"/>
                      <w:kern w:val="0"/>
                      <w:szCs w:val="21"/>
                      <w:vertAlign w:val="baseline"/>
                    </w:rPr>
                  </w:pPr>
                  <w:r>
                    <w:rPr>
                      <w:rFonts w:hint="eastAsia"/>
                      <w:color w:val="auto"/>
                      <w:szCs w:val="21"/>
                      <w:lang w:val="en-US" w:eastAsia="zh-CN"/>
                    </w:rPr>
                    <w:t>0.02</w:t>
                  </w:r>
                  <w:r>
                    <w:rPr>
                      <w:rFonts w:hint="eastAsia" w:ascii="Times New Roman" w:hAnsi="Times New Roman" w:cs="Times New Roman"/>
                      <w:i w:val="0"/>
                      <w:iCs w:val="0"/>
                      <w:snapToGrid w:val="0"/>
                      <w:color w:val="auto"/>
                      <w:spacing w:val="0"/>
                      <w:kern w:val="0"/>
                      <w:sz w:val="21"/>
                      <w:szCs w:val="21"/>
                      <w:highlight w:val="none"/>
                      <w:lang w:val="en-US" w:eastAsia="zh-CN"/>
                    </w:rPr>
                    <w:t>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rFonts w:hint="eastAsia"/>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bCs/>
                      <w:snapToGrid w:val="0"/>
                      <w:color w:val="auto"/>
                      <w:kern w:val="0"/>
                      <w:szCs w:val="21"/>
                      <w:vertAlign w:val="baseline"/>
                    </w:rPr>
                  </w:pPr>
                  <w:r>
                    <w:rPr>
                      <w:rFonts w:hint="eastAsia"/>
                      <w:color w:val="auto"/>
                      <w:szCs w:val="21"/>
                    </w:rPr>
                    <w:t>硝基苯</w:t>
                  </w:r>
                </w:p>
              </w:tc>
              <w:tc>
                <w:tcPr>
                  <w:tcW w:w="1647" w:type="dxa"/>
                  <w:noWrap w:val="0"/>
                  <w:vAlign w:val="center"/>
                </w:tcPr>
                <w:p>
                  <w:pPr>
                    <w:pStyle w:val="63"/>
                    <w:tabs>
                      <w:tab w:val="center" w:pos="912"/>
                      <w:tab w:val="right" w:pos="1704"/>
                    </w:tabs>
                    <w:autoSpaceDE/>
                    <w:autoSpaceDN/>
                    <w:spacing w:line="300" w:lineRule="exact"/>
                    <w:jc w:val="center"/>
                    <w:rPr>
                      <w:rFonts w:hint="eastAsia"/>
                      <w:bCs/>
                      <w:snapToGrid w:val="0"/>
                      <w:color w:val="auto"/>
                      <w:kern w:val="0"/>
                      <w:szCs w:val="21"/>
                      <w:vertAlign w:val="baseline"/>
                    </w:rPr>
                  </w:pPr>
                  <w:r>
                    <w:rPr>
                      <w:rFonts w:ascii="Times New Roman" w:hAnsi="Times New Roman"/>
                      <w:color w:val="auto"/>
                      <w:sz w:val="21"/>
                      <w:szCs w:val="21"/>
                    </w:rPr>
                    <w:t>0.09</w:t>
                  </w:r>
                  <w:r>
                    <w:rPr>
                      <w:rFonts w:hint="eastAsia" w:ascii="Times New Roman" w:hAnsi="Times New Roman" w:cs="Times New Roman"/>
                      <w:i w:val="0"/>
                      <w:iCs w:val="0"/>
                      <w:snapToGrid w:val="0"/>
                      <w:color w:val="auto"/>
                      <w:spacing w:val="0"/>
                      <w:kern w:val="0"/>
                      <w:sz w:val="21"/>
                      <w:szCs w:val="21"/>
                      <w:highlight w:val="none"/>
                      <w:lang w:val="en-US" w:eastAsia="zh-CN"/>
                    </w:rPr>
                    <w:t>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rFonts w:hint="eastAsia"/>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pStyle w:val="7"/>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2-氯酚</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0.06ND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rFonts w:hint="eastAsia"/>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苯并[a]蒽</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0.1ND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rFonts w:hint="eastAsia"/>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苯并[a]芘</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0.1ND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rFonts w:hint="eastAsia"/>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color w:val="auto"/>
                      <w:kern w:val="0"/>
                      <w:szCs w:val="21"/>
                    </w:rPr>
                    <w:t>苯并[b]荧蒽</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0.2ND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rFonts w:hint="eastAsia"/>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color w:val="auto"/>
                      <w:kern w:val="0"/>
                      <w:szCs w:val="21"/>
                    </w:rPr>
                    <w:t>苯并[k]荧蒽</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0.1ND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color w:val="auto"/>
                      <w:kern w:val="0"/>
                      <w:szCs w:val="21"/>
                    </w:rPr>
                    <w:t>䓛</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0.1ND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bCs/>
                      <w:snapToGrid w:val="0"/>
                      <w:color w:val="auto"/>
                      <w:kern w:val="0"/>
                      <w:szCs w:val="21"/>
                      <w:vertAlign w:val="baseline"/>
                    </w:rPr>
                  </w:pPr>
                  <w:r>
                    <w:rPr>
                      <w:color w:val="auto"/>
                      <w:kern w:val="0"/>
                      <w:szCs w:val="21"/>
                    </w:rPr>
                    <w:t>二苯并[a,h]蒽</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0.1ND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exact"/>
                    <w:ind w:left="-105" w:leftChars="-50" w:right="-105" w:rightChars="-50"/>
                    <w:jc w:val="center"/>
                    <w:textAlignment w:val="auto"/>
                    <w:rPr>
                      <w:rFonts w:hint="eastAsia"/>
                      <w:bCs/>
                      <w:snapToGrid w:val="0"/>
                      <w:color w:val="auto"/>
                      <w:kern w:val="0"/>
                      <w:szCs w:val="21"/>
                      <w:vertAlign w:val="baseline"/>
                    </w:rPr>
                  </w:pPr>
                  <w:r>
                    <w:rPr>
                      <w:color w:val="auto"/>
                      <w:kern w:val="0"/>
                      <w:szCs w:val="21"/>
                    </w:rPr>
                    <w:t>茚并[1,2,3-cd]芘</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0.1ND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color w:val="auto"/>
                      <w:szCs w:val="21"/>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vMerge w:val="continue"/>
                  <w:noWrap w:val="0"/>
                  <w:vAlign w:val="top"/>
                </w:tcPr>
                <w:p>
                  <w:pPr>
                    <w:spacing w:line="360" w:lineRule="auto"/>
                    <w:rPr>
                      <w:rFonts w:hint="eastAsia"/>
                      <w:bCs/>
                      <w:snapToGrid w:val="0"/>
                      <w:color w:val="auto"/>
                      <w:kern w:val="0"/>
                      <w:szCs w:val="21"/>
                      <w:vertAlign w:val="baseline"/>
                    </w:rPr>
                  </w:pPr>
                </w:p>
              </w:tc>
              <w:tc>
                <w:tcPr>
                  <w:tcW w:w="1647" w:type="dxa"/>
                  <w:noWrap w:val="0"/>
                  <w:vAlign w:val="center"/>
                </w:tcPr>
                <w:p>
                  <w:pPr>
                    <w:keepNext w:val="0"/>
                    <w:keepLines w:val="0"/>
                    <w:pageBreakBefore w:val="0"/>
                    <w:kinsoku/>
                    <w:wordWrap/>
                    <w:overflowPunct/>
                    <w:topLinePunct w:val="0"/>
                    <w:autoSpaceDE/>
                    <w:autoSpaceDN/>
                    <w:bidi w:val="0"/>
                    <w:spacing w:line="240" w:lineRule="exact"/>
                    <w:jc w:val="center"/>
                    <w:textAlignment w:val="auto"/>
                    <w:rPr>
                      <w:rFonts w:hint="eastAsia"/>
                      <w:bCs/>
                      <w:snapToGrid w:val="0"/>
                      <w:color w:val="auto"/>
                      <w:kern w:val="0"/>
                      <w:szCs w:val="21"/>
                      <w:vertAlign w:val="baseline"/>
                    </w:rPr>
                  </w:pPr>
                  <w:r>
                    <w:rPr>
                      <w:color w:val="auto"/>
                      <w:kern w:val="0"/>
                      <w:szCs w:val="21"/>
                    </w:rPr>
                    <w:t>萘</w:t>
                  </w:r>
                </w:p>
              </w:tc>
              <w:tc>
                <w:tcPr>
                  <w:tcW w:w="1647"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left="0" w:leftChars="0" w:right="0" w:rightChars="0" w:firstLine="0" w:firstLineChars="0"/>
                    <w:jc w:val="center"/>
                    <w:textAlignment w:val="auto"/>
                    <w:rPr>
                      <w:rFonts w:hint="eastAsia"/>
                      <w:bCs/>
                      <w:snapToGrid w:val="0"/>
                      <w:color w:val="auto"/>
                      <w:kern w:val="0"/>
                      <w:szCs w:val="21"/>
                      <w:vertAlign w:val="baseline"/>
                    </w:rPr>
                  </w:pPr>
                  <w:r>
                    <w:rPr>
                      <w:rFonts w:hint="eastAsia" w:ascii="Times New Roman" w:hAnsi="Times New Roman" w:cs="Times New Roman"/>
                      <w:i w:val="0"/>
                      <w:iCs w:val="0"/>
                      <w:snapToGrid w:val="0"/>
                      <w:color w:val="auto"/>
                      <w:spacing w:val="0"/>
                      <w:kern w:val="0"/>
                      <w:sz w:val="21"/>
                      <w:szCs w:val="21"/>
                      <w:highlight w:val="none"/>
                      <w:lang w:val="en-US" w:eastAsia="zh-CN"/>
                    </w:rPr>
                    <w:t>0.09ND</w:t>
                  </w:r>
                </w:p>
              </w:tc>
              <w:tc>
                <w:tcPr>
                  <w:tcW w:w="164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Cs/>
                      <w:snapToGrid w:val="0"/>
                      <w:color w:val="auto"/>
                      <w:kern w:val="0"/>
                      <w:szCs w:val="21"/>
                      <w:vertAlign w:val="baseline"/>
                    </w:rPr>
                  </w:pPr>
                  <w:r>
                    <w:rPr>
                      <w:rFonts w:hint="eastAsia"/>
                      <w:color w:val="auto"/>
                      <w:szCs w:val="21"/>
                    </w:rPr>
                    <w:t>mg/kg</w:t>
                  </w:r>
                </w:p>
              </w:tc>
            </w:tr>
          </w:tbl>
          <w:p>
            <w:pPr>
              <w:spacing w:line="360" w:lineRule="auto"/>
              <w:ind w:firstLine="420" w:firstLineChars="200"/>
              <w:rPr>
                <w:kern w:val="0"/>
                <w:szCs w:val="21"/>
              </w:rPr>
            </w:pPr>
            <w:r>
              <w:rPr>
                <w:rFonts w:hint="eastAsia"/>
                <w:bCs/>
                <w:snapToGrid w:val="0"/>
                <w:color w:val="auto"/>
                <w:kern w:val="0"/>
                <w:szCs w:val="21"/>
              </w:rPr>
              <w:t>根据上表可知，土壤监测因子满足《土壤环境质量建设用地土壤污染风险管控标准》（试行）（GB36600-2018）中筛选值第二类用地标准限值。本项目所在地土壤环境质量现状较好。</w:t>
            </w:r>
          </w:p>
        </w:tc>
      </w:tr>
    </w:tbl>
    <w:p>
      <w:pPr>
        <w:adjustRightInd w:val="0"/>
        <w:snapToGrid w:val="0"/>
        <w:jc w:val="center"/>
        <w:rPr>
          <w:kern w:val="0"/>
          <w:szCs w:val="21"/>
        </w:rPr>
        <w:sectPr>
          <w:pgSz w:w="11907" w:h="16840"/>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p>
    <w:p>
      <w:pPr>
        <w:adjustRightInd w:val="0"/>
        <w:snapToGrid w:val="0"/>
        <w:jc w:val="center"/>
        <w:rPr>
          <w:rFonts w:hint="eastAsia" w:eastAsia="宋体"/>
          <w:kern w:val="0"/>
          <w:szCs w:val="21"/>
          <w:lang w:eastAsia="zh-CN"/>
        </w:rPr>
      </w:pPr>
      <w:r>
        <w:rPr>
          <w:rFonts w:hint="eastAsia" w:eastAsia="宋体"/>
          <w:kern w:val="0"/>
          <w:szCs w:val="21"/>
          <w:lang w:eastAsia="zh-CN"/>
        </w:rPr>
        <w:drawing>
          <wp:inline distT="0" distB="0" distL="114300" distR="114300">
            <wp:extent cx="7258050" cy="4848225"/>
            <wp:effectExtent l="0" t="0" r="6350" b="3175"/>
            <wp:docPr id="26" name="图片 38" descr="2e8bf07901b2c2eac259766664978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8" descr="2e8bf07901b2c2eac259766664978d6"/>
                    <pic:cNvPicPr>
                      <a:picLocks noChangeAspect="1"/>
                    </pic:cNvPicPr>
                  </pic:nvPicPr>
                  <pic:blipFill>
                    <a:blip r:embed="rId27"/>
                    <a:stretch>
                      <a:fillRect/>
                    </a:stretch>
                  </pic:blipFill>
                  <pic:spPr>
                    <a:xfrm>
                      <a:off x="0" y="0"/>
                      <a:ext cx="7258050" cy="4848225"/>
                    </a:xfrm>
                    <a:prstGeom prst="rect">
                      <a:avLst/>
                    </a:prstGeom>
                    <a:noFill/>
                    <a:ln>
                      <a:noFill/>
                    </a:ln>
                  </pic:spPr>
                </pic:pic>
              </a:graphicData>
            </a:graphic>
          </wp:inline>
        </w:drawing>
      </w:r>
    </w:p>
    <w:p>
      <w:pPr>
        <w:rPr>
          <w:rFonts w:hint="default"/>
          <w:lang w:val="en-US" w:eastAsia="zh-CN"/>
        </w:rPr>
      </w:pPr>
    </w:p>
    <w:p>
      <w:pPr>
        <w:pStyle w:val="3"/>
        <w:jc w:val="center"/>
        <w:rPr>
          <w:rFonts w:hint="default"/>
          <w:lang w:val="en-US" w:eastAsia="zh-CN"/>
        </w:rPr>
        <w:sectPr>
          <w:pgSz w:w="16840" w:h="11907" w:orient="landscape"/>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b/>
          <w:kern w:val="0"/>
          <w:sz w:val="21"/>
          <w:szCs w:val="21"/>
          <w:lang w:val="en-US" w:eastAsia="zh-CN" w:bidi="ar-SA"/>
        </w:rPr>
        <w:t>图3-1   监测点位布置图</w:t>
      </w: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84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7" w:type="dxa"/>
            <w:noWrap w:val="0"/>
            <w:vAlign w:val="center"/>
          </w:tcPr>
          <w:p>
            <w:pPr>
              <w:adjustRightInd w:val="0"/>
              <w:snapToGrid w:val="0"/>
              <w:jc w:val="center"/>
              <w:rPr>
                <w:kern w:val="0"/>
                <w:szCs w:val="21"/>
              </w:rPr>
            </w:pPr>
            <w:r>
              <w:rPr>
                <w:kern w:val="0"/>
                <w:szCs w:val="21"/>
              </w:rPr>
              <w:t>环境</w:t>
            </w:r>
          </w:p>
          <w:p>
            <w:pPr>
              <w:adjustRightInd w:val="0"/>
              <w:snapToGrid w:val="0"/>
              <w:jc w:val="center"/>
              <w:rPr>
                <w:kern w:val="0"/>
                <w:szCs w:val="21"/>
              </w:rPr>
            </w:pPr>
            <w:r>
              <w:rPr>
                <w:kern w:val="0"/>
                <w:szCs w:val="21"/>
              </w:rPr>
              <w:t>保护</w:t>
            </w:r>
          </w:p>
          <w:p>
            <w:pPr>
              <w:adjustRightInd w:val="0"/>
              <w:snapToGrid w:val="0"/>
              <w:jc w:val="center"/>
              <w:rPr>
                <w:kern w:val="0"/>
                <w:szCs w:val="21"/>
              </w:rPr>
            </w:pPr>
            <w:r>
              <w:rPr>
                <w:kern w:val="0"/>
                <w:szCs w:val="21"/>
              </w:rPr>
              <w:t>目标</w:t>
            </w:r>
          </w:p>
        </w:tc>
        <w:tc>
          <w:tcPr>
            <w:tcW w:w="8462" w:type="dxa"/>
            <w:noWrap w:val="0"/>
            <w:vAlign w:val="top"/>
          </w:tcPr>
          <w:p>
            <w:pPr>
              <w:pStyle w:val="8"/>
              <w:spacing w:before="120" w:beforeLines="50" w:after="0" w:line="360" w:lineRule="auto"/>
              <w:ind w:right="0" w:firstLine="422" w:firstLineChars="200"/>
              <w:rPr>
                <w:b/>
                <w:bCs/>
                <w:sz w:val="21"/>
                <w:szCs w:val="21"/>
              </w:rPr>
            </w:pPr>
            <w:r>
              <w:rPr>
                <w:b/>
                <w:bCs/>
                <w:sz w:val="21"/>
                <w:szCs w:val="21"/>
              </w:rPr>
              <w:t>1、大气环境保护目标</w:t>
            </w:r>
          </w:p>
          <w:p>
            <w:pPr>
              <w:pStyle w:val="8"/>
              <w:spacing w:before="0" w:after="0" w:line="360" w:lineRule="auto"/>
              <w:ind w:right="0" w:firstLine="420" w:firstLineChars="200"/>
              <w:rPr>
                <w:b/>
                <w:sz w:val="21"/>
                <w:szCs w:val="18"/>
              </w:rPr>
            </w:pPr>
            <w:r>
              <w:rPr>
                <w:sz w:val="21"/>
                <w:szCs w:val="21"/>
              </w:rPr>
              <w:t>根据环境敏感因素的界定原则，经调查，本项目厂界外500米范围内无自然保护区、风景名胜区、水源保护区等保护目标，项目地周围主要为居民、学校，环境保护目标见表3-</w:t>
            </w:r>
            <w:r>
              <w:rPr>
                <w:rFonts w:hint="eastAsia"/>
                <w:sz w:val="21"/>
                <w:szCs w:val="21"/>
              </w:rPr>
              <w:t>6</w:t>
            </w:r>
            <w:r>
              <w:rPr>
                <w:sz w:val="21"/>
                <w:szCs w:val="21"/>
              </w:rPr>
              <w:t>及图</w:t>
            </w:r>
            <w:r>
              <w:rPr>
                <w:rFonts w:hint="eastAsia"/>
                <w:sz w:val="21"/>
                <w:szCs w:val="21"/>
              </w:rPr>
              <w:t>3</w:t>
            </w:r>
            <w:r>
              <w:rPr>
                <w:rFonts w:hint="eastAsia"/>
                <w:sz w:val="21"/>
                <w:szCs w:val="21"/>
                <w:lang w:val="en-US" w:eastAsia="zh-CN"/>
              </w:rPr>
              <w:t>-1</w:t>
            </w:r>
            <w:r>
              <w:rPr>
                <w:sz w:val="21"/>
                <w:szCs w:val="21"/>
              </w:rPr>
              <w:t>。</w:t>
            </w:r>
          </w:p>
          <w:p>
            <w:pPr>
              <w:pStyle w:val="8"/>
              <w:spacing w:before="0" w:after="0" w:line="240" w:lineRule="auto"/>
              <w:ind w:right="0"/>
              <w:jc w:val="center"/>
              <w:rPr>
                <w:sz w:val="21"/>
                <w:szCs w:val="21"/>
              </w:rPr>
            </w:pPr>
            <w:r>
              <w:rPr>
                <w:b/>
                <w:sz w:val="21"/>
                <w:szCs w:val="21"/>
              </w:rPr>
              <w:t>表3-</w:t>
            </w:r>
            <w:r>
              <w:rPr>
                <w:rFonts w:hint="eastAsia"/>
                <w:b/>
                <w:sz w:val="21"/>
                <w:szCs w:val="21"/>
              </w:rPr>
              <w:t>6</w:t>
            </w:r>
            <w:r>
              <w:rPr>
                <w:b/>
                <w:sz w:val="21"/>
                <w:szCs w:val="21"/>
              </w:rPr>
              <w:t>主要环境保护目标表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5"/>
              <w:gridCol w:w="1424"/>
              <w:gridCol w:w="1319"/>
              <w:gridCol w:w="1558"/>
              <w:gridCol w:w="862"/>
              <w:gridCol w:w="910"/>
              <w:gridCol w:w="785"/>
              <w:gridCol w:w="9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dxa"/>
                  <w:vMerge w:val="restart"/>
                  <w:noWrap w:val="0"/>
                  <w:vAlign w:val="center"/>
                </w:tcPr>
                <w:p>
                  <w:pPr>
                    <w:adjustRightInd w:val="0"/>
                    <w:snapToGrid w:val="0"/>
                    <w:jc w:val="center"/>
                    <w:rPr>
                      <w:b/>
                      <w:bCs/>
                      <w:sz w:val="21"/>
                      <w:szCs w:val="21"/>
                    </w:rPr>
                  </w:pPr>
                  <w:r>
                    <w:rPr>
                      <w:b/>
                      <w:bCs/>
                      <w:sz w:val="21"/>
                      <w:szCs w:val="21"/>
                    </w:rPr>
                    <w:t>名称</w:t>
                  </w:r>
                </w:p>
              </w:tc>
              <w:tc>
                <w:tcPr>
                  <w:tcW w:w="2600" w:type="dxa"/>
                  <w:gridSpan w:val="2"/>
                  <w:noWrap w:val="0"/>
                  <w:vAlign w:val="center"/>
                </w:tcPr>
                <w:p>
                  <w:pPr>
                    <w:jc w:val="center"/>
                    <w:rPr>
                      <w:b/>
                      <w:bCs/>
                      <w:sz w:val="21"/>
                      <w:szCs w:val="21"/>
                    </w:rPr>
                  </w:pPr>
                  <w:r>
                    <w:rPr>
                      <w:b/>
                      <w:bCs/>
                      <w:sz w:val="21"/>
                      <w:szCs w:val="21"/>
                    </w:rPr>
                    <w:t>坐标/°</w:t>
                  </w:r>
                </w:p>
              </w:tc>
              <w:tc>
                <w:tcPr>
                  <w:tcW w:w="1613" w:type="dxa"/>
                  <w:vMerge w:val="restart"/>
                  <w:noWrap w:val="0"/>
                  <w:vAlign w:val="center"/>
                </w:tcPr>
                <w:p>
                  <w:pPr>
                    <w:adjustRightInd w:val="0"/>
                    <w:snapToGrid w:val="0"/>
                    <w:jc w:val="center"/>
                    <w:rPr>
                      <w:b/>
                      <w:bCs/>
                      <w:sz w:val="21"/>
                      <w:szCs w:val="21"/>
                    </w:rPr>
                  </w:pPr>
                  <w:r>
                    <w:rPr>
                      <w:b/>
                      <w:bCs/>
                      <w:sz w:val="21"/>
                      <w:szCs w:val="21"/>
                    </w:rPr>
                    <w:t>保护对象</w:t>
                  </w:r>
                </w:p>
              </w:tc>
              <w:tc>
                <w:tcPr>
                  <w:tcW w:w="875" w:type="dxa"/>
                  <w:vMerge w:val="restart"/>
                  <w:noWrap w:val="0"/>
                  <w:vAlign w:val="center"/>
                </w:tcPr>
                <w:p>
                  <w:pPr>
                    <w:adjustRightInd w:val="0"/>
                    <w:snapToGrid w:val="0"/>
                    <w:jc w:val="center"/>
                    <w:rPr>
                      <w:b/>
                      <w:bCs/>
                      <w:sz w:val="21"/>
                      <w:szCs w:val="21"/>
                    </w:rPr>
                  </w:pPr>
                  <w:r>
                    <w:rPr>
                      <w:b/>
                      <w:bCs/>
                      <w:sz w:val="21"/>
                      <w:szCs w:val="21"/>
                    </w:rPr>
                    <w:t>保护内容</w:t>
                  </w:r>
                </w:p>
              </w:tc>
              <w:tc>
                <w:tcPr>
                  <w:tcW w:w="939" w:type="dxa"/>
                  <w:vMerge w:val="restart"/>
                  <w:noWrap w:val="0"/>
                  <w:vAlign w:val="center"/>
                </w:tcPr>
                <w:p>
                  <w:pPr>
                    <w:adjustRightInd w:val="0"/>
                    <w:snapToGrid w:val="0"/>
                    <w:jc w:val="center"/>
                    <w:rPr>
                      <w:b/>
                      <w:bCs/>
                      <w:sz w:val="21"/>
                      <w:szCs w:val="21"/>
                    </w:rPr>
                  </w:pPr>
                  <w:r>
                    <w:rPr>
                      <w:b/>
                      <w:bCs/>
                      <w:sz w:val="21"/>
                      <w:szCs w:val="21"/>
                    </w:rPr>
                    <w:t>环境功能区</w:t>
                  </w:r>
                </w:p>
              </w:tc>
              <w:tc>
                <w:tcPr>
                  <w:tcW w:w="806" w:type="dxa"/>
                  <w:vMerge w:val="restart"/>
                  <w:noWrap w:val="0"/>
                  <w:vAlign w:val="center"/>
                </w:tcPr>
                <w:p>
                  <w:pPr>
                    <w:adjustRightInd w:val="0"/>
                    <w:snapToGrid w:val="0"/>
                    <w:jc w:val="center"/>
                    <w:rPr>
                      <w:b/>
                      <w:bCs/>
                      <w:sz w:val="21"/>
                      <w:szCs w:val="21"/>
                    </w:rPr>
                  </w:pPr>
                  <w:r>
                    <w:rPr>
                      <w:b/>
                      <w:bCs/>
                      <w:sz w:val="21"/>
                      <w:szCs w:val="21"/>
                    </w:rPr>
                    <w:t>相对厂址方位</w:t>
                  </w:r>
                </w:p>
              </w:tc>
              <w:tc>
                <w:tcPr>
                  <w:tcW w:w="967" w:type="dxa"/>
                  <w:vMerge w:val="restart"/>
                  <w:noWrap w:val="0"/>
                  <w:vAlign w:val="center"/>
                </w:tcPr>
                <w:p>
                  <w:pPr>
                    <w:adjustRightInd w:val="0"/>
                    <w:snapToGrid w:val="0"/>
                    <w:jc w:val="center"/>
                    <w:rPr>
                      <w:b/>
                      <w:bCs/>
                      <w:sz w:val="21"/>
                      <w:szCs w:val="21"/>
                    </w:rPr>
                  </w:pPr>
                  <w:r>
                    <w:rPr>
                      <w:b/>
                      <w:bCs/>
                      <w:sz w:val="21"/>
                      <w:szCs w:val="21"/>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dxa"/>
                  <w:vMerge w:val="continue"/>
                  <w:noWrap w:val="0"/>
                  <w:vAlign w:val="center"/>
                </w:tcPr>
                <w:p>
                  <w:pPr>
                    <w:adjustRightInd w:val="0"/>
                    <w:snapToGrid w:val="0"/>
                    <w:jc w:val="center"/>
                    <w:rPr>
                      <w:sz w:val="21"/>
                      <w:szCs w:val="21"/>
                    </w:rPr>
                  </w:pPr>
                </w:p>
              </w:tc>
              <w:tc>
                <w:tcPr>
                  <w:tcW w:w="1308" w:type="dxa"/>
                  <w:noWrap w:val="0"/>
                  <w:vAlign w:val="center"/>
                </w:tcPr>
                <w:p>
                  <w:pPr>
                    <w:jc w:val="center"/>
                    <w:rPr>
                      <w:b/>
                      <w:bCs/>
                      <w:sz w:val="21"/>
                      <w:szCs w:val="21"/>
                    </w:rPr>
                  </w:pPr>
                  <w:r>
                    <w:rPr>
                      <w:b/>
                      <w:bCs/>
                      <w:sz w:val="21"/>
                      <w:szCs w:val="21"/>
                    </w:rPr>
                    <w:t>经度</w:t>
                  </w:r>
                </w:p>
              </w:tc>
              <w:tc>
                <w:tcPr>
                  <w:tcW w:w="1292" w:type="dxa"/>
                  <w:noWrap w:val="0"/>
                  <w:vAlign w:val="center"/>
                </w:tcPr>
                <w:p>
                  <w:pPr>
                    <w:jc w:val="center"/>
                    <w:rPr>
                      <w:b/>
                      <w:bCs/>
                      <w:sz w:val="21"/>
                      <w:szCs w:val="21"/>
                    </w:rPr>
                  </w:pPr>
                  <w:r>
                    <w:rPr>
                      <w:b/>
                      <w:bCs/>
                      <w:sz w:val="21"/>
                      <w:szCs w:val="21"/>
                    </w:rPr>
                    <w:t>纬度</w:t>
                  </w:r>
                </w:p>
              </w:tc>
              <w:tc>
                <w:tcPr>
                  <w:tcW w:w="1613" w:type="dxa"/>
                  <w:vMerge w:val="continue"/>
                  <w:noWrap w:val="0"/>
                  <w:vAlign w:val="center"/>
                </w:tcPr>
                <w:p>
                  <w:pPr>
                    <w:adjustRightInd w:val="0"/>
                    <w:snapToGrid w:val="0"/>
                    <w:jc w:val="center"/>
                    <w:rPr>
                      <w:b/>
                      <w:bCs/>
                      <w:sz w:val="21"/>
                      <w:szCs w:val="21"/>
                    </w:rPr>
                  </w:pPr>
                </w:p>
              </w:tc>
              <w:tc>
                <w:tcPr>
                  <w:tcW w:w="875" w:type="dxa"/>
                  <w:vMerge w:val="continue"/>
                  <w:noWrap w:val="0"/>
                  <w:vAlign w:val="center"/>
                </w:tcPr>
                <w:p>
                  <w:pPr>
                    <w:adjustRightInd w:val="0"/>
                    <w:snapToGrid w:val="0"/>
                    <w:jc w:val="center"/>
                    <w:rPr>
                      <w:b/>
                      <w:bCs/>
                      <w:sz w:val="21"/>
                      <w:szCs w:val="21"/>
                    </w:rPr>
                  </w:pPr>
                </w:p>
              </w:tc>
              <w:tc>
                <w:tcPr>
                  <w:tcW w:w="939" w:type="dxa"/>
                  <w:vMerge w:val="continue"/>
                  <w:noWrap w:val="0"/>
                  <w:vAlign w:val="center"/>
                </w:tcPr>
                <w:p>
                  <w:pPr>
                    <w:adjustRightInd w:val="0"/>
                    <w:snapToGrid w:val="0"/>
                    <w:jc w:val="center"/>
                    <w:rPr>
                      <w:b/>
                      <w:bCs/>
                      <w:sz w:val="21"/>
                      <w:szCs w:val="21"/>
                    </w:rPr>
                  </w:pPr>
                </w:p>
              </w:tc>
              <w:tc>
                <w:tcPr>
                  <w:tcW w:w="806" w:type="dxa"/>
                  <w:vMerge w:val="continue"/>
                  <w:noWrap w:val="0"/>
                  <w:vAlign w:val="center"/>
                </w:tcPr>
                <w:p>
                  <w:pPr>
                    <w:adjustRightInd w:val="0"/>
                    <w:snapToGrid w:val="0"/>
                    <w:jc w:val="center"/>
                    <w:rPr>
                      <w:b/>
                      <w:bCs/>
                      <w:sz w:val="21"/>
                      <w:szCs w:val="21"/>
                    </w:rPr>
                  </w:pPr>
                </w:p>
              </w:tc>
              <w:tc>
                <w:tcPr>
                  <w:tcW w:w="967" w:type="dxa"/>
                  <w:vMerge w:val="continue"/>
                  <w:noWrap w:val="0"/>
                  <w:vAlign w:val="center"/>
                </w:tcPr>
                <w:p>
                  <w:pPr>
                    <w:adjustRightInd w:val="0"/>
                    <w:snapToGrid w:val="0"/>
                    <w:jc w:val="center"/>
                    <w:rPr>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436" w:type="dxa"/>
                  <w:vMerge w:val="restart"/>
                  <w:noWrap w:val="0"/>
                  <w:vAlign w:val="center"/>
                </w:tcPr>
                <w:p>
                  <w:pPr>
                    <w:adjustRightInd w:val="0"/>
                    <w:snapToGrid w:val="0"/>
                    <w:jc w:val="center"/>
                    <w:rPr>
                      <w:rFonts w:hint="eastAsia"/>
                      <w:sz w:val="21"/>
                      <w:szCs w:val="21"/>
                    </w:rPr>
                  </w:pPr>
                  <w:r>
                    <w:rPr>
                      <w:sz w:val="21"/>
                      <w:szCs w:val="21"/>
                    </w:rPr>
                    <w:t>大气环境</w:t>
                  </w:r>
                </w:p>
              </w:tc>
              <w:tc>
                <w:tcPr>
                  <w:tcW w:w="1308" w:type="dxa"/>
                  <w:noWrap w:val="0"/>
                  <w:vAlign w:val="center"/>
                </w:tcPr>
                <w:p>
                  <w:pPr>
                    <w:adjustRightInd w:val="0"/>
                    <w:snapToGrid w:val="0"/>
                    <w:jc w:val="center"/>
                    <w:rPr>
                      <w:sz w:val="21"/>
                      <w:szCs w:val="21"/>
                    </w:rPr>
                  </w:pPr>
                  <w:r>
                    <w:rPr>
                      <w:rFonts w:hint="eastAsia"/>
                      <w:sz w:val="21"/>
                      <w:szCs w:val="21"/>
                    </w:rPr>
                    <w:t>109.05097961</w:t>
                  </w:r>
                </w:p>
              </w:tc>
              <w:tc>
                <w:tcPr>
                  <w:tcW w:w="1292" w:type="dxa"/>
                  <w:noWrap w:val="0"/>
                  <w:vAlign w:val="center"/>
                </w:tcPr>
                <w:p>
                  <w:pPr>
                    <w:adjustRightInd w:val="0"/>
                    <w:snapToGrid w:val="0"/>
                    <w:jc w:val="center"/>
                    <w:rPr>
                      <w:sz w:val="21"/>
                      <w:szCs w:val="21"/>
                    </w:rPr>
                  </w:pPr>
                  <w:r>
                    <w:rPr>
                      <w:rFonts w:hint="eastAsia"/>
                      <w:sz w:val="21"/>
                      <w:szCs w:val="21"/>
                    </w:rPr>
                    <w:t>34.25230366</w:t>
                  </w:r>
                </w:p>
              </w:tc>
              <w:tc>
                <w:tcPr>
                  <w:tcW w:w="1613" w:type="dxa"/>
                  <w:noWrap w:val="0"/>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红旗街道办家属院</w:t>
                  </w:r>
                </w:p>
              </w:tc>
              <w:tc>
                <w:tcPr>
                  <w:tcW w:w="875" w:type="dxa"/>
                  <w:noWrap w:val="0"/>
                  <w:vAlign w:val="center"/>
                </w:tcPr>
                <w:p>
                  <w:pPr>
                    <w:adjustRightInd w:val="0"/>
                    <w:snapToGrid w:val="0"/>
                    <w:jc w:val="center"/>
                    <w:rPr>
                      <w:sz w:val="21"/>
                      <w:szCs w:val="21"/>
                    </w:rPr>
                  </w:pPr>
                  <w:r>
                    <w:rPr>
                      <w:rFonts w:hint="eastAsia"/>
                      <w:sz w:val="21"/>
                      <w:szCs w:val="21"/>
                      <w:lang w:val="en-US" w:eastAsia="zh-CN"/>
                    </w:rPr>
                    <w:t>10</w:t>
                  </w:r>
                  <w:r>
                    <w:rPr>
                      <w:rFonts w:hint="eastAsia"/>
                      <w:sz w:val="21"/>
                      <w:szCs w:val="21"/>
                    </w:rPr>
                    <w:t>00人</w:t>
                  </w:r>
                </w:p>
              </w:tc>
              <w:tc>
                <w:tcPr>
                  <w:tcW w:w="939" w:type="dxa"/>
                  <w:vMerge w:val="restart"/>
                  <w:noWrap w:val="0"/>
                  <w:vAlign w:val="center"/>
                </w:tcPr>
                <w:p>
                  <w:pPr>
                    <w:adjustRightInd w:val="0"/>
                    <w:snapToGrid w:val="0"/>
                    <w:jc w:val="center"/>
                    <w:rPr>
                      <w:b/>
                      <w:bCs/>
                      <w:sz w:val="21"/>
                      <w:szCs w:val="21"/>
                    </w:rPr>
                  </w:pPr>
                  <w:r>
                    <w:rPr>
                      <w:sz w:val="21"/>
                      <w:szCs w:val="21"/>
                    </w:rPr>
                    <w:t>2类区</w:t>
                  </w:r>
                </w:p>
              </w:tc>
              <w:tc>
                <w:tcPr>
                  <w:tcW w:w="806" w:type="dxa"/>
                  <w:noWrap w:val="0"/>
                  <w:vAlign w:val="center"/>
                </w:tcPr>
                <w:p>
                  <w:pPr>
                    <w:adjustRightInd w:val="0"/>
                    <w:snapToGrid w:val="0"/>
                    <w:jc w:val="center"/>
                    <w:rPr>
                      <w:sz w:val="21"/>
                      <w:szCs w:val="21"/>
                    </w:rPr>
                  </w:pPr>
                  <w:r>
                    <w:rPr>
                      <w:rFonts w:hint="eastAsia"/>
                      <w:sz w:val="21"/>
                      <w:szCs w:val="21"/>
                    </w:rPr>
                    <w:t>北</w:t>
                  </w:r>
                </w:p>
              </w:tc>
              <w:tc>
                <w:tcPr>
                  <w:tcW w:w="967" w:type="dxa"/>
                  <w:noWrap w:val="0"/>
                  <w:vAlign w:val="center"/>
                </w:tcPr>
                <w:p>
                  <w:pPr>
                    <w:adjustRightInd w:val="0"/>
                    <w:snapToGrid w:val="0"/>
                    <w:jc w:val="center"/>
                    <w:rPr>
                      <w:rFonts w:hint="default" w:eastAsia="宋体"/>
                      <w:sz w:val="21"/>
                      <w:szCs w:val="21"/>
                      <w:lang w:val="en-US" w:eastAsia="zh-CN"/>
                    </w:rPr>
                  </w:pPr>
                  <w:r>
                    <w:rPr>
                      <w:rFonts w:hint="eastAsia" w:eastAsia="宋体"/>
                      <w:sz w:val="21"/>
                      <w:szCs w:val="21"/>
                      <w:lang w:val="en-US" w:eastAsia="zh-CN"/>
                    </w:rPr>
                    <w:t>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436" w:type="dxa"/>
                  <w:vMerge w:val="continue"/>
                  <w:noWrap w:val="0"/>
                  <w:vAlign w:val="center"/>
                </w:tcPr>
                <w:p>
                  <w:pPr>
                    <w:adjustRightInd w:val="0"/>
                    <w:snapToGrid w:val="0"/>
                    <w:jc w:val="center"/>
                    <w:rPr>
                      <w:sz w:val="21"/>
                      <w:szCs w:val="21"/>
                    </w:rPr>
                  </w:pPr>
                </w:p>
              </w:tc>
              <w:tc>
                <w:tcPr>
                  <w:tcW w:w="1308" w:type="dxa"/>
                  <w:noWrap w:val="0"/>
                  <w:vAlign w:val="center"/>
                </w:tcPr>
                <w:p>
                  <w:pPr>
                    <w:adjustRightInd w:val="0"/>
                    <w:snapToGrid w:val="0"/>
                    <w:jc w:val="center"/>
                    <w:rPr>
                      <w:rFonts w:hint="eastAsia"/>
                      <w:sz w:val="21"/>
                      <w:szCs w:val="21"/>
                    </w:rPr>
                  </w:pPr>
                  <w:r>
                    <w:rPr>
                      <w:rFonts w:hint="eastAsia"/>
                      <w:sz w:val="21"/>
                      <w:szCs w:val="21"/>
                    </w:rPr>
                    <w:t>109.05060410</w:t>
                  </w:r>
                </w:p>
              </w:tc>
              <w:tc>
                <w:tcPr>
                  <w:tcW w:w="1292" w:type="dxa"/>
                  <w:noWrap w:val="0"/>
                  <w:vAlign w:val="center"/>
                </w:tcPr>
                <w:p>
                  <w:pPr>
                    <w:adjustRightInd w:val="0"/>
                    <w:snapToGrid w:val="0"/>
                    <w:jc w:val="center"/>
                    <w:rPr>
                      <w:rFonts w:hint="eastAsia"/>
                      <w:sz w:val="21"/>
                      <w:szCs w:val="21"/>
                    </w:rPr>
                  </w:pPr>
                  <w:r>
                    <w:rPr>
                      <w:rFonts w:hint="eastAsia"/>
                      <w:sz w:val="21"/>
                      <w:szCs w:val="21"/>
                    </w:rPr>
                    <w:t>34.25137250</w:t>
                  </w:r>
                </w:p>
              </w:tc>
              <w:tc>
                <w:tcPr>
                  <w:tcW w:w="1613" w:type="dxa"/>
                  <w:noWrap w:val="0"/>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Z8快捷酒店</w:t>
                  </w:r>
                </w:p>
              </w:tc>
              <w:tc>
                <w:tcPr>
                  <w:tcW w:w="875" w:type="dxa"/>
                  <w:noWrap w:val="0"/>
                  <w:vAlign w:val="center"/>
                </w:tcPr>
                <w:p>
                  <w:pPr>
                    <w:adjustRightInd w:val="0"/>
                    <w:snapToGrid w:val="0"/>
                    <w:jc w:val="center"/>
                    <w:rPr>
                      <w:sz w:val="21"/>
                      <w:szCs w:val="21"/>
                    </w:rPr>
                  </w:pPr>
                  <w:r>
                    <w:rPr>
                      <w:rFonts w:hint="eastAsia"/>
                      <w:sz w:val="21"/>
                      <w:szCs w:val="21"/>
                    </w:rPr>
                    <w:t>100人</w:t>
                  </w:r>
                </w:p>
              </w:tc>
              <w:tc>
                <w:tcPr>
                  <w:tcW w:w="939" w:type="dxa"/>
                  <w:vMerge w:val="continue"/>
                  <w:noWrap w:val="0"/>
                  <w:vAlign w:val="center"/>
                </w:tcPr>
                <w:p>
                  <w:pPr>
                    <w:adjustRightInd w:val="0"/>
                    <w:snapToGrid w:val="0"/>
                    <w:jc w:val="center"/>
                    <w:rPr>
                      <w:sz w:val="21"/>
                      <w:szCs w:val="21"/>
                    </w:rPr>
                  </w:pPr>
                </w:p>
              </w:tc>
              <w:tc>
                <w:tcPr>
                  <w:tcW w:w="806" w:type="dxa"/>
                  <w:noWrap w:val="0"/>
                  <w:vAlign w:val="center"/>
                </w:tcPr>
                <w:p>
                  <w:pPr>
                    <w:adjustRightInd w:val="0"/>
                    <w:snapToGrid w:val="0"/>
                    <w:jc w:val="center"/>
                    <w:rPr>
                      <w:rFonts w:hint="eastAsia"/>
                      <w:sz w:val="21"/>
                      <w:szCs w:val="21"/>
                    </w:rPr>
                  </w:pPr>
                  <w:r>
                    <w:rPr>
                      <w:rFonts w:hint="eastAsia"/>
                      <w:sz w:val="21"/>
                      <w:szCs w:val="21"/>
                      <w:lang w:val="en-US" w:eastAsia="zh-CN"/>
                    </w:rPr>
                    <w:t>西</w:t>
                  </w:r>
                  <w:r>
                    <w:rPr>
                      <w:rFonts w:hint="eastAsia"/>
                      <w:sz w:val="21"/>
                      <w:szCs w:val="21"/>
                    </w:rPr>
                    <w:t>北</w:t>
                  </w:r>
                </w:p>
              </w:tc>
              <w:tc>
                <w:tcPr>
                  <w:tcW w:w="967" w:type="dxa"/>
                  <w:noWrap w:val="0"/>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436" w:type="dxa"/>
                  <w:vMerge w:val="continue"/>
                  <w:noWrap w:val="0"/>
                  <w:vAlign w:val="center"/>
                </w:tcPr>
                <w:p>
                  <w:pPr>
                    <w:adjustRightInd w:val="0"/>
                    <w:snapToGrid w:val="0"/>
                    <w:jc w:val="center"/>
                    <w:rPr>
                      <w:sz w:val="21"/>
                      <w:szCs w:val="21"/>
                    </w:rPr>
                  </w:pPr>
                </w:p>
              </w:tc>
              <w:tc>
                <w:tcPr>
                  <w:tcW w:w="1308" w:type="dxa"/>
                  <w:noWrap w:val="0"/>
                  <w:vAlign w:val="center"/>
                </w:tcPr>
                <w:p>
                  <w:pPr>
                    <w:adjustRightInd w:val="0"/>
                    <w:snapToGrid w:val="0"/>
                    <w:jc w:val="center"/>
                    <w:rPr>
                      <w:rFonts w:hint="eastAsia"/>
                      <w:sz w:val="21"/>
                      <w:szCs w:val="21"/>
                    </w:rPr>
                  </w:pPr>
                  <w:r>
                    <w:rPr>
                      <w:rFonts w:hint="eastAsia"/>
                      <w:sz w:val="21"/>
                      <w:szCs w:val="21"/>
                    </w:rPr>
                    <w:t>109.05029029</w:t>
                  </w:r>
                </w:p>
              </w:tc>
              <w:tc>
                <w:tcPr>
                  <w:tcW w:w="1292" w:type="dxa"/>
                  <w:noWrap w:val="0"/>
                  <w:vAlign w:val="center"/>
                </w:tcPr>
                <w:p>
                  <w:pPr>
                    <w:adjustRightInd w:val="0"/>
                    <w:snapToGrid w:val="0"/>
                    <w:jc w:val="center"/>
                    <w:rPr>
                      <w:rFonts w:hint="eastAsia"/>
                      <w:sz w:val="21"/>
                      <w:szCs w:val="21"/>
                    </w:rPr>
                  </w:pPr>
                  <w:r>
                    <w:rPr>
                      <w:rFonts w:hint="eastAsia"/>
                      <w:sz w:val="21"/>
                      <w:szCs w:val="21"/>
                    </w:rPr>
                    <w:t>34.25061648</w:t>
                  </w:r>
                </w:p>
              </w:tc>
              <w:tc>
                <w:tcPr>
                  <w:tcW w:w="1613" w:type="dxa"/>
                  <w:noWrap w:val="0"/>
                  <w:vAlign w:val="center"/>
                </w:tcPr>
                <w:p>
                  <w:pPr>
                    <w:adjustRightInd w:val="0"/>
                    <w:snapToGrid w:val="0"/>
                    <w:jc w:val="center"/>
                    <w:rPr>
                      <w:sz w:val="21"/>
                      <w:szCs w:val="21"/>
                    </w:rPr>
                  </w:pPr>
                  <w:r>
                    <w:rPr>
                      <w:rFonts w:hint="eastAsia"/>
                      <w:sz w:val="21"/>
                      <w:szCs w:val="21"/>
                      <w:lang w:val="en-US" w:eastAsia="zh-CN"/>
                    </w:rPr>
                    <w:t>五建花苑小区</w:t>
                  </w:r>
                  <w:r>
                    <w:rPr>
                      <w:rFonts w:hint="eastAsia"/>
                      <w:sz w:val="21"/>
                      <w:szCs w:val="21"/>
                      <w:highlight w:val="none"/>
                      <w:lang w:val="en-US" w:eastAsia="zh-CN"/>
                    </w:rPr>
                    <w:t>（在建）</w:t>
                  </w:r>
                </w:p>
              </w:tc>
              <w:tc>
                <w:tcPr>
                  <w:tcW w:w="875" w:type="dxa"/>
                  <w:noWrap w:val="0"/>
                  <w:vAlign w:val="center"/>
                </w:tcPr>
                <w:p>
                  <w:pPr>
                    <w:adjustRightInd w:val="0"/>
                    <w:snapToGrid w:val="0"/>
                    <w:jc w:val="center"/>
                    <w:rPr>
                      <w:sz w:val="21"/>
                      <w:szCs w:val="21"/>
                    </w:rPr>
                  </w:pPr>
                  <w:r>
                    <w:rPr>
                      <w:rFonts w:hint="eastAsia"/>
                      <w:sz w:val="21"/>
                      <w:szCs w:val="21"/>
                    </w:rPr>
                    <w:t>/</w:t>
                  </w:r>
                </w:p>
              </w:tc>
              <w:tc>
                <w:tcPr>
                  <w:tcW w:w="939" w:type="dxa"/>
                  <w:vMerge w:val="continue"/>
                  <w:noWrap w:val="0"/>
                  <w:vAlign w:val="center"/>
                </w:tcPr>
                <w:p>
                  <w:pPr>
                    <w:adjustRightInd w:val="0"/>
                    <w:snapToGrid w:val="0"/>
                    <w:jc w:val="center"/>
                    <w:rPr>
                      <w:sz w:val="21"/>
                      <w:szCs w:val="21"/>
                    </w:rPr>
                  </w:pPr>
                </w:p>
              </w:tc>
              <w:tc>
                <w:tcPr>
                  <w:tcW w:w="806" w:type="dxa"/>
                  <w:noWrap w:val="0"/>
                  <w:vAlign w:val="center"/>
                </w:tcPr>
                <w:p>
                  <w:pPr>
                    <w:adjustRightInd w:val="0"/>
                    <w:snapToGrid w:val="0"/>
                    <w:jc w:val="center"/>
                    <w:rPr>
                      <w:sz w:val="21"/>
                      <w:szCs w:val="21"/>
                    </w:rPr>
                  </w:pPr>
                  <w:r>
                    <w:rPr>
                      <w:rFonts w:hint="eastAsia"/>
                      <w:sz w:val="21"/>
                      <w:szCs w:val="21"/>
                      <w:lang w:val="en-US" w:eastAsia="zh-CN"/>
                    </w:rPr>
                    <w:t>西</w:t>
                  </w:r>
                </w:p>
              </w:tc>
              <w:tc>
                <w:tcPr>
                  <w:tcW w:w="967" w:type="dxa"/>
                  <w:noWrap w:val="0"/>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436" w:type="dxa"/>
                  <w:vMerge w:val="continue"/>
                  <w:noWrap w:val="0"/>
                  <w:vAlign w:val="center"/>
                </w:tcPr>
                <w:p>
                  <w:pPr>
                    <w:adjustRightInd w:val="0"/>
                    <w:snapToGrid w:val="0"/>
                    <w:jc w:val="center"/>
                    <w:rPr>
                      <w:sz w:val="21"/>
                      <w:szCs w:val="21"/>
                    </w:rPr>
                  </w:pPr>
                </w:p>
              </w:tc>
              <w:tc>
                <w:tcPr>
                  <w:tcW w:w="1308" w:type="dxa"/>
                  <w:noWrap w:val="0"/>
                  <w:vAlign w:val="center"/>
                </w:tcPr>
                <w:p>
                  <w:pPr>
                    <w:adjustRightInd w:val="0"/>
                    <w:snapToGrid w:val="0"/>
                    <w:jc w:val="center"/>
                    <w:rPr>
                      <w:rFonts w:hint="eastAsia"/>
                      <w:sz w:val="21"/>
                      <w:szCs w:val="21"/>
                    </w:rPr>
                  </w:pPr>
                  <w:r>
                    <w:rPr>
                      <w:rFonts w:hint="eastAsia"/>
                      <w:sz w:val="21"/>
                      <w:szCs w:val="21"/>
                    </w:rPr>
                    <w:t>109.05290008</w:t>
                  </w:r>
                </w:p>
              </w:tc>
              <w:tc>
                <w:tcPr>
                  <w:tcW w:w="1292" w:type="dxa"/>
                  <w:noWrap w:val="0"/>
                  <w:vAlign w:val="center"/>
                </w:tcPr>
                <w:p>
                  <w:pPr>
                    <w:adjustRightInd w:val="0"/>
                    <w:snapToGrid w:val="0"/>
                    <w:jc w:val="center"/>
                    <w:rPr>
                      <w:rFonts w:hint="eastAsia"/>
                      <w:sz w:val="21"/>
                      <w:szCs w:val="21"/>
                    </w:rPr>
                  </w:pPr>
                  <w:r>
                    <w:rPr>
                      <w:rFonts w:hint="eastAsia"/>
                      <w:sz w:val="21"/>
                      <w:szCs w:val="21"/>
                    </w:rPr>
                    <w:t>34.24713783</w:t>
                  </w:r>
                </w:p>
              </w:tc>
              <w:tc>
                <w:tcPr>
                  <w:tcW w:w="1613"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陕水社区</w:t>
                  </w:r>
                </w:p>
              </w:tc>
              <w:tc>
                <w:tcPr>
                  <w:tcW w:w="875" w:type="dxa"/>
                  <w:noWrap w:val="0"/>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1500</w:t>
                  </w:r>
                  <w:r>
                    <w:rPr>
                      <w:rFonts w:hint="eastAsia"/>
                      <w:sz w:val="21"/>
                      <w:szCs w:val="21"/>
                    </w:rPr>
                    <w:t>人</w:t>
                  </w:r>
                </w:p>
              </w:tc>
              <w:tc>
                <w:tcPr>
                  <w:tcW w:w="939" w:type="dxa"/>
                  <w:vMerge w:val="continue"/>
                  <w:noWrap w:val="0"/>
                  <w:vAlign w:val="center"/>
                </w:tcPr>
                <w:p>
                  <w:pPr>
                    <w:adjustRightInd w:val="0"/>
                    <w:snapToGrid w:val="0"/>
                    <w:jc w:val="center"/>
                    <w:rPr>
                      <w:sz w:val="21"/>
                      <w:szCs w:val="21"/>
                    </w:rPr>
                  </w:pPr>
                </w:p>
              </w:tc>
              <w:tc>
                <w:tcPr>
                  <w:tcW w:w="806" w:type="dxa"/>
                  <w:noWrap w:val="0"/>
                  <w:vAlign w:val="center"/>
                </w:tcPr>
                <w:p>
                  <w:pPr>
                    <w:adjustRightInd w:val="0"/>
                    <w:snapToGrid w:val="0"/>
                    <w:jc w:val="center"/>
                    <w:rPr>
                      <w:rFonts w:hint="eastAsia" w:eastAsia="宋体"/>
                      <w:sz w:val="21"/>
                      <w:szCs w:val="21"/>
                      <w:lang w:val="en-US" w:eastAsia="zh-CN"/>
                    </w:rPr>
                  </w:pPr>
                  <w:r>
                    <w:rPr>
                      <w:rFonts w:hint="eastAsia"/>
                      <w:sz w:val="21"/>
                      <w:szCs w:val="21"/>
                      <w:lang w:val="en-US" w:eastAsia="zh-CN"/>
                    </w:rPr>
                    <w:t>东南</w:t>
                  </w:r>
                </w:p>
              </w:tc>
              <w:tc>
                <w:tcPr>
                  <w:tcW w:w="967" w:type="dxa"/>
                  <w:noWrap w:val="0"/>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436" w:type="dxa"/>
                  <w:vMerge w:val="continue"/>
                  <w:noWrap w:val="0"/>
                  <w:vAlign w:val="center"/>
                </w:tcPr>
                <w:p>
                  <w:pPr>
                    <w:adjustRightInd w:val="0"/>
                    <w:snapToGrid w:val="0"/>
                    <w:jc w:val="center"/>
                    <w:rPr>
                      <w:sz w:val="21"/>
                      <w:szCs w:val="21"/>
                    </w:rPr>
                  </w:pPr>
                </w:p>
              </w:tc>
              <w:tc>
                <w:tcPr>
                  <w:tcW w:w="1308" w:type="dxa"/>
                  <w:noWrap w:val="0"/>
                  <w:vAlign w:val="center"/>
                </w:tcPr>
                <w:p>
                  <w:pPr>
                    <w:adjustRightInd w:val="0"/>
                    <w:snapToGrid w:val="0"/>
                    <w:jc w:val="center"/>
                    <w:rPr>
                      <w:rFonts w:hint="eastAsia"/>
                      <w:sz w:val="21"/>
                      <w:szCs w:val="21"/>
                    </w:rPr>
                  </w:pPr>
                  <w:r>
                    <w:rPr>
                      <w:rFonts w:hint="eastAsia"/>
                      <w:sz w:val="21"/>
                      <w:szCs w:val="21"/>
                    </w:rPr>
                    <w:t>109.04601216</w:t>
                  </w:r>
                </w:p>
              </w:tc>
              <w:tc>
                <w:tcPr>
                  <w:tcW w:w="1292" w:type="dxa"/>
                  <w:noWrap w:val="0"/>
                  <w:vAlign w:val="center"/>
                </w:tcPr>
                <w:p>
                  <w:pPr>
                    <w:adjustRightInd w:val="0"/>
                    <w:snapToGrid w:val="0"/>
                    <w:jc w:val="center"/>
                    <w:rPr>
                      <w:rFonts w:hint="eastAsia"/>
                      <w:sz w:val="21"/>
                      <w:szCs w:val="21"/>
                    </w:rPr>
                  </w:pPr>
                  <w:r>
                    <w:rPr>
                      <w:rFonts w:hint="eastAsia"/>
                      <w:sz w:val="21"/>
                      <w:szCs w:val="21"/>
                    </w:rPr>
                    <w:t>34.24885389</w:t>
                  </w:r>
                </w:p>
              </w:tc>
              <w:tc>
                <w:tcPr>
                  <w:tcW w:w="1613"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国际幸福城</w:t>
                  </w:r>
                </w:p>
              </w:tc>
              <w:tc>
                <w:tcPr>
                  <w:tcW w:w="875"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2000</w:t>
                  </w:r>
                  <w:r>
                    <w:rPr>
                      <w:rFonts w:hint="eastAsia"/>
                      <w:sz w:val="21"/>
                      <w:szCs w:val="21"/>
                    </w:rPr>
                    <w:t>人</w:t>
                  </w:r>
                </w:p>
              </w:tc>
              <w:tc>
                <w:tcPr>
                  <w:tcW w:w="939" w:type="dxa"/>
                  <w:vMerge w:val="continue"/>
                  <w:noWrap w:val="0"/>
                  <w:vAlign w:val="center"/>
                </w:tcPr>
                <w:p>
                  <w:pPr>
                    <w:adjustRightInd w:val="0"/>
                    <w:snapToGrid w:val="0"/>
                    <w:jc w:val="center"/>
                    <w:rPr>
                      <w:sz w:val="21"/>
                      <w:szCs w:val="21"/>
                    </w:rPr>
                  </w:pPr>
                </w:p>
              </w:tc>
              <w:tc>
                <w:tcPr>
                  <w:tcW w:w="806" w:type="dxa"/>
                  <w:noWrap w:val="0"/>
                  <w:vAlign w:val="center"/>
                </w:tcPr>
                <w:p>
                  <w:pPr>
                    <w:adjustRightInd w:val="0"/>
                    <w:snapToGrid w:val="0"/>
                    <w:jc w:val="center"/>
                    <w:rPr>
                      <w:rFonts w:hint="eastAsia"/>
                      <w:sz w:val="21"/>
                      <w:szCs w:val="21"/>
                      <w:lang w:val="en-US" w:eastAsia="zh-CN"/>
                    </w:rPr>
                  </w:pPr>
                  <w:r>
                    <w:rPr>
                      <w:rFonts w:hint="eastAsia"/>
                      <w:sz w:val="21"/>
                      <w:szCs w:val="21"/>
                      <w:lang w:val="en-US" w:eastAsia="zh-CN"/>
                    </w:rPr>
                    <w:t>南</w:t>
                  </w:r>
                </w:p>
              </w:tc>
              <w:tc>
                <w:tcPr>
                  <w:tcW w:w="967"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436" w:type="dxa"/>
                  <w:vMerge w:val="continue"/>
                  <w:noWrap w:val="0"/>
                  <w:vAlign w:val="center"/>
                </w:tcPr>
                <w:p>
                  <w:pPr>
                    <w:adjustRightInd w:val="0"/>
                    <w:snapToGrid w:val="0"/>
                    <w:jc w:val="center"/>
                    <w:rPr>
                      <w:sz w:val="21"/>
                      <w:szCs w:val="21"/>
                    </w:rPr>
                  </w:pPr>
                </w:p>
              </w:tc>
              <w:tc>
                <w:tcPr>
                  <w:tcW w:w="1308" w:type="dxa"/>
                  <w:noWrap w:val="0"/>
                  <w:vAlign w:val="center"/>
                </w:tcPr>
                <w:p>
                  <w:pPr>
                    <w:adjustRightInd w:val="0"/>
                    <w:snapToGrid w:val="0"/>
                    <w:jc w:val="center"/>
                    <w:rPr>
                      <w:rFonts w:hint="eastAsia"/>
                      <w:sz w:val="21"/>
                      <w:szCs w:val="21"/>
                    </w:rPr>
                  </w:pPr>
                  <w:r>
                    <w:rPr>
                      <w:rFonts w:hint="eastAsia"/>
                      <w:sz w:val="21"/>
                      <w:szCs w:val="21"/>
                    </w:rPr>
                    <w:t>109.05478835</w:t>
                  </w:r>
                </w:p>
              </w:tc>
              <w:tc>
                <w:tcPr>
                  <w:tcW w:w="1292" w:type="dxa"/>
                  <w:noWrap w:val="0"/>
                  <w:vAlign w:val="center"/>
                </w:tcPr>
                <w:p>
                  <w:pPr>
                    <w:adjustRightInd w:val="0"/>
                    <w:snapToGrid w:val="0"/>
                    <w:jc w:val="center"/>
                    <w:rPr>
                      <w:rFonts w:hint="eastAsia"/>
                      <w:sz w:val="21"/>
                      <w:szCs w:val="21"/>
                    </w:rPr>
                  </w:pPr>
                  <w:r>
                    <w:rPr>
                      <w:rFonts w:hint="eastAsia"/>
                      <w:sz w:val="21"/>
                      <w:szCs w:val="21"/>
                    </w:rPr>
                    <w:t>34.25360726</w:t>
                  </w:r>
                </w:p>
              </w:tc>
              <w:tc>
                <w:tcPr>
                  <w:tcW w:w="1613"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石羊村</w:t>
                  </w:r>
                </w:p>
              </w:tc>
              <w:tc>
                <w:tcPr>
                  <w:tcW w:w="875" w:type="dxa"/>
                  <w:noWrap w:val="0"/>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1400</w:t>
                  </w:r>
                  <w:r>
                    <w:rPr>
                      <w:rFonts w:hint="eastAsia"/>
                      <w:sz w:val="21"/>
                      <w:szCs w:val="21"/>
                    </w:rPr>
                    <w:t>人</w:t>
                  </w:r>
                </w:p>
              </w:tc>
              <w:tc>
                <w:tcPr>
                  <w:tcW w:w="939" w:type="dxa"/>
                  <w:vMerge w:val="continue"/>
                  <w:noWrap w:val="0"/>
                  <w:vAlign w:val="center"/>
                </w:tcPr>
                <w:p>
                  <w:pPr>
                    <w:adjustRightInd w:val="0"/>
                    <w:snapToGrid w:val="0"/>
                    <w:jc w:val="center"/>
                    <w:rPr>
                      <w:sz w:val="21"/>
                      <w:szCs w:val="21"/>
                    </w:rPr>
                  </w:pPr>
                </w:p>
              </w:tc>
              <w:tc>
                <w:tcPr>
                  <w:tcW w:w="806" w:type="dxa"/>
                  <w:noWrap w:val="0"/>
                  <w:vAlign w:val="center"/>
                </w:tcPr>
                <w:p>
                  <w:pPr>
                    <w:adjustRightInd w:val="0"/>
                    <w:snapToGrid w:val="0"/>
                    <w:jc w:val="center"/>
                    <w:rPr>
                      <w:rFonts w:hint="eastAsia"/>
                      <w:sz w:val="21"/>
                      <w:szCs w:val="21"/>
                    </w:rPr>
                  </w:pPr>
                  <w:r>
                    <w:rPr>
                      <w:rFonts w:hint="eastAsia"/>
                      <w:sz w:val="21"/>
                      <w:szCs w:val="21"/>
                      <w:lang w:val="en-US" w:eastAsia="zh-CN"/>
                    </w:rPr>
                    <w:t>东</w:t>
                  </w:r>
                  <w:r>
                    <w:rPr>
                      <w:rFonts w:hint="eastAsia"/>
                      <w:sz w:val="21"/>
                      <w:szCs w:val="21"/>
                    </w:rPr>
                    <w:t>北</w:t>
                  </w:r>
                </w:p>
              </w:tc>
              <w:tc>
                <w:tcPr>
                  <w:tcW w:w="967" w:type="dxa"/>
                  <w:noWrap w:val="0"/>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436" w:type="dxa"/>
                  <w:vMerge w:val="continue"/>
                  <w:noWrap w:val="0"/>
                  <w:vAlign w:val="center"/>
                </w:tcPr>
                <w:p>
                  <w:pPr>
                    <w:adjustRightInd w:val="0"/>
                    <w:snapToGrid w:val="0"/>
                    <w:jc w:val="center"/>
                    <w:rPr>
                      <w:sz w:val="21"/>
                      <w:szCs w:val="21"/>
                    </w:rPr>
                  </w:pPr>
                </w:p>
              </w:tc>
              <w:tc>
                <w:tcPr>
                  <w:tcW w:w="1308" w:type="dxa"/>
                  <w:noWrap w:val="0"/>
                  <w:vAlign w:val="center"/>
                </w:tcPr>
                <w:p>
                  <w:pPr>
                    <w:adjustRightInd w:val="0"/>
                    <w:snapToGrid w:val="0"/>
                    <w:jc w:val="center"/>
                    <w:rPr>
                      <w:rFonts w:hint="eastAsia"/>
                      <w:sz w:val="21"/>
                      <w:szCs w:val="21"/>
                    </w:rPr>
                  </w:pPr>
                  <w:r>
                    <w:rPr>
                      <w:rFonts w:hint="eastAsia"/>
                      <w:sz w:val="21"/>
                      <w:szCs w:val="21"/>
                    </w:rPr>
                    <w:t>109.05559301</w:t>
                  </w:r>
                </w:p>
              </w:tc>
              <w:tc>
                <w:tcPr>
                  <w:tcW w:w="1292" w:type="dxa"/>
                  <w:noWrap w:val="0"/>
                  <w:vAlign w:val="center"/>
                </w:tcPr>
                <w:p>
                  <w:pPr>
                    <w:adjustRightInd w:val="0"/>
                    <w:snapToGrid w:val="0"/>
                    <w:jc w:val="center"/>
                    <w:rPr>
                      <w:rFonts w:hint="eastAsia"/>
                      <w:sz w:val="21"/>
                      <w:szCs w:val="21"/>
                    </w:rPr>
                  </w:pPr>
                  <w:r>
                    <w:rPr>
                      <w:rFonts w:hint="eastAsia"/>
                      <w:sz w:val="21"/>
                      <w:szCs w:val="21"/>
                    </w:rPr>
                    <w:t>34.24901353</w:t>
                  </w:r>
                </w:p>
              </w:tc>
              <w:tc>
                <w:tcPr>
                  <w:tcW w:w="1613"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西安市工商行政管理局灞桥分局红旗工商所</w:t>
                  </w:r>
                </w:p>
              </w:tc>
              <w:tc>
                <w:tcPr>
                  <w:tcW w:w="875" w:type="dxa"/>
                  <w:noWrap w:val="0"/>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50</w:t>
                  </w:r>
                  <w:r>
                    <w:rPr>
                      <w:rFonts w:hint="eastAsia"/>
                      <w:sz w:val="21"/>
                      <w:szCs w:val="21"/>
                    </w:rPr>
                    <w:t>人</w:t>
                  </w:r>
                </w:p>
              </w:tc>
              <w:tc>
                <w:tcPr>
                  <w:tcW w:w="939" w:type="dxa"/>
                  <w:vMerge w:val="continue"/>
                  <w:noWrap w:val="0"/>
                  <w:vAlign w:val="center"/>
                </w:tcPr>
                <w:p>
                  <w:pPr>
                    <w:adjustRightInd w:val="0"/>
                    <w:snapToGrid w:val="0"/>
                    <w:jc w:val="center"/>
                    <w:rPr>
                      <w:sz w:val="21"/>
                      <w:szCs w:val="21"/>
                    </w:rPr>
                  </w:pPr>
                </w:p>
              </w:tc>
              <w:tc>
                <w:tcPr>
                  <w:tcW w:w="806" w:type="dxa"/>
                  <w:noWrap w:val="0"/>
                  <w:vAlign w:val="center"/>
                </w:tcPr>
                <w:p>
                  <w:pPr>
                    <w:adjustRightInd w:val="0"/>
                    <w:snapToGrid w:val="0"/>
                    <w:jc w:val="center"/>
                    <w:rPr>
                      <w:rFonts w:hint="eastAsia"/>
                      <w:sz w:val="21"/>
                      <w:szCs w:val="21"/>
                    </w:rPr>
                  </w:pPr>
                  <w:r>
                    <w:rPr>
                      <w:rFonts w:hint="eastAsia"/>
                      <w:sz w:val="21"/>
                      <w:szCs w:val="21"/>
                      <w:lang w:val="en-US" w:eastAsia="zh-CN"/>
                    </w:rPr>
                    <w:t>东南</w:t>
                  </w:r>
                </w:p>
              </w:tc>
              <w:tc>
                <w:tcPr>
                  <w:tcW w:w="967" w:type="dxa"/>
                  <w:noWrap w:val="0"/>
                  <w:vAlign w:val="center"/>
                </w:tcPr>
                <w:p>
                  <w:pPr>
                    <w:adjustRightInd w:val="0"/>
                    <w:snapToGrid w:val="0"/>
                    <w:jc w:val="center"/>
                    <w:rPr>
                      <w:rFonts w:hint="default" w:eastAsia="宋体"/>
                      <w:sz w:val="21"/>
                      <w:szCs w:val="21"/>
                      <w:lang w:val="en-US" w:eastAsia="zh-CN"/>
                    </w:rPr>
                  </w:pPr>
                  <w:r>
                    <w:rPr>
                      <w:rFonts w:hint="eastAsia"/>
                      <w:sz w:val="21"/>
                      <w:szCs w:val="21"/>
                      <w:lang w:val="en-US" w:eastAsia="zh-CN"/>
                    </w:rPr>
                    <w:t>473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436" w:type="dxa"/>
                  <w:vMerge w:val="continue"/>
                  <w:noWrap w:val="0"/>
                  <w:vAlign w:val="center"/>
                </w:tcPr>
                <w:p>
                  <w:pPr>
                    <w:adjustRightInd w:val="0"/>
                    <w:snapToGrid w:val="0"/>
                    <w:jc w:val="center"/>
                    <w:rPr>
                      <w:sz w:val="21"/>
                      <w:szCs w:val="21"/>
                    </w:rPr>
                  </w:pPr>
                </w:p>
              </w:tc>
              <w:tc>
                <w:tcPr>
                  <w:tcW w:w="1308" w:type="dxa"/>
                  <w:noWrap w:val="0"/>
                  <w:vAlign w:val="center"/>
                </w:tcPr>
                <w:p>
                  <w:pPr>
                    <w:adjustRightInd w:val="0"/>
                    <w:snapToGrid w:val="0"/>
                    <w:jc w:val="center"/>
                    <w:rPr>
                      <w:rFonts w:hint="eastAsia"/>
                      <w:sz w:val="21"/>
                      <w:szCs w:val="21"/>
                    </w:rPr>
                  </w:pPr>
                  <w:r>
                    <w:rPr>
                      <w:rFonts w:hint="eastAsia"/>
                      <w:sz w:val="21"/>
                      <w:szCs w:val="21"/>
                    </w:rPr>
                    <w:t>109.05542135</w:t>
                  </w:r>
                </w:p>
              </w:tc>
              <w:tc>
                <w:tcPr>
                  <w:tcW w:w="1292" w:type="dxa"/>
                  <w:noWrap w:val="0"/>
                  <w:vAlign w:val="center"/>
                </w:tcPr>
                <w:p>
                  <w:pPr>
                    <w:adjustRightInd w:val="0"/>
                    <w:snapToGrid w:val="0"/>
                    <w:jc w:val="center"/>
                    <w:rPr>
                      <w:rFonts w:hint="eastAsia"/>
                      <w:sz w:val="21"/>
                      <w:szCs w:val="21"/>
                    </w:rPr>
                  </w:pPr>
                  <w:r>
                    <w:rPr>
                      <w:rFonts w:hint="eastAsia"/>
                      <w:sz w:val="21"/>
                      <w:szCs w:val="21"/>
                    </w:rPr>
                    <w:t>34.25100890</w:t>
                  </w:r>
                </w:p>
              </w:tc>
              <w:tc>
                <w:tcPr>
                  <w:tcW w:w="1613"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顺景商务酒店</w:t>
                  </w:r>
                </w:p>
              </w:tc>
              <w:tc>
                <w:tcPr>
                  <w:tcW w:w="875"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150</w:t>
                  </w:r>
                  <w:r>
                    <w:rPr>
                      <w:rFonts w:hint="eastAsia"/>
                      <w:sz w:val="21"/>
                      <w:szCs w:val="21"/>
                    </w:rPr>
                    <w:t>人</w:t>
                  </w:r>
                </w:p>
              </w:tc>
              <w:tc>
                <w:tcPr>
                  <w:tcW w:w="939" w:type="dxa"/>
                  <w:vMerge w:val="continue"/>
                  <w:noWrap w:val="0"/>
                  <w:vAlign w:val="center"/>
                </w:tcPr>
                <w:p>
                  <w:pPr>
                    <w:adjustRightInd w:val="0"/>
                    <w:snapToGrid w:val="0"/>
                    <w:jc w:val="center"/>
                    <w:rPr>
                      <w:sz w:val="21"/>
                      <w:szCs w:val="21"/>
                    </w:rPr>
                  </w:pPr>
                </w:p>
              </w:tc>
              <w:tc>
                <w:tcPr>
                  <w:tcW w:w="806" w:type="dxa"/>
                  <w:noWrap w:val="0"/>
                  <w:vAlign w:val="center"/>
                </w:tcPr>
                <w:p>
                  <w:pPr>
                    <w:adjustRightInd w:val="0"/>
                    <w:snapToGrid w:val="0"/>
                    <w:jc w:val="center"/>
                    <w:rPr>
                      <w:rFonts w:hint="eastAsia"/>
                      <w:sz w:val="21"/>
                      <w:szCs w:val="21"/>
                      <w:lang w:val="en-US" w:eastAsia="zh-CN"/>
                    </w:rPr>
                  </w:pPr>
                  <w:r>
                    <w:rPr>
                      <w:rFonts w:hint="eastAsia"/>
                      <w:sz w:val="21"/>
                      <w:szCs w:val="21"/>
                      <w:lang w:val="en-US" w:eastAsia="zh-CN"/>
                    </w:rPr>
                    <w:t>东</w:t>
                  </w:r>
                </w:p>
              </w:tc>
              <w:tc>
                <w:tcPr>
                  <w:tcW w:w="967"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436" w:type="dxa"/>
                  <w:vMerge w:val="continue"/>
                  <w:noWrap w:val="0"/>
                  <w:vAlign w:val="center"/>
                </w:tcPr>
                <w:p>
                  <w:pPr>
                    <w:adjustRightInd w:val="0"/>
                    <w:snapToGrid w:val="0"/>
                    <w:jc w:val="center"/>
                    <w:rPr>
                      <w:sz w:val="21"/>
                      <w:szCs w:val="21"/>
                    </w:rPr>
                  </w:pPr>
                </w:p>
              </w:tc>
              <w:tc>
                <w:tcPr>
                  <w:tcW w:w="1308" w:type="dxa"/>
                  <w:noWrap w:val="0"/>
                  <w:vAlign w:val="center"/>
                </w:tcPr>
                <w:p>
                  <w:pPr>
                    <w:adjustRightInd w:val="0"/>
                    <w:snapToGrid w:val="0"/>
                    <w:jc w:val="center"/>
                    <w:rPr>
                      <w:rFonts w:hint="eastAsia"/>
                      <w:sz w:val="21"/>
                      <w:szCs w:val="21"/>
                    </w:rPr>
                  </w:pPr>
                  <w:r>
                    <w:rPr>
                      <w:rFonts w:hint="eastAsia"/>
                      <w:sz w:val="21"/>
                      <w:szCs w:val="21"/>
                    </w:rPr>
                    <w:t>109.04296517</w:t>
                  </w:r>
                </w:p>
              </w:tc>
              <w:tc>
                <w:tcPr>
                  <w:tcW w:w="1292" w:type="dxa"/>
                  <w:noWrap w:val="0"/>
                  <w:vAlign w:val="center"/>
                </w:tcPr>
                <w:p>
                  <w:pPr>
                    <w:adjustRightInd w:val="0"/>
                    <w:snapToGrid w:val="0"/>
                    <w:jc w:val="center"/>
                    <w:rPr>
                      <w:rFonts w:hint="eastAsia"/>
                      <w:sz w:val="21"/>
                      <w:szCs w:val="21"/>
                    </w:rPr>
                  </w:pPr>
                  <w:r>
                    <w:rPr>
                      <w:rFonts w:hint="eastAsia"/>
                      <w:sz w:val="21"/>
                      <w:szCs w:val="21"/>
                    </w:rPr>
                    <w:t>34.24890711</w:t>
                  </w:r>
                </w:p>
              </w:tc>
              <w:tc>
                <w:tcPr>
                  <w:tcW w:w="1613"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堤柳花园</w:t>
                  </w:r>
                </w:p>
              </w:tc>
              <w:tc>
                <w:tcPr>
                  <w:tcW w:w="875"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2500</w:t>
                  </w:r>
                  <w:r>
                    <w:rPr>
                      <w:rFonts w:hint="eastAsia"/>
                      <w:sz w:val="21"/>
                      <w:szCs w:val="21"/>
                    </w:rPr>
                    <w:t>人</w:t>
                  </w:r>
                </w:p>
              </w:tc>
              <w:tc>
                <w:tcPr>
                  <w:tcW w:w="939" w:type="dxa"/>
                  <w:vMerge w:val="continue"/>
                  <w:noWrap w:val="0"/>
                  <w:vAlign w:val="center"/>
                </w:tcPr>
                <w:p>
                  <w:pPr>
                    <w:adjustRightInd w:val="0"/>
                    <w:snapToGrid w:val="0"/>
                    <w:jc w:val="center"/>
                    <w:rPr>
                      <w:sz w:val="21"/>
                      <w:szCs w:val="21"/>
                    </w:rPr>
                  </w:pPr>
                </w:p>
              </w:tc>
              <w:tc>
                <w:tcPr>
                  <w:tcW w:w="806"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西南</w:t>
                  </w:r>
                </w:p>
              </w:tc>
              <w:tc>
                <w:tcPr>
                  <w:tcW w:w="967" w:type="dxa"/>
                  <w:noWrap w:val="0"/>
                  <w:vAlign w:val="center"/>
                </w:tcPr>
                <w:p>
                  <w:pPr>
                    <w:adjustRightInd w:val="0"/>
                    <w:snapToGrid w:val="0"/>
                    <w:jc w:val="center"/>
                    <w:rPr>
                      <w:rFonts w:hint="default"/>
                      <w:sz w:val="21"/>
                      <w:szCs w:val="21"/>
                      <w:lang w:val="en-US" w:eastAsia="zh-CN"/>
                    </w:rPr>
                  </w:pPr>
                  <w:r>
                    <w:rPr>
                      <w:rFonts w:hint="eastAsia"/>
                      <w:sz w:val="21"/>
                      <w:szCs w:val="21"/>
                      <w:lang w:val="en-US" w:eastAsia="zh-CN"/>
                    </w:rPr>
                    <w:t>375</w:t>
                  </w:r>
                </w:p>
              </w:tc>
            </w:tr>
          </w:tbl>
          <w:p>
            <w:pPr>
              <w:pStyle w:val="8"/>
              <w:spacing w:before="0" w:after="0" w:line="360" w:lineRule="auto"/>
              <w:ind w:right="0" w:firstLine="422" w:firstLineChars="200"/>
              <w:rPr>
                <w:b/>
                <w:bCs/>
                <w:sz w:val="21"/>
                <w:szCs w:val="21"/>
              </w:rPr>
            </w:pPr>
            <w:r>
              <w:rPr>
                <w:b/>
                <w:bCs/>
                <w:sz w:val="21"/>
                <w:szCs w:val="21"/>
              </w:rPr>
              <w:t>2、声环境保护目标</w:t>
            </w:r>
          </w:p>
          <w:p>
            <w:pPr>
              <w:adjustRightInd w:val="0"/>
              <w:snapToGrid w:val="0"/>
              <w:spacing w:line="360" w:lineRule="auto"/>
              <w:ind w:firstLine="420" w:firstLineChars="200"/>
              <w:rPr>
                <w:rFonts w:hint="default" w:ascii="Times New Roman" w:hAnsi="Times New Roman" w:eastAsia="宋体" w:cs="Times New Roman"/>
                <w:kern w:val="0"/>
                <w:sz w:val="21"/>
                <w:szCs w:val="21"/>
                <w:lang w:val="en-US" w:eastAsia="zh-CN"/>
              </w:rPr>
            </w:pPr>
            <w:r>
              <w:rPr>
                <w:rFonts w:hint="default" w:ascii="Times New Roman" w:hAnsi="Times New Roman" w:eastAsia="宋体" w:cs="Times New Roman"/>
                <w:kern w:val="0"/>
                <w:sz w:val="21"/>
                <w:szCs w:val="21"/>
                <w:lang w:val="en-US" w:eastAsia="zh-CN"/>
              </w:rPr>
              <w:t>项目</w:t>
            </w:r>
            <w:r>
              <w:rPr>
                <w:rFonts w:hint="default" w:ascii="Times New Roman" w:hAnsi="Times New Roman" w:eastAsia="宋体" w:cs="Times New Roman"/>
                <w:kern w:val="0"/>
                <w:sz w:val="21"/>
                <w:szCs w:val="21"/>
              </w:rPr>
              <w:t>声环境质量控制目标为《声环境质量标准》（GB3096-2008）</w:t>
            </w:r>
            <w:r>
              <w:rPr>
                <w:rFonts w:hint="eastAsia" w:ascii="Times New Roman" w:hAnsi="Times New Roman" w:eastAsia="宋体" w:cs="Times New Roman"/>
                <w:kern w:val="0"/>
                <w:sz w:val="21"/>
                <w:szCs w:val="21"/>
                <w:lang w:val="en-US" w:eastAsia="zh-CN"/>
              </w:rPr>
              <w:t>2</w:t>
            </w:r>
            <w:r>
              <w:rPr>
                <w:rFonts w:hint="default" w:ascii="Times New Roman" w:hAnsi="Times New Roman" w:eastAsia="宋体" w:cs="Times New Roman"/>
                <w:kern w:val="0"/>
                <w:sz w:val="21"/>
                <w:szCs w:val="21"/>
              </w:rPr>
              <w:t>类区标准</w:t>
            </w:r>
            <w:r>
              <w:rPr>
                <w:rFonts w:hint="default" w:ascii="Times New Roman" w:hAnsi="Times New Roman" w:eastAsia="宋体" w:cs="Times New Roman"/>
                <w:kern w:val="0"/>
                <w:sz w:val="21"/>
                <w:szCs w:val="21"/>
                <w:lang w:eastAsia="zh-CN"/>
              </w:rPr>
              <w:t>，</w:t>
            </w:r>
            <w:r>
              <w:rPr>
                <w:rFonts w:hint="default" w:ascii="Times New Roman" w:hAnsi="Times New Roman" w:eastAsia="宋体" w:cs="Times New Roman"/>
                <w:kern w:val="0"/>
                <w:sz w:val="21"/>
                <w:szCs w:val="21"/>
                <w:lang w:val="en-US" w:eastAsia="zh-CN"/>
              </w:rPr>
              <w:t>项目</w:t>
            </w:r>
            <w:r>
              <w:rPr>
                <w:rFonts w:hint="default" w:ascii="Times New Roman" w:hAnsi="Times New Roman" w:eastAsia="宋体" w:cs="Times New Roman"/>
                <w:kern w:val="0"/>
                <w:sz w:val="21"/>
                <w:szCs w:val="21"/>
              </w:rPr>
              <w:t>厂界外50米范围内声环境保护目标</w:t>
            </w:r>
            <w:r>
              <w:rPr>
                <w:rFonts w:hint="default" w:ascii="Times New Roman" w:hAnsi="Times New Roman" w:eastAsia="宋体" w:cs="Times New Roman"/>
                <w:kern w:val="0"/>
                <w:sz w:val="21"/>
                <w:szCs w:val="21"/>
                <w:lang w:val="en-US" w:eastAsia="zh-CN"/>
              </w:rPr>
              <w:t>见</w:t>
            </w:r>
            <w:r>
              <w:rPr>
                <w:rFonts w:hint="eastAsia" w:ascii="Times New Roman" w:hAnsi="Times New Roman" w:eastAsia="宋体" w:cs="Times New Roman"/>
                <w:kern w:val="0"/>
                <w:sz w:val="21"/>
                <w:szCs w:val="21"/>
                <w:lang w:val="en-US" w:eastAsia="zh-CN"/>
              </w:rPr>
              <w:t>表</w:t>
            </w:r>
            <w:r>
              <w:rPr>
                <w:rFonts w:ascii="Times New Roman" w:hAnsi="Times New Roman" w:eastAsia="宋体" w:cs="Times New Roman"/>
                <w:kern w:val="0"/>
                <w:sz w:val="21"/>
                <w:szCs w:val="21"/>
              </w:rPr>
              <w:t>3-</w:t>
            </w:r>
            <w:r>
              <w:rPr>
                <w:rFonts w:hint="eastAsia" w:ascii="Times New Roman" w:hAnsi="Times New Roman" w:eastAsia="宋体" w:cs="Times New Roman"/>
                <w:kern w:val="0"/>
                <w:sz w:val="21"/>
                <w:szCs w:val="21"/>
                <w:lang w:val="en-US" w:eastAsia="zh-CN"/>
              </w:rPr>
              <w:t>7</w:t>
            </w:r>
            <w:r>
              <w:rPr>
                <w:rFonts w:hint="eastAsia" w:ascii="Times New Roman" w:hAnsi="Times New Roman" w:eastAsia="宋体" w:cs="Times New Roman"/>
                <w:kern w:val="0"/>
                <w:sz w:val="21"/>
                <w:szCs w:val="21"/>
                <w:lang w:eastAsia="zh-CN"/>
              </w:rPr>
              <w:t>，</w:t>
            </w:r>
            <w:r>
              <w:rPr>
                <w:rFonts w:hint="eastAsia" w:ascii="Times New Roman" w:hAnsi="Times New Roman" w:eastAsia="宋体" w:cs="Times New Roman"/>
                <w:kern w:val="0"/>
                <w:sz w:val="21"/>
                <w:szCs w:val="21"/>
                <w:lang w:val="en-US" w:eastAsia="zh-CN"/>
              </w:rPr>
              <w:t>环境保护目标图见图3-1</w:t>
            </w:r>
            <w:r>
              <w:rPr>
                <w:rFonts w:ascii="Times New Roman" w:hAnsi="Times New Roman" w:eastAsia="宋体" w:cs="Times New Roman"/>
                <w:kern w:val="0"/>
                <w:sz w:val="21"/>
                <w:szCs w:val="21"/>
              </w:rPr>
              <w:t>。</w:t>
            </w:r>
          </w:p>
          <w:p>
            <w:pPr>
              <w:pStyle w:val="8"/>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color w:val="auto"/>
                <w:sz w:val="21"/>
                <w:szCs w:val="21"/>
                <w:highlight w:val="yellow"/>
                <w:lang w:val="en-US" w:eastAsia="zh-CN"/>
              </w:rPr>
            </w:pPr>
            <w:r>
              <w:rPr>
                <w:rFonts w:hint="default" w:ascii="Times New Roman" w:hAnsi="Times New Roman" w:eastAsia="宋体" w:cs="Times New Roman"/>
                <w:b/>
                <w:color w:val="auto"/>
                <w:sz w:val="21"/>
                <w:szCs w:val="21"/>
                <w:highlight w:val="none"/>
              </w:rPr>
              <w:t>表3-</w:t>
            </w:r>
            <w:r>
              <w:rPr>
                <w:rFonts w:hint="eastAsia" w:ascii="Times New Roman" w:hAnsi="Times New Roman" w:eastAsia="宋体" w:cs="Times New Roman"/>
                <w:b/>
                <w:color w:val="auto"/>
                <w:sz w:val="21"/>
                <w:szCs w:val="21"/>
                <w:highlight w:val="none"/>
                <w:lang w:val="en-US" w:eastAsia="zh-CN"/>
              </w:rPr>
              <w:t>7</w:t>
            </w:r>
            <w:r>
              <w:rPr>
                <w:rFonts w:hint="default" w:ascii="Times New Roman" w:hAnsi="Times New Roman" w:eastAsia="宋体" w:cs="Times New Roman"/>
                <w:b/>
                <w:color w:val="auto"/>
                <w:sz w:val="21"/>
                <w:szCs w:val="21"/>
                <w:highlight w:val="none"/>
              </w:rPr>
              <w:t>主要环境保护目标表</w:t>
            </w:r>
          </w:p>
          <w:tbl>
            <w:tblPr>
              <w:tblStyle w:val="24"/>
              <w:tblW w:w="4996"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427"/>
              <w:gridCol w:w="959"/>
              <w:gridCol w:w="821"/>
              <w:gridCol w:w="553"/>
              <w:gridCol w:w="579"/>
              <w:gridCol w:w="830"/>
              <w:gridCol w:w="689"/>
              <w:gridCol w:w="1241"/>
              <w:gridCol w:w="212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48" w:type="pct"/>
                  <w:vMerge w:val="restar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环境要素</w:t>
                  </w:r>
                </w:p>
              </w:tc>
              <w:tc>
                <w:tcPr>
                  <w:tcW w:w="585" w:type="pct"/>
                  <w:vMerge w:val="restart"/>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声环境保护目标名称</w:t>
                  </w:r>
                </w:p>
              </w:tc>
              <w:tc>
                <w:tcPr>
                  <w:tcW w:w="119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坐标/</w:t>
                  </w:r>
                  <w:r>
                    <w:rPr>
                      <w:rFonts w:hint="eastAsia" w:ascii="Times New Roman" w:hAnsi="Times New Roman" w:eastAsia="宋体" w:cs="Times New Roman"/>
                      <w:b/>
                      <w:bCs/>
                      <w:sz w:val="21"/>
                      <w:szCs w:val="21"/>
                      <w:lang w:val="en-US" w:eastAsia="zh-CN"/>
                    </w:rPr>
                    <w:t>°</w:t>
                  </w:r>
                </w:p>
              </w:tc>
              <w:tc>
                <w:tcPr>
                  <w:tcW w:w="50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距</w:t>
                  </w:r>
                  <w:r>
                    <w:rPr>
                      <w:rFonts w:hint="default" w:ascii="Times New Roman" w:hAnsi="Times New Roman" w:eastAsia="宋体" w:cs="Times New Roman"/>
                      <w:b/>
                      <w:bCs/>
                      <w:sz w:val="21"/>
                      <w:szCs w:val="21"/>
                      <w:lang w:val="en-US" w:eastAsia="zh-CN"/>
                    </w:rPr>
                    <w:t>厂界</w:t>
                  </w:r>
                  <w:r>
                    <w:rPr>
                      <w:rFonts w:hint="eastAsia" w:ascii="Times New Roman" w:hAnsi="Times New Roman" w:eastAsia="宋体" w:cs="Times New Roman"/>
                      <w:b/>
                      <w:bCs/>
                      <w:sz w:val="21"/>
                      <w:szCs w:val="21"/>
                      <w:lang w:val="en-US" w:eastAsia="zh-CN"/>
                    </w:rPr>
                    <w:t>最近</w:t>
                  </w:r>
                  <w:r>
                    <w:rPr>
                      <w:rFonts w:hint="default" w:ascii="Times New Roman" w:hAnsi="Times New Roman" w:eastAsia="宋体" w:cs="Times New Roman"/>
                      <w:b/>
                      <w:bCs/>
                      <w:sz w:val="21"/>
                      <w:szCs w:val="21"/>
                      <w:lang w:val="en-US" w:eastAsia="zh-CN"/>
                    </w:rPr>
                    <w:t>距离/m</w:t>
                  </w:r>
                </w:p>
              </w:tc>
              <w:tc>
                <w:tcPr>
                  <w:tcW w:w="42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方位</w:t>
                  </w:r>
                </w:p>
              </w:tc>
              <w:tc>
                <w:tcPr>
                  <w:tcW w:w="75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执行标准/功能区类别</w:t>
                  </w:r>
                </w:p>
              </w:tc>
              <w:tc>
                <w:tcPr>
                  <w:tcW w:w="129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声环境保护目标情况说明（介绍声环境保护目XYZ标建筑结构、朝向、楼层、周围环境情况）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48" w:type="pct"/>
                  <w:vMerge w:val="continue"/>
                  <w:tcBorders>
                    <w:bottom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p>
              </w:tc>
              <w:tc>
                <w:tcPr>
                  <w:tcW w:w="585" w:type="pct"/>
                  <w:vMerge w:val="continue"/>
                  <w:tcBorders>
                    <w:left w:val="single" w:color="auto" w:sz="4" w:space="0"/>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p>
              </w:tc>
              <w:tc>
                <w:tcPr>
                  <w:tcW w:w="501"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X</w:t>
                  </w:r>
                </w:p>
              </w:tc>
              <w:tc>
                <w:tcPr>
                  <w:tcW w:w="338" w:type="pc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Y</w:t>
                  </w:r>
                </w:p>
              </w:tc>
              <w:tc>
                <w:tcPr>
                  <w:tcW w:w="352" w:type="pct"/>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bCs/>
                      <w:sz w:val="21"/>
                      <w:szCs w:val="21"/>
                      <w:lang w:val="en-US" w:eastAsia="zh-CN"/>
                    </w:rPr>
                    <w:t>Z</w:t>
                  </w:r>
                </w:p>
              </w:tc>
              <w:tc>
                <w:tcPr>
                  <w:tcW w:w="50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p>
              </w:tc>
              <w:tc>
                <w:tcPr>
                  <w:tcW w:w="42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p>
              </w:tc>
              <w:tc>
                <w:tcPr>
                  <w:tcW w:w="75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p>
              </w:tc>
              <w:tc>
                <w:tcPr>
                  <w:tcW w:w="129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9" w:hRule="atLeast"/>
                <w:jc w:val="center"/>
              </w:trPr>
              <w:tc>
                <w:tcPr>
                  <w:tcW w:w="248" w:type="pct"/>
                  <w:tcBorders>
                    <w:top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声环境</w:t>
                  </w:r>
                </w:p>
              </w:tc>
              <w:tc>
                <w:tcPr>
                  <w:tcW w:w="585" w:type="pct"/>
                  <w:tcBorders>
                    <w:top w:val="single" w:color="auto" w:sz="4" w:space="0"/>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sz w:val="21"/>
                      <w:szCs w:val="21"/>
                      <w:lang w:val="en-US" w:eastAsia="zh-CN"/>
                    </w:rPr>
                    <w:t>五建花苑小区</w:t>
                  </w:r>
                </w:p>
              </w:tc>
              <w:tc>
                <w:tcPr>
                  <w:tcW w:w="501" w:type="pct"/>
                  <w:tcBorders>
                    <w:top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-43</w:t>
                  </w:r>
                </w:p>
              </w:tc>
              <w:tc>
                <w:tcPr>
                  <w:tcW w:w="338" w:type="pc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352" w:type="pct"/>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21"/>
                      <w:szCs w:val="21"/>
                      <w:lang w:val="en-US" w:eastAsia="zh-CN"/>
                    </w:rPr>
                  </w:pPr>
                  <w:r>
                    <w:rPr>
                      <w:rFonts w:hint="eastAsia" w:ascii="Times New Roman" w:hAnsi="Times New Roman" w:eastAsia="宋体" w:cs="Times New Roman"/>
                      <w:color w:val="auto"/>
                      <w:kern w:val="2"/>
                      <w:sz w:val="21"/>
                      <w:szCs w:val="21"/>
                      <w:lang w:val="en-US" w:eastAsia="zh-CN"/>
                    </w:rPr>
                    <w:t>15</w:t>
                  </w:r>
                </w:p>
              </w:tc>
              <w:tc>
                <w:tcPr>
                  <w:tcW w:w="5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olor w:val="auto"/>
                      <w:sz w:val="21"/>
                      <w:szCs w:val="21"/>
                      <w:lang w:val="en-US" w:eastAsia="zh-CN"/>
                    </w:rPr>
                    <w:t>46</w:t>
                  </w:r>
                </w:p>
              </w:tc>
              <w:tc>
                <w:tcPr>
                  <w:tcW w:w="4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color w:val="auto"/>
                      <w:sz w:val="21"/>
                      <w:szCs w:val="21"/>
                      <w:lang w:val="en-US" w:eastAsia="zh-CN"/>
                    </w:rPr>
                    <w:t>西</w:t>
                  </w:r>
                </w:p>
              </w:tc>
              <w:tc>
                <w:tcPr>
                  <w:tcW w:w="7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2类</w:t>
                  </w:r>
                </w:p>
              </w:tc>
              <w:tc>
                <w:tcPr>
                  <w:tcW w:w="12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钢混结构、朝南，共31层，760户</w:t>
                  </w:r>
                </w:p>
              </w:tc>
            </w:tr>
          </w:tbl>
          <w:p>
            <w:pPr>
              <w:pStyle w:val="8"/>
              <w:spacing w:before="0" w:after="0" w:line="360" w:lineRule="auto"/>
              <w:ind w:right="0" w:firstLine="422" w:firstLineChars="200"/>
              <w:rPr>
                <w:b/>
                <w:bCs/>
                <w:sz w:val="21"/>
                <w:szCs w:val="21"/>
              </w:rPr>
            </w:pPr>
            <w:r>
              <w:rPr>
                <w:b/>
                <w:bCs/>
                <w:sz w:val="21"/>
                <w:szCs w:val="21"/>
              </w:rPr>
              <w:t>3、地下水环境</w:t>
            </w:r>
            <w:r>
              <w:rPr>
                <w:b/>
                <w:bCs/>
                <w:sz w:val="21"/>
                <w:szCs w:val="21"/>
              </w:rPr>
              <w:t>保护目标</w:t>
            </w:r>
          </w:p>
          <w:p>
            <w:pPr>
              <w:pStyle w:val="8"/>
              <w:spacing w:before="0" w:after="0" w:line="360" w:lineRule="auto"/>
              <w:ind w:right="0" w:firstLine="420" w:firstLineChars="200"/>
              <w:rPr>
                <w:rFonts w:hint="default" w:eastAsia="宋体"/>
                <w:szCs w:val="21"/>
                <w:lang w:val="en-US" w:eastAsia="zh-CN"/>
              </w:rPr>
            </w:pPr>
            <w:r>
              <w:rPr>
                <w:sz w:val="21"/>
                <w:szCs w:val="21"/>
              </w:rPr>
              <w:t>项目厂界外500米范围内无地下水集中式饮用水水源和热水、矿泉水、温泉等特殊地下水资源。无地下水环境保护目标。</w:t>
            </w:r>
          </w:p>
        </w:tc>
      </w:tr>
    </w:tbl>
    <w:p>
      <w:pPr>
        <w:adjustRightInd w:val="0"/>
        <w:snapToGrid w:val="0"/>
        <w:jc w:val="center"/>
        <w:rPr>
          <w:kern w:val="0"/>
          <w:szCs w:val="21"/>
        </w:rPr>
        <w:sectPr>
          <w:pgSz w:w="11907" w:h="16840"/>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p>
    <w:p>
      <w:pPr>
        <w:adjustRightInd w:val="0"/>
        <w:snapToGrid w:val="0"/>
        <w:jc w:val="center"/>
        <w:rPr>
          <w:rFonts w:hint="eastAsia" w:eastAsia="宋体"/>
          <w:kern w:val="0"/>
          <w:szCs w:val="21"/>
          <w:lang w:eastAsia="zh-CN"/>
        </w:rPr>
      </w:pPr>
      <w:r>
        <w:rPr>
          <w:rFonts w:hint="eastAsia" w:eastAsia="宋体"/>
          <w:kern w:val="0"/>
          <w:szCs w:val="21"/>
          <w:lang w:eastAsia="zh-CN"/>
        </w:rPr>
        <w:drawing>
          <wp:inline distT="0" distB="0" distL="114300" distR="114300">
            <wp:extent cx="8525510" cy="5497830"/>
            <wp:effectExtent l="0" t="0" r="8890" b="1270"/>
            <wp:docPr id="27" name="图片 2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2" descr="9"/>
                    <pic:cNvPicPr>
                      <a:picLocks noChangeAspect="1"/>
                    </pic:cNvPicPr>
                  </pic:nvPicPr>
                  <pic:blipFill>
                    <a:blip r:embed="rId28"/>
                    <a:stretch>
                      <a:fillRect/>
                    </a:stretch>
                  </pic:blipFill>
                  <pic:spPr>
                    <a:xfrm>
                      <a:off x="0" y="0"/>
                      <a:ext cx="8525510" cy="5497830"/>
                    </a:xfrm>
                    <a:prstGeom prst="rect">
                      <a:avLst/>
                    </a:prstGeom>
                    <a:noFill/>
                    <a:ln>
                      <a:noFill/>
                    </a:ln>
                  </pic:spPr>
                </pic:pic>
              </a:graphicData>
            </a:graphic>
          </wp:inline>
        </w:drawing>
      </w:r>
    </w:p>
    <w:p>
      <w:pPr>
        <w:adjustRightInd w:val="0"/>
        <w:snapToGrid w:val="0"/>
        <w:jc w:val="center"/>
        <w:rPr>
          <w:rFonts w:hint="default" w:ascii="Times New Roman" w:hAnsi="Times New Roman" w:eastAsia="宋体" w:cs="Times New Roman"/>
          <w:b/>
          <w:color w:val="auto"/>
          <w:kern w:val="0"/>
          <w:sz w:val="21"/>
          <w:szCs w:val="21"/>
          <w:highlight w:val="none"/>
          <w:lang w:val="en-US" w:eastAsia="zh-CN" w:bidi="ar-SA"/>
        </w:rPr>
        <w:sectPr>
          <w:pgSz w:w="16840" w:h="11907" w:orient="landscape"/>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b/>
          <w:color w:val="auto"/>
          <w:kern w:val="0"/>
          <w:sz w:val="21"/>
          <w:szCs w:val="21"/>
          <w:highlight w:val="none"/>
          <w:lang w:val="en-US" w:eastAsia="zh-CN" w:bidi="ar-SA"/>
        </w:rPr>
        <w:t>图3-1环境保护目标图</w:t>
      </w:r>
    </w:p>
    <w:tbl>
      <w:tblPr>
        <w:tblStyle w:val="24"/>
        <w:tblW w:w="508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34"/>
        <w:gridCol w:w="85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827" w:type="dxa"/>
            <w:noWrap w:val="0"/>
            <w:tcMar>
              <w:left w:w="28" w:type="dxa"/>
              <w:right w:w="28" w:type="dxa"/>
            </w:tcMar>
            <w:vAlign w:val="center"/>
          </w:tcPr>
          <w:p>
            <w:pPr>
              <w:adjustRightInd w:val="0"/>
              <w:snapToGrid w:val="0"/>
              <w:jc w:val="center"/>
              <w:rPr>
                <w:kern w:val="0"/>
                <w:szCs w:val="21"/>
              </w:rPr>
            </w:pPr>
            <w:r>
              <w:rPr>
                <w:kern w:val="0"/>
                <w:szCs w:val="21"/>
              </w:rPr>
              <w:t>污染</w:t>
            </w:r>
          </w:p>
          <w:p>
            <w:pPr>
              <w:adjustRightInd w:val="0"/>
              <w:snapToGrid w:val="0"/>
              <w:jc w:val="center"/>
              <w:rPr>
                <w:kern w:val="0"/>
                <w:szCs w:val="21"/>
              </w:rPr>
            </w:pPr>
            <w:r>
              <w:rPr>
                <w:kern w:val="0"/>
                <w:szCs w:val="21"/>
              </w:rPr>
              <w:t>物排</w:t>
            </w:r>
          </w:p>
          <w:p>
            <w:pPr>
              <w:adjustRightInd w:val="0"/>
              <w:snapToGrid w:val="0"/>
              <w:jc w:val="center"/>
              <w:rPr>
                <w:kern w:val="0"/>
                <w:szCs w:val="21"/>
              </w:rPr>
            </w:pPr>
            <w:r>
              <w:rPr>
                <w:kern w:val="0"/>
                <w:szCs w:val="21"/>
              </w:rPr>
              <w:t>放控</w:t>
            </w:r>
          </w:p>
          <w:p>
            <w:pPr>
              <w:adjustRightInd w:val="0"/>
              <w:snapToGrid w:val="0"/>
              <w:jc w:val="center"/>
              <w:rPr>
                <w:kern w:val="0"/>
                <w:szCs w:val="21"/>
              </w:rPr>
            </w:pPr>
            <w:r>
              <w:rPr>
                <w:kern w:val="0"/>
                <w:szCs w:val="21"/>
              </w:rPr>
              <w:t>制标</w:t>
            </w:r>
          </w:p>
          <w:p>
            <w:pPr>
              <w:adjustRightInd w:val="0"/>
              <w:snapToGrid w:val="0"/>
              <w:jc w:val="center"/>
              <w:rPr>
                <w:kern w:val="0"/>
                <w:szCs w:val="21"/>
              </w:rPr>
            </w:pPr>
            <w:r>
              <w:rPr>
                <w:kern w:val="0"/>
                <w:szCs w:val="21"/>
              </w:rPr>
              <w:t>准</w:t>
            </w:r>
          </w:p>
        </w:tc>
        <w:tc>
          <w:tcPr>
            <w:tcW w:w="8462" w:type="dxa"/>
            <w:noWrap w:val="0"/>
            <w:vAlign w:val="center"/>
          </w:tcPr>
          <w:p>
            <w:pPr>
              <w:pStyle w:val="71"/>
              <w:ind w:firstLine="422"/>
              <w:rPr>
                <w:rFonts w:hAnsi="Times New Roman" w:cs="Times New Roman"/>
                <w:b/>
                <w:snapToGrid w:val="0"/>
                <w:kern w:val="0"/>
                <w:sz w:val="21"/>
                <w:szCs w:val="21"/>
              </w:rPr>
            </w:pPr>
            <w:r>
              <w:rPr>
                <w:rFonts w:hAnsi="Times New Roman" w:cs="Times New Roman"/>
                <w:b/>
                <w:snapToGrid w:val="0"/>
                <w:kern w:val="0"/>
                <w:sz w:val="21"/>
                <w:szCs w:val="21"/>
              </w:rPr>
              <w:t>1、大气污染物排放标准</w:t>
            </w:r>
          </w:p>
          <w:p>
            <w:pPr>
              <w:pStyle w:val="63"/>
              <w:spacing w:line="360" w:lineRule="auto"/>
              <w:ind w:firstLine="420" w:firstLineChars="200"/>
              <w:rPr>
                <w:rFonts w:ascii="Times New Roman" w:hAnsi="Times New Roman" w:eastAsia="宋体" w:cs="Times New Roman"/>
                <w:bCs/>
                <w:color w:val="auto"/>
                <w:kern w:val="28"/>
                <w:sz w:val="21"/>
                <w:szCs w:val="21"/>
              </w:rPr>
            </w:pPr>
            <w:r>
              <w:rPr>
                <w:rFonts w:hint="eastAsia" w:ascii="Times New Roman" w:hAnsi="Times New Roman" w:eastAsia="宋体" w:cs="Times New Roman"/>
                <w:bCs/>
                <w:color w:val="auto"/>
                <w:kern w:val="28"/>
                <w:sz w:val="21"/>
                <w:szCs w:val="21"/>
                <w:lang w:val="en-US" w:eastAsia="zh-CN"/>
              </w:rPr>
              <w:t>项目加油站运营期油气排放执行《加油站大气污染物排放标准》（</w:t>
            </w:r>
            <w:r>
              <w:rPr>
                <w:rFonts w:hint="default" w:ascii="Times New Roman" w:hAnsi="Times New Roman" w:eastAsia="宋体" w:cs="Times New Roman"/>
                <w:bCs/>
                <w:color w:val="auto"/>
                <w:kern w:val="28"/>
                <w:sz w:val="21"/>
                <w:szCs w:val="21"/>
                <w:lang w:val="en-US" w:eastAsia="zh-CN"/>
              </w:rPr>
              <w:t>GB20952-2020</w:t>
            </w:r>
            <w:r>
              <w:rPr>
                <w:rFonts w:hint="eastAsia" w:ascii="Times New Roman" w:hAnsi="Times New Roman" w:eastAsia="宋体" w:cs="Times New Roman"/>
                <w:bCs/>
                <w:color w:val="auto"/>
                <w:kern w:val="28"/>
                <w:sz w:val="21"/>
                <w:szCs w:val="21"/>
                <w:lang w:val="en-US" w:eastAsia="zh-CN"/>
              </w:rPr>
              <w:t>）标</w:t>
            </w:r>
            <w:r>
              <w:rPr>
                <w:rFonts w:hint="eastAsia" w:ascii="Times New Roman" w:hAnsi="Times New Roman" w:eastAsia="宋体" w:cs="Times New Roman"/>
                <w:bCs/>
                <w:color w:val="auto"/>
                <w:kern w:val="28"/>
                <w:sz w:val="21"/>
                <w:szCs w:val="21"/>
                <w:lang w:val="en-US" w:eastAsia="zh-CN"/>
              </w:rPr>
              <w:t>准</w:t>
            </w:r>
            <w:r>
              <w:rPr>
                <w:rFonts w:hint="eastAsia" w:ascii="Times New Roman" w:hAnsi="Times New Roman" w:eastAsia="宋体" w:cs="Times New Roman"/>
                <w:bCs/>
                <w:color w:val="auto"/>
                <w:kern w:val="28"/>
                <w:sz w:val="21"/>
                <w:szCs w:val="21"/>
                <w:lang w:val="en-US" w:eastAsia="zh-CN"/>
              </w:rPr>
              <w:t>限值。</w:t>
            </w:r>
          </w:p>
          <w:p>
            <w:pPr>
              <w:pStyle w:val="58"/>
              <w:ind w:firstLine="0"/>
              <w:jc w:val="center"/>
              <w:rPr>
                <w:b/>
                <w:bCs/>
                <w:sz w:val="21"/>
                <w:szCs w:val="21"/>
              </w:rPr>
            </w:pPr>
            <w:r>
              <w:rPr>
                <w:rFonts w:ascii="Times New Roman" w:hAnsi="Times New Roman" w:eastAsia="宋体" w:cs="Times New Roman"/>
                <w:b/>
                <w:bCs/>
                <w:kern w:val="2"/>
                <w:sz w:val="21"/>
                <w:szCs w:val="21"/>
                <w:lang w:val="en-US" w:eastAsia="zh-CN" w:bidi="ar-SA"/>
              </w:rPr>
              <w:t>表3-</w:t>
            </w:r>
            <w:r>
              <w:rPr>
                <w:rFonts w:hint="eastAsia" w:ascii="Times New Roman" w:hAnsi="Times New Roman" w:eastAsia="宋体" w:cs="Times New Roman"/>
                <w:b/>
                <w:bCs/>
                <w:kern w:val="2"/>
                <w:sz w:val="21"/>
                <w:szCs w:val="21"/>
                <w:lang w:val="en-US" w:eastAsia="zh-CN" w:bidi="ar-SA"/>
              </w:rPr>
              <w:t>8</w:t>
            </w:r>
            <w:r>
              <w:rPr>
                <w:rFonts w:ascii="Times New Roman" w:hAnsi="Times New Roman" w:eastAsia="宋体" w:cs="Times New Roman"/>
                <w:b/>
                <w:bCs/>
                <w:kern w:val="2"/>
                <w:sz w:val="21"/>
                <w:szCs w:val="21"/>
                <w:lang w:val="en-US" w:eastAsia="zh-CN" w:bidi="ar-SA"/>
              </w:rPr>
              <w:t>大气污染物排放标准（单位：mg/m</w:t>
            </w:r>
            <w:r>
              <w:rPr>
                <w:rFonts w:ascii="Times New Roman" w:hAnsi="Times New Roman" w:eastAsia="宋体" w:cs="Times New Roman"/>
                <w:b/>
                <w:bCs/>
                <w:kern w:val="2"/>
                <w:sz w:val="21"/>
                <w:szCs w:val="21"/>
                <w:vertAlign w:val="superscript"/>
                <w:lang w:val="en-US" w:eastAsia="zh-CN" w:bidi="ar-SA"/>
              </w:rPr>
              <w:t>3</w:t>
            </w:r>
            <w:r>
              <w:rPr>
                <w:rFonts w:ascii="Times New Roman" w:hAnsi="Times New Roman" w:eastAsia="宋体" w:cs="Times New Roman"/>
                <w:b/>
                <w:bCs/>
                <w:kern w:val="2"/>
                <w:sz w:val="21"/>
                <w:szCs w:val="21"/>
                <w:lang w:val="en-US" w:eastAsia="zh-CN" w:bidi="ar-SA"/>
              </w:rPr>
              <w:t>）</w:t>
            </w:r>
          </w:p>
          <w:tbl>
            <w:tblPr>
              <w:tblStyle w:val="2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02"/>
              <w:gridCol w:w="978"/>
              <w:gridCol w:w="1382"/>
              <w:gridCol w:w="2102"/>
              <w:gridCol w:w="1437"/>
              <w:gridCol w:w="180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2" w:hRule="atLeast"/>
                <w:jc w:val="center"/>
              </w:trPr>
              <w:tc>
                <w:tcPr>
                  <w:tcW w:w="362" w:type="pct"/>
                  <w:tcBorders>
                    <w:right w:val="single" w:color="auto" w:sz="4" w:space="0"/>
                  </w:tcBorders>
                  <w:noWrap w:val="0"/>
                  <w:vAlign w:val="center"/>
                </w:tcPr>
                <w:p>
                  <w:pPr>
                    <w:adjustRightInd w:val="0"/>
                    <w:snapToGrid w:val="0"/>
                    <w:jc w:val="center"/>
                    <w:textAlignment w:val="center"/>
                    <w:rPr>
                      <w:rFonts w:hint="default" w:eastAsia="宋体"/>
                      <w:b/>
                      <w:bCs/>
                      <w:sz w:val="21"/>
                      <w:szCs w:val="21"/>
                      <w:lang w:val="en-US" w:eastAsia="zh-CN"/>
                    </w:rPr>
                  </w:pPr>
                  <w:r>
                    <w:rPr>
                      <w:rFonts w:hint="eastAsia"/>
                      <w:b/>
                      <w:bCs/>
                      <w:sz w:val="21"/>
                      <w:szCs w:val="21"/>
                      <w:lang w:val="en-US" w:eastAsia="zh-CN"/>
                    </w:rPr>
                    <w:t>要素</w:t>
                  </w:r>
                  <w:r>
                    <w:rPr>
                      <w:rFonts w:hint="eastAsia"/>
                      <w:b/>
                      <w:bCs/>
                      <w:sz w:val="21"/>
                      <w:szCs w:val="21"/>
                      <w:lang w:val="en-US" w:eastAsia="zh-CN"/>
                    </w:rPr>
                    <w:t>分类</w:t>
                  </w:r>
                </w:p>
              </w:tc>
              <w:tc>
                <w:tcPr>
                  <w:tcW w:w="588" w:type="pct"/>
                  <w:tcBorders>
                    <w:left w:val="single" w:color="auto" w:sz="4" w:space="0"/>
                  </w:tcBorders>
                  <w:noWrap w:val="0"/>
                  <w:vAlign w:val="center"/>
                </w:tcPr>
                <w:p>
                  <w:pPr>
                    <w:adjustRightInd w:val="0"/>
                    <w:snapToGrid w:val="0"/>
                    <w:jc w:val="center"/>
                    <w:textAlignment w:val="center"/>
                    <w:rPr>
                      <w:rFonts w:hint="default" w:eastAsia="宋体"/>
                      <w:b/>
                      <w:bCs/>
                      <w:sz w:val="21"/>
                      <w:szCs w:val="21"/>
                      <w:lang w:val="en-US" w:eastAsia="zh-CN"/>
                    </w:rPr>
                  </w:pPr>
                  <w:r>
                    <w:rPr>
                      <w:rFonts w:hint="eastAsia"/>
                      <w:b/>
                      <w:bCs/>
                      <w:sz w:val="21"/>
                      <w:szCs w:val="21"/>
                      <w:lang w:val="en-US" w:eastAsia="zh-CN"/>
                    </w:rPr>
                    <w:t>标准名称</w:t>
                  </w:r>
                </w:p>
              </w:tc>
              <w:tc>
                <w:tcPr>
                  <w:tcW w:w="2961" w:type="pct"/>
                  <w:gridSpan w:val="3"/>
                  <w:tcBorders>
                    <w:right w:val="single" w:color="auto" w:sz="4" w:space="0"/>
                  </w:tcBorders>
                  <w:noWrap w:val="0"/>
                  <w:vAlign w:val="center"/>
                </w:tcPr>
                <w:p>
                  <w:pPr>
                    <w:adjustRightInd w:val="0"/>
                    <w:snapToGrid w:val="0"/>
                    <w:jc w:val="center"/>
                    <w:textAlignment w:val="center"/>
                    <w:rPr>
                      <w:b/>
                      <w:bCs/>
                      <w:sz w:val="21"/>
                      <w:szCs w:val="21"/>
                    </w:rPr>
                  </w:pPr>
                  <w:r>
                    <w:rPr>
                      <w:b/>
                      <w:bCs/>
                      <w:sz w:val="21"/>
                      <w:szCs w:val="21"/>
                    </w:rPr>
                    <w:t>标准限值</w:t>
                  </w:r>
                </w:p>
              </w:tc>
              <w:tc>
                <w:tcPr>
                  <w:tcW w:w="1087" w:type="pct"/>
                  <w:vMerge w:val="restart"/>
                  <w:tcBorders>
                    <w:left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b/>
                      <w:bCs/>
                      <w:color w:val="000000"/>
                      <w:kern w:val="0"/>
                      <w:sz w:val="21"/>
                      <w:szCs w:val="21"/>
                      <w:lang w:val="en-US" w:eastAsia="zh-CN" w:bidi="ar"/>
                    </w:rPr>
                    <w:t>评价</w:t>
                  </w:r>
                </w:p>
                <w:p>
                  <w:pPr>
                    <w:keepNext w:val="0"/>
                    <w:keepLines w:val="0"/>
                    <w:widowControl/>
                    <w:suppressLineNumbers w:val="0"/>
                    <w:jc w:val="center"/>
                    <w:rPr>
                      <w:sz w:val="21"/>
                      <w:szCs w:val="21"/>
                    </w:rPr>
                  </w:pPr>
                  <w:r>
                    <w:rPr>
                      <w:rFonts w:hint="eastAsia" w:ascii="宋体" w:hAnsi="宋体" w:eastAsia="宋体" w:cs="宋体"/>
                      <w:b/>
                      <w:bCs/>
                      <w:color w:val="000000"/>
                      <w:kern w:val="0"/>
                      <w:sz w:val="21"/>
                      <w:szCs w:val="21"/>
                      <w:lang w:val="en-US" w:eastAsia="zh-CN" w:bidi="ar"/>
                    </w:rPr>
                    <w:t>对象</w:t>
                  </w:r>
                </w:p>
                <w:p>
                  <w:pPr>
                    <w:adjustRightInd w:val="0"/>
                    <w:snapToGrid w:val="0"/>
                    <w:jc w:val="center"/>
                    <w:textAlignment w:val="center"/>
                    <w:rPr>
                      <w:b/>
                      <w:bCs/>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362" w:type="pct"/>
                  <w:vMerge w:val="restart"/>
                  <w:tcBorders>
                    <w:right w:val="single" w:color="auto" w:sz="4" w:space="0"/>
                  </w:tcBorders>
                  <w:noWrap w:val="0"/>
                  <w:vAlign w:val="center"/>
                </w:tcPr>
                <w:p>
                  <w:pPr>
                    <w:adjustRightInd w:val="0"/>
                    <w:snapToGrid w:val="0"/>
                    <w:jc w:val="center"/>
                    <w:textAlignment w:val="center"/>
                    <w:rPr>
                      <w:rFonts w:hint="eastAsia" w:eastAsia="宋体"/>
                      <w:sz w:val="21"/>
                      <w:szCs w:val="21"/>
                      <w:lang w:val="en-US" w:eastAsia="zh-CN"/>
                    </w:rPr>
                  </w:pPr>
                  <w:r>
                    <w:rPr>
                      <w:rFonts w:hint="eastAsia"/>
                      <w:sz w:val="21"/>
                      <w:szCs w:val="21"/>
                      <w:lang w:val="en-US" w:eastAsia="zh-CN"/>
                    </w:rPr>
                    <w:t>废气</w:t>
                  </w:r>
                </w:p>
              </w:tc>
              <w:tc>
                <w:tcPr>
                  <w:tcW w:w="588" w:type="pct"/>
                  <w:vMerge w:val="restart"/>
                  <w:tcBorders>
                    <w:left w:val="single" w:color="auto" w:sz="4" w:space="0"/>
                  </w:tcBorders>
                  <w:noWrap w:val="0"/>
                  <w:vAlign w:val="center"/>
                </w:tcPr>
                <w:p>
                  <w:pPr>
                    <w:adjustRightInd w:val="0"/>
                    <w:snapToGrid w:val="0"/>
                    <w:jc w:val="center"/>
                    <w:textAlignment w:val="center"/>
                    <w:rPr>
                      <w:rFonts w:hint="eastAsia"/>
                      <w:sz w:val="21"/>
                      <w:szCs w:val="21"/>
                    </w:rPr>
                  </w:pPr>
                  <w:r>
                    <w:rPr>
                      <w:sz w:val="21"/>
                      <w:szCs w:val="21"/>
                    </w:rPr>
                    <w:t>《加油站大气污染物排放标准》（GB20952-2020）中相关规定</w:t>
                  </w:r>
                </w:p>
              </w:tc>
              <w:tc>
                <w:tcPr>
                  <w:tcW w:w="831" w:type="pct"/>
                  <w:tcBorders>
                    <w:bottom w:val="single" w:color="auto" w:sz="4" w:space="0"/>
                  </w:tcBorders>
                  <w:noWrap w:val="0"/>
                  <w:vAlign w:val="center"/>
                </w:tcPr>
                <w:p>
                  <w:pPr>
                    <w:adjustRightInd w:val="0"/>
                    <w:snapToGrid w:val="0"/>
                    <w:jc w:val="center"/>
                    <w:textAlignment w:val="center"/>
                    <w:rPr>
                      <w:rFonts w:hint="default" w:eastAsia="宋体"/>
                      <w:sz w:val="21"/>
                      <w:szCs w:val="21"/>
                      <w:lang w:val="en-US" w:eastAsia="zh-CN"/>
                    </w:rPr>
                  </w:pPr>
                  <w:r>
                    <w:rPr>
                      <w:rFonts w:hint="eastAsia"/>
                      <w:sz w:val="21"/>
                      <w:szCs w:val="21"/>
                      <w:lang w:val="en-US" w:eastAsia="zh-CN"/>
                    </w:rPr>
                    <w:t>参数名称</w:t>
                  </w:r>
                </w:p>
              </w:tc>
              <w:tc>
                <w:tcPr>
                  <w:tcW w:w="2129" w:type="pct"/>
                  <w:gridSpan w:val="2"/>
                  <w:tcBorders>
                    <w:bottom w:val="single" w:color="auto" w:sz="4" w:space="0"/>
                    <w:right w:val="single" w:color="auto" w:sz="4" w:space="0"/>
                  </w:tcBorders>
                  <w:noWrap w:val="0"/>
                  <w:vAlign w:val="center"/>
                </w:tcPr>
                <w:p>
                  <w:pPr>
                    <w:adjustRightInd w:val="0"/>
                    <w:snapToGrid w:val="0"/>
                    <w:jc w:val="center"/>
                    <w:textAlignment w:val="center"/>
                    <w:rPr>
                      <w:rFonts w:hint="default" w:eastAsia="宋体"/>
                      <w:sz w:val="21"/>
                      <w:szCs w:val="21"/>
                      <w:lang w:val="en-US" w:eastAsia="zh-CN"/>
                    </w:rPr>
                  </w:pPr>
                  <w:r>
                    <w:rPr>
                      <w:rFonts w:hint="eastAsia"/>
                      <w:sz w:val="21"/>
                      <w:szCs w:val="21"/>
                      <w:lang w:val="en-US" w:eastAsia="zh-CN"/>
                    </w:rPr>
                    <w:t>浓度限值</w:t>
                  </w:r>
                </w:p>
              </w:tc>
              <w:tc>
                <w:tcPr>
                  <w:tcW w:w="1087" w:type="pct"/>
                  <w:vMerge w:val="continue"/>
                  <w:tcBorders>
                    <w:left w:val="single" w:color="auto" w:sz="4" w:space="0"/>
                    <w:bottom w:val="single" w:color="auto" w:sz="4" w:space="0"/>
                  </w:tcBorders>
                  <w:noWrap w:val="0"/>
                  <w:vAlign w:val="center"/>
                </w:tcPr>
                <w:p>
                  <w:pPr>
                    <w:adjustRightInd w:val="0"/>
                    <w:snapToGrid w:val="0"/>
                    <w:jc w:val="center"/>
                    <w:textAlignment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6" w:hRule="atLeast"/>
                <w:jc w:val="center"/>
              </w:trPr>
              <w:tc>
                <w:tcPr>
                  <w:tcW w:w="362" w:type="pct"/>
                  <w:vMerge w:val="continue"/>
                  <w:tcBorders>
                    <w:right w:val="single" w:color="auto" w:sz="4" w:space="0"/>
                  </w:tcBorders>
                  <w:noWrap w:val="0"/>
                  <w:vAlign w:val="center"/>
                </w:tcPr>
                <w:p>
                  <w:pPr>
                    <w:adjustRightInd w:val="0"/>
                    <w:snapToGrid w:val="0"/>
                    <w:jc w:val="center"/>
                    <w:textAlignment w:val="center"/>
                    <w:rPr>
                      <w:sz w:val="21"/>
                      <w:szCs w:val="21"/>
                    </w:rPr>
                  </w:pPr>
                </w:p>
              </w:tc>
              <w:tc>
                <w:tcPr>
                  <w:tcW w:w="588" w:type="pct"/>
                  <w:vMerge w:val="continue"/>
                  <w:tcBorders>
                    <w:left w:val="single" w:color="auto" w:sz="4" w:space="0"/>
                  </w:tcBorders>
                  <w:noWrap w:val="0"/>
                  <w:vAlign w:val="center"/>
                </w:tcPr>
                <w:p>
                  <w:pPr>
                    <w:adjustRightInd w:val="0"/>
                    <w:snapToGrid w:val="0"/>
                    <w:jc w:val="center"/>
                    <w:textAlignment w:val="center"/>
                    <w:rPr>
                      <w:rFonts w:hint="eastAsia"/>
                      <w:sz w:val="21"/>
                      <w:szCs w:val="21"/>
                    </w:rPr>
                  </w:pPr>
                </w:p>
              </w:tc>
              <w:tc>
                <w:tcPr>
                  <w:tcW w:w="831" w:type="pct"/>
                  <w:tcBorders>
                    <w:top w:val="single" w:color="auto" w:sz="4" w:space="0"/>
                    <w:bottom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气液比</w:t>
                  </w:r>
                </w:p>
              </w:tc>
              <w:tc>
                <w:tcPr>
                  <w:tcW w:w="2129" w:type="pct"/>
                  <w:gridSpan w:val="2"/>
                  <w:tcBorders>
                    <w:top w:val="single" w:color="auto" w:sz="4" w:space="0"/>
                    <w:bottom w:val="single" w:color="auto" w:sz="4" w:space="0"/>
                    <w:right w:val="single" w:color="auto" w:sz="4" w:space="0"/>
                  </w:tcBorders>
                  <w:noWrap w:val="0"/>
                  <w:vAlign w:val="center"/>
                </w:tcPr>
                <w:p>
                  <w:pPr>
                    <w:keepNext w:val="0"/>
                    <w:keepLines w:val="0"/>
                    <w:widowControl/>
                    <w:suppressLineNumbers w:val="0"/>
                    <w:jc w:val="center"/>
                    <w:rPr>
                      <w:sz w:val="21"/>
                      <w:szCs w:val="21"/>
                    </w:rPr>
                  </w:pPr>
                  <w:r>
                    <w:rPr>
                      <w:rFonts w:hint="default" w:ascii="Times New Roman" w:hAnsi="Times New Roman" w:eastAsia="宋体" w:cs="Times New Roman"/>
                      <w:color w:val="000000"/>
                      <w:kern w:val="0"/>
                      <w:sz w:val="21"/>
                      <w:szCs w:val="21"/>
                      <w:lang w:val="en-US" w:eastAsia="zh-CN" w:bidi="ar"/>
                    </w:rPr>
                    <w:t>1.0≤</w:t>
                  </w:r>
                  <w:r>
                    <w:rPr>
                      <w:rFonts w:hint="eastAsia" w:ascii="宋体" w:hAnsi="宋体" w:eastAsia="宋体" w:cs="宋体"/>
                      <w:color w:val="000000"/>
                      <w:kern w:val="0"/>
                      <w:sz w:val="21"/>
                      <w:szCs w:val="21"/>
                      <w:lang w:val="en-US" w:eastAsia="zh-CN" w:bidi="ar"/>
                    </w:rPr>
                    <w:t>气液比</w:t>
                  </w:r>
                  <w:r>
                    <w:rPr>
                      <w:rFonts w:hint="default" w:ascii="Times New Roman" w:hAnsi="Times New Roman" w:eastAsia="宋体" w:cs="Times New Roman"/>
                      <w:color w:val="000000"/>
                      <w:kern w:val="0"/>
                      <w:sz w:val="21"/>
                      <w:szCs w:val="21"/>
                      <w:lang w:val="en-US" w:eastAsia="zh-CN" w:bidi="ar"/>
                    </w:rPr>
                    <w:t>≤1.2</w:t>
                  </w:r>
                </w:p>
              </w:tc>
              <w:tc>
                <w:tcPr>
                  <w:tcW w:w="1087" w:type="pct"/>
                  <w:vMerge w:val="restart"/>
                  <w:tcBorders>
                    <w:top w:val="single" w:color="auto" w:sz="4" w:space="0"/>
                    <w:left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加油油气回收系</w:t>
                  </w:r>
                </w:p>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5" w:hRule="atLeast"/>
                <w:jc w:val="center"/>
              </w:trPr>
              <w:tc>
                <w:tcPr>
                  <w:tcW w:w="362" w:type="pct"/>
                  <w:vMerge w:val="continue"/>
                  <w:tcBorders>
                    <w:right w:val="single" w:color="auto" w:sz="4" w:space="0"/>
                  </w:tcBorders>
                  <w:noWrap w:val="0"/>
                  <w:vAlign w:val="center"/>
                </w:tcPr>
                <w:p>
                  <w:pPr>
                    <w:adjustRightInd w:val="0"/>
                    <w:snapToGrid w:val="0"/>
                    <w:jc w:val="center"/>
                    <w:textAlignment w:val="center"/>
                    <w:rPr>
                      <w:rFonts w:hint="eastAsia"/>
                      <w:sz w:val="21"/>
                      <w:szCs w:val="21"/>
                    </w:rPr>
                  </w:pPr>
                </w:p>
              </w:tc>
              <w:tc>
                <w:tcPr>
                  <w:tcW w:w="588" w:type="pct"/>
                  <w:vMerge w:val="continue"/>
                  <w:tcBorders>
                    <w:left w:val="single" w:color="auto" w:sz="4" w:space="0"/>
                  </w:tcBorders>
                  <w:noWrap w:val="0"/>
                  <w:vAlign w:val="center"/>
                </w:tcPr>
                <w:p>
                  <w:pPr>
                    <w:adjustRightInd w:val="0"/>
                    <w:snapToGrid w:val="0"/>
                    <w:jc w:val="center"/>
                    <w:textAlignment w:val="center"/>
                    <w:rPr>
                      <w:rFonts w:hint="eastAsia"/>
                      <w:sz w:val="21"/>
                      <w:szCs w:val="21"/>
                    </w:rPr>
                  </w:pPr>
                </w:p>
              </w:tc>
              <w:tc>
                <w:tcPr>
                  <w:tcW w:w="831" w:type="pct"/>
                  <w:vMerge w:val="restart"/>
                  <w:tcBorders>
                    <w:top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液阻</w:t>
                  </w:r>
                </w:p>
              </w:tc>
              <w:tc>
                <w:tcPr>
                  <w:tcW w:w="1265" w:type="pct"/>
                  <w:tcBorders>
                    <w:top w:val="single" w:color="auto" w:sz="4" w:space="0"/>
                    <w:bottom w:val="single" w:color="auto" w:sz="4" w:space="0"/>
                    <w:right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通入氮气流量</w:t>
                  </w:r>
                  <w:r>
                    <w:rPr>
                      <w:rFonts w:hint="default" w:ascii="Times New Roman" w:hAnsi="Times New Roman" w:eastAsia="宋体" w:cs="Times New Roman"/>
                      <w:color w:val="000000"/>
                      <w:kern w:val="0"/>
                      <w:sz w:val="21"/>
                      <w:szCs w:val="21"/>
                      <w:lang w:val="en-US" w:eastAsia="zh-CN" w:bidi="ar"/>
                    </w:rPr>
                    <w:t>18.0</w:t>
                  </w:r>
                  <w:r>
                    <w:rPr>
                      <w:rFonts w:hint="default" w:ascii="Times New Roman" w:hAnsi="Times New Roman" w:eastAsia="宋体" w:cs="Times New Roman"/>
                      <w:color w:val="000000"/>
                      <w:kern w:val="0"/>
                      <w:sz w:val="21"/>
                      <w:szCs w:val="21"/>
                      <w:lang w:val="en-US" w:eastAsia="zh-CN" w:bidi="ar"/>
                    </w:rPr>
                    <w:t>L/min</w:t>
                  </w:r>
                </w:p>
              </w:tc>
              <w:tc>
                <w:tcPr>
                  <w:tcW w:w="86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40Pa</w:t>
                  </w:r>
                </w:p>
              </w:tc>
              <w:tc>
                <w:tcPr>
                  <w:tcW w:w="1087" w:type="pct"/>
                  <w:vMerge w:val="continue"/>
                  <w:tcBorders>
                    <w:left w:val="single" w:color="auto" w:sz="4" w:space="0"/>
                  </w:tcBorders>
                  <w:noWrap w:val="0"/>
                  <w:vAlign w:val="center"/>
                </w:tcPr>
                <w:p>
                  <w:pPr>
                    <w:adjustRightInd w:val="0"/>
                    <w:snapToGrid w:val="0"/>
                    <w:jc w:val="center"/>
                    <w:textAlignment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1" w:hRule="atLeast"/>
                <w:jc w:val="center"/>
              </w:trPr>
              <w:tc>
                <w:tcPr>
                  <w:tcW w:w="362" w:type="pct"/>
                  <w:vMerge w:val="continue"/>
                  <w:tcBorders>
                    <w:right w:val="single" w:color="auto" w:sz="4" w:space="0"/>
                  </w:tcBorders>
                  <w:noWrap w:val="0"/>
                  <w:vAlign w:val="center"/>
                </w:tcPr>
                <w:p>
                  <w:pPr>
                    <w:adjustRightInd w:val="0"/>
                    <w:snapToGrid w:val="0"/>
                    <w:jc w:val="center"/>
                    <w:textAlignment w:val="center"/>
                    <w:rPr>
                      <w:rFonts w:hint="eastAsia"/>
                      <w:sz w:val="21"/>
                      <w:szCs w:val="21"/>
                    </w:rPr>
                  </w:pPr>
                </w:p>
              </w:tc>
              <w:tc>
                <w:tcPr>
                  <w:tcW w:w="588" w:type="pct"/>
                  <w:vMerge w:val="continue"/>
                  <w:tcBorders>
                    <w:left w:val="single" w:color="auto" w:sz="4" w:space="0"/>
                  </w:tcBorders>
                  <w:noWrap w:val="0"/>
                  <w:vAlign w:val="center"/>
                </w:tcPr>
                <w:p>
                  <w:pPr>
                    <w:adjustRightInd w:val="0"/>
                    <w:snapToGrid w:val="0"/>
                    <w:jc w:val="center"/>
                    <w:textAlignment w:val="center"/>
                    <w:rPr>
                      <w:rFonts w:hint="eastAsia"/>
                      <w:sz w:val="21"/>
                      <w:szCs w:val="21"/>
                    </w:rPr>
                  </w:pPr>
                </w:p>
              </w:tc>
              <w:tc>
                <w:tcPr>
                  <w:tcW w:w="831" w:type="pct"/>
                  <w:vMerge w:val="continue"/>
                  <w:noWrap w:val="0"/>
                  <w:vAlign w:val="center"/>
                </w:tcPr>
                <w:p>
                  <w:pPr>
                    <w:adjustRightInd w:val="0"/>
                    <w:snapToGrid w:val="0"/>
                    <w:jc w:val="center"/>
                    <w:textAlignment w:val="center"/>
                    <w:rPr>
                      <w:sz w:val="21"/>
                      <w:szCs w:val="21"/>
                    </w:rPr>
                  </w:pPr>
                </w:p>
              </w:tc>
              <w:tc>
                <w:tcPr>
                  <w:tcW w:w="1265" w:type="pct"/>
                  <w:tcBorders>
                    <w:top w:val="single" w:color="auto" w:sz="4" w:space="0"/>
                    <w:bottom w:val="single" w:color="auto" w:sz="4" w:space="0"/>
                    <w:right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通入氮气流量</w:t>
                  </w:r>
                  <w:r>
                    <w:rPr>
                      <w:rFonts w:hint="default" w:ascii="Times New Roman" w:hAnsi="Times New Roman" w:eastAsia="宋体" w:cs="Times New Roman"/>
                      <w:color w:val="000000"/>
                      <w:kern w:val="0"/>
                      <w:sz w:val="21"/>
                      <w:szCs w:val="21"/>
                      <w:lang w:val="en-US" w:eastAsia="zh-CN" w:bidi="ar"/>
                    </w:rPr>
                    <w:t>28.0</w:t>
                  </w:r>
                  <w:r>
                    <w:rPr>
                      <w:rFonts w:hint="default" w:ascii="Times New Roman" w:hAnsi="Times New Roman" w:eastAsia="宋体" w:cs="Times New Roman"/>
                      <w:color w:val="000000"/>
                      <w:kern w:val="0"/>
                      <w:sz w:val="21"/>
                      <w:szCs w:val="21"/>
                      <w:lang w:val="en-US" w:eastAsia="zh-CN" w:bidi="ar"/>
                    </w:rPr>
                    <w:t>L/min</w:t>
                  </w:r>
                </w:p>
              </w:tc>
              <w:tc>
                <w:tcPr>
                  <w:tcW w:w="86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90Pa</w:t>
                  </w:r>
                </w:p>
              </w:tc>
              <w:tc>
                <w:tcPr>
                  <w:tcW w:w="1087" w:type="pct"/>
                  <w:vMerge w:val="continue"/>
                  <w:tcBorders>
                    <w:left w:val="single" w:color="auto" w:sz="4" w:space="0"/>
                  </w:tcBorders>
                  <w:noWrap w:val="0"/>
                  <w:vAlign w:val="center"/>
                </w:tcPr>
                <w:p>
                  <w:pPr>
                    <w:adjustRightInd w:val="0"/>
                    <w:snapToGrid w:val="0"/>
                    <w:jc w:val="center"/>
                    <w:textAlignment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63" w:hRule="atLeast"/>
                <w:jc w:val="center"/>
              </w:trPr>
              <w:tc>
                <w:tcPr>
                  <w:tcW w:w="362" w:type="pct"/>
                  <w:vMerge w:val="continue"/>
                  <w:tcBorders>
                    <w:right w:val="single" w:color="auto" w:sz="4" w:space="0"/>
                  </w:tcBorders>
                  <w:noWrap w:val="0"/>
                  <w:vAlign w:val="center"/>
                </w:tcPr>
                <w:p>
                  <w:pPr>
                    <w:adjustRightInd w:val="0"/>
                    <w:snapToGrid w:val="0"/>
                    <w:jc w:val="center"/>
                    <w:textAlignment w:val="center"/>
                    <w:rPr>
                      <w:rFonts w:hint="eastAsia"/>
                      <w:sz w:val="21"/>
                      <w:szCs w:val="21"/>
                    </w:rPr>
                  </w:pPr>
                </w:p>
              </w:tc>
              <w:tc>
                <w:tcPr>
                  <w:tcW w:w="588" w:type="pct"/>
                  <w:vMerge w:val="continue"/>
                  <w:tcBorders>
                    <w:left w:val="single" w:color="auto" w:sz="4" w:space="0"/>
                  </w:tcBorders>
                  <w:noWrap w:val="0"/>
                  <w:vAlign w:val="center"/>
                </w:tcPr>
                <w:p>
                  <w:pPr>
                    <w:adjustRightInd w:val="0"/>
                    <w:snapToGrid w:val="0"/>
                    <w:jc w:val="center"/>
                    <w:textAlignment w:val="center"/>
                    <w:rPr>
                      <w:rFonts w:hint="eastAsia"/>
                      <w:sz w:val="21"/>
                      <w:szCs w:val="21"/>
                    </w:rPr>
                  </w:pPr>
                </w:p>
              </w:tc>
              <w:tc>
                <w:tcPr>
                  <w:tcW w:w="831" w:type="pct"/>
                  <w:vMerge w:val="continue"/>
                  <w:tcBorders>
                    <w:bottom w:val="single" w:color="auto" w:sz="4" w:space="0"/>
                  </w:tcBorders>
                  <w:noWrap w:val="0"/>
                  <w:vAlign w:val="center"/>
                </w:tcPr>
                <w:p>
                  <w:pPr>
                    <w:adjustRightInd w:val="0"/>
                    <w:snapToGrid w:val="0"/>
                    <w:jc w:val="center"/>
                    <w:textAlignment w:val="center"/>
                    <w:rPr>
                      <w:sz w:val="21"/>
                      <w:szCs w:val="21"/>
                    </w:rPr>
                  </w:pPr>
                </w:p>
              </w:tc>
              <w:tc>
                <w:tcPr>
                  <w:tcW w:w="1265" w:type="pct"/>
                  <w:tcBorders>
                    <w:top w:val="single" w:color="auto" w:sz="4" w:space="0"/>
                    <w:bottom w:val="single" w:color="auto" w:sz="4" w:space="0"/>
                    <w:right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通入氮气流量</w:t>
                  </w:r>
                  <w:r>
                    <w:rPr>
                      <w:rFonts w:hint="default" w:ascii="Times New Roman" w:hAnsi="Times New Roman" w:eastAsia="宋体" w:cs="Times New Roman"/>
                      <w:color w:val="000000"/>
                      <w:kern w:val="0"/>
                      <w:sz w:val="21"/>
                      <w:szCs w:val="21"/>
                      <w:lang w:val="en-US" w:eastAsia="zh-CN" w:bidi="ar"/>
                    </w:rPr>
                    <w:t>38.0</w:t>
                  </w:r>
                  <w:r>
                    <w:rPr>
                      <w:rFonts w:hint="default" w:ascii="Times New Roman" w:hAnsi="Times New Roman" w:eastAsia="宋体" w:cs="Times New Roman"/>
                      <w:color w:val="000000"/>
                      <w:kern w:val="0"/>
                      <w:sz w:val="21"/>
                      <w:szCs w:val="21"/>
                      <w:lang w:val="en-US" w:eastAsia="zh-CN" w:bidi="ar"/>
                    </w:rPr>
                    <w:t>L/min</w:t>
                  </w:r>
                </w:p>
              </w:tc>
              <w:tc>
                <w:tcPr>
                  <w:tcW w:w="86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155Pa</w:t>
                  </w:r>
                </w:p>
              </w:tc>
              <w:tc>
                <w:tcPr>
                  <w:tcW w:w="1087" w:type="pct"/>
                  <w:vMerge w:val="continue"/>
                  <w:tcBorders>
                    <w:left w:val="single" w:color="auto" w:sz="4" w:space="0"/>
                  </w:tcBorders>
                  <w:noWrap w:val="0"/>
                  <w:vAlign w:val="center"/>
                </w:tcPr>
                <w:p>
                  <w:pPr>
                    <w:adjustRightInd w:val="0"/>
                    <w:snapToGrid w:val="0"/>
                    <w:jc w:val="center"/>
                    <w:textAlignment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2" w:hRule="atLeast"/>
                <w:jc w:val="center"/>
              </w:trPr>
              <w:tc>
                <w:tcPr>
                  <w:tcW w:w="362" w:type="pct"/>
                  <w:vMerge w:val="continue"/>
                  <w:tcBorders>
                    <w:right w:val="single" w:color="auto" w:sz="4" w:space="0"/>
                  </w:tcBorders>
                  <w:noWrap w:val="0"/>
                  <w:vAlign w:val="center"/>
                </w:tcPr>
                <w:p>
                  <w:pPr>
                    <w:adjustRightInd w:val="0"/>
                    <w:snapToGrid w:val="0"/>
                    <w:jc w:val="center"/>
                    <w:textAlignment w:val="center"/>
                    <w:rPr>
                      <w:rFonts w:hint="eastAsia"/>
                      <w:sz w:val="21"/>
                      <w:szCs w:val="21"/>
                    </w:rPr>
                  </w:pPr>
                </w:p>
              </w:tc>
              <w:tc>
                <w:tcPr>
                  <w:tcW w:w="588" w:type="pct"/>
                  <w:vMerge w:val="continue"/>
                  <w:tcBorders>
                    <w:left w:val="single" w:color="auto" w:sz="4" w:space="0"/>
                  </w:tcBorders>
                  <w:noWrap w:val="0"/>
                  <w:vAlign w:val="center"/>
                </w:tcPr>
                <w:p>
                  <w:pPr>
                    <w:adjustRightInd w:val="0"/>
                    <w:snapToGrid w:val="0"/>
                    <w:jc w:val="center"/>
                    <w:textAlignment w:val="center"/>
                    <w:rPr>
                      <w:rFonts w:hint="eastAsia"/>
                      <w:sz w:val="21"/>
                      <w:szCs w:val="21"/>
                    </w:rPr>
                  </w:pPr>
                </w:p>
              </w:tc>
              <w:tc>
                <w:tcPr>
                  <w:tcW w:w="831" w:type="pct"/>
                  <w:tcBorders>
                    <w:top w:val="single" w:color="auto" w:sz="4" w:space="0"/>
                    <w:bottom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密闭性</w:t>
                  </w:r>
                </w:p>
              </w:tc>
              <w:tc>
                <w:tcPr>
                  <w:tcW w:w="2129" w:type="pct"/>
                  <w:gridSpan w:val="2"/>
                  <w:tcBorders>
                    <w:top w:val="single" w:color="auto" w:sz="4" w:space="0"/>
                    <w:bottom w:val="single" w:color="auto" w:sz="4" w:space="0"/>
                    <w:right w:val="single" w:color="auto" w:sz="4" w:space="0"/>
                  </w:tcBorders>
                  <w:noWrap w:val="0"/>
                  <w:vAlign w:val="center"/>
                </w:tcPr>
                <w:p>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大</w:t>
                  </w:r>
                  <w:r>
                    <w:rPr>
                      <w:rFonts w:hint="default" w:ascii="Times New Roman" w:hAnsi="Times New Roman" w:eastAsia="宋体" w:cs="Times New Roman"/>
                      <w:color w:val="000000"/>
                      <w:kern w:val="0"/>
                      <w:sz w:val="21"/>
                      <w:szCs w:val="21"/>
                      <w:lang w:val="en-US" w:eastAsia="zh-CN" w:bidi="ar"/>
                    </w:rPr>
                    <w:t>于等于表2规定的最</w:t>
                  </w:r>
                  <w:r>
                    <w:rPr>
                      <w:rFonts w:hint="eastAsia" w:ascii="宋体" w:hAnsi="宋体" w:eastAsia="宋体" w:cs="宋体"/>
                      <w:color w:val="000000"/>
                      <w:kern w:val="0"/>
                      <w:sz w:val="21"/>
                      <w:szCs w:val="21"/>
                      <w:lang w:val="en-US" w:eastAsia="zh-CN" w:bidi="ar"/>
                    </w:rPr>
                    <w:t>小剩余压力限值</w:t>
                  </w:r>
                </w:p>
              </w:tc>
              <w:tc>
                <w:tcPr>
                  <w:tcW w:w="1087" w:type="pct"/>
                  <w:vMerge w:val="continue"/>
                  <w:tcBorders>
                    <w:left w:val="single" w:color="auto" w:sz="4" w:space="0"/>
                    <w:bottom w:val="single" w:color="auto" w:sz="4" w:space="0"/>
                  </w:tcBorders>
                  <w:noWrap w:val="0"/>
                  <w:vAlign w:val="center"/>
                </w:tcPr>
                <w:p>
                  <w:pPr>
                    <w:adjustRightInd w:val="0"/>
                    <w:snapToGrid w:val="0"/>
                    <w:jc w:val="center"/>
                    <w:textAlignment w:val="center"/>
                    <w:rPr>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45" w:hRule="atLeast"/>
                <w:jc w:val="center"/>
              </w:trPr>
              <w:tc>
                <w:tcPr>
                  <w:tcW w:w="362" w:type="pct"/>
                  <w:vMerge w:val="continue"/>
                  <w:tcBorders>
                    <w:right w:val="single" w:color="auto" w:sz="4" w:space="0"/>
                  </w:tcBorders>
                  <w:noWrap w:val="0"/>
                  <w:vAlign w:val="center"/>
                </w:tcPr>
                <w:p>
                  <w:pPr>
                    <w:adjustRightInd w:val="0"/>
                    <w:snapToGrid w:val="0"/>
                    <w:jc w:val="center"/>
                    <w:textAlignment w:val="center"/>
                    <w:rPr>
                      <w:rFonts w:hint="eastAsia"/>
                      <w:sz w:val="21"/>
                      <w:szCs w:val="21"/>
                    </w:rPr>
                  </w:pPr>
                </w:p>
              </w:tc>
              <w:tc>
                <w:tcPr>
                  <w:tcW w:w="588" w:type="pct"/>
                  <w:vMerge w:val="continue"/>
                  <w:tcBorders>
                    <w:left w:val="single" w:color="auto" w:sz="4" w:space="0"/>
                  </w:tcBorders>
                  <w:noWrap w:val="0"/>
                  <w:vAlign w:val="center"/>
                </w:tcPr>
                <w:p>
                  <w:pPr>
                    <w:adjustRightInd w:val="0"/>
                    <w:snapToGrid w:val="0"/>
                    <w:jc w:val="center"/>
                    <w:textAlignment w:val="center"/>
                    <w:rPr>
                      <w:rFonts w:hint="eastAsia"/>
                      <w:sz w:val="21"/>
                      <w:szCs w:val="21"/>
                    </w:rPr>
                  </w:pPr>
                </w:p>
              </w:tc>
              <w:tc>
                <w:tcPr>
                  <w:tcW w:w="831" w:type="pct"/>
                  <w:tcBorders>
                    <w:top w:val="single" w:color="auto" w:sz="4" w:space="0"/>
                    <w:bottom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油气</w:t>
                  </w:r>
                </w:p>
              </w:tc>
              <w:tc>
                <w:tcPr>
                  <w:tcW w:w="2129" w:type="pct"/>
                  <w:gridSpan w:val="2"/>
                  <w:tcBorders>
                    <w:top w:val="single" w:color="auto" w:sz="4" w:space="0"/>
                    <w:bottom w:val="single" w:color="auto" w:sz="4" w:space="0"/>
                    <w:right w:val="single" w:color="auto" w:sz="4" w:space="0"/>
                  </w:tcBorders>
                  <w:noWrap w:val="0"/>
                  <w:vAlign w:val="center"/>
                </w:tcPr>
                <w:p>
                  <w:pPr>
                    <w:adjustRightInd w:val="0"/>
                    <w:snapToGrid w:val="0"/>
                    <w:jc w:val="center"/>
                    <w:textAlignment w:val="center"/>
                    <w:rPr>
                      <w:sz w:val="21"/>
                      <w:szCs w:val="21"/>
                    </w:rPr>
                  </w:pPr>
                  <w:r>
                    <w:rPr>
                      <w:sz w:val="21"/>
                      <w:szCs w:val="21"/>
                    </w:rPr>
                    <w:t>25g/m</w:t>
                  </w:r>
                  <w:r>
                    <w:rPr>
                      <w:sz w:val="21"/>
                      <w:szCs w:val="21"/>
                      <w:vertAlign w:val="superscript"/>
                    </w:rPr>
                    <w:t>3</w:t>
                  </w:r>
                </w:p>
              </w:tc>
              <w:tc>
                <w:tcPr>
                  <w:tcW w:w="1087" w:type="pct"/>
                  <w:tcBorders>
                    <w:top w:val="single" w:color="auto" w:sz="4" w:space="0"/>
                    <w:left w:val="single" w:color="auto" w:sz="4" w:space="0"/>
                    <w:bottom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油气处理装置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6" w:hRule="atLeast"/>
                <w:jc w:val="center"/>
              </w:trPr>
              <w:tc>
                <w:tcPr>
                  <w:tcW w:w="362" w:type="pct"/>
                  <w:vMerge w:val="continue"/>
                  <w:tcBorders>
                    <w:right w:val="single" w:color="auto" w:sz="4" w:space="0"/>
                  </w:tcBorders>
                  <w:noWrap w:val="0"/>
                  <w:vAlign w:val="center"/>
                </w:tcPr>
                <w:p>
                  <w:pPr>
                    <w:adjustRightInd w:val="0"/>
                    <w:snapToGrid w:val="0"/>
                    <w:jc w:val="center"/>
                    <w:textAlignment w:val="center"/>
                    <w:rPr>
                      <w:rFonts w:hint="eastAsia"/>
                      <w:sz w:val="21"/>
                      <w:szCs w:val="21"/>
                    </w:rPr>
                  </w:pPr>
                </w:p>
              </w:tc>
              <w:tc>
                <w:tcPr>
                  <w:tcW w:w="588" w:type="pct"/>
                  <w:vMerge w:val="continue"/>
                  <w:tcBorders>
                    <w:left w:val="single" w:color="auto" w:sz="4" w:space="0"/>
                  </w:tcBorders>
                  <w:noWrap w:val="0"/>
                  <w:vAlign w:val="center"/>
                </w:tcPr>
                <w:p>
                  <w:pPr>
                    <w:adjustRightInd w:val="0"/>
                    <w:snapToGrid w:val="0"/>
                    <w:jc w:val="center"/>
                    <w:textAlignment w:val="center"/>
                    <w:rPr>
                      <w:rFonts w:hint="eastAsia"/>
                      <w:sz w:val="21"/>
                      <w:szCs w:val="21"/>
                    </w:rPr>
                  </w:pPr>
                </w:p>
              </w:tc>
              <w:tc>
                <w:tcPr>
                  <w:tcW w:w="831" w:type="pct"/>
                  <w:tcBorders>
                    <w:top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非甲烷总烃</w:t>
                  </w:r>
                </w:p>
              </w:tc>
              <w:tc>
                <w:tcPr>
                  <w:tcW w:w="2129" w:type="pct"/>
                  <w:gridSpan w:val="2"/>
                  <w:tcBorders>
                    <w:top w:val="single" w:color="auto" w:sz="4" w:space="0"/>
                    <w:right w:val="single" w:color="auto" w:sz="4" w:space="0"/>
                  </w:tcBorders>
                  <w:noWrap w:val="0"/>
                  <w:vAlign w:val="center"/>
                </w:tcPr>
                <w:p>
                  <w:pPr>
                    <w:adjustRightInd w:val="0"/>
                    <w:snapToGrid w:val="0"/>
                    <w:jc w:val="center"/>
                    <w:textAlignment w:val="center"/>
                    <w:rPr>
                      <w:sz w:val="21"/>
                      <w:szCs w:val="21"/>
                    </w:rPr>
                  </w:pPr>
                  <w:r>
                    <w:rPr>
                      <w:sz w:val="21"/>
                      <w:szCs w:val="21"/>
                    </w:rPr>
                    <w:t>4.0mg/m</w:t>
                  </w:r>
                  <w:r>
                    <w:rPr>
                      <w:sz w:val="21"/>
                      <w:szCs w:val="21"/>
                      <w:vertAlign w:val="superscript"/>
                    </w:rPr>
                    <w:t>3</w:t>
                  </w:r>
                </w:p>
              </w:tc>
              <w:tc>
                <w:tcPr>
                  <w:tcW w:w="1087" w:type="pct"/>
                  <w:tcBorders>
                    <w:top w:val="single" w:color="auto" w:sz="4" w:space="0"/>
                    <w:left w:val="single" w:color="auto" w:sz="4" w:space="0"/>
                  </w:tcBorders>
                  <w:noWrap w:val="0"/>
                  <w:vAlign w:val="center"/>
                </w:tcPr>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监控点处</w:t>
                  </w:r>
                  <w:r>
                    <w:rPr>
                      <w:rFonts w:hint="default" w:ascii="Times New Roman" w:hAnsi="Times New Roman" w:eastAsia="宋体" w:cs="Times New Roman"/>
                      <w:color w:val="000000"/>
                      <w:kern w:val="0"/>
                      <w:sz w:val="21"/>
                      <w:szCs w:val="21"/>
                      <w:lang w:val="en-US" w:eastAsia="zh-CN" w:bidi="ar"/>
                    </w:rPr>
                    <w:t>1</w:t>
                  </w:r>
                  <w:r>
                    <w:rPr>
                      <w:rFonts w:hint="eastAsia" w:ascii="宋体" w:hAnsi="宋体" w:eastAsia="宋体" w:cs="宋体"/>
                      <w:color w:val="000000"/>
                      <w:kern w:val="0"/>
                      <w:sz w:val="21"/>
                      <w:szCs w:val="21"/>
                      <w:lang w:val="en-US" w:eastAsia="zh-CN" w:bidi="ar"/>
                    </w:rPr>
                    <w:t>小时</w:t>
                  </w:r>
                </w:p>
                <w:p>
                  <w:pPr>
                    <w:keepNext w:val="0"/>
                    <w:keepLines w:val="0"/>
                    <w:widowControl/>
                    <w:suppressLineNumbers w:val="0"/>
                    <w:jc w:val="center"/>
                    <w:rPr>
                      <w:sz w:val="21"/>
                      <w:szCs w:val="21"/>
                    </w:rPr>
                  </w:pPr>
                  <w:r>
                    <w:rPr>
                      <w:rFonts w:hint="eastAsia" w:ascii="宋体" w:hAnsi="宋体" w:eastAsia="宋体" w:cs="宋体"/>
                      <w:color w:val="000000"/>
                      <w:kern w:val="0"/>
                      <w:sz w:val="21"/>
                      <w:szCs w:val="21"/>
                      <w:lang w:val="en-US" w:eastAsia="zh-CN" w:bidi="ar"/>
                    </w:rPr>
                    <w:t>平均浓度值</w:t>
                  </w:r>
                </w:p>
              </w:tc>
            </w:tr>
          </w:tbl>
          <w:p>
            <w:pPr>
              <w:spacing w:line="360" w:lineRule="auto"/>
              <w:ind w:firstLine="422" w:firstLineChars="200"/>
              <w:rPr>
                <w:b/>
                <w:snapToGrid w:val="0"/>
                <w:kern w:val="0"/>
                <w:szCs w:val="21"/>
                <w:lang w:val="en-GB"/>
              </w:rPr>
            </w:pPr>
            <w:r>
              <w:rPr>
                <w:b/>
                <w:snapToGrid w:val="0"/>
                <w:kern w:val="0"/>
                <w:szCs w:val="21"/>
              </w:rPr>
              <w:t>2、</w:t>
            </w:r>
            <w:r>
              <w:rPr>
                <w:b/>
                <w:snapToGrid w:val="0"/>
                <w:kern w:val="0"/>
                <w:szCs w:val="21"/>
                <w:lang w:val="en-GB"/>
              </w:rPr>
              <w:t>水</w:t>
            </w:r>
            <w:r>
              <w:rPr>
                <w:b/>
                <w:snapToGrid w:val="0"/>
                <w:kern w:val="0"/>
                <w:szCs w:val="21"/>
              </w:rPr>
              <w:t>污染物排放标准</w:t>
            </w:r>
          </w:p>
          <w:p>
            <w:pPr>
              <w:pStyle w:val="63"/>
              <w:spacing w:line="360" w:lineRule="auto"/>
              <w:ind w:firstLine="420" w:firstLineChars="200"/>
            </w:pPr>
            <w:r>
              <w:rPr>
                <w:rFonts w:ascii="Times New Roman" w:cs="Times New Roman"/>
                <w:bCs/>
                <w:color w:val="auto"/>
                <w:kern w:val="28"/>
                <w:sz w:val="21"/>
                <w:szCs w:val="21"/>
              </w:rPr>
              <w:t>运营期废水排放</w:t>
            </w:r>
            <w:r>
              <w:rPr>
                <w:rFonts w:hint="eastAsia" w:ascii="Times New Roman" w:cs="Times New Roman"/>
                <w:bCs/>
                <w:color w:val="auto"/>
                <w:kern w:val="28"/>
                <w:sz w:val="21"/>
                <w:szCs w:val="21"/>
              </w:rPr>
              <w:t>执行《污水综合排放标准》（GB8978-1996）三级标准及《污水排入城镇下水道水质标准》（GB/T31962-2015）表1中A等级标准。</w:t>
            </w:r>
          </w:p>
          <w:p>
            <w:pPr>
              <w:spacing w:before="36" w:line="222" w:lineRule="auto"/>
              <w:ind w:left="934"/>
              <w:rPr>
                <w:rFonts w:ascii="宋体" w:hAnsi="宋体" w:eastAsia="宋体" w:cs="宋体"/>
                <w:sz w:val="21"/>
                <w:szCs w:val="21"/>
              </w:rPr>
            </w:pPr>
            <w:r>
              <w:rPr>
                <w:rFonts w:hint="eastAsia" w:ascii="Times New Roman" w:hAnsi="Times New Roman" w:eastAsia="宋体" w:cs="Times New Roman"/>
                <w:b/>
                <w:bCs w:val="0"/>
                <w:snapToGrid w:val="0"/>
                <w:color w:val="auto"/>
                <w:kern w:val="0"/>
                <w:sz w:val="21"/>
                <w:szCs w:val="21"/>
                <w:lang w:val="en-US" w:eastAsia="zh-CN" w:bidi="ar-SA"/>
              </w:rPr>
              <w:t>表</w:t>
            </w:r>
            <w:r>
              <w:rPr>
                <w:rFonts w:hint="eastAsia" w:ascii="Times New Roman" w:hAnsi="Times New Roman" w:eastAsia="宋体" w:cs="Times New Roman"/>
                <w:b/>
                <w:bCs w:val="0"/>
                <w:snapToGrid w:val="0"/>
                <w:color w:val="auto"/>
                <w:kern w:val="0"/>
                <w:sz w:val="21"/>
                <w:szCs w:val="21"/>
                <w:highlight w:val="none"/>
                <w:lang w:val="en-US" w:eastAsia="zh-CN" w:bidi="ar-SA"/>
              </w:rPr>
              <w:t>3-9</w:t>
            </w:r>
            <w:r>
              <w:rPr>
                <w:rFonts w:hint="eastAsia" w:ascii="Times New Roman" w:hAnsi="Times New Roman" w:eastAsia="宋体" w:cs="Times New Roman"/>
                <w:b/>
                <w:bCs w:val="0"/>
                <w:snapToGrid w:val="0"/>
                <w:color w:val="auto"/>
                <w:kern w:val="0"/>
                <w:sz w:val="21"/>
                <w:szCs w:val="21"/>
                <w:lang w:val="en-US" w:eastAsia="zh-CN" w:bidi="ar-SA"/>
              </w:rPr>
              <w:t>《污水排入城镇下水道水质标准》表1中A级标准</w:t>
            </w:r>
          </w:p>
          <w:tbl>
            <w:tblPr>
              <w:tblStyle w:val="25"/>
              <w:tblW w:w="82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8"/>
              <w:gridCol w:w="2658"/>
              <w:gridCol w:w="29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8" w:type="dxa"/>
                  <w:noWrap w:val="0"/>
                  <w:vAlign w:val="center"/>
                </w:tcPr>
                <w:p>
                  <w:pPr>
                    <w:spacing w:before="54" w:line="229" w:lineRule="auto"/>
                    <w:ind w:left="0" w:leftChars="0" w:firstLine="0" w:firstLineChars="0"/>
                    <w:jc w:val="center"/>
                    <w:rPr>
                      <w:rFonts w:hint="eastAsia" w:ascii="Times New Roman" w:hAnsi="Times New Roman" w:eastAsia="宋体" w:cs="Times New Roman"/>
                      <w:b/>
                      <w:bCs/>
                      <w:snapToGrid w:val="0"/>
                      <w:color w:val="auto"/>
                      <w:kern w:val="0"/>
                      <w:sz w:val="21"/>
                      <w:szCs w:val="21"/>
                      <w:vertAlign w:val="baseline"/>
                      <w:lang w:val="en-US" w:eastAsia="zh-CN" w:bidi="ar-SA"/>
                    </w:rPr>
                  </w:pPr>
                  <w:r>
                    <w:rPr>
                      <w:rFonts w:ascii="宋体" w:hAnsi="宋体" w:eastAsia="宋体" w:cs="宋体"/>
                      <w:b/>
                      <w:bCs/>
                      <w:spacing w:val="5"/>
                      <w:sz w:val="21"/>
                      <w:szCs w:val="21"/>
                    </w:rPr>
                    <w:t>序号</w:t>
                  </w:r>
                </w:p>
              </w:tc>
              <w:tc>
                <w:tcPr>
                  <w:tcW w:w="2658" w:type="dxa"/>
                  <w:noWrap w:val="0"/>
                  <w:vAlign w:val="center"/>
                </w:tcPr>
                <w:p>
                  <w:pPr>
                    <w:spacing w:before="54" w:line="228" w:lineRule="auto"/>
                    <w:ind w:left="0" w:leftChars="0" w:firstLine="0" w:firstLineChars="0"/>
                    <w:jc w:val="center"/>
                    <w:rPr>
                      <w:rFonts w:hint="eastAsia" w:ascii="Times New Roman" w:hAnsi="Times New Roman" w:eastAsia="宋体" w:cs="Times New Roman"/>
                      <w:b/>
                      <w:bCs/>
                      <w:snapToGrid w:val="0"/>
                      <w:color w:val="auto"/>
                      <w:kern w:val="0"/>
                      <w:sz w:val="21"/>
                      <w:szCs w:val="21"/>
                      <w:vertAlign w:val="baseline"/>
                      <w:lang w:val="en-US" w:eastAsia="zh-CN" w:bidi="ar-SA"/>
                    </w:rPr>
                  </w:pPr>
                  <w:r>
                    <w:rPr>
                      <w:rFonts w:ascii="宋体" w:hAnsi="宋体" w:eastAsia="宋体" w:cs="宋体"/>
                      <w:b/>
                      <w:bCs/>
                      <w:spacing w:val="9"/>
                      <w:sz w:val="21"/>
                      <w:szCs w:val="21"/>
                    </w:rPr>
                    <w:t>控</w:t>
                  </w:r>
                  <w:r>
                    <w:rPr>
                      <w:rFonts w:ascii="宋体" w:hAnsi="宋体" w:eastAsia="宋体" w:cs="宋体"/>
                      <w:b/>
                      <w:bCs/>
                      <w:spacing w:val="7"/>
                      <w:sz w:val="21"/>
                      <w:szCs w:val="21"/>
                    </w:rPr>
                    <w:t>制项目</w:t>
                  </w:r>
                </w:p>
              </w:tc>
              <w:tc>
                <w:tcPr>
                  <w:tcW w:w="2931" w:type="dxa"/>
                  <w:noWrap w:val="0"/>
                  <w:vAlign w:val="center"/>
                </w:tcPr>
                <w:p>
                  <w:pPr>
                    <w:spacing w:before="53" w:line="228" w:lineRule="auto"/>
                    <w:ind w:left="0" w:leftChars="0" w:firstLine="0" w:firstLineChars="0"/>
                    <w:jc w:val="center"/>
                    <w:rPr>
                      <w:rFonts w:hint="eastAsia" w:ascii="Times New Roman" w:hAnsi="Times New Roman" w:eastAsia="宋体" w:cs="Times New Roman"/>
                      <w:b/>
                      <w:bCs/>
                      <w:snapToGrid w:val="0"/>
                      <w:color w:val="auto"/>
                      <w:kern w:val="0"/>
                      <w:sz w:val="21"/>
                      <w:szCs w:val="21"/>
                      <w:vertAlign w:val="baseline"/>
                      <w:lang w:val="en-US" w:eastAsia="zh-CN" w:bidi="ar-SA"/>
                    </w:rPr>
                  </w:pPr>
                  <w:r>
                    <w:rPr>
                      <w:rFonts w:ascii="宋体" w:hAnsi="宋体" w:eastAsia="宋体" w:cs="宋体"/>
                      <w:b/>
                      <w:bCs/>
                      <w:spacing w:val="7"/>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8" w:type="dxa"/>
                  <w:noWrap w:val="0"/>
                  <w:vAlign w:val="center"/>
                </w:tcPr>
                <w:p>
                  <w:pPr>
                    <w:spacing w:before="70" w:line="195" w:lineRule="auto"/>
                    <w:ind w:left="0" w:leftChars="0" w:firstLine="0" w:firstLineChars="0"/>
                    <w:jc w:val="center"/>
                    <w:rPr>
                      <w:rFonts w:hint="eastAsia" w:ascii="Times New Roman" w:hAnsi="Times New Roman" w:eastAsia="宋体" w:cs="Times New Roman"/>
                      <w:bCs/>
                      <w:snapToGrid w:val="0"/>
                      <w:color w:val="auto"/>
                      <w:kern w:val="0"/>
                      <w:sz w:val="21"/>
                      <w:szCs w:val="21"/>
                      <w:vertAlign w:val="baseline"/>
                      <w:lang w:val="en-US" w:eastAsia="zh-CN" w:bidi="ar-SA"/>
                    </w:rPr>
                  </w:pPr>
                  <w:r>
                    <w:rPr>
                      <w:rFonts w:ascii="Times New Roman" w:hAnsi="Times New Roman" w:eastAsia="Times New Roman" w:cs="Times New Roman"/>
                      <w:sz w:val="21"/>
                      <w:szCs w:val="21"/>
                    </w:rPr>
                    <w:t>1</w:t>
                  </w:r>
                </w:p>
              </w:tc>
              <w:tc>
                <w:tcPr>
                  <w:tcW w:w="2658" w:type="dxa"/>
                  <w:noWrap w:val="0"/>
                  <w:vAlign w:val="center"/>
                </w:tcPr>
                <w:p>
                  <w:pPr>
                    <w:spacing w:line="277" w:lineRule="exact"/>
                    <w:ind w:left="0" w:leftChars="0" w:firstLine="0" w:firstLineChars="0"/>
                    <w:jc w:val="center"/>
                    <w:rPr>
                      <w:rFonts w:hint="eastAsia" w:ascii="Times New Roman" w:hAnsi="Times New Roman" w:eastAsia="宋体" w:cs="Times New Roman"/>
                      <w:bCs/>
                      <w:snapToGrid w:val="0"/>
                      <w:color w:val="auto"/>
                      <w:kern w:val="0"/>
                      <w:sz w:val="21"/>
                      <w:szCs w:val="21"/>
                      <w:vertAlign w:val="baseline"/>
                      <w:lang w:val="en-US" w:eastAsia="zh-CN" w:bidi="ar-SA"/>
                    </w:rPr>
                  </w:pPr>
                  <w:r>
                    <w:rPr>
                      <w:rFonts w:hint="eastAsia" w:ascii="Times New Roman" w:hAnsi="Times New Roman" w:eastAsia="宋体"/>
                      <w:color w:val="auto"/>
                      <w:kern w:val="2"/>
                      <w:sz w:val="21"/>
                      <w:szCs w:val="21"/>
                      <w:lang w:val="en-US" w:eastAsia="zh-CN" w:bidi="ar-SA"/>
                    </w:rPr>
                    <w:t>总磷</w:t>
                  </w:r>
                  <w:r>
                    <w:rPr>
                      <w:rFonts w:ascii="宋体" w:hAnsi="宋体" w:eastAsia="宋体" w:cs="宋体"/>
                      <w:spacing w:val="8"/>
                      <w:position w:val="2"/>
                      <w:sz w:val="21"/>
                      <w:szCs w:val="21"/>
                    </w:rPr>
                    <w:t>(</w:t>
                  </w:r>
                  <w:r>
                    <w:rPr>
                      <w:rFonts w:ascii="Times New Roman" w:hAnsi="Times New Roman" w:eastAsia="Times New Roman" w:cs="Times New Roman"/>
                      <w:position w:val="2"/>
                      <w:sz w:val="21"/>
                      <w:szCs w:val="21"/>
                    </w:rPr>
                    <w:t>mg</w:t>
                  </w:r>
                  <w:r>
                    <w:rPr>
                      <w:rFonts w:ascii="Times New Roman" w:hAnsi="Times New Roman" w:eastAsia="Times New Roman" w:cs="Times New Roman"/>
                      <w:spacing w:val="8"/>
                      <w:position w:val="2"/>
                      <w:sz w:val="21"/>
                      <w:szCs w:val="21"/>
                    </w:rPr>
                    <w:t>/</w:t>
                  </w:r>
                  <w:r>
                    <w:rPr>
                      <w:rFonts w:ascii="Times New Roman" w:hAnsi="Times New Roman" w:eastAsia="Times New Roman" w:cs="Times New Roman"/>
                      <w:position w:val="2"/>
                      <w:sz w:val="21"/>
                      <w:szCs w:val="21"/>
                    </w:rPr>
                    <w:t>L</w:t>
                  </w:r>
                  <w:r>
                    <w:rPr>
                      <w:rFonts w:ascii="宋体" w:hAnsi="宋体" w:eastAsia="宋体" w:cs="宋体"/>
                      <w:spacing w:val="8"/>
                      <w:position w:val="2"/>
                      <w:sz w:val="21"/>
                      <w:szCs w:val="21"/>
                    </w:rPr>
                    <w:t>)</w:t>
                  </w:r>
                </w:p>
              </w:tc>
              <w:tc>
                <w:tcPr>
                  <w:tcW w:w="2931" w:type="dxa"/>
                  <w:noWrap w:val="0"/>
                  <w:vAlign w:val="center"/>
                </w:tcPr>
                <w:p>
                  <w:pPr>
                    <w:spacing w:before="70" w:line="195" w:lineRule="auto"/>
                    <w:ind w:left="0" w:leftChars="0" w:firstLine="0" w:firstLineChars="0"/>
                    <w:jc w:val="center"/>
                    <w:rPr>
                      <w:rFonts w:hint="eastAsia" w:ascii="Times New Roman" w:hAnsi="Times New Roman" w:eastAsia="宋体" w:cs="Times New Roman"/>
                      <w:bCs/>
                      <w:snapToGrid w:val="0"/>
                      <w:color w:val="auto"/>
                      <w:kern w:val="0"/>
                      <w:sz w:val="21"/>
                      <w:szCs w:val="21"/>
                      <w:vertAlign w:val="baseline"/>
                      <w:lang w:val="en-US" w:eastAsia="zh-CN" w:bidi="ar-SA"/>
                    </w:rPr>
                  </w:pPr>
                  <w:r>
                    <w:rPr>
                      <w:rFonts w:hint="eastAsia" w:ascii="Times New Roman" w:hAnsi="Times New Roman" w:eastAsia="宋体" w:cs="Times New Roman"/>
                      <w:spacing w:val="2"/>
                      <w:sz w:val="21"/>
                      <w:szCs w:val="21"/>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8" w:type="dxa"/>
                  <w:noWrap w:val="0"/>
                  <w:vAlign w:val="center"/>
                </w:tcPr>
                <w:p>
                  <w:pPr>
                    <w:spacing w:before="72" w:line="195" w:lineRule="auto"/>
                    <w:ind w:left="0" w:leftChars="0" w:firstLine="0" w:firstLineChars="0"/>
                    <w:jc w:val="center"/>
                    <w:rPr>
                      <w:rFonts w:hint="eastAsia" w:ascii="Times New Roman" w:hAnsi="Times New Roman" w:eastAsia="宋体" w:cs="Times New Roman"/>
                      <w:bCs/>
                      <w:snapToGrid w:val="0"/>
                      <w:color w:val="auto"/>
                      <w:kern w:val="0"/>
                      <w:sz w:val="21"/>
                      <w:szCs w:val="21"/>
                      <w:vertAlign w:val="baseline"/>
                      <w:lang w:val="en-US" w:eastAsia="zh-CN" w:bidi="ar-SA"/>
                    </w:rPr>
                  </w:pPr>
                  <w:r>
                    <w:rPr>
                      <w:rFonts w:ascii="Times New Roman" w:hAnsi="Times New Roman" w:eastAsia="Times New Roman" w:cs="Times New Roman"/>
                      <w:sz w:val="21"/>
                      <w:szCs w:val="21"/>
                    </w:rPr>
                    <w:t>2</w:t>
                  </w:r>
                </w:p>
              </w:tc>
              <w:tc>
                <w:tcPr>
                  <w:tcW w:w="2658" w:type="dxa"/>
                  <w:noWrap w:val="0"/>
                  <w:vAlign w:val="center"/>
                </w:tcPr>
                <w:p>
                  <w:pPr>
                    <w:spacing w:line="279" w:lineRule="exact"/>
                    <w:ind w:left="0" w:leftChars="0" w:firstLine="0" w:firstLineChars="0"/>
                    <w:jc w:val="center"/>
                    <w:rPr>
                      <w:rFonts w:hint="eastAsia" w:ascii="Times New Roman" w:hAnsi="Times New Roman" w:eastAsia="宋体" w:cs="Times New Roman"/>
                      <w:bCs/>
                      <w:snapToGrid w:val="0"/>
                      <w:color w:val="auto"/>
                      <w:kern w:val="0"/>
                      <w:sz w:val="21"/>
                      <w:szCs w:val="21"/>
                      <w:vertAlign w:val="baseline"/>
                      <w:lang w:val="en-US" w:eastAsia="zh-CN" w:bidi="ar-SA"/>
                    </w:rPr>
                  </w:pPr>
                  <w:r>
                    <w:rPr>
                      <w:rFonts w:hint="eastAsia" w:ascii="Times New Roman" w:hAnsi="Times New Roman" w:eastAsia="宋体"/>
                      <w:color w:val="auto"/>
                      <w:kern w:val="2"/>
                      <w:sz w:val="21"/>
                      <w:szCs w:val="21"/>
                      <w:lang w:val="en-US" w:eastAsia="zh-CN" w:bidi="ar-SA"/>
                    </w:rPr>
                    <w:t>总氮</w:t>
                  </w:r>
                  <w:r>
                    <w:rPr>
                      <w:rFonts w:ascii="宋体" w:hAnsi="宋体" w:eastAsia="宋体" w:cs="宋体"/>
                      <w:spacing w:val="5"/>
                      <w:position w:val="3"/>
                      <w:sz w:val="21"/>
                      <w:szCs w:val="21"/>
                    </w:rPr>
                    <w:t>(</w:t>
                  </w:r>
                  <w:r>
                    <w:rPr>
                      <w:rFonts w:ascii="Times New Roman" w:hAnsi="Times New Roman" w:eastAsia="Times New Roman" w:cs="Times New Roman"/>
                      <w:position w:val="3"/>
                      <w:sz w:val="21"/>
                      <w:szCs w:val="21"/>
                    </w:rPr>
                    <w:t>mg</w:t>
                  </w:r>
                  <w:r>
                    <w:rPr>
                      <w:rFonts w:ascii="Times New Roman" w:hAnsi="Times New Roman" w:eastAsia="Times New Roman" w:cs="Times New Roman"/>
                      <w:spacing w:val="5"/>
                      <w:position w:val="3"/>
                      <w:sz w:val="21"/>
                      <w:szCs w:val="21"/>
                    </w:rPr>
                    <w:t>/</w:t>
                  </w:r>
                  <w:r>
                    <w:rPr>
                      <w:rFonts w:ascii="Times New Roman" w:hAnsi="Times New Roman" w:eastAsia="Times New Roman" w:cs="Times New Roman"/>
                      <w:position w:val="3"/>
                      <w:sz w:val="21"/>
                      <w:szCs w:val="21"/>
                    </w:rPr>
                    <w:t>L</w:t>
                  </w:r>
                  <w:r>
                    <w:rPr>
                      <w:rFonts w:ascii="宋体" w:hAnsi="宋体" w:eastAsia="宋体" w:cs="宋体"/>
                      <w:spacing w:val="5"/>
                      <w:position w:val="3"/>
                      <w:sz w:val="21"/>
                      <w:szCs w:val="21"/>
                    </w:rPr>
                    <w:t>)</w:t>
                  </w:r>
                </w:p>
              </w:tc>
              <w:tc>
                <w:tcPr>
                  <w:tcW w:w="2931" w:type="dxa"/>
                  <w:noWrap w:val="0"/>
                  <w:vAlign w:val="center"/>
                </w:tcPr>
                <w:p>
                  <w:pPr>
                    <w:spacing w:before="72" w:line="195" w:lineRule="auto"/>
                    <w:ind w:left="0" w:leftChars="0" w:firstLine="0" w:firstLineChars="0"/>
                    <w:jc w:val="center"/>
                    <w:rPr>
                      <w:rFonts w:hint="default" w:ascii="Times New Roman" w:hAnsi="Times New Roman" w:eastAsia="宋体" w:cs="Times New Roman"/>
                      <w:bCs/>
                      <w:snapToGrid w:val="0"/>
                      <w:color w:val="auto"/>
                      <w:kern w:val="0"/>
                      <w:sz w:val="21"/>
                      <w:szCs w:val="21"/>
                      <w:vertAlign w:val="baseline"/>
                      <w:lang w:val="en-US" w:eastAsia="zh-CN" w:bidi="ar-SA"/>
                    </w:rPr>
                  </w:pPr>
                  <w:r>
                    <w:rPr>
                      <w:rFonts w:hint="eastAsia" w:ascii="Times New Roman" w:hAnsi="Times New Roman" w:eastAsia="宋体" w:cs="Times New Roman"/>
                      <w:spacing w:val="4"/>
                      <w:sz w:val="21"/>
                      <w:szCs w:val="21"/>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8" w:type="dxa"/>
                  <w:noWrap w:val="0"/>
                  <w:vAlign w:val="center"/>
                </w:tcPr>
                <w:p>
                  <w:pPr>
                    <w:spacing w:before="73" w:line="195" w:lineRule="auto"/>
                    <w:ind w:left="0" w:leftChars="0" w:firstLine="0" w:firstLineChars="0"/>
                    <w:jc w:val="center"/>
                    <w:rPr>
                      <w:rFonts w:hint="eastAsia" w:ascii="Times New Roman" w:hAnsi="Times New Roman" w:eastAsia="宋体" w:cs="Times New Roman"/>
                      <w:bCs/>
                      <w:snapToGrid w:val="0"/>
                      <w:color w:val="auto"/>
                      <w:kern w:val="0"/>
                      <w:sz w:val="21"/>
                      <w:szCs w:val="21"/>
                      <w:vertAlign w:val="baseline"/>
                      <w:lang w:val="en-US" w:eastAsia="zh-CN" w:bidi="ar-SA"/>
                    </w:rPr>
                  </w:pPr>
                  <w:r>
                    <w:rPr>
                      <w:rFonts w:ascii="Times New Roman" w:hAnsi="Times New Roman" w:eastAsia="Times New Roman" w:cs="Times New Roman"/>
                      <w:sz w:val="21"/>
                      <w:szCs w:val="21"/>
                    </w:rPr>
                    <w:t>3</w:t>
                  </w:r>
                </w:p>
              </w:tc>
              <w:tc>
                <w:tcPr>
                  <w:tcW w:w="2658" w:type="dxa"/>
                  <w:noWrap w:val="0"/>
                  <w:vAlign w:val="center"/>
                </w:tcPr>
                <w:p>
                  <w:pPr>
                    <w:spacing w:line="280" w:lineRule="exact"/>
                    <w:ind w:left="0" w:leftChars="0" w:firstLine="0" w:firstLineChars="0"/>
                    <w:jc w:val="center"/>
                    <w:rPr>
                      <w:rFonts w:hint="eastAsia" w:ascii="Times New Roman" w:hAnsi="Times New Roman" w:eastAsia="宋体" w:cs="Times New Roman"/>
                      <w:bCs/>
                      <w:snapToGrid w:val="0"/>
                      <w:color w:val="auto"/>
                      <w:kern w:val="0"/>
                      <w:sz w:val="21"/>
                      <w:szCs w:val="21"/>
                      <w:vertAlign w:val="baseline"/>
                      <w:lang w:val="en-US" w:eastAsia="zh-CN" w:bidi="ar-SA"/>
                    </w:rPr>
                  </w:pPr>
                  <w:r>
                    <w:rPr>
                      <w:rFonts w:ascii="宋体" w:hAnsi="宋体" w:eastAsia="宋体" w:cs="宋体"/>
                      <w:spacing w:val="7"/>
                      <w:position w:val="2"/>
                      <w:sz w:val="21"/>
                      <w:szCs w:val="21"/>
                    </w:rPr>
                    <w:t>氨氮(</w:t>
                  </w:r>
                  <w:r>
                    <w:rPr>
                      <w:rFonts w:ascii="Times New Roman" w:hAnsi="Times New Roman" w:eastAsia="Times New Roman" w:cs="Times New Roman"/>
                      <w:position w:val="2"/>
                      <w:sz w:val="21"/>
                      <w:szCs w:val="21"/>
                    </w:rPr>
                    <w:t>mg</w:t>
                  </w:r>
                  <w:r>
                    <w:rPr>
                      <w:rFonts w:ascii="Times New Roman" w:hAnsi="Times New Roman" w:eastAsia="Times New Roman" w:cs="Times New Roman"/>
                      <w:spacing w:val="7"/>
                      <w:position w:val="2"/>
                      <w:sz w:val="21"/>
                      <w:szCs w:val="21"/>
                    </w:rPr>
                    <w:t>/</w:t>
                  </w:r>
                  <w:r>
                    <w:rPr>
                      <w:rFonts w:ascii="Times New Roman" w:hAnsi="Times New Roman" w:eastAsia="Times New Roman" w:cs="Times New Roman"/>
                      <w:position w:val="2"/>
                      <w:sz w:val="21"/>
                      <w:szCs w:val="21"/>
                    </w:rPr>
                    <w:t>L</w:t>
                  </w:r>
                  <w:r>
                    <w:rPr>
                      <w:rFonts w:ascii="宋体" w:hAnsi="宋体" w:eastAsia="宋体" w:cs="宋体"/>
                      <w:spacing w:val="6"/>
                      <w:position w:val="2"/>
                      <w:sz w:val="21"/>
                      <w:szCs w:val="21"/>
                    </w:rPr>
                    <w:t>)</w:t>
                  </w:r>
                </w:p>
              </w:tc>
              <w:tc>
                <w:tcPr>
                  <w:tcW w:w="2931" w:type="dxa"/>
                  <w:noWrap w:val="0"/>
                  <w:vAlign w:val="center"/>
                </w:tcPr>
                <w:p>
                  <w:pPr>
                    <w:spacing w:before="73" w:line="195" w:lineRule="auto"/>
                    <w:jc w:val="center"/>
                    <w:rPr>
                      <w:rFonts w:hint="default" w:ascii="Times New Roman" w:hAnsi="Times New Roman" w:eastAsia="宋体" w:cs="Times New Roman"/>
                      <w:bCs/>
                      <w:snapToGrid w:val="0"/>
                      <w:color w:val="auto"/>
                      <w:kern w:val="0"/>
                      <w:sz w:val="21"/>
                      <w:szCs w:val="21"/>
                      <w:vertAlign w:val="baseline"/>
                      <w:lang w:val="en-US" w:eastAsia="zh-CN" w:bidi="ar-SA"/>
                    </w:rPr>
                  </w:pPr>
                  <w:r>
                    <w:rPr>
                      <w:rFonts w:hint="eastAsia" w:ascii="Times New Roman" w:hAnsi="Times New Roman" w:eastAsia="宋体" w:cs="Times New Roman"/>
                      <w:spacing w:val="3"/>
                      <w:sz w:val="21"/>
                      <w:szCs w:val="21"/>
                      <w:lang w:val="en-US" w:eastAsia="zh-CN"/>
                    </w:rPr>
                    <w:t>45</w:t>
                  </w:r>
                </w:p>
              </w:tc>
            </w:tr>
          </w:tbl>
          <w:p>
            <w:pPr>
              <w:spacing w:before="36" w:line="222" w:lineRule="auto"/>
              <w:ind w:left="934"/>
              <w:rPr>
                <w:rFonts w:hint="eastAsia" w:ascii="Times New Roman" w:hAnsi="Times New Roman" w:eastAsia="宋体" w:cs="Times New Roman"/>
                <w:b/>
                <w:bCs w:val="0"/>
                <w:snapToGrid w:val="0"/>
                <w:color w:val="auto"/>
                <w:kern w:val="0"/>
                <w:sz w:val="21"/>
                <w:szCs w:val="21"/>
                <w:lang w:val="en-US" w:eastAsia="zh-CN" w:bidi="ar-SA"/>
              </w:rPr>
            </w:pPr>
            <w:r>
              <w:rPr>
                <w:rFonts w:hint="eastAsia" w:ascii="Times New Roman" w:hAnsi="Times New Roman" w:eastAsia="宋体" w:cs="Times New Roman"/>
                <w:b/>
                <w:bCs w:val="0"/>
                <w:snapToGrid w:val="0"/>
                <w:color w:val="auto"/>
                <w:kern w:val="0"/>
                <w:sz w:val="21"/>
                <w:szCs w:val="21"/>
                <w:lang w:val="en-US" w:eastAsia="zh-CN" w:bidi="ar-SA"/>
              </w:rPr>
              <w:t>表</w:t>
            </w:r>
            <w:r>
              <w:rPr>
                <w:rFonts w:hint="eastAsia" w:ascii="Times New Roman" w:hAnsi="Times New Roman" w:eastAsia="宋体" w:cs="Times New Roman"/>
                <w:b/>
                <w:bCs w:val="0"/>
                <w:snapToGrid w:val="0"/>
                <w:color w:val="auto"/>
                <w:kern w:val="0"/>
                <w:sz w:val="21"/>
                <w:szCs w:val="21"/>
                <w:highlight w:val="none"/>
                <w:lang w:val="en-US" w:eastAsia="zh-CN" w:bidi="ar-SA"/>
              </w:rPr>
              <w:t>3-10</w:t>
            </w:r>
            <w:r>
              <w:rPr>
                <w:rFonts w:hint="eastAsia" w:ascii="Times New Roman" w:hAnsi="Times New Roman" w:eastAsia="宋体" w:cs="Times New Roman"/>
                <w:b/>
                <w:bCs w:val="0"/>
                <w:snapToGrid w:val="0"/>
                <w:color w:val="auto"/>
                <w:kern w:val="0"/>
                <w:sz w:val="21"/>
                <w:szCs w:val="21"/>
                <w:lang w:val="en-US" w:eastAsia="zh-CN" w:bidi="ar-SA"/>
              </w:rPr>
              <w:t>《污水综合排放标准》（GB8978-1996）三级标准</w:t>
            </w:r>
          </w:p>
          <w:tbl>
            <w:tblPr>
              <w:tblStyle w:val="25"/>
              <w:tblW w:w="82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8"/>
              <w:gridCol w:w="2658"/>
              <w:gridCol w:w="29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8"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b/>
                      <w:bCs/>
                      <w:sz w:val="21"/>
                      <w:szCs w:val="21"/>
                      <w:lang w:val="en-US" w:eastAsia="zh-CN"/>
                    </w:rPr>
                  </w:pPr>
                  <w:r>
                    <w:rPr>
                      <w:rFonts w:ascii="Times New Roman" w:hAnsi="Times New Roman" w:eastAsia="Times New Roman" w:cs="Times New Roman"/>
                      <w:b/>
                      <w:bCs/>
                      <w:sz w:val="21"/>
                      <w:szCs w:val="21"/>
                    </w:rPr>
                    <w:t>序号</w:t>
                  </w:r>
                </w:p>
              </w:tc>
              <w:tc>
                <w:tcPr>
                  <w:tcW w:w="2658"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b/>
                      <w:bCs/>
                      <w:sz w:val="21"/>
                      <w:szCs w:val="21"/>
                      <w:lang w:val="en-US" w:eastAsia="zh-CN"/>
                    </w:rPr>
                  </w:pPr>
                  <w:r>
                    <w:rPr>
                      <w:rFonts w:ascii="Times New Roman" w:hAnsi="Times New Roman" w:eastAsia="Times New Roman" w:cs="Times New Roman"/>
                      <w:b/>
                      <w:bCs/>
                      <w:sz w:val="21"/>
                      <w:szCs w:val="21"/>
                    </w:rPr>
                    <w:t>控制项目</w:t>
                  </w:r>
                </w:p>
              </w:tc>
              <w:tc>
                <w:tcPr>
                  <w:tcW w:w="2943"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b/>
                      <w:bCs/>
                      <w:sz w:val="21"/>
                      <w:szCs w:val="21"/>
                      <w:lang w:val="en-US" w:eastAsia="zh-CN"/>
                    </w:rPr>
                  </w:pPr>
                  <w:r>
                    <w:rPr>
                      <w:rFonts w:ascii="Times New Roman" w:hAnsi="Times New Roman" w:eastAsia="Times New Roman" w:cs="Times New Roman"/>
                      <w:b/>
                      <w:bCs/>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58"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sz w:val="21"/>
                      <w:szCs w:val="21"/>
                      <w:lang w:val="en-US" w:eastAsia="zh-CN"/>
                    </w:rPr>
                  </w:pPr>
                  <w:r>
                    <w:rPr>
                      <w:rFonts w:ascii="Times New Roman" w:hAnsi="Times New Roman" w:eastAsia="Times New Roman" w:cs="Times New Roman"/>
                      <w:sz w:val="21"/>
                      <w:szCs w:val="21"/>
                    </w:rPr>
                    <w:t>1</w:t>
                  </w:r>
                </w:p>
              </w:tc>
              <w:tc>
                <w:tcPr>
                  <w:tcW w:w="2658"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sz w:val="21"/>
                      <w:szCs w:val="21"/>
                      <w:lang w:val="en-US" w:eastAsia="zh-CN"/>
                    </w:rPr>
                  </w:pPr>
                  <w:r>
                    <w:rPr>
                      <w:rFonts w:hint="eastAsia" w:ascii="Times New Roman" w:hAnsi="Times New Roman" w:eastAsia="Times New Roman" w:cs="Times New Roman"/>
                      <w:sz w:val="21"/>
                      <w:szCs w:val="21"/>
                      <w:lang w:val="en-US" w:eastAsia="zh-CN"/>
                    </w:rPr>
                    <w:t>pH</w:t>
                  </w:r>
                </w:p>
              </w:tc>
              <w:tc>
                <w:tcPr>
                  <w:tcW w:w="2943"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sz w:val="21"/>
                      <w:szCs w:val="21"/>
                      <w:lang w:val="en-US" w:eastAsia="zh-CN"/>
                    </w:rPr>
                  </w:pPr>
                  <w:r>
                    <w:rPr>
                      <w:rFonts w:hint="eastAsia" w:ascii="Times New Roman" w:hAnsi="Times New Roman" w:eastAsia="Times New Roman" w:cs="Times New Roman"/>
                      <w:sz w:val="21"/>
                      <w:szCs w:val="21"/>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2658"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sz w:val="21"/>
                      <w:szCs w:val="21"/>
                      <w:lang w:val="en-US" w:eastAsia="zh-CN"/>
                    </w:rPr>
                  </w:pPr>
                  <w:r>
                    <w:rPr>
                      <w:rFonts w:ascii="Times New Roman" w:hAnsi="Times New Roman" w:eastAsia="Times New Roman" w:cs="Times New Roman"/>
                      <w:sz w:val="21"/>
                      <w:szCs w:val="21"/>
                    </w:rPr>
                    <w:t>2</w:t>
                  </w:r>
                </w:p>
              </w:tc>
              <w:tc>
                <w:tcPr>
                  <w:tcW w:w="2658"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sz w:val="21"/>
                      <w:szCs w:val="21"/>
                      <w:lang w:val="en-US" w:eastAsia="zh-CN"/>
                    </w:rPr>
                  </w:pPr>
                  <w:r>
                    <w:rPr>
                      <w:rFonts w:hint="eastAsia" w:ascii="Times New Roman" w:hAnsi="Times New Roman" w:eastAsia="Times New Roman" w:cs="Times New Roman"/>
                      <w:sz w:val="21"/>
                      <w:szCs w:val="21"/>
                      <w:lang w:val="en-US" w:eastAsia="zh-CN"/>
                    </w:rPr>
                    <w:t>COD</w:t>
                  </w:r>
                  <w:r>
                    <w:rPr>
                      <w:rFonts w:hint="eastAsia" w:ascii="Times New Roman" w:hAnsi="Times New Roman" w:eastAsia="宋体" w:cs="Times New Roman"/>
                      <w:sz w:val="21"/>
                      <w:szCs w:val="21"/>
                      <w:lang w:eastAsia="zh-CN"/>
                    </w:rPr>
                    <w:t>（</w:t>
                  </w:r>
                  <w:r>
                    <w:rPr>
                      <w:rFonts w:ascii="Times New Roman" w:hAnsi="Times New Roman" w:eastAsia="Times New Roman" w:cs="Times New Roman"/>
                      <w:sz w:val="21"/>
                      <w:szCs w:val="21"/>
                    </w:rPr>
                    <w:t>mg/L</w:t>
                  </w:r>
                  <w:r>
                    <w:rPr>
                      <w:rFonts w:hint="eastAsia" w:ascii="Times New Roman" w:hAnsi="Times New Roman" w:eastAsia="宋体" w:cs="Times New Roman"/>
                      <w:sz w:val="21"/>
                      <w:szCs w:val="21"/>
                      <w:lang w:eastAsia="zh-CN"/>
                    </w:rPr>
                    <w:t>）</w:t>
                  </w:r>
                </w:p>
              </w:tc>
              <w:tc>
                <w:tcPr>
                  <w:tcW w:w="2943"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default" w:ascii="Times New Roman" w:hAnsi="Times New Roman" w:eastAsia="Times New Roman" w:cs="Times New Roman"/>
                      <w:sz w:val="21"/>
                      <w:szCs w:val="21"/>
                      <w:lang w:val="en-US" w:eastAsia="zh-CN"/>
                    </w:rPr>
                  </w:pPr>
                  <w:r>
                    <w:rPr>
                      <w:rFonts w:hint="eastAsia" w:ascii="Times New Roman" w:hAnsi="Times New Roman" w:eastAsia="Times New Roman" w:cs="Times New Roman"/>
                      <w:sz w:val="21"/>
                      <w:szCs w:val="21"/>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8"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sz w:val="21"/>
                      <w:szCs w:val="21"/>
                      <w:lang w:val="en-US" w:eastAsia="zh-CN"/>
                    </w:rPr>
                  </w:pPr>
                  <w:r>
                    <w:rPr>
                      <w:rFonts w:ascii="Times New Roman" w:hAnsi="Times New Roman" w:eastAsia="Times New Roman" w:cs="Times New Roman"/>
                      <w:sz w:val="21"/>
                      <w:szCs w:val="21"/>
                    </w:rPr>
                    <w:t>3</w:t>
                  </w:r>
                </w:p>
              </w:tc>
              <w:tc>
                <w:tcPr>
                  <w:tcW w:w="2658"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sz w:val="21"/>
                      <w:szCs w:val="21"/>
                      <w:lang w:val="en-US" w:eastAsia="zh-CN"/>
                    </w:rPr>
                  </w:pPr>
                  <w:r>
                    <w:rPr>
                      <w:rFonts w:hint="eastAsia" w:ascii="Times New Roman" w:hAnsi="Times New Roman" w:eastAsia="Times New Roman" w:cs="Times New Roman"/>
                      <w:sz w:val="21"/>
                      <w:szCs w:val="21"/>
                      <w:lang w:val="en-US" w:eastAsia="zh-CN"/>
                    </w:rPr>
                    <w:t>BOD</w:t>
                  </w:r>
                  <w:r>
                    <w:rPr>
                      <w:rFonts w:hint="eastAsia" w:ascii="Times New Roman" w:hAnsi="Times New Roman" w:eastAsia="Times New Roman" w:cs="Times New Roman"/>
                      <w:sz w:val="21"/>
                      <w:szCs w:val="21"/>
                      <w:vertAlign w:val="subscript"/>
                      <w:lang w:val="en-US" w:eastAsia="zh-CN"/>
                    </w:rPr>
                    <w:t>5</w:t>
                  </w:r>
                  <w:r>
                    <w:rPr>
                      <w:rFonts w:hint="eastAsia" w:ascii="Times New Roman" w:hAnsi="Times New Roman" w:eastAsia="宋体" w:cs="Times New Roman"/>
                      <w:sz w:val="21"/>
                      <w:szCs w:val="21"/>
                      <w:lang w:eastAsia="zh-CN"/>
                    </w:rPr>
                    <w:t>（</w:t>
                  </w:r>
                  <w:r>
                    <w:rPr>
                      <w:rFonts w:ascii="Times New Roman" w:hAnsi="Times New Roman" w:eastAsia="Times New Roman" w:cs="Times New Roman"/>
                      <w:sz w:val="21"/>
                      <w:szCs w:val="21"/>
                    </w:rPr>
                    <w:t>mg/L</w:t>
                  </w:r>
                  <w:r>
                    <w:rPr>
                      <w:rFonts w:hint="eastAsia" w:ascii="Times New Roman" w:hAnsi="Times New Roman" w:eastAsia="宋体" w:cs="Times New Roman"/>
                      <w:sz w:val="21"/>
                      <w:szCs w:val="21"/>
                      <w:lang w:eastAsia="zh-CN"/>
                    </w:rPr>
                    <w:t>）</w:t>
                  </w:r>
                </w:p>
              </w:tc>
              <w:tc>
                <w:tcPr>
                  <w:tcW w:w="2943"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default" w:ascii="Times New Roman" w:hAnsi="Times New Roman" w:eastAsia="Times New Roman" w:cs="Times New Roman"/>
                      <w:sz w:val="21"/>
                      <w:szCs w:val="21"/>
                      <w:lang w:val="en-US" w:eastAsia="zh-CN"/>
                    </w:rPr>
                  </w:pPr>
                  <w:r>
                    <w:rPr>
                      <w:rFonts w:hint="eastAsia" w:ascii="Times New Roman" w:hAnsi="Times New Roman" w:eastAsia="Times New Roman" w:cs="Times New Roman"/>
                      <w:sz w:val="21"/>
                      <w:szCs w:val="21"/>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58"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sz w:val="21"/>
                      <w:szCs w:val="21"/>
                      <w:lang w:val="en-US" w:eastAsia="zh-CN"/>
                    </w:rPr>
                  </w:pPr>
                  <w:r>
                    <w:rPr>
                      <w:rFonts w:hint="eastAsia" w:ascii="Times New Roman" w:hAnsi="Times New Roman" w:eastAsia="Times New Roman" w:cs="Times New Roman"/>
                      <w:sz w:val="21"/>
                      <w:szCs w:val="21"/>
                      <w:lang w:val="en-US" w:eastAsia="zh-CN"/>
                    </w:rPr>
                    <w:t>4</w:t>
                  </w:r>
                </w:p>
              </w:tc>
              <w:tc>
                <w:tcPr>
                  <w:tcW w:w="2658"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sz w:val="21"/>
                      <w:szCs w:val="21"/>
                      <w:lang w:val="en-US" w:eastAsia="zh-CN"/>
                    </w:rPr>
                  </w:pPr>
                  <w:r>
                    <w:rPr>
                      <w:rFonts w:hint="eastAsia" w:ascii="Times New Roman" w:hAnsi="Times New Roman" w:eastAsia="Times New Roman" w:cs="Times New Roman"/>
                      <w:sz w:val="21"/>
                      <w:szCs w:val="21"/>
                      <w:lang w:val="en-US" w:eastAsia="zh-CN"/>
                    </w:rPr>
                    <w:t>SS</w:t>
                  </w:r>
                  <w:r>
                    <w:rPr>
                      <w:rFonts w:hint="eastAsia" w:ascii="Times New Roman" w:hAnsi="Times New Roman" w:eastAsia="宋体" w:cs="Times New Roman"/>
                      <w:sz w:val="21"/>
                      <w:szCs w:val="21"/>
                      <w:lang w:eastAsia="zh-CN"/>
                    </w:rPr>
                    <w:t>（</w:t>
                  </w:r>
                  <w:r>
                    <w:rPr>
                      <w:rFonts w:ascii="Times New Roman" w:hAnsi="Times New Roman" w:eastAsia="Times New Roman" w:cs="Times New Roman"/>
                      <w:sz w:val="21"/>
                      <w:szCs w:val="21"/>
                    </w:rPr>
                    <w:t>mg/L</w:t>
                  </w:r>
                  <w:r>
                    <w:rPr>
                      <w:rFonts w:hint="eastAsia" w:ascii="Times New Roman" w:hAnsi="Times New Roman" w:eastAsia="宋体" w:cs="Times New Roman"/>
                      <w:sz w:val="21"/>
                      <w:szCs w:val="21"/>
                      <w:lang w:eastAsia="zh-CN"/>
                    </w:rPr>
                    <w:t>）</w:t>
                  </w:r>
                </w:p>
              </w:tc>
              <w:tc>
                <w:tcPr>
                  <w:tcW w:w="2943" w:type="dxa"/>
                  <w:noWrap w:val="0"/>
                  <w:vAlign w:val="center"/>
                </w:tcPr>
                <w:p>
                  <w:pPr>
                    <w:keepNext w:val="0"/>
                    <w:keepLines w:val="0"/>
                    <w:pageBreakBefore w:val="0"/>
                    <w:widowControl w:val="0"/>
                    <w:kinsoku/>
                    <w:wordWrap/>
                    <w:overflowPunct/>
                    <w:topLinePunct w:val="0"/>
                    <w:autoSpaceDE/>
                    <w:autoSpaceDN/>
                    <w:bidi w:val="0"/>
                    <w:adjustRightInd/>
                    <w:snapToGrid/>
                    <w:spacing w:before="73" w:line="195" w:lineRule="auto"/>
                    <w:ind w:left="0" w:leftChars="0" w:firstLine="0" w:firstLineChars="0"/>
                    <w:jc w:val="center"/>
                    <w:textAlignment w:val="auto"/>
                    <w:rPr>
                      <w:rFonts w:hint="eastAsia" w:ascii="Times New Roman" w:hAnsi="Times New Roman" w:eastAsia="Times New Roman" w:cs="Times New Roman"/>
                      <w:sz w:val="21"/>
                      <w:szCs w:val="21"/>
                      <w:lang w:val="en-US" w:eastAsia="zh-CN"/>
                    </w:rPr>
                  </w:pPr>
                  <w:r>
                    <w:rPr>
                      <w:rFonts w:hint="eastAsia" w:ascii="Times New Roman" w:hAnsi="Times New Roman" w:eastAsia="Times New Roman" w:cs="Times New Roman"/>
                      <w:sz w:val="21"/>
                      <w:szCs w:val="21"/>
                      <w:lang w:val="en-US" w:eastAsia="zh-CN"/>
                    </w:rPr>
                    <w:t>400</w:t>
                  </w:r>
                </w:p>
              </w:tc>
            </w:tr>
          </w:tbl>
          <w:p>
            <w:pPr>
              <w:spacing w:line="360" w:lineRule="auto"/>
              <w:ind w:firstLine="211" w:firstLineChars="100"/>
              <w:rPr>
                <w:b/>
                <w:snapToGrid w:val="0"/>
                <w:kern w:val="0"/>
                <w:szCs w:val="21"/>
              </w:rPr>
            </w:pPr>
            <w:r>
              <w:rPr>
                <w:b/>
                <w:snapToGrid w:val="0"/>
                <w:kern w:val="0"/>
                <w:szCs w:val="21"/>
              </w:rPr>
              <w:t>3、噪声排放标准</w:t>
            </w:r>
          </w:p>
          <w:p>
            <w:pPr>
              <w:pStyle w:val="58"/>
              <w:spacing w:line="360" w:lineRule="auto"/>
              <w:ind w:firstLine="420" w:firstLineChars="200"/>
              <w:jc w:val="left"/>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运营期厂界噪声执行《工业企业厂界环境噪声排放标准》（GB12348-2008）中的2类标准和4类标准（北侧临咸宁东路、东侧临东三环辅路执行4类标准，南厂界、西厂界执行2类标准）。</w:t>
            </w:r>
          </w:p>
          <w:p>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kern w:val="2"/>
                <w:sz w:val="21"/>
                <w:szCs w:val="21"/>
                <w:lang w:val="zh-CN" w:eastAsia="zh-CN" w:bidi="ar-SA"/>
              </w:rPr>
            </w:pPr>
            <w:r>
              <w:rPr>
                <w:rFonts w:hint="eastAsia" w:ascii="Times New Roman" w:hAnsi="Times New Roman" w:eastAsia="宋体" w:cs="Times New Roman"/>
                <w:b/>
                <w:bCs/>
                <w:color w:val="auto"/>
                <w:kern w:val="2"/>
                <w:sz w:val="21"/>
                <w:szCs w:val="21"/>
                <w:lang w:val="zh-CN" w:eastAsia="zh-CN" w:bidi="ar-SA"/>
              </w:rPr>
              <w:t>表3</w:t>
            </w:r>
            <w:r>
              <w:rPr>
                <w:rFonts w:hint="eastAsia" w:ascii="Times New Roman" w:hAnsi="Times New Roman" w:eastAsia="宋体" w:cs="Times New Roman"/>
                <w:b/>
                <w:bCs/>
                <w:color w:val="auto"/>
                <w:kern w:val="2"/>
                <w:sz w:val="21"/>
                <w:szCs w:val="21"/>
                <w:lang w:val="en-US" w:eastAsia="zh-CN" w:bidi="ar-SA"/>
              </w:rPr>
              <w:t>-11</w:t>
            </w:r>
            <w:r>
              <w:rPr>
                <w:rFonts w:hint="eastAsia" w:ascii="Times New Roman" w:hAnsi="Times New Roman" w:eastAsia="宋体" w:cs="Times New Roman"/>
                <w:b/>
                <w:bCs/>
                <w:color w:val="auto"/>
                <w:kern w:val="2"/>
                <w:sz w:val="21"/>
                <w:szCs w:val="21"/>
                <w:lang w:val="zh-CN" w:eastAsia="zh-CN" w:bidi="ar-SA"/>
              </w:rPr>
              <w:t>噪声排放标准</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38"/>
              <w:gridCol w:w="2409"/>
              <w:gridCol w:w="29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38" w:type="dxa"/>
                  <w:vMerge w:val="restar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b/>
                      <w:bCs/>
                      <w:szCs w:val="21"/>
                    </w:rPr>
                  </w:pPr>
                  <w:r>
                    <w:rPr>
                      <w:rFonts w:hint="eastAsia"/>
                      <w:b/>
                      <w:bCs/>
                      <w:szCs w:val="21"/>
                    </w:rPr>
                    <w:t>类别</w:t>
                  </w:r>
                </w:p>
              </w:tc>
              <w:tc>
                <w:tcPr>
                  <w:tcW w:w="5344"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b/>
                      <w:bCs/>
                      <w:szCs w:val="21"/>
                    </w:rPr>
                  </w:pPr>
                  <w:r>
                    <w:rPr>
                      <w:b/>
                      <w:bCs/>
                      <w:szCs w:val="21"/>
                    </w:rPr>
                    <w:t>标准限值（单位：dB（A））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2838"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b/>
                      <w:bCs/>
                      <w:szCs w:val="21"/>
                    </w:rPr>
                  </w:pPr>
                </w:p>
              </w:tc>
              <w:tc>
                <w:tcPr>
                  <w:tcW w:w="24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b/>
                      <w:bCs/>
                      <w:szCs w:val="21"/>
                    </w:rPr>
                  </w:pPr>
                  <w:r>
                    <w:rPr>
                      <w:b/>
                      <w:bCs/>
                      <w:szCs w:val="21"/>
                    </w:rPr>
                    <w:t>昼间</w:t>
                  </w:r>
                </w:p>
              </w:tc>
              <w:tc>
                <w:tcPr>
                  <w:tcW w:w="293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b/>
                      <w:bCs/>
                      <w:szCs w:val="21"/>
                    </w:rPr>
                  </w:pPr>
                  <w:r>
                    <w:rPr>
                      <w:b/>
                      <w:bCs/>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szCs w:val="21"/>
                    </w:rPr>
                    <w:t>东厂界</w:t>
                  </w:r>
                </w:p>
              </w:tc>
              <w:tc>
                <w:tcPr>
                  <w:tcW w:w="24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szCs w:val="21"/>
                    </w:rPr>
                    <w:t>70</w:t>
                  </w:r>
                </w:p>
              </w:tc>
              <w:tc>
                <w:tcPr>
                  <w:tcW w:w="293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szCs w:val="21"/>
                    </w:rPr>
                    <w:t>南厂界</w:t>
                  </w:r>
                </w:p>
              </w:tc>
              <w:tc>
                <w:tcPr>
                  <w:tcW w:w="24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rFonts w:hint="eastAsia"/>
                      <w:szCs w:val="21"/>
                    </w:rPr>
                    <w:t>60</w:t>
                  </w:r>
                </w:p>
              </w:tc>
              <w:tc>
                <w:tcPr>
                  <w:tcW w:w="293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rFonts w:hint="eastAsia"/>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szCs w:val="21"/>
                    </w:rPr>
                    <w:t>西厂界</w:t>
                  </w:r>
                </w:p>
              </w:tc>
              <w:tc>
                <w:tcPr>
                  <w:tcW w:w="24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rFonts w:hint="eastAsia"/>
                      <w:szCs w:val="21"/>
                    </w:rPr>
                    <w:t>60</w:t>
                  </w:r>
                </w:p>
              </w:tc>
              <w:tc>
                <w:tcPr>
                  <w:tcW w:w="293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rFonts w:hint="eastAsia"/>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szCs w:val="21"/>
                    </w:rPr>
                    <w:t>北厂界</w:t>
                  </w:r>
                </w:p>
              </w:tc>
              <w:tc>
                <w:tcPr>
                  <w:tcW w:w="24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szCs w:val="21"/>
                    </w:rPr>
                    <w:t>70</w:t>
                  </w:r>
                </w:p>
              </w:tc>
              <w:tc>
                <w:tcPr>
                  <w:tcW w:w="293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szCs w:val="21"/>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8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rFonts w:hint="eastAsia"/>
                      <w:szCs w:val="21"/>
                    </w:rPr>
                    <w:t>标准名称</w:t>
                  </w:r>
                </w:p>
              </w:tc>
              <w:tc>
                <w:tcPr>
                  <w:tcW w:w="5344" w:type="dxa"/>
                  <w:gridSpan w:val="2"/>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szCs w:val="21"/>
                    </w:rPr>
                  </w:pPr>
                  <w:r>
                    <w:rPr>
                      <w:rFonts w:hint="eastAsia"/>
                      <w:szCs w:val="21"/>
                    </w:rPr>
                    <w:t>《工业企业厂界环境噪声排放标准》（GB12348-2008）</w:t>
                  </w:r>
                </w:p>
              </w:tc>
            </w:tr>
          </w:tbl>
          <w:p>
            <w:pPr>
              <w:spacing w:before="120" w:beforeLines="50" w:line="360" w:lineRule="auto"/>
              <w:ind w:firstLine="211" w:firstLineChars="100"/>
              <w:rPr>
                <w:bCs/>
                <w:snapToGrid w:val="0"/>
                <w:kern w:val="0"/>
                <w:szCs w:val="21"/>
                <w:lang w:val="en-GB"/>
              </w:rPr>
            </w:pPr>
            <w:r>
              <w:rPr>
                <w:b/>
                <w:snapToGrid w:val="0"/>
                <w:kern w:val="0"/>
                <w:szCs w:val="21"/>
              </w:rPr>
              <w:t>4、</w:t>
            </w:r>
            <w:r>
              <w:rPr>
                <w:b/>
                <w:snapToGrid w:val="0"/>
                <w:kern w:val="0"/>
                <w:szCs w:val="21"/>
                <w:lang w:val="en-GB"/>
              </w:rPr>
              <w:t>固体废物</w:t>
            </w:r>
            <w:r>
              <w:rPr>
                <w:b/>
                <w:snapToGrid w:val="0"/>
                <w:kern w:val="0"/>
                <w:szCs w:val="21"/>
              </w:rPr>
              <w:t>排放标准</w:t>
            </w:r>
          </w:p>
          <w:p>
            <w:pPr>
              <w:spacing w:line="360" w:lineRule="auto"/>
              <w:ind w:firstLine="420" w:firstLineChars="200"/>
              <w:rPr>
                <w:kern w:val="0"/>
                <w:szCs w:val="21"/>
              </w:rPr>
            </w:pPr>
            <w:r>
              <w:rPr>
                <w:rFonts w:hint="default" w:ascii="Times New Roman" w:hAnsi="Times New Roman" w:eastAsia="宋体" w:cs="Times New Roman"/>
                <w:kern w:val="2"/>
                <w:sz w:val="21"/>
                <w:szCs w:val="21"/>
                <w:lang w:val="en-US" w:eastAsia="zh-CN" w:bidi="ar-SA"/>
              </w:rPr>
              <w:t>一般固体废物执行《一般工业固体废物贮存和填埋污染控制标准》（GB18599-2020）</w:t>
            </w:r>
            <w:r>
              <w:rPr>
                <w:rFonts w:hint="default" w:ascii="Times New Roman" w:hAnsi="Times New Roman" w:eastAsia="宋体" w:cs="Times New Roman"/>
                <w:kern w:val="2"/>
                <w:sz w:val="21"/>
                <w:szCs w:val="21"/>
                <w:lang w:val="en-GB" w:eastAsia="zh-CN" w:bidi="ar-SA"/>
              </w:rPr>
              <w:t>；</w:t>
            </w:r>
            <w:r>
              <w:rPr>
                <w:rFonts w:hint="default" w:ascii="Times New Roman" w:hAnsi="Times New Roman" w:eastAsia="宋体" w:cs="Times New Roman"/>
                <w:kern w:val="2"/>
                <w:sz w:val="21"/>
                <w:szCs w:val="21"/>
                <w:lang w:val="en-US" w:eastAsia="zh-CN" w:bidi="ar-SA"/>
              </w:rPr>
              <w:t>危险</w:t>
            </w:r>
            <w:r>
              <w:rPr>
                <w:rFonts w:hint="default" w:ascii="Times New Roman" w:hAnsi="Times New Roman" w:eastAsia="宋体" w:cs="Times New Roman"/>
                <w:kern w:val="2"/>
                <w:sz w:val="21"/>
                <w:szCs w:val="21"/>
                <w:lang w:val="en-GB" w:eastAsia="zh-CN" w:bidi="ar-SA"/>
              </w:rPr>
              <w:t>废物排放执行</w:t>
            </w:r>
            <w:r>
              <w:rPr>
                <w:rFonts w:hint="eastAsia" w:ascii="Times New Roman" w:hAnsi="Times New Roman" w:eastAsia="宋体" w:cs="Times New Roman"/>
                <w:kern w:val="2"/>
                <w:sz w:val="21"/>
                <w:szCs w:val="21"/>
                <w:lang w:val="en-US" w:eastAsia="zh-CN" w:bidi="ar-SA"/>
              </w:rPr>
              <w:t>《危险废物贮存污染控制标准》（GB18597-2023）</w:t>
            </w:r>
            <w:r>
              <w:rPr>
                <w:rFonts w:hint="default" w:ascii="Times New Roman" w:hAnsi="Times New Roman" w:eastAsia="宋体" w:cs="Times New Roman"/>
                <w:kern w:val="2"/>
                <w:sz w:val="21"/>
                <w:szCs w:val="21"/>
                <w:lang w:val="en-US" w:eastAsia="zh-CN" w:bidi="ar-SA"/>
              </w:rPr>
              <w:t>中相关要求。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91" w:hRule="atLeast"/>
          <w:jc w:val="center"/>
        </w:trPr>
        <w:tc>
          <w:tcPr>
            <w:tcW w:w="827" w:type="dxa"/>
            <w:noWrap w:val="0"/>
            <w:vAlign w:val="center"/>
          </w:tcPr>
          <w:p>
            <w:pPr>
              <w:adjustRightInd w:val="0"/>
              <w:snapToGrid w:val="0"/>
              <w:jc w:val="center"/>
              <w:rPr>
                <w:kern w:val="0"/>
                <w:szCs w:val="21"/>
              </w:rPr>
            </w:pPr>
            <w:r>
              <w:rPr>
                <w:kern w:val="0"/>
                <w:szCs w:val="21"/>
              </w:rPr>
              <w:t>总量</w:t>
            </w:r>
          </w:p>
          <w:p>
            <w:pPr>
              <w:adjustRightInd w:val="0"/>
              <w:snapToGrid w:val="0"/>
              <w:jc w:val="center"/>
              <w:rPr>
                <w:kern w:val="0"/>
                <w:szCs w:val="21"/>
              </w:rPr>
            </w:pPr>
            <w:r>
              <w:rPr>
                <w:kern w:val="0"/>
                <w:szCs w:val="21"/>
              </w:rPr>
              <w:t>控制</w:t>
            </w:r>
          </w:p>
          <w:p>
            <w:pPr>
              <w:adjustRightInd w:val="0"/>
              <w:snapToGrid w:val="0"/>
              <w:jc w:val="center"/>
              <w:rPr>
                <w:kern w:val="0"/>
                <w:szCs w:val="21"/>
              </w:rPr>
            </w:pPr>
            <w:r>
              <w:rPr>
                <w:kern w:val="0"/>
                <w:szCs w:val="21"/>
              </w:rPr>
              <w:t>指标</w:t>
            </w:r>
          </w:p>
        </w:tc>
        <w:tc>
          <w:tcPr>
            <w:tcW w:w="84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color w:val="auto"/>
                <w:highlight w:val="yellow"/>
                <w:lang w:val="en-US" w:eastAsia="zh-CN"/>
              </w:rPr>
            </w:pPr>
            <w:r>
              <w:rPr>
                <w:rFonts w:hint="eastAsia"/>
                <w:color w:val="auto"/>
                <w:lang w:val="en-US" w:eastAsia="zh-CN"/>
              </w:rPr>
              <w:t>根</w:t>
            </w:r>
            <w:r>
              <w:rPr>
                <w:rFonts w:hint="eastAsia"/>
                <w:color w:val="auto"/>
                <w:highlight w:val="none"/>
                <w:lang w:val="en-US" w:eastAsia="zh-CN"/>
              </w:rPr>
              <w:t>据本项目污染物排放总量，建议其总量控制指标按以下执行：</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lang w:val="en-US" w:eastAsia="zh-CN"/>
              </w:rPr>
            </w:pPr>
            <w:r>
              <w:rPr>
                <w:rFonts w:hint="eastAsia"/>
                <w:color w:val="auto"/>
                <w:lang w:val="en-US" w:eastAsia="zh-CN"/>
              </w:rPr>
              <w:t>1、水污染物总量控制指标</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lang w:val="en-US" w:eastAsia="zh-CN"/>
              </w:rPr>
            </w:pPr>
            <w:r>
              <w:rPr>
                <w:rFonts w:hint="eastAsia"/>
                <w:color w:val="auto"/>
                <w:lang w:val="en-US" w:eastAsia="zh-CN"/>
              </w:rPr>
              <w:t>本项目废水排放量为</w:t>
            </w:r>
            <w:r>
              <w:rPr>
                <w:rFonts w:hint="eastAsia" w:ascii="Times New Roman" w:hAnsi="Times New Roman" w:cs="Times New Roman"/>
                <w:color w:val="auto"/>
                <w:szCs w:val="21"/>
                <w:highlight w:val="none"/>
                <w:lang w:val="en-US" w:eastAsia="zh-CN"/>
              </w:rPr>
              <w:t>446.76</w:t>
            </w:r>
            <w:r>
              <w:rPr>
                <w:rFonts w:hint="eastAsia"/>
                <w:color w:val="auto"/>
                <w:lang w:val="en-US" w:eastAsia="zh-CN"/>
              </w:rPr>
              <w:t>m</w:t>
            </w:r>
            <w:r>
              <w:rPr>
                <w:rFonts w:hint="eastAsia"/>
                <w:color w:val="auto"/>
                <w:vertAlign w:val="superscript"/>
                <w:lang w:val="en-US" w:eastAsia="zh-CN"/>
              </w:rPr>
              <w:t>3</w:t>
            </w:r>
            <w:r>
              <w:rPr>
                <w:rFonts w:hint="eastAsia"/>
                <w:color w:val="auto"/>
                <w:lang w:val="en-US" w:eastAsia="zh-CN"/>
              </w:rPr>
              <w:t>/a，最终经市政管网排入西安市第三污水处理厂。</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lang w:val="en-US" w:eastAsia="zh-CN"/>
              </w:rPr>
            </w:pPr>
            <w:r>
              <w:rPr>
                <w:rFonts w:hint="default" w:ascii="Times New Roman" w:hAnsi="Times New Roman" w:eastAsia="宋体" w:cs="Times New Roman"/>
                <w:kern w:val="2"/>
                <w:sz w:val="21"/>
                <w:szCs w:val="20"/>
                <w:lang w:val="en-US" w:eastAsia="zh-CN" w:bidi="ar-SA"/>
              </w:rPr>
              <w:t>经核算，</w:t>
            </w:r>
            <w:r>
              <w:rPr>
                <w:rFonts w:hint="eastAsia"/>
                <w:color w:val="auto"/>
                <w:lang w:val="en-US" w:eastAsia="zh-CN"/>
              </w:rPr>
              <w:t>本项目水污染总量指标为COD</w:t>
            </w:r>
            <w:r>
              <w:rPr>
                <w:rFonts w:hint="eastAsia"/>
                <w:color w:val="auto"/>
                <w:vertAlign w:val="subscript"/>
                <w:lang w:val="en-US" w:eastAsia="zh-CN"/>
              </w:rPr>
              <w:t>Cr</w:t>
            </w:r>
            <w:r>
              <w:rPr>
                <w:rFonts w:hint="eastAsia"/>
                <w:color w:val="auto"/>
                <w:lang w:val="en-US" w:eastAsia="zh-CN"/>
              </w:rPr>
              <w:t>：</w:t>
            </w:r>
            <w:r>
              <w:rPr>
                <w:rFonts w:hint="default" w:ascii="Times New Roman" w:hAnsi="Times New Roman" w:eastAsia="宋体" w:cs="Times New Roman"/>
                <w:bCs/>
                <w:color w:val="auto"/>
                <w:lang w:val="en-US" w:eastAsia="zh-CN"/>
              </w:rPr>
              <w:t>0.</w:t>
            </w:r>
            <w:r>
              <w:rPr>
                <w:rFonts w:hint="eastAsia" w:ascii="Times New Roman" w:hAnsi="Times New Roman" w:eastAsia="宋体" w:cs="Times New Roman"/>
                <w:bCs/>
                <w:color w:val="auto"/>
                <w:lang w:val="en-US" w:eastAsia="zh-CN"/>
              </w:rPr>
              <w:t>152</w:t>
            </w:r>
            <w:r>
              <w:rPr>
                <w:rFonts w:hint="eastAsia"/>
                <w:color w:val="auto"/>
                <w:lang w:val="en-US" w:eastAsia="zh-CN"/>
              </w:rPr>
              <w:t>t/a、氨氮：</w:t>
            </w:r>
            <w:r>
              <w:rPr>
                <w:rFonts w:hint="eastAsia" w:ascii="Times New Roman" w:hAnsi="Times New Roman" w:eastAsia="宋体" w:cs="Times New Roman"/>
                <w:bCs/>
                <w:color w:val="auto"/>
                <w:lang w:val="en-US" w:eastAsia="zh-CN"/>
              </w:rPr>
              <w:t>0.011</w:t>
            </w:r>
            <w:r>
              <w:rPr>
                <w:rFonts w:hint="eastAsia"/>
                <w:color w:val="auto"/>
                <w:lang w:val="en-US" w:eastAsia="zh-CN"/>
              </w:rPr>
              <w:t>t/a，本项目所在地属于西安市第三污水处理厂纳污范围，西安市第三污水处理厂的污染物已纳入总量控制。</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eastAsia"/>
                <w:color w:val="auto"/>
                <w:lang w:val="en-US" w:eastAsia="zh-CN"/>
              </w:rPr>
            </w:pPr>
            <w:r>
              <w:rPr>
                <w:rFonts w:hint="eastAsia"/>
                <w:color w:val="auto"/>
                <w:lang w:val="en-US" w:eastAsia="zh-CN"/>
              </w:rPr>
              <w:t>2、大气污染物总量控制指标</w:t>
            </w:r>
          </w:p>
          <w:p>
            <w:pPr>
              <w:adjustRightInd w:val="0"/>
              <w:snapToGrid w:val="0"/>
              <w:spacing w:line="360" w:lineRule="auto"/>
              <w:ind w:firstLine="420" w:firstLineChars="200"/>
              <w:jc w:val="left"/>
              <w:rPr>
                <w:rFonts w:hint="eastAsia"/>
                <w:color w:val="auto"/>
                <w:sz w:val="21"/>
                <w:szCs w:val="21"/>
                <w:highlight w:val="none"/>
              </w:rPr>
            </w:pPr>
            <w:r>
              <w:rPr>
                <w:rFonts w:hint="eastAsia" w:ascii="Times New Roman" w:hAnsi="Times New Roman" w:eastAsia="宋体" w:cs="Times New Roman"/>
                <w:color w:val="auto"/>
                <w:sz w:val="21"/>
                <w:szCs w:val="21"/>
                <w:lang w:val="en-US" w:eastAsia="zh-CN"/>
              </w:rPr>
              <w:t>根据关于印发《“十三五”主要污染物总量控制规划编制指南》的通知（环办〔2015〕97</w:t>
            </w:r>
            <w:r>
              <w:rPr>
                <w:snapToGrid w:val="0"/>
                <w:color w:val="auto"/>
                <w:sz w:val="21"/>
                <w:szCs w:val="21"/>
                <w:highlight w:val="none"/>
              </w:rPr>
              <w:t>号）和《国务院关于印发大气污染防治行动计划的通知》（国发〔2013〕37号）：“十三五”期间国家对COD、氨氮、二氧化硫、氮氧化物、挥发性有机物等主要污染物实行排放总量控制计划管理</w:t>
            </w:r>
            <w:r>
              <w:rPr>
                <w:rFonts w:hint="eastAsia"/>
                <w:snapToGrid w:val="0"/>
                <w:color w:val="auto"/>
                <w:sz w:val="21"/>
                <w:szCs w:val="21"/>
                <w:highlight w:val="none"/>
              </w:rPr>
              <w:t>。</w:t>
            </w:r>
            <w:r>
              <w:rPr>
                <w:color w:val="auto"/>
                <w:sz w:val="21"/>
                <w:szCs w:val="21"/>
                <w:highlight w:val="none"/>
              </w:rPr>
              <w:t>项目无</w:t>
            </w:r>
            <w:r>
              <w:rPr>
                <w:rFonts w:hint="eastAsia"/>
                <w:color w:val="auto"/>
                <w:sz w:val="21"/>
                <w:szCs w:val="21"/>
                <w:highlight w:val="none"/>
              </w:rPr>
              <w:t>工业粉尘</w:t>
            </w:r>
            <w:r>
              <w:rPr>
                <w:color w:val="auto"/>
                <w:sz w:val="21"/>
                <w:szCs w:val="21"/>
                <w:highlight w:val="none"/>
              </w:rPr>
              <w:t>、SO</w:t>
            </w:r>
            <w:r>
              <w:rPr>
                <w:color w:val="auto"/>
                <w:sz w:val="21"/>
                <w:szCs w:val="21"/>
                <w:highlight w:val="none"/>
                <w:vertAlign w:val="subscript"/>
              </w:rPr>
              <w:t>2</w:t>
            </w:r>
            <w:r>
              <w:rPr>
                <w:color w:val="auto"/>
                <w:sz w:val="21"/>
                <w:szCs w:val="21"/>
                <w:highlight w:val="none"/>
              </w:rPr>
              <w:t>、NO</w:t>
            </w:r>
            <w:r>
              <w:rPr>
                <w:color w:val="auto"/>
                <w:sz w:val="21"/>
                <w:szCs w:val="21"/>
                <w:highlight w:val="none"/>
                <w:vertAlign w:val="subscript"/>
              </w:rPr>
              <w:t>X</w:t>
            </w:r>
            <w:r>
              <w:rPr>
                <w:color w:val="auto"/>
                <w:sz w:val="21"/>
                <w:szCs w:val="21"/>
                <w:highlight w:val="none"/>
              </w:rPr>
              <w:t>产生和排放，</w:t>
            </w:r>
            <w:r>
              <w:rPr>
                <w:rFonts w:hint="eastAsia"/>
                <w:color w:val="auto"/>
                <w:sz w:val="21"/>
                <w:szCs w:val="21"/>
                <w:highlight w:val="none"/>
              </w:rPr>
              <w:t>本</w:t>
            </w:r>
            <w:r>
              <w:rPr>
                <w:color w:val="auto"/>
                <w:sz w:val="21"/>
                <w:szCs w:val="21"/>
                <w:highlight w:val="none"/>
              </w:rPr>
              <w:t>项目</w:t>
            </w:r>
            <w:r>
              <w:rPr>
                <w:rFonts w:hint="eastAsia"/>
                <w:color w:val="auto"/>
                <w:sz w:val="21"/>
                <w:szCs w:val="21"/>
                <w:highlight w:val="none"/>
                <w:lang w:val="en-US" w:eastAsia="zh-CN"/>
              </w:rPr>
              <w:t>大气污染总量指标为</w:t>
            </w:r>
            <w:r>
              <w:rPr>
                <w:color w:val="auto"/>
                <w:sz w:val="21"/>
                <w:szCs w:val="21"/>
                <w:highlight w:val="none"/>
              </w:rPr>
              <w:t>非甲烷总烃</w:t>
            </w:r>
            <w:r>
              <w:rPr>
                <w:rFonts w:hint="eastAsia"/>
                <w:color w:val="auto"/>
                <w:sz w:val="21"/>
                <w:szCs w:val="21"/>
                <w:highlight w:val="none"/>
                <w:lang w:eastAsia="zh-CN"/>
              </w:rPr>
              <w:t>：</w:t>
            </w:r>
            <w:r>
              <w:rPr>
                <w:rFonts w:hint="eastAsia"/>
                <w:color w:val="auto"/>
                <w:sz w:val="21"/>
                <w:szCs w:val="21"/>
                <w:lang w:val="en-US" w:eastAsia="zh-CN"/>
              </w:rPr>
              <w:t>2.713t/a，</w:t>
            </w:r>
            <w:r>
              <w:rPr>
                <w:rFonts w:hint="eastAsia"/>
                <w:color w:val="auto"/>
                <w:sz w:val="21"/>
                <w:szCs w:val="21"/>
                <w:highlight w:val="none"/>
              </w:rPr>
              <w:t>具体以当地环保部门要求为准。</w:t>
            </w: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rFonts w:hint="eastAsia"/>
                <w:color w:val="auto"/>
                <w:sz w:val="21"/>
                <w:szCs w:val="21"/>
                <w:highlight w:val="none"/>
              </w:rPr>
            </w:pPr>
          </w:p>
          <w:p>
            <w:pPr>
              <w:adjustRightInd w:val="0"/>
              <w:snapToGrid w:val="0"/>
              <w:spacing w:line="360" w:lineRule="auto"/>
              <w:ind w:firstLine="420" w:firstLineChars="200"/>
              <w:jc w:val="left"/>
              <w:rPr>
                <w:kern w:val="0"/>
                <w:szCs w:val="21"/>
              </w:rPr>
            </w:pPr>
          </w:p>
        </w:tc>
      </w:tr>
    </w:tbl>
    <w:p>
      <w:pPr>
        <w:pStyle w:val="20"/>
        <w:jc w:val="center"/>
        <w:outlineLvl w:val="0"/>
        <w:rPr>
          <w:rFonts w:ascii="Times New Roman" w:hAnsi="Times New Roman" w:eastAsia="黑体"/>
          <w:snapToGrid w:val="0"/>
          <w:sz w:val="30"/>
          <w:szCs w:val="30"/>
        </w:rPr>
      </w:pPr>
      <w:r>
        <w:rPr>
          <w:rFonts w:ascii="Times New Roman" w:hAnsi="Times New Roman" w:eastAsia="黑体"/>
          <w:snapToGrid w:val="0"/>
          <w:sz w:val="36"/>
          <w:szCs w:val="36"/>
        </w:rPr>
        <w:br w:type="page"/>
      </w:r>
      <w:r>
        <w:rPr>
          <w:rFonts w:ascii="Times New Roman" w:hAnsi="Times New Roman" w:eastAsia="黑体"/>
          <w:snapToGrid w:val="0"/>
          <w:sz w:val="30"/>
          <w:szCs w:val="30"/>
        </w:rPr>
        <w:t>四、主要环境影响和保护措施</w:t>
      </w:r>
    </w:p>
    <w:tbl>
      <w:tblPr>
        <w:tblStyle w:val="24"/>
        <w:tblW w:w="508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8"/>
        <w:gridCol w:w="86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735" w:hRule="atLeast"/>
          <w:jc w:val="center"/>
        </w:trPr>
        <w:tc>
          <w:tcPr>
            <w:tcW w:w="712" w:type="dxa"/>
            <w:noWrap w:val="0"/>
            <w:tcMar>
              <w:left w:w="28" w:type="dxa"/>
              <w:right w:w="28" w:type="dxa"/>
            </w:tcMar>
            <w:vAlign w:val="center"/>
          </w:tcPr>
          <w:p>
            <w:pPr>
              <w:pStyle w:val="20"/>
              <w:adjustRightInd w:val="0"/>
              <w:snapToGrid w:val="0"/>
              <w:spacing w:before="0" w:beforeAutospacing="0" w:after="0" w:afterAutospacing="0"/>
              <w:jc w:val="center"/>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施工</w:t>
            </w:r>
          </w:p>
          <w:p>
            <w:pPr>
              <w:pStyle w:val="20"/>
              <w:adjustRightInd w:val="0"/>
              <w:snapToGrid w:val="0"/>
              <w:spacing w:before="0" w:beforeAutospacing="0" w:after="0" w:afterAutospacing="0"/>
              <w:jc w:val="center"/>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期环</w:t>
            </w:r>
          </w:p>
          <w:p>
            <w:pPr>
              <w:pStyle w:val="20"/>
              <w:adjustRightInd w:val="0"/>
              <w:snapToGrid w:val="0"/>
              <w:spacing w:before="0" w:beforeAutospacing="0" w:after="0" w:afterAutospacing="0"/>
              <w:jc w:val="center"/>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境保</w:t>
            </w:r>
          </w:p>
          <w:p>
            <w:pPr>
              <w:pStyle w:val="20"/>
              <w:adjustRightInd w:val="0"/>
              <w:snapToGrid w:val="0"/>
              <w:spacing w:before="0" w:beforeAutospacing="0" w:after="0" w:afterAutospacing="0"/>
              <w:jc w:val="center"/>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护措</w:t>
            </w:r>
          </w:p>
          <w:p>
            <w:pPr>
              <w:pStyle w:val="20"/>
              <w:adjustRightInd w:val="0"/>
              <w:snapToGrid w:val="0"/>
              <w:spacing w:before="0" w:beforeAutospacing="0" w:after="0" w:afterAutospacing="0"/>
              <w:jc w:val="center"/>
              <w:rPr>
                <w:rFonts w:hint="default" w:ascii="Times New Roman" w:hAnsi="Times New Roman" w:cs="Times New Roman"/>
                <w:bCs/>
                <w:kern w:val="2"/>
                <w:sz w:val="21"/>
                <w:szCs w:val="21"/>
                <w:highlight w:val="none"/>
              </w:rPr>
            </w:pPr>
            <w:r>
              <w:rPr>
                <w:rFonts w:hint="default" w:ascii="Times New Roman" w:hAnsi="Times New Roman" w:cs="Times New Roman"/>
                <w:kern w:val="2"/>
                <w:sz w:val="21"/>
                <w:szCs w:val="21"/>
                <w:highlight w:val="none"/>
              </w:rPr>
              <w:t>施</w:t>
            </w:r>
          </w:p>
        </w:tc>
        <w:tc>
          <w:tcPr>
            <w:tcW w:w="8576" w:type="dxa"/>
            <w:noWrap w:val="0"/>
            <w:vAlign w:val="center"/>
          </w:tcPr>
          <w:p>
            <w:pPr>
              <w:adjustRightInd w:val="0"/>
              <w:snapToGrid w:val="0"/>
              <w:rPr>
                <w:rFonts w:ascii="宋体" w:hAnsi="宋体" w:eastAsia="宋体" w:cs="宋体"/>
                <w:sz w:val="21"/>
                <w:szCs w:val="21"/>
              </w:rPr>
            </w:pPr>
            <w:r>
              <w:rPr>
                <w:rFonts w:hint="eastAsia" w:ascii="Times New Roman" w:hAnsi="Times New Roman" w:eastAsia="宋体" w:cs="Times New Roman"/>
                <w:color w:val="000000"/>
                <w:sz w:val="21"/>
                <w:szCs w:val="21"/>
                <w:lang w:val="en-US" w:eastAsia="zh-CN"/>
              </w:rPr>
              <w:t>根据现场调查，本项目已全部建设完成，</w:t>
            </w:r>
            <w:r>
              <w:rPr>
                <w:rFonts w:ascii="宋体" w:hAnsi="宋体" w:eastAsia="宋体" w:cs="宋体"/>
                <w:sz w:val="21"/>
                <w:szCs w:val="21"/>
              </w:rPr>
              <w:t>故不再对施工期环境影响进行分析评</w:t>
            </w:r>
            <w:r>
              <w:rPr>
                <w:rFonts w:ascii="宋体" w:hAnsi="宋体" w:eastAsia="宋体" w:cs="宋体"/>
                <w:sz w:val="21"/>
                <w:szCs w:val="21"/>
              </w:rPr>
              <w:t>价</w:t>
            </w:r>
            <w:r>
              <w:rPr>
                <w:rFonts w:hint="eastAsia" w:ascii="Times New Roman" w:hAnsi="Times New Roman" w:eastAsia="宋体" w:cs="Times New Roman"/>
                <w:color w:val="000000"/>
                <w:sz w:val="21"/>
                <w:szCs w:val="21"/>
                <w:lang w:val="en-US" w:eastAsia="zh-CN"/>
              </w:rPr>
              <w:t>。</w:t>
            </w: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ascii="宋体" w:hAnsi="宋体" w:eastAsia="宋体" w:cs="宋体"/>
                <w:sz w:val="21"/>
                <w:szCs w:val="21"/>
              </w:rPr>
            </w:pPr>
          </w:p>
          <w:p>
            <w:pPr>
              <w:adjustRightInd w:val="0"/>
              <w:snapToGrid w:val="0"/>
              <w:rPr>
                <w:rFonts w:hint="default" w:ascii="Times New Roman" w:hAnsi="Times New Roman" w:cs="Times New Roman"/>
                <w:bCs/>
                <w:spacing w:val="-10"/>
                <w:sz w:val="21"/>
                <w:szCs w:val="21"/>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auto"/>
          <w:wAfter w:w="0" w:type="auto"/>
          <w:trHeight w:val="13703" w:hRule="atLeast"/>
          <w:jc w:val="center"/>
        </w:trPr>
        <w:tc>
          <w:tcPr>
            <w:tcW w:w="712" w:type="dxa"/>
            <w:noWrap w:val="0"/>
            <w:tcMar>
              <w:left w:w="28" w:type="dxa"/>
              <w:right w:w="28" w:type="dxa"/>
            </w:tcMar>
            <w:vAlign w:val="center"/>
          </w:tcPr>
          <w:p>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运营</w:t>
            </w:r>
          </w:p>
          <w:p>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期环</w:t>
            </w:r>
          </w:p>
          <w:p>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境影</w:t>
            </w:r>
          </w:p>
          <w:p>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响和</w:t>
            </w:r>
          </w:p>
          <w:p>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保护</w:t>
            </w:r>
          </w:p>
          <w:p>
            <w:pPr>
              <w:adjustRightInd w:val="0"/>
              <w:snapToGrid w:val="0"/>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措施</w:t>
            </w:r>
          </w:p>
        </w:tc>
        <w:tc>
          <w:tcPr>
            <w:tcW w:w="8576" w:type="dxa"/>
            <w:noWrap w:val="0"/>
            <w:vAlign w:val="center"/>
          </w:tcPr>
          <w:p>
            <w:pPr>
              <w:spacing w:line="360" w:lineRule="auto"/>
              <w:ind w:firstLine="422" w:firstLineChars="200"/>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1、废气</w:t>
            </w:r>
          </w:p>
          <w:p>
            <w:pPr>
              <w:spacing w:line="360" w:lineRule="auto"/>
              <w:ind w:firstLine="420" w:firstLineChars="200"/>
              <w:jc w:val="left"/>
              <w:rPr>
                <w:rFonts w:hint="eastAsia"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rPr>
              <w:t>（1）</w:t>
            </w:r>
            <w:r>
              <w:rPr>
                <w:rFonts w:hint="eastAsia" w:ascii="Times New Roman" w:hAnsi="Times New Roman" w:eastAsia="宋体" w:cs="Times New Roman"/>
                <w:szCs w:val="21"/>
                <w:highlight w:val="none"/>
                <w:lang w:val="en-US" w:eastAsia="zh-CN"/>
              </w:rPr>
              <w:t>源强</w:t>
            </w:r>
          </w:p>
          <w:p>
            <w:pPr>
              <w:spacing w:line="360" w:lineRule="auto"/>
              <w:ind w:firstLine="420" w:firstLineChars="200"/>
              <w:jc w:val="left"/>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①</w:t>
            </w:r>
            <w:r>
              <w:rPr>
                <w:rFonts w:hint="eastAsia" w:ascii="Times New Roman" w:hAnsi="Times New Roman" w:eastAsia="宋体" w:cs="Times New Roman"/>
                <w:sz w:val="21"/>
                <w:szCs w:val="21"/>
                <w:highlight w:val="none"/>
                <w:lang w:val="en-US" w:eastAsia="zh-CN"/>
              </w:rPr>
              <w:t>储油、卸油、加油过程中挥发的非甲烷总烃</w:t>
            </w:r>
          </w:p>
          <w:p>
            <w:pPr>
              <w:spacing w:line="360" w:lineRule="auto"/>
              <w:ind w:firstLine="420" w:firstLineChars="200"/>
              <w:jc w:val="left"/>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项目非甲烷总烃主要包括卸油工序、储油工序及加油机作业产生的油气。根据加油站多年的经验及类比其他加油站项目，油气回收系统分为一次油气回收系统（大呼吸即卸油油气回收，回收效率可达到</w:t>
            </w:r>
            <w:r>
              <w:rPr>
                <w:rFonts w:hint="default" w:ascii="Times New Roman" w:hAnsi="Times New Roman" w:eastAsia="宋体" w:cs="Times New Roman"/>
                <w:color w:val="auto"/>
                <w:sz w:val="21"/>
                <w:szCs w:val="21"/>
                <w:highlight w:val="none"/>
                <w:lang w:val="en-US" w:eastAsia="zh-CN"/>
              </w:rPr>
              <w:t>95%</w:t>
            </w:r>
            <w:r>
              <w:rPr>
                <w:rFonts w:hint="eastAsia" w:ascii="Times New Roman" w:hAnsi="Times New Roman" w:eastAsia="宋体" w:cs="Times New Roman"/>
                <w:color w:val="auto"/>
                <w:sz w:val="21"/>
                <w:szCs w:val="21"/>
                <w:highlight w:val="none"/>
                <w:lang w:val="en-US" w:eastAsia="zh-CN"/>
              </w:rPr>
              <w:t>）、二次油气回收系统（加油枪油气回收，回收效率可以达到</w:t>
            </w:r>
            <w:r>
              <w:rPr>
                <w:rFonts w:hint="default" w:ascii="Times New Roman" w:hAnsi="Times New Roman" w:eastAsia="宋体" w:cs="Times New Roman"/>
                <w:color w:val="auto"/>
                <w:sz w:val="21"/>
                <w:szCs w:val="21"/>
                <w:highlight w:val="none"/>
                <w:lang w:val="en-US" w:eastAsia="zh-CN"/>
              </w:rPr>
              <w:t>95%</w:t>
            </w:r>
            <w:r>
              <w:rPr>
                <w:rFonts w:hint="eastAsia" w:ascii="Times New Roman" w:hAnsi="Times New Roman" w:eastAsia="宋体" w:cs="Times New Roman"/>
                <w:color w:val="auto"/>
                <w:sz w:val="21"/>
                <w:szCs w:val="21"/>
                <w:highlight w:val="none"/>
                <w:lang w:val="en-US" w:eastAsia="zh-CN"/>
              </w:rPr>
              <w:t>）、三次油气回收系统（小呼吸油气排放回收，油气回收效率为</w:t>
            </w:r>
            <w:r>
              <w:rPr>
                <w:rFonts w:hint="default" w:ascii="Times New Roman" w:hAnsi="Times New Roman" w:eastAsia="宋体" w:cs="Times New Roman"/>
                <w:color w:val="auto"/>
                <w:sz w:val="21"/>
                <w:szCs w:val="21"/>
                <w:highlight w:val="none"/>
                <w:lang w:val="en-US" w:eastAsia="zh-CN"/>
              </w:rPr>
              <w:t>93%</w:t>
            </w:r>
            <w:r>
              <w:rPr>
                <w:rFonts w:hint="eastAsia" w:ascii="Times New Roman" w:hAnsi="Times New Roman" w:eastAsia="宋体" w:cs="Times New Roman"/>
                <w:color w:val="auto"/>
                <w:sz w:val="21"/>
                <w:szCs w:val="21"/>
                <w:highlight w:val="none"/>
                <w:lang w:val="en-US" w:eastAsia="zh-CN"/>
              </w:rPr>
              <w:t>）。</w:t>
            </w:r>
          </w:p>
          <w:p>
            <w:pPr>
              <w:spacing w:line="360" w:lineRule="auto"/>
              <w:ind w:firstLine="420" w:firstLineChars="200"/>
              <w:jc w:val="left"/>
              <w:rPr>
                <w:rFonts w:hint="default" w:ascii="Times New Roman" w:hAnsi="Times New Roman" w:eastAsia="宋体" w:cs="Times New Roman"/>
                <w:sz w:val="21"/>
                <w:szCs w:val="21"/>
                <w:highlight w:val="none"/>
              </w:rPr>
            </w:pPr>
            <w:r>
              <w:rPr>
                <w:rFonts w:hint="eastAsia" w:ascii="Times New Roman" w:hAnsi="Times New Roman" w:eastAsia="宋体" w:cs="Times New Roman"/>
                <w:color w:val="auto"/>
                <w:sz w:val="21"/>
                <w:szCs w:val="21"/>
                <w:highlight w:val="none"/>
                <w:lang w:val="en-US" w:eastAsia="zh-CN"/>
              </w:rPr>
              <w:t>本项目加油站已建成，正常运营。加油站现状监测的三次油气回收的监测</w:t>
            </w:r>
            <w:r>
              <w:rPr>
                <w:rFonts w:hint="eastAsia" w:ascii="Times New Roman" w:hAnsi="Times New Roman" w:eastAsia="宋体" w:cs="Times New Roman"/>
                <w:sz w:val="21"/>
                <w:szCs w:val="21"/>
                <w:highlight w:val="none"/>
                <w:lang w:val="en-US" w:eastAsia="zh-CN"/>
              </w:rPr>
              <w:t>数据受监测时的环境条件（温度、湿度、大气压等）及监测人员操作的影响较大，数据不稳定性较强，只能用作判断油气浓度是否达标（≤</w:t>
            </w:r>
            <w:r>
              <w:rPr>
                <w:rFonts w:hint="default" w:ascii="Times New Roman" w:hAnsi="Times New Roman" w:eastAsia="宋体" w:cs="Times New Roman"/>
                <w:sz w:val="21"/>
                <w:szCs w:val="21"/>
                <w:highlight w:val="none"/>
                <w:lang w:val="en-US" w:eastAsia="zh-CN"/>
              </w:rPr>
              <w:t>25g/m</w:t>
            </w:r>
            <w:r>
              <w:rPr>
                <w:rFonts w:hint="default" w:ascii="Times New Roman" w:hAnsi="Times New Roman" w:eastAsia="宋体" w:cs="Times New Roman"/>
                <w:sz w:val="21"/>
                <w:szCs w:val="21"/>
                <w:highlight w:val="none"/>
                <w:vertAlign w:val="superscript"/>
                <w:lang w:val="en-US" w:eastAsia="zh-CN"/>
              </w:rPr>
              <w:t>3</w:t>
            </w:r>
            <w:r>
              <w:rPr>
                <w:rFonts w:hint="eastAsia" w:ascii="Times New Roman" w:hAnsi="Times New Roman" w:eastAsia="宋体" w:cs="Times New Roman"/>
                <w:sz w:val="21"/>
                <w:szCs w:val="21"/>
                <w:highlight w:val="none"/>
                <w:lang w:val="en-US" w:eastAsia="zh-CN"/>
              </w:rPr>
              <w:t>），若按照现状监测核算出污染物排放量，核算出的数据波动性极大，没有规律性，且核算的仅为储油时的污染物排放量。因此，本项目油气挥发量参照《中国加油站</w:t>
            </w:r>
            <w:r>
              <w:rPr>
                <w:rFonts w:hint="default" w:ascii="Times New Roman" w:hAnsi="Times New Roman" w:eastAsia="宋体" w:cs="Times New Roman"/>
                <w:sz w:val="21"/>
                <w:szCs w:val="21"/>
                <w:highlight w:val="none"/>
                <w:lang w:val="en-US" w:eastAsia="zh-CN"/>
              </w:rPr>
              <w:t>VOC</w:t>
            </w:r>
            <w:r>
              <w:rPr>
                <w:rFonts w:hint="eastAsia" w:ascii="Times New Roman" w:hAnsi="Times New Roman" w:eastAsia="宋体" w:cs="Times New Roman"/>
                <w:sz w:val="21"/>
                <w:szCs w:val="21"/>
                <w:highlight w:val="none"/>
                <w:lang w:val="en-US" w:eastAsia="zh-CN"/>
              </w:rPr>
              <w:t>排放污染现状及控制》（沈旻嘉，</w:t>
            </w:r>
            <w:r>
              <w:rPr>
                <w:rFonts w:hint="default" w:ascii="Times New Roman" w:hAnsi="Times New Roman" w:eastAsia="宋体" w:cs="Times New Roman"/>
                <w:sz w:val="21"/>
                <w:szCs w:val="21"/>
                <w:highlight w:val="none"/>
                <w:lang w:val="en-US" w:eastAsia="zh-CN"/>
              </w:rPr>
              <w:t>2006</w:t>
            </w:r>
            <w:r>
              <w:rPr>
                <w:rFonts w:hint="eastAsia" w:ascii="Times New Roman" w:hAnsi="Times New Roman" w:eastAsia="宋体" w:cs="Times New Roman"/>
                <w:sz w:val="21"/>
                <w:szCs w:val="21"/>
                <w:highlight w:val="none"/>
                <w:lang w:val="en-US" w:eastAsia="zh-CN"/>
              </w:rPr>
              <w:t>年</w:t>
            </w:r>
            <w:r>
              <w:rPr>
                <w:rFonts w:hint="default" w:ascii="Times New Roman" w:hAnsi="Times New Roman" w:eastAsia="宋体" w:cs="Times New Roman"/>
                <w:sz w:val="21"/>
                <w:szCs w:val="21"/>
                <w:highlight w:val="none"/>
                <w:lang w:val="en-US" w:eastAsia="zh-CN"/>
              </w:rPr>
              <w:t>8</w:t>
            </w:r>
            <w:r>
              <w:rPr>
                <w:rFonts w:hint="eastAsia" w:ascii="Times New Roman" w:hAnsi="Times New Roman" w:eastAsia="宋体" w:cs="Times New Roman"/>
                <w:sz w:val="21"/>
                <w:szCs w:val="21"/>
                <w:highlight w:val="none"/>
                <w:lang w:val="en-US" w:eastAsia="zh-CN"/>
              </w:rPr>
              <w:t>月）中排放因子计算。</w:t>
            </w:r>
          </w:p>
          <w:p>
            <w:pPr>
              <w:spacing w:line="360" w:lineRule="auto"/>
              <w:ind w:firstLine="420" w:firstLineChars="200"/>
              <w:jc w:val="left"/>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本项目运行期非甲烷总烃类气体产生总量见下表。</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bCs/>
                <w:sz w:val="21"/>
                <w:szCs w:val="21"/>
                <w:highlight w:val="none"/>
                <w:lang w:val="en-US" w:eastAsia="zh-CN"/>
              </w:rPr>
              <w:t>表4-1烃类气体排放指标表</w:t>
            </w:r>
          </w:p>
          <w:tbl>
            <w:tblPr>
              <w:tblStyle w:val="25"/>
              <w:tblW w:w="84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2811"/>
              <w:gridCol w:w="2812"/>
              <w:gridCol w:w="2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11" w:type="dxa"/>
                  <w:noWrap w:val="0"/>
                  <w:vAlign w:val="center"/>
                </w:tcPr>
                <w:p>
                  <w:pPr>
                    <w:spacing w:line="240" w:lineRule="auto"/>
                    <w:jc w:val="center"/>
                    <w:rPr>
                      <w:rFonts w:hint="default" w:ascii="Times New Roman" w:hAnsi="Times New Roman" w:eastAsia="宋体" w:cs="Times New Roman"/>
                      <w:b/>
                      <w:bCs/>
                      <w:sz w:val="21"/>
                      <w:szCs w:val="21"/>
                      <w:highlight w:val="none"/>
                      <w:lang w:val="en-US" w:eastAsia="zh-CN"/>
                    </w:rPr>
                  </w:pPr>
                  <w:r>
                    <w:rPr>
                      <w:rFonts w:hint="eastAsia" w:ascii="Times New Roman" w:hAnsi="Times New Roman" w:eastAsia="宋体" w:cs="Times New Roman"/>
                      <w:b/>
                      <w:bCs/>
                      <w:sz w:val="21"/>
                      <w:szCs w:val="21"/>
                      <w:highlight w:val="none"/>
                      <w:lang w:val="en-US" w:eastAsia="zh-CN"/>
                    </w:rPr>
                    <w:t>燃油种类</w:t>
                  </w:r>
                </w:p>
              </w:tc>
              <w:tc>
                <w:tcPr>
                  <w:tcW w:w="2812" w:type="dxa"/>
                  <w:noWrap w:val="0"/>
                  <w:vAlign w:val="center"/>
                </w:tcPr>
                <w:p>
                  <w:pPr>
                    <w:spacing w:line="240" w:lineRule="auto"/>
                    <w:ind w:firstLine="422" w:firstLineChars="200"/>
                    <w:jc w:val="center"/>
                    <w:rPr>
                      <w:rFonts w:hint="default" w:ascii="Times New Roman" w:hAnsi="Times New Roman" w:eastAsia="宋体" w:cs="Times New Roman"/>
                      <w:b/>
                      <w:bCs/>
                      <w:sz w:val="21"/>
                      <w:szCs w:val="21"/>
                      <w:highlight w:val="none"/>
                      <w:lang w:val="en-US" w:eastAsia="zh-CN"/>
                    </w:rPr>
                  </w:pPr>
                  <w:r>
                    <w:rPr>
                      <w:rFonts w:hint="eastAsia" w:ascii="Times New Roman" w:hAnsi="Times New Roman" w:eastAsia="宋体" w:cs="Times New Roman"/>
                      <w:b/>
                      <w:bCs/>
                      <w:sz w:val="21"/>
                      <w:szCs w:val="21"/>
                      <w:highlight w:val="none"/>
                      <w:lang w:val="en-US" w:eastAsia="zh-CN"/>
                    </w:rPr>
                    <w:t>活动过程</w:t>
                  </w:r>
                </w:p>
              </w:tc>
              <w:tc>
                <w:tcPr>
                  <w:tcW w:w="2812" w:type="dxa"/>
                  <w:noWrap w:val="0"/>
                  <w:vAlign w:val="center"/>
                </w:tcPr>
                <w:p>
                  <w:pPr>
                    <w:spacing w:line="240" w:lineRule="auto"/>
                    <w:ind w:firstLine="422" w:firstLineChars="200"/>
                    <w:jc w:val="center"/>
                    <w:rPr>
                      <w:rFonts w:hint="default" w:ascii="Times New Roman" w:hAnsi="Times New Roman" w:eastAsia="宋体" w:cs="Times New Roman"/>
                      <w:b/>
                      <w:bCs/>
                      <w:sz w:val="21"/>
                      <w:szCs w:val="21"/>
                      <w:highlight w:val="none"/>
                      <w:lang w:val="en-US" w:eastAsia="zh-CN"/>
                    </w:rPr>
                  </w:pPr>
                  <w:r>
                    <w:rPr>
                      <w:rFonts w:hint="eastAsia" w:ascii="Times New Roman" w:hAnsi="Times New Roman" w:eastAsia="宋体" w:cs="Times New Roman"/>
                      <w:b/>
                      <w:bCs/>
                      <w:sz w:val="21"/>
                      <w:szCs w:val="21"/>
                      <w:highlight w:val="none"/>
                      <w:lang w:val="en-US" w:eastAsia="zh-CN"/>
                    </w:rPr>
                    <w:t>排放因子（</w:t>
                  </w:r>
                  <w:r>
                    <w:rPr>
                      <w:rFonts w:hint="default" w:ascii="Times New Roman" w:hAnsi="Times New Roman" w:eastAsia="宋体" w:cs="Times New Roman"/>
                      <w:b/>
                      <w:bCs/>
                      <w:sz w:val="21"/>
                      <w:szCs w:val="21"/>
                      <w:highlight w:val="none"/>
                      <w:lang w:val="en-US" w:eastAsia="zh-CN"/>
                    </w:rPr>
                    <w:t>kg/t</w:t>
                  </w:r>
                  <w:r>
                    <w:rPr>
                      <w:rFonts w:hint="eastAsia" w:ascii="Times New Roman" w:hAnsi="Times New Roman" w:eastAsia="宋体" w:cs="Times New Roman"/>
                      <w:b/>
                      <w:bCs/>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11" w:type="dxa"/>
                  <w:vMerge w:val="restart"/>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汽油设施</w:t>
                  </w: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储油罐小呼吸损失</w:t>
                  </w: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11" w:type="dxa"/>
                  <w:vMerge w:val="continue"/>
                  <w:noWrap w:val="0"/>
                  <w:vAlign w:val="center"/>
                </w:tcPr>
                <w:p>
                  <w:pPr>
                    <w:spacing w:line="240" w:lineRule="auto"/>
                    <w:ind w:firstLine="420" w:firstLineChars="200"/>
                    <w:jc w:val="center"/>
                    <w:rPr>
                      <w:rFonts w:hint="default" w:ascii="Times New Roman" w:hAnsi="Times New Roman" w:eastAsia="宋体" w:cs="Times New Roman"/>
                      <w:sz w:val="21"/>
                      <w:szCs w:val="21"/>
                      <w:highlight w:val="none"/>
                      <w:lang w:val="en-US" w:eastAsia="zh-CN"/>
                    </w:rPr>
                  </w:pP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加油过程的挥发排放</w:t>
                  </w: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11" w:type="dxa"/>
                  <w:vMerge w:val="continue"/>
                  <w:noWrap w:val="0"/>
                  <w:vAlign w:val="center"/>
                </w:tcPr>
                <w:p>
                  <w:pPr>
                    <w:spacing w:line="240" w:lineRule="auto"/>
                    <w:ind w:firstLine="420" w:firstLineChars="200"/>
                    <w:jc w:val="center"/>
                    <w:rPr>
                      <w:rFonts w:hint="default" w:ascii="Times New Roman" w:hAnsi="Times New Roman" w:eastAsia="宋体" w:cs="Times New Roman"/>
                      <w:sz w:val="21"/>
                      <w:szCs w:val="21"/>
                      <w:highlight w:val="none"/>
                      <w:lang w:val="en-US" w:eastAsia="zh-CN"/>
                    </w:rPr>
                  </w:pP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卸油过程的损失</w:t>
                  </w: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11" w:type="dxa"/>
                  <w:vMerge w:val="continue"/>
                  <w:noWrap w:val="0"/>
                  <w:vAlign w:val="center"/>
                </w:tcPr>
                <w:p>
                  <w:pPr>
                    <w:spacing w:line="240" w:lineRule="auto"/>
                    <w:ind w:firstLine="420" w:firstLineChars="200"/>
                    <w:jc w:val="center"/>
                    <w:rPr>
                      <w:rFonts w:hint="default" w:ascii="Times New Roman" w:hAnsi="Times New Roman" w:eastAsia="宋体" w:cs="Times New Roman"/>
                      <w:sz w:val="21"/>
                      <w:szCs w:val="21"/>
                      <w:highlight w:val="none"/>
                      <w:lang w:val="en-US" w:eastAsia="zh-CN"/>
                    </w:rPr>
                  </w:pP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总计</w:t>
                  </w: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11" w:type="dxa"/>
                  <w:vMerge w:val="restart"/>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柴油设施</w:t>
                  </w: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储油罐小呼吸损失</w:t>
                  </w: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11" w:type="dxa"/>
                  <w:vMerge w:val="continue"/>
                  <w:noWrap w:val="0"/>
                  <w:vAlign w:val="center"/>
                </w:tcPr>
                <w:p>
                  <w:pPr>
                    <w:spacing w:line="240" w:lineRule="auto"/>
                    <w:ind w:firstLine="420" w:firstLineChars="200"/>
                    <w:jc w:val="center"/>
                    <w:rPr>
                      <w:rFonts w:hint="default" w:ascii="Times New Roman" w:hAnsi="Times New Roman" w:eastAsia="宋体" w:cs="Times New Roman"/>
                      <w:sz w:val="21"/>
                      <w:szCs w:val="21"/>
                      <w:highlight w:val="none"/>
                      <w:lang w:val="en-US" w:eastAsia="zh-CN"/>
                    </w:rPr>
                  </w:pP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加油过程的挥发排放</w:t>
                  </w: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11" w:type="dxa"/>
                  <w:vMerge w:val="continue"/>
                  <w:noWrap w:val="0"/>
                  <w:vAlign w:val="center"/>
                </w:tcPr>
                <w:p>
                  <w:pPr>
                    <w:spacing w:line="240" w:lineRule="auto"/>
                    <w:ind w:firstLine="420" w:firstLineChars="200"/>
                    <w:jc w:val="center"/>
                    <w:rPr>
                      <w:rFonts w:hint="default" w:ascii="Times New Roman" w:hAnsi="Times New Roman" w:eastAsia="宋体" w:cs="Times New Roman"/>
                      <w:sz w:val="21"/>
                      <w:szCs w:val="21"/>
                      <w:highlight w:val="none"/>
                      <w:lang w:val="en-US" w:eastAsia="zh-CN"/>
                    </w:rPr>
                  </w:pP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卸油过程的损失</w:t>
                  </w: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811" w:type="dxa"/>
                  <w:vMerge w:val="continue"/>
                  <w:noWrap w:val="0"/>
                  <w:vAlign w:val="center"/>
                </w:tcPr>
                <w:p>
                  <w:pPr>
                    <w:spacing w:line="240" w:lineRule="auto"/>
                    <w:ind w:firstLine="420" w:firstLineChars="200"/>
                    <w:jc w:val="center"/>
                    <w:rPr>
                      <w:rFonts w:hint="default" w:ascii="Times New Roman" w:hAnsi="Times New Roman" w:eastAsia="宋体" w:cs="Times New Roman"/>
                      <w:sz w:val="21"/>
                      <w:szCs w:val="21"/>
                      <w:highlight w:val="none"/>
                      <w:lang w:val="en-US" w:eastAsia="zh-CN"/>
                    </w:rPr>
                  </w:pP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总计</w:t>
                  </w:r>
                </w:p>
              </w:tc>
              <w:tc>
                <w:tcPr>
                  <w:tcW w:w="2812" w:type="dxa"/>
                  <w:noWrap w:val="0"/>
                  <w:vAlign w:val="center"/>
                </w:tcPr>
                <w:p>
                  <w:pPr>
                    <w:spacing w:line="240" w:lineRule="auto"/>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435" w:type="dxa"/>
                  <w:gridSpan w:val="3"/>
                  <w:noWrap w:val="0"/>
                  <w:vAlign w:val="center"/>
                </w:tcPr>
                <w:p>
                  <w:pPr>
                    <w:spacing w:line="240" w:lineRule="auto"/>
                    <w:ind w:left="420" w:hanging="420" w:hangingChars="200"/>
                    <w:jc w:val="left"/>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注：参考《中国加油站</w:t>
                  </w:r>
                  <w:r>
                    <w:rPr>
                      <w:rFonts w:hint="default" w:ascii="Times New Roman" w:hAnsi="Times New Roman" w:eastAsia="宋体" w:cs="Times New Roman"/>
                      <w:sz w:val="21"/>
                      <w:szCs w:val="21"/>
                      <w:highlight w:val="none"/>
                      <w:lang w:val="en-US" w:eastAsia="zh-CN"/>
                    </w:rPr>
                    <w:t>VOC</w:t>
                  </w:r>
                  <w:r>
                    <w:rPr>
                      <w:rFonts w:hint="eastAsia" w:ascii="Times New Roman" w:hAnsi="Times New Roman" w:eastAsia="宋体" w:cs="Times New Roman"/>
                      <w:sz w:val="21"/>
                      <w:szCs w:val="21"/>
                      <w:highlight w:val="none"/>
                      <w:lang w:val="en-US" w:eastAsia="zh-CN"/>
                    </w:rPr>
                    <w:t>排放污染现状及控制》（沈旻嘉，</w:t>
                  </w:r>
                  <w:r>
                    <w:rPr>
                      <w:rFonts w:hint="default" w:ascii="Times New Roman" w:hAnsi="Times New Roman" w:eastAsia="宋体" w:cs="Times New Roman"/>
                      <w:sz w:val="21"/>
                      <w:szCs w:val="21"/>
                      <w:highlight w:val="none"/>
                      <w:lang w:val="en-US" w:eastAsia="zh-CN"/>
                    </w:rPr>
                    <w:t>2006</w:t>
                  </w:r>
                  <w:r>
                    <w:rPr>
                      <w:rFonts w:hint="eastAsia" w:ascii="Times New Roman" w:hAnsi="Times New Roman" w:eastAsia="宋体" w:cs="Times New Roman"/>
                      <w:sz w:val="21"/>
                      <w:szCs w:val="21"/>
                      <w:highlight w:val="none"/>
                      <w:lang w:val="en-US" w:eastAsia="zh-CN"/>
                    </w:rPr>
                    <w:t>年</w:t>
                  </w:r>
                  <w:r>
                    <w:rPr>
                      <w:rFonts w:hint="default" w:ascii="Times New Roman" w:hAnsi="Times New Roman" w:eastAsia="宋体" w:cs="Times New Roman"/>
                      <w:sz w:val="21"/>
                      <w:szCs w:val="21"/>
                      <w:highlight w:val="none"/>
                      <w:lang w:val="en-US" w:eastAsia="zh-CN"/>
                    </w:rPr>
                    <w:t>8</w:t>
                  </w:r>
                  <w:r>
                    <w:rPr>
                      <w:rFonts w:hint="eastAsia" w:ascii="Times New Roman" w:hAnsi="Times New Roman" w:eastAsia="宋体" w:cs="Times New Roman"/>
                      <w:sz w:val="21"/>
                      <w:szCs w:val="21"/>
                      <w:highlight w:val="none"/>
                      <w:lang w:val="en-US" w:eastAsia="zh-CN"/>
                    </w:rPr>
                    <w:t>月），除北京外其他省份</w:t>
                  </w:r>
                  <w:r>
                    <w:rPr>
                      <w:rFonts w:hint="default" w:ascii="Times New Roman" w:hAnsi="Times New Roman" w:eastAsia="宋体" w:cs="Times New Roman"/>
                      <w:sz w:val="21"/>
                      <w:szCs w:val="21"/>
                      <w:highlight w:val="none"/>
                      <w:lang w:val="en-US" w:eastAsia="zh-CN"/>
                    </w:rPr>
                    <w:t>VOC</w:t>
                  </w:r>
                  <w:r>
                    <w:rPr>
                      <w:rFonts w:hint="eastAsia" w:ascii="Times New Roman" w:hAnsi="Times New Roman" w:eastAsia="宋体" w:cs="Times New Roman"/>
                      <w:sz w:val="21"/>
                      <w:szCs w:val="21"/>
                      <w:highlight w:val="none"/>
                      <w:lang w:val="en-US" w:eastAsia="zh-CN"/>
                    </w:rPr>
                    <w:t>排放因子。</w:t>
                  </w:r>
                </w:p>
              </w:tc>
            </w:tr>
          </w:tbl>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b/>
                <w:bCs/>
                <w:sz w:val="21"/>
                <w:szCs w:val="21"/>
                <w:highlight w:val="none"/>
                <w:lang w:val="en-US" w:eastAsia="zh-CN"/>
              </w:rPr>
              <w:t>表4-2本项目废气产生及排放表</w:t>
            </w:r>
          </w:p>
          <w:tbl>
            <w:tblPr>
              <w:tblStyle w:val="25"/>
              <w:tblW w:w="84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751"/>
              <w:gridCol w:w="1087"/>
              <w:gridCol w:w="1169"/>
              <w:gridCol w:w="1689"/>
              <w:gridCol w:w="1405"/>
              <w:gridCol w:w="1063"/>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51" w:type="dxa"/>
                  <w:noWrap w:val="0"/>
                  <w:vAlign w:val="center"/>
                </w:tcPr>
                <w:p>
                  <w:pPr>
                    <w:spacing w:line="360" w:lineRule="auto"/>
                    <w:jc w:val="center"/>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项目</w:t>
                  </w:r>
                </w:p>
              </w:tc>
              <w:tc>
                <w:tcPr>
                  <w:tcW w:w="2256" w:type="dxa"/>
                  <w:gridSpan w:val="2"/>
                  <w:noWrap w:val="0"/>
                  <w:vAlign w:val="center"/>
                </w:tcPr>
                <w:p>
                  <w:pPr>
                    <w:spacing w:line="360" w:lineRule="auto"/>
                    <w:jc w:val="center"/>
                    <w:rPr>
                      <w:rFonts w:hint="default" w:ascii="Times New Roman" w:hAnsi="Times New Roman" w:cs="Times New Roman"/>
                      <w:sz w:val="21"/>
                      <w:szCs w:val="21"/>
                      <w:highlight w:val="none"/>
                      <w:vertAlign w:val="baseline"/>
                    </w:rPr>
                  </w:pPr>
                  <w:r>
                    <w:rPr>
                      <w:rFonts w:hint="eastAsia" w:ascii="宋体" w:hAnsi="宋体" w:eastAsia="宋体" w:cs="宋体"/>
                      <w:b/>
                      <w:bCs/>
                      <w:color w:val="000000"/>
                      <w:kern w:val="0"/>
                      <w:sz w:val="21"/>
                      <w:szCs w:val="21"/>
                      <w:lang w:val="en-US" w:eastAsia="zh-CN" w:bidi="ar"/>
                    </w:rPr>
                    <w:t>排放系数（</w:t>
                  </w:r>
                  <w:r>
                    <w:rPr>
                      <w:rFonts w:hint="default" w:ascii="Times New Roman" w:hAnsi="Times New Roman" w:eastAsia="宋体" w:cs="Times New Roman"/>
                      <w:b/>
                      <w:bCs/>
                      <w:color w:val="000000"/>
                      <w:kern w:val="0"/>
                      <w:sz w:val="21"/>
                      <w:szCs w:val="21"/>
                      <w:lang w:val="en-US" w:eastAsia="zh-CN" w:bidi="ar"/>
                    </w:rPr>
                    <w:t>kg/t</w:t>
                  </w:r>
                  <w:r>
                    <w:rPr>
                      <w:rFonts w:hint="eastAsia" w:ascii="宋体" w:hAnsi="宋体" w:eastAsia="宋体" w:cs="宋体"/>
                      <w:b/>
                      <w:bCs/>
                      <w:color w:val="000000"/>
                      <w:kern w:val="0"/>
                      <w:sz w:val="21"/>
                      <w:szCs w:val="21"/>
                      <w:lang w:val="en-US" w:eastAsia="zh-CN" w:bidi="ar"/>
                    </w:rPr>
                    <w:t>）</w:t>
                  </w:r>
                </w:p>
              </w:tc>
              <w:tc>
                <w:tcPr>
                  <w:tcW w:w="1689"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eastAsia" w:ascii="宋体" w:hAnsi="宋体" w:eastAsia="宋体" w:cs="宋体"/>
                      <w:b/>
                      <w:bCs/>
                      <w:color w:val="000000"/>
                      <w:kern w:val="0"/>
                      <w:sz w:val="21"/>
                      <w:szCs w:val="21"/>
                      <w:lang w:val="en-US" w:eastAsia="zh-CN" w:bidi="ar"/>
                    </w:rPr>
                    <w:t>年销售量（</w:t>
                  </w:r>
                  <w:r>
                    <w:rPr>
                      <w:rFonts w:hint="default" w:ascii="Times New Roman" w:hAnsi="Times New Roman" w:eastAsia="宋体" w:cs="Times New Roman"/>
                      <w:b/>
                      <w:bCs/>
                      <w:color w:val="000000"/>
                      <w:kern w:val="0"/>
                      <w:sz w:val="21"/>
                      <w:szCs w:val="21"/>
                      <w:lang w:val="en-US" w:eastAsia="zh-CN" w:bidi="ar"/>
                    </w:rPr>
                    <w:t>t/a</w:t>
                  </w:r>
                  <w:r>
                    <w:rPr>
                      <w:rFonts w:hint="eastAsia" w:ascii="宋体" w:hAnsi="宋体" w:eastAsia="宋体" w:cs="宋体"/>
                      <w:b/>
                      <w:bCs/>
                      <w:color w:val="000000"/>
                      <w:kern w:val="0"/>
                      <w:sz w:val="21"/>
                      <w:szCs w:val="21"/>
                      <w:lang w:val="en-US" w:eastAsia="zh-CN" w:bidi="ar"/>
                    </w:rPr>
                    <w:t>）</w:t>
                  </w:r>
                </w:p>
              </w:tc>
              <w:tc>
                <w:tcPr>
                  <w:tcW w:w="1405" w:type="dxa"/>
                  <w:noWrap w:val="0"/>
                  <w:vAlign w:val="center"/>
                </w:tcPr>
                <w:p>
                  <w:pPr>
                    <w:keepNext w:val="0"/>
                    <w:keepLines w:val="0"/>
                    <w:widowControl/>
                    <w:suppressLineNumbers w:val="0"/>
                    <w:jc w:val="center"/>
                    <w:rPr>
                      <w:sz w:val="21"/>
                      <w:szCs w:val="21"/>
                    </w:rPr>
                  </w:pPr>
                  <w:r>
                    <w:rPr>
                      <w:rFonts w:hint="eastAsia" w:ascii="宋体" w:hAnsi="宋体" w:eastAsia="宋体" w:cs="宋体"/>
                      <w:b/>
                      <w:bCs/>
                      <w:color w:val="000000"/>
                      <w:kern w:val="0"/>
                      <w:sz w:val="21"/>
                      <w:szCs w:val="21"/>
                      <w:lang w:val="en-US" w:eastAsia="zh-CN" w:bidi="ar"/>
                    </w:rPr>
                    <w:t>气体产生量</w:t>
                  </w:r>
                </w:p>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eastAsia" w:ascii="宋体" w:hAnsi="宋体" w:eastAsia="宋体" w:cs="宋体"/>
                      <w:b/>
                      <w:bCs/>
                      <w:color w:val="000000"/>
                      <w:kern w:val="0"/>
                      <w:sz w:val="21"/>
                      <w:szCs w:val="21"/>
                      <w:lang w:val="en-US" w:eastAsia="zh-CN" w:bidi="ar"/>
                    </w:rPr>
                    <w:t>（</w:t>
                  </w:r>
                  <w:r>
                    <w:rPr>
                      <w:rFonts w:hint="default" w:ascii="Times New Roman" w:hAnsi="Times New Roman" w:eastAsia="宋体" w:cs="Times New Roman"/>
                      <w:b/>
                      <w:bCs/>
                      <w:color w:val="000000"/>
                      <w:kern w:val="0"/>
                      <w:sz w:val="21"/>
                      <w:szCs w:val="21"/>
                      <w:lang w:val="en-US" w:eastAsia="zh-CN" w:bidi="ar"/>
                    </w:rPr>
                    <w:t>t/a</w:t>
                  </w:r>
                  <w:r>
                    <w:rPr>
                      <w:rFonts w:hint="eastAsia" w:ascii="宋体" w:hAnsi="宋体" w:eastAsia="宋体" w:cs="宋体"/>
                      <w:b/>
                      <w:bCs/>
                      <w:color w:val="000000"/>
                      <w:kern w:val="0"/>
                      <w:sz w:val="21"/>
                      <w:szCs w:val="21"/>
                      <w:lang w:val="en-US" w:eastAsia="zh-CN" w:bidi="ar"/>
                    </w:rPr>
                    <w:t>）</w:t>
                  </w:r>
                </w:p>
              </w:tc>
              <w:tc>
                <w:tcPr>
                  <w:tcW w:w="1063"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eastAsia" w:ascii="宋体" w:hAnsi="宋体" w:eastAsia="宋体" w:cs="宋体"/>
                      <w:b/>
                      <w:bCs/>
                      <w:color w:val="000000"/>
                      <w:kern w:val="0"/>
                      <w:sz w:val="21"/>
                      <w:szCs w:val="21"/>
                      <w:lang w:val="en-US" w:eastAsia="zh-CN" w:bidi="ar"/>
                    </w:rPr>
                    <w:t>回收率</w:t>
                  </w:r>
                </w:p>
              </w:tc>
              <w:tc>
                <w:tcPr>
                  <w:tcW w:w="1276"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eastAsia" w:ascii="宋体" w:hAnsi="宋体" w:eastAsia="宋体" w:cs="宋体"/>
                      <w:b/>
                      <w:bCs/>
                      <w:color w:val="000000"/>
                      <w:kern w:val="0"/>
                      <w:sz w:val="21"/>
                      <w:szCs w:val="21"/>
                      <w:lang w:val="en-US" w:eastAsia="zh-CN" w:bidi="ar"/>
                    </w:rPr>
                    <w:t>气体排放量（</w:t>
                  </w:r>
                  <w:r>
                    <w:rPr>
                      <w:rFonts w:hint="default" w:ascii="Times New Roman" w:hAnsi="Times New Roman" w:eastAsia="宋体" w:cs="Times New Roman"/>
                      <w:b/>
                      <w:bCs/>
                      <w:color w:val="000000"/>
                      <w:kern w:val="0"/>
                      <w:sz w:val="21"/>
                      <w:szCs w:val="21"/>
                      <w:lang w:val="en-US" w:eastAsia="zh-CN" w:bidi="ar"/>
                    </w:rPr>
                    <w:t>t/a</w:t>
                  </w:r>
                  <w:r>
                    <w:rPr>
                      <w:rFonts w:hint="eastAsia" w:ascii="宋体" w:hAnsi="宋体" w:eastAsia="宋体" w:cs="宋体"/>
                      <w:b/>
                      <w:bCs/>
                      <w:color w:val="000000"/>
                      <w:kern w:val="0"/>
                      <w:sz w:val="21"/>
                      <w:szCs w:val="21"/>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51" w:type="dxa"/>
                  <w:vMerge w:val="restart"/>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eastAsia" w:ascii="宋体" w:hAnsi="宋体" w:eastAsia="宋体" w:cs="宋体"/>
                      <w:color w:val="000000"/>
                      <w:kern w:val="0"/>
                      <w:sz w:val="21"/>
                      <w:szCs w:val="21"/>
                      <w:lang w:val="en-US" w:eastAsia="zh-CN" w:bidi="ar"/>
                    </w:rPr>
                    <w:t>卸油工序</w:t>
                  </w:r>
                </w:p>
              </w:tc>
              <w:tc>
                <w:tcPr>
                  <w:tcW w:w="1087"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eastAsia" w:ascii="宋体" w:hAnsi="宋体" w:eastAsia="宋体" w:cs="宋体"/>
                      <w:color w:val="000000"/>
                      <w:kern w:val="0"/>
                      <w:sz w:val="21"/>
                      <w:szCs w:val="21"/>
                      <w:lang w:val="en-US" w:eastAsia="zh-CN" w:bidi="ar"/>
                    </w:rPr>
                    <w:t>汽油</w:t>
                  </w:r>
                </w:p>
              </w:tc>
              <w:tc>
                <w:tcPr>
                  <w:tcW w:w="1169"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default" w:ascii="Times New Roman" w:hAnsi="Times New Roman" w:eastAsia="宋体" w:cs="Times New Roman"/>
                      <w:color w:val="000000"/>
                      <w:kern w:val="0"/>
                      <w:sz w:val="21"/>
                      <w:szCs w:val="21"/>
                      <w:lang w:val="en-US" w:eastAsia="zh-CN" w:bidi="ar"/>
                    </w:rPr>
                    <w:t>2.3</w:t>
                  </w:r>
                </w:p>
              </w:tc>
              <w:tc>
                <w:tcPr>
                  <w:tcW w:w="16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9700</w:t>
                  </w:r>
                </w:p>
              </w:tc>
              <w:tc>
                <w:tcPr>
                  <w:tcW w:w="14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22.31</w:t>
                  </w:r>
                </w:p>
              </w:tc>
              <w:tc>
                <w:tcPr>
                  <w:tcW w:w="1063"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default" w:ascii="Times New Roman" w:hAnsi="Times New Roman" w:eastAsia="宋体" w:cs="Times New Roman"/>
                      <w:color w:val="000000"/>
                      <w:kern w:val="0"/>
                      <w:sz w:val="21"/>
                      <w:szCs w:val="21"/>
                      <w:lang w:val="en-US" w:eastAsia="zh-CN" w:bidi="ar"/>
                    </w:rPr>
                    <w:t>95%</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51" w:type="dxa"/>
                  <w:vMerge w:val="continue"/>
                  <w:noWrap w:val="0"/>
                  <w:vAlign w:val="center"/>
                </w:tcPr>
                <w:p>
                  <w:pPr>
                    <w:spacing w:line="360" w:lineRule="auto"/>
                    <w:jc w:val="center"/>
                    <w:rPr>
                      <w:rFonts w:hint="default" w:ascii="Times New Roman" w:hAnsi="Times New Roman" w:cs="Times New Roman"/>
                      <w:sz w:val="21"/>
                      <w:szCs w:val="21"/>
                      <w:highlight w:val="none"/>
                      <w:vertAlign w:val="baseline"/>
                    </w:rPr>
                  </w:pPr>
                </w:p>
              </w:tc>
              <w:tc>
                <w:tcPr>
                  <w:tcW w:w="10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柴油</w:t>
                  </w:r>
                </w:p>
              </w:tc>
              <w:tc>
                <w:tcPr>
                  <w:tcW w:w="1169"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default" w:ascii="Times New Roman" w:hAnsi="Times New Roman" w:eastAsia="宋体" w:cs="Times New Roman"/>
                      <w:color w:val="000000"/>
                      <w:kern w:val="0"/>
                      <w:sz w:val="21"/>
                      <w:szCs w:val="21"/>
                      <w:lang w:val="en-US" w:eastAsia="zh-CN" w:bidi="ar"/>
                    </w:rPr>
                    <w:t>0.027</w:t>
                  </w:r>
                </w:p>
              </w:tc>
              <w:tc>
                <w:tcPr>
                  <w:tcW w:w="16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3600</w:t>
                  </w:r>
                </w:p>
              </w:tc>
              <w:tc>
                <w:tcPr>
                  <w:tcW w:w="14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0.097</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sz w:val="21"/>
                      <w:szCs w:val="21"/>
                      <w:highlight w:val="none"/>
                      <w:vertAlign w:val="baseline"/>
                      <w:lang w:val="en-US" w:eastAsia="zh-CN"/>
                    </w:rPr>
                    <w:t>0.097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51" w:type="dxa"/>
                  <w:vMerge w:val="restart"/>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eastAsia" w:ascii="宋体" w:hAnsi="宋体" w:eastAsia="宋体" w:cs="宋体"/>
                      <w:color w:val="000000"/>
                      <w:kern w:val="0"/>
                      <w:sz w:val="21"/>
                      <w:szCs w:val="21"/>
                      <w:lang w:val="en-US" w:eastAsia="zh-CN" w:bidi="ar"/>
                    </w:rPr>
                    <w:t>储油工序</w:t>
                  </w:r>
                </w:p>
              </w:tc>
              <w:tc>
                <w:tcPr>
                  <w:tcW w:w="1087"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eastAsia" w:ascii="宋体" w:hAnsi="宋体" w:eastAsia="宋体" w:cs="宋体"/>
                      <w:color w:val="000000"/>
                      <w:kern w:val="0"/>
                      <w:sz w:val="21"/>
                      <w:szCs w:val="21"/>
                      <w:lang w:val="en-US" w:eastAsia="zh-CN" w:bidi="ar"/>
                    </w:rPr>
                    <w:t>汽油</w:t>
                  </w:r>
                </w:p>
              </w:tc>
              <w:tc>
                <w:tcPr>
                  <w:tcW w:w="1169"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default" w:ascii="Times New Roman" w:hAnsi="Times New Roman" w:eastAsia="宋体" w:cs="Times New Roman"/>
                      <w:color w:val="000000"/>
                      <w:kern w:val="0"/>
                      <w:sz w:val="21"/>
                      <w:szCs w:val="21"/>
                      <w:lang w:val="en-US" w:eastAsia="zh-CN" w:bidi="ar"/>
                    </w:rPr>
                    <w:t>0.16</w:t>
                  </w:r>
                </w:p>
              </w:tc>
              <w:tc>
                <w:tcPr>
                  <w:tcW w:w="16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sz w:val="21"/>
                      <w:szCs w:val="21"/>
                      <w:highlight w:val="none"/>
                      <w:vertAlign w:val="baseline"/>
                      <w:lang w:val="en-US" w:eastAsia="zh-CN"/>
                    </w:rPr>
                    <w:t>9700</w:t>
                  </w:r>
                </w:p>
              </w:tc>
              <w:tc>
                <w:tcPr>
                  <w:tcW w:w="14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1.552</w:t>
                  </w:r>
                </w:p>
              </w:tc>
              <w:tc>
                <w:tcPr>
                  <w:tcW w:w="1063"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default" w:ascii="Times New Roman" w:hAnsi="Times New Roman" w:eastAsia="宋体" w:cs="Times New Roman"/>
                      <w:color w:val="000000"/>
                      <w:kern w:val="0"/>
                      <w:sz w:val="21"/>
                      <w:szCs w:val="21"/>
                      <w:lang w:val="en-US" w:eastAsia="zh-CN" w:bidi="ar"/>
                    </w:rPr>
                    <w:t>93%</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51" w:type="dxa"/>
                  <w:vMerge w:val="continue"/>
                  <w:noWrap w:val="0"/>
                  <w:vAlign w:val="center"/>
                </w:tcPr>
                <w:p>
                  <w:pPr>
                    <w:spacing w:line="360" w:lineRule="auto"/>
                    <w:jc w:val="center"/>
                    <w:rPr>
                      <w:rFonts w:hint="default" w:ascii="Times New Roman" w:hAnsi="Times New Roman" w:cs="Times New Roman"/>
                      <w:sz w:val="21"/>
                      <w:szCs w:val="21"/>
                      <w:highlight w:val="none"/>
                      <w:vertAlign w:val="baseline"/>
                    </w:rPr>
                  </w:pPr>
                </w:p>
              </w:tc>
              <w:tc>
                <w:tcPr>
                  <w:tcW w:w="10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sz w:val="21"/>
                      <w:szCs w:val="21"/>
                      <w:highlight w:val="none"/>
                      <w:vertAlign w:val="baseline"/>
                      <w:lang w:val="en-US" w:eastAsia="zh-CN"/>
                    </w:rPr>
                    <w:t>柴油</w:t>
                  </w:r>
                </w:p>
              </w:tc>
              <w:tc>
                <w:tcPr>
                  <w:tcW w:w="1169"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default" w:ascii="Times New Roman" w:hAnsi="Times New Roman" w:eastAsia="宋体" w:cs="Times New Roman"/>
                      <w:color w:val="000000"/>
                      <w:kern w:val="0"/>
                      <w:sz w:val="21"/>
                      <w:szCs w:val="21"/>
                      <w:lang w:val="en-US" w:eastAsia="zh-CN" w:bidi="ar"/>
                    </w:rPr>
                    <w:t>/</w:t>
                  </w:r>
                </w:p>
              </w:tc>
              <w:tc>
                <w:tcPr>
                  <w:tcW w:w="16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sz w:val="21"/>
                      <w:szCs w:val="21"/>
                      <w:highlight w:val="none"/>
                      <w:vertAlign w:val="baseline"/>
                      <w:lang w:val="en-US" w:eastAsia="zh-CN"/>
                    </w:rPr>
                    <w:t>3600</w:t>
                  </w:r>
                </w:p>
              </w:tc>
              <w:tc>
                <w:tcPr>
                  <w:tcW w:w="14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51" w:type="dxa"/>
                  <w:vMerge w:val="restart"/>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eastAsia" w:ascii="宋体" w:hAnsi="宋体" w:eastAsia="宋体" w:cs="宋体"/>
                      <w:color w:val="000000"/>
                      <w:kern w:val="0"/>
                      <w:sz w:val="21"/>
                      <w:szCs w:val="21"/>
                      <w:lang w:val="en-US" w:eastAsia="zh-CN" w:bidi="ar"/>
                    </w:rPr>
                    <w:t>加油工序</w:t>
                  </w:r>
                </w:p>
              </w:tc>
              <w:tc>
                <w:tcPr>
                  <w:tcW w:w="1087"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eastAsia" w:ascii="宋体" w:hAnsi="宋体" w:eastAsia="宋体" w:cs="宋体"/>
                      <w:color w:val="000000"/>
                      <w:kern w:val="0"/>
                      <w:sz w:val="21"/>
                      <w:szCs w:val="21"/>
                      <w:lang w:val="en-US" w:eastAsia="zh-CN" w:bidi="ar"/>
                    </w:rPr>
                    <w:t>汽油</w:t>
                  </w:r>
                </w:p>
              </w:tc>
              <w:tc>
                <w:tcPr>
                  <w:tcW w:w="1169"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default" w:ascii="Times New Roman" w:hAnsi="Times New Roman" w:eastAsia="宋体" w:cs="Times New Roman"/>
                      <w:color w:val="000000"/>
                      <w:kern w:val="0"/>
                      <w:sz w:val="21"/>
                      <w:szCs w:val="21"/>
                      <w:lang w:val="en-US" w:eastAsia="zh-CN" w:bidi="ar"/>
                    </w:rPr>
                    <w:t>2.49</w:t>
                  </w:r>
                </w:p>
              </w:tc>
              <w:tc>
                <w:tcPr>
                  <w:tcW w:w="16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sz w:val="21"/>
                      <w:szCs w:val="21"/>
                      <w:highlight w:val="none"/>
                      <w:vertAlign w:val="baseline"/>
                      <w:lang w:val="en-US" w:eastAsia="zh-CN"/>
                    </w:rPr>
                    <w:t>9700</w:t>
                  </w:r>
                </w:p>
              </w:tc>
              <w:tc>
                <w:tcPr>
                  <w:tcW w:w="14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24.153</w:t>
                  </w:r>
                </w:p>
              </w:tc>
              <w:tc>
                <w:tcPr>
                  <w:tcW w:w="1063"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sz w:val="21"/>
                      <w:szCs w:val="21"/>
                      <w:highlight w:val="none"/>
                      <w:vertAlign w:val="baseline"/>
                    </w:rPr>
                  </w:pPr>
                  <w:r>
                    <w:rPr>
                      <w:rFonts w:hint="default" w:ascii="Times New Roman" w:hAnsi="Times New Roman" w:eastAsia="宋体" w:cs="Times New Roman"/>
                      <w:color w:val="000000"/>
                      <w:kern w:val="0"/>
                      <w:sz w:val="21"/>
                      <w:szCs w:val="21"/>
                      <w:lang w:val="en-US" w:eastAsia="zh-CN" w:bidi="ar"/>
                    </w:rPr>
                    <w:t>95%</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1.21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51" w:type="dxa"/>
                  <w:vMerge w:val="continue"/>
                  <w:noWrap w:val="0"/>
                  <w:vAlign w:val="center"/>
                </w:tcPr>
                <w:p>
                  <w:pPr>
                    <w:spacing w:line="360" w:lineRule="auto"/>
                    <w:jc w:val="center"/>
                    <w:rPr>
                      <w:rFonts w:hint="default" w:ascii="Times New Roman" w:hAnsi="Times New Roman" w:cs="Times New Roman"/>
                      <w:sz w:val="21"/>
                      <w:szCs w:val="21"/>
                      <w:highlight w:val="none"/>
                      <w:vertAlign w:val="baseline"/>
                    </w:rPr>
                  </w:pPr>
                </w:p>
              </w:tc>
              <w:tc>
                <w:tcPr>
                  <w:tcW w:w="108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sz w:val="21"/>
                      <w:szCs w:val="21"/>
                      <w:highlight w:val="none"/>
                      <w:vertAlign w:val="baseline"/>
                      <w:lang w:val="en-US" w:eastAsia="zh-CN"/>
                    </w:rPr>
                    <w:t>柴油</w:t>
                  </w:r>
                </w:p>
              </w:tc>
              <w:tc>
                <w:tcPr>
                  <w:tcW w:w="1169"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default" w:ascii="Times New Roman" w:hAnsi="Times New Roman" w:eastAsia="宋体" w:cs="Times New Roman"/>
                      <w:color w:val="000000"/>
                      <w:kern w:val="0"/>
                      <w:sz w:val="21"/>
                      <w:szCs w:val="21"/>
                      <w:lang w:val="en-US" w:eastAsia="zh-CN" w:bidi="ar"/>
                    </w:rPr>
                    <w:t>0.048</w:t>
                  </w:r>
                </w:p>
              </w:tc>
              <w:tc>
                <w:tcPr>
                  <w:tcW w:w="16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sz w:val="21"/>
                      <w:szCs w:val="21"/>
                      <w:highlight w:val="none"/>
                      <w:vertAlign w:val="baseline"/>
                      <w:lang w:val="en-US" w:eastAsia="zh-CN"/>
                    </w:rPr>
                    <w:t>3600</w:t>
                  </w:r>
                </w:p>
              </w:tc>
              <w:tc>
                <w:tcPr>
                  <w:tcW w:w="14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0.173</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007" w:type="dxa"/>
                  <w:gridSpan w:val="3"/>
                  <w:vMerge w:val="restart"/>
                  <w:noWrap w:val="0"/>
                  <w:vAlign w:val="center"/>
                </w:tcPr>
                <w:p>
                  <w:pPr>
                    <w:spacing w:line="360" w:lineRule="auto"/>
                    <w:jc w:val="center"/>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小计</w:t>
                  </w:r>
                </w:p>
              </w:tc>
              <w:tc>
                <w:tcPr>
                  <w:tcW w:w="1689" w:type="dxa"/>
                  <w:noWrap w:val="0"/>
                  <w:vAlign w:val="center"/>
                </w:tcPr>
                <w:p>
                  <w:pPr>
                    <w:keepNext w:val="0"/>
                    <w:keepLines w:val="0"/>
                    <w:widowControl/>
                    <w:suppressLineNumbers w:val="0"/>
                    <w:jc w:val="center"/>
                    <w:rPr>
                      <w:rFonts w:hint="default" w:ascii="Times New Roman" w:hAnsi="Times New Roman" w:cs="Times New Roman"/>
                      <w:sz w:val="21"/>
                      <w:szCs w:val="21"/>
                      <w:highlight w:val="none"/>
                      <w:vertAlign w:val="baseline"/>
                    </w:rPr>
                  </w:pPr>
                  <w:r>
                    <w:rPr>
                      <w:rFonts w:hint="eastAsia" w:ascii="宋体" w:hAnsi="宋体" w:eastAsia="宋体" w:cs="宋体"/>
                      <w:color w:val="000000"/>
                      <w:kern w:val="0"/>
                      <w:sz w:val="21"/>
                      <w:szCs w:val="21"/>
                      <w:lang w:val="en-US" w:eastAsia="zh-CN" w:bidi="ar"/>
                    </w:rPr>
                    <w:t>汽油</w:t>
                  </w:r>
                </w:p>
              </w:tc>
              <w:tc>
                <w:tcPr>
                  <w:tcW w:w="14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48.015</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2.443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007" w:type="dxa"/>
                  <w:gridSpan w:val="3"/>
                  <w:vMerge w:val="continue"/>
                  <w:noWrap w:val="0"/>
                  <w:vAlign w:val="center"/>
                </w:tcPr>
                <w:p>
                  <w:pPr>
                    <w:spacing w:line="360" w:lineRule="auto"/>
                    <w:jc w:val="center"/>
                    <w:rPr>
                      <w:rFonts w:hint="default" w:ascii="Times New Roman" w:hAnsi="Times New Roman" w:cs="Times New Roman"/>
                      <w:sz w:val="21"/>
                      <w:szCs w:val="21"/>
                      <w:highlight w:val="none"/>
                      <w:vertAlign w:val="baseline"/>
                    </w:rPr>
                  </w:pPr>
                </w:p>
              </w:tc>
              <w:tc>
                <w:tcPr>
                  <w:tcW w:w="16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21"/>
                      <w:szCs w:val="21"/>
                      <w:highlight w:val="none"/>
                      <w:vertAlign w:val="baseline"/>
                    </w:rPr>
                  </w:pPr>
                  <w:r>
                    <w:rPr>
                      <w:rFonts w:hint="eastAsia" w:ascii="Times New Roman" w:hAnsi="Times New Roman" w:cs="Times New Roman"/>
                      <w:sz w:val="21"/>
                      <w:szCs w:val="21"/>
                      <w:highlight w:val="none"/>
                      <w:vertAlign w:val="baseline"/>
                      <w:lang w:val="en-US" w:eastAsia="zh-CN"/>
                    </w:rPr>
                    <w:t>柴油</w:t>
                  </w:r>
                </w:p>
              </w:tc>
              <w:tc>
                <w:tcPr>
                  <w:tcW w:w="14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0.27</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90" w:hRule="atLeast"/>
              </w:trPr>
              <w:tc>
                <w:tcPr>
                  <w:tcW w:w="3007" w:type="dxa"/>
                  <w:gridSpan w:val="3"/>
                  <w:vMerge w:val="continue"/>
                  <w:noWrap w:val="0"/>
                  <w:vAlign w:val="center"/>
                </w:tcPr>
                <w:p>
                  <w:pPr>
                    <w:spacing w:line="360" w:lineRule="auto"/>
                    <w:jc w:val="center"/>
                    <w:rPr>
                      <w:rFonts w:hint="default" w:ascii="Times New Roman" w:hAnsi="Times New Roman" w:cs="Times New Roman"/>
                      <w:sz w:val="21"/>
                      <w:szCs w:val="21"/>
                      <w:highlight w:val="none"/>
                      <w:vertAlign w:val="baseline"/>
                    </w:rPr>
                  </w:pPr>
                </w:p>
              </w:tc>
              <w:tc>
                <w:tcPr>
                  <w:tcW w:w="1689" w:type="dxa"/>
                  <w:noWrap w:val="0"/>
                  <w:vAlign w:val="center"/>
                </w:tcPr>
                <w:p>
                  <w:pPr>
                    <w:spacing w:line="360" w:lineRule="auto"/>
                    <w:jc w:val="center"/>
                    <w:rPr>
                      <w:rFonts w:hint="default" w:ascii="Times New Roman" w:hAnsi="Times New Roman" w:cs="Times New Roman"/>
                      <w:sz w:val="21"/>
                      <w:szCs w:val="21"/>
                      <w:highlight w:val="none"/>
                      <w:vertAlign w:val="baseline"/>
                    </w:rPr>
                  </w:pPr>
                  <w:r>
                    <w:rPr>
                      <w:rFonts w:hint="eastAsia" w:ascii="Times New Roman" w:hAnsi="Times New Roman" w:cs="Times New Roman"/>
                      <w:sz w:val="21"/>
                      <w:szCs w:val="21"/>
                      <w:highlight w:val="none"/>
                      <w:vertAlign w:val="baseline"/>
                      <w:lang w:val="en-US" w:eastAsia="zh-CN"/>
                    </w:rPr>
                    <w:t>/</w:t>
                  </w:r>
                </w:p>
              </w:tc>
              <w:tc>
                <w:tcPr>
                  <w:tcW w:w="140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48.285</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2.713</w:t>
                  </w:r>
                </w:p>
              </w:tc>
            </w:tr>
          </w:tbl>
          <w:p>
            <w:pPr>
              <w:spacing w:line="360" w:lineRule="auto"/>
              <w:ind w:firstLine="420" w:firstLineChars="20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②车辆汽车尾气</w:t>
            </w:r>
          </w:p>
          <w:p>
            <w:pPr>
              <w:spacing w:line="360" w:lineRule="auto"/>
              <w:ind w:firstLine="420" w:firstLineChars="20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车辆进出加油站时，怠速及慢速（≤5km/h）状态下汽车尾气排放量较大，主要包括排气管尾气、曲轴箱漏气、油箱和化油箱等燃料系统的泄漏等，排放主要污染物有CO、NO</w:t>
            </w:r>
            <w:r>
              <w:rPr>
                <w:rFonts w:hint="default" w:ascii="Times New Roman" w:hAnsi="Times New Roman" w:cs="Times New Roman"/>
                <w:sz w:val="21"/>
                <w:szCs w:val="21"/>
                <w:highlight w:val="none"/>
                <w:vertAlign w:val="subscript"/>
              </w:rPr>
              <w:t>x</w:t>
            </w:r>
            <w:r>
              <w:rPr>
                <w:rFonts w:hint="default" w:ascii="Times New Roman" w:hAnsi="Times New Roman" w:cs="Times New Roman"/>
                <w:sz w:val="21"/>
                <w:szCs w:val="21"/>
                <w:highlight w:val="none"/>
              </w:rPr>
              <w:t>和THC。由于车辆在加油时停留时间短，汽车尾气废气易于扩散且排放量相对较小，因此项目进出汽车尾气排放对周围环境影响较小。</w:t>
            </w:r>
          </w:p>
          <w:p>
            <w:pPr>
              <w:spacing w:line="360" w:lineRule="auto"/>
              <w:ind w:firstLine="420" w:firstLineChars="200"/>
              <w:textAlignment w:val="baseline"/>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（2）项目现状监测</w:t>
            </w:r>
          </w:p>
          <w:p>
            <w:pPr>
              <w:keepNext w:val="0"/>
              <w:keepLines w:val="0"/>
              <w:widowControl/>
              <w:suppressLineNumbers w:val="0"/>
              <w:ind w:firstLine="420" w:firstLineChars="200"/>
              <w:jc w:val="left"/>
              <w:rPr>
                <w:color w:val="auto"/>
                <w:sz w:val="21"/>
                <w:szCs w:val="21"/>
              </w:rPr>
            </w:pPr>
            <w:r>
              <w:rPr>
                <w:rFonts w:hint="default" w:ascii="Times New Roman" w:hAnsi="Times New Roman" w:eastAsia="宋体" w:cs="Times New Roman"/>
                <w:color w:val="auto"/>
                <w:sz w:val="21"/>
                <w:szCs w:val="21"/>
                <w:highlight w:val="none"/>
              </w:rPr>
              <w:t>①</w:t>
            </w:r>
            <w:r>
              <w:rPr>
                <w:rFonts w:hint="eastAsia" w:ascii="宋体" w:hAnsi="宋体" w:eastAsia="宋体" w:cs="宋体"/>
                <w:color w:val="auto"/>
                <w:kern w:val="0"/>
                <w:sz w:val="21"/>
                <w:szCs w:val="21"/>
                <w:lang w:val="en-US" w:eastAsia="zh-CN" w:bidi="ar"/>
              </w:rPr>
              <w:t>厂界无组织废气现状监测</w:t>
            </w:r>
          </w:p>
          <w:p>
            <w:pPr>
              <w:pStyle w:val="79"/>
              <w:spacing w:before="182" w:line="359" w:lineRule="auto"/>
              <w:ind w:left="106" w:right="101" w:firstLine="481"/>
              <w:jc w:val="both"/>
              <w:rPr>
                <w:color w:val="auto"/>
                <w:sz w:val="21"/>
                <w:szCs w:val="21"/>
              </w:rPr>
            </w:pPr>
            <w:r>
              <w:rPr>
                <w:color w:val="auto"/>
                <w:spacing w:val="-1"/>
                <w:sz w:val="21"/>
                <w:szCs w:val="21"/>
              </w:rPr>
              <w:t>本项目加油站处于营业状态，根据加油站站区厂界大气污染源</w:t>
            </w:r>
            <w:r>
              <w:rPr>
                <w:rFonts w:hint="eastAsia"/>
                <w:color w:val="auto"/>
                <w:spacing w:val="-1"/>
                <w:sz w:val="21"/>
                <w:szCs w:val="21"/>
                <w:lang w:val="en-US" w:eastAsia="zh-CN"/>
              </w:rPr>
              <w:t>自行</w:t>
            </w:r>
            <w:r>
              <w:rPr>
                <w:color w:val="auto"/>
                <w:spacing w:val="-1"/>
                <w:sz w:val="21"/>
                <w:szCs w:val="21"/>
              </w:rPr>
              <w:t>监测</w:t>
            </w:r>
            <w:r>
              <w:rPr>
                <w:rFonts w:hint="eastAsia"/>
                <w:color w:val="auto"/>
                <w:spacing w:val="-1"/>
                <w:sz w:val="21"/>
                <w:szCs w:val="21"/>
                <w:lang w:val="en-US" w:eastAsia="zh-CN"/>
              </w:rPr>
              <w:t>报告</w:t>
            </w:r>
            <w:r>
              <w:rPr>
                <w:color w:val="auto"/>
                <w:spacing w:val="-1"/>
                <w:sz w:val="21"/>
                <w:szCs w:val="21"/>
              </w:rPr>
              <w:t>（监测时</w:t>
            </w:r>
            <w:r>
              <w:rPr>
                <w:rFonts w:hint="default" w:ascii="Times New Roman" w:hAnsi="Times New Roman" w:cs="Times New Roman"/>
                <w:color w:val="auto"/>
                <w:spacing w:val="-1"/>
                <w:sz w:val="21"/>
                <w:szCs w:val="21"/>
              </w:rPr>
              <w:t>间</w:t>
            </w:r>
            <w:r>
              <w:rPr>
                <w:rFonts w:hint="default" w:ascii="Times New Roman" w:hAnsi="Times New Roman" w:cs="Times New Roman"/>
                <w:color w:val="auto"/>
                <w:spacing w:val="-46"/>
                <w:sz w:val="21"/>
                <w:szCs w:val="21"/>
                <w:lang w:val="en-US" w:eastAsia="zh-CN"/>
              </w:rPr>
              <w:t>1</w:t>
            </w:r>
            <w:r>
              <w:rPr>
                <w:rFonts w:hint="default" w:ascii="Times New Roman" w:hAnsi="Times New Roman" w:cs="Times New Roman"/>
                <w:color w:val="auto"/>
                <w:spacing w:val="-1"/>
                <w:sz w:val="21"/>
                <w:szCs w:val="21"/>
                <w:lang w:val="en-US" w:eastAsia="zh-CN"/>
              </w:rPr>
              <w:t>天</w:t>
            </w:r>
            <w:r>
              <w:rPr>
                <w:color w:val="auto"/>
                <w:spacing w:val="-1"/>
                <w:sz w:val="21"/>
                <w:szCs w:val="21"/>
              </w:rPr>
              <w:t>，监测期间加油站正常运营</w:t>
            </w:r>
            <w:r>
              <w:rPr>
                <w:color w:val="auto"/>
                <w:spacing w:val="5"/>
                <w:sz w:val="21"/>
                <w:szCs w:val="21"/>
              </w:rPr>
              <w:t>），</w:t>
            </w:r>
            <w:r>
              <w:rPr>
                <w:color w:val="auto"/>
                <w:spacing w:val="-1"/>
                <w:sz w:val="21"/>
                <w:szCs w:val="21"/>
              </w:rPr>
              <w:t>项目各加油站污染源周界上风向、下风向无组织非甲烷总烃监测结果见</w:t>
            </w:r>
            <w:r>
              <w:rPr>
                <w:color w:val="auto"/>
                <w:spacing w:val="-6"/>
                <w:sz w:val="21"/>
                <w:szCs w:val="21"/>
              </w:rPr>
              <w:t>下表。</w:t>
            </w:r>
          </w:p>
          <w:p>
            <w:pPr>
              <w:spacing w:line="240" w:lineRule="auto"/>
              <w:jc w:val="center"/>
              <w:textAlignment w:val="baseline"/>
              <w:rPr>
                <w:rFonts w:hint="default" w:ascii="Times New Roman" w:hAnsi="Times New Roman" w:eastAsia="宋体" w:cs="Times New Roman"/>
                <w:color w:val="auto"/>
                <w:spacing w:val="8"/>
                <w:sz w:val="21"/>
                <w:szCs w:val="21"/>
              </w:rPr>
            </w:pPr>
            <w:r>
              <w:rPr>
                <w:rFonts w:ascii="Times New Roman" w:hAnsi="Times New Roman" w:eastAsia="宋体" w:cs="Times New Roman"/>
                <w:b/>
                <w:bCs/>
                <w:color w:val="auto"/>
                <w:spacing w:val="8"/>
                <w:sz w:val="21"/>
                <w:szCs w:val="21"/>
              </w:rPr>
              <w:t>表</w:t>
            </w:r>
            <w:r>
              <w:rPr>
                <w:rFonts w:hint="eastAsia" w:ascii="Times New Roman" w:hAnsi="Times New Roman" w:eastAsia="宋体" w:cs="Times New Roman"/>
                <w:b/>
                <w:bCs/>
                <w:color w:val="auto"/>
                <w:spacing w:val="8"/>
                <w:sz w:val="21"/>
                <w:szCs w:val="21"/>
                <w:lang w:val="en-US" w:eastAsia="zh-CN"/>
              </w:rPr>
              <w:t>4-3</w:t>
            </w:r>
            <w:r>
              <w:rPr>
                <w:rFonts w:ascii="Times New Roman" w:hAnsi="Times New Roman" w:eastAsia="宋体" w:cs="Times New Roman"/>
                <w:b/>
                <w:bCs/>
                <w:color w:val="auto"/>
                <w:spacing w:val="8"/>
                <w:sz w:val="21"/>
                <w:szCs w:val="21"/>
              </w:rPr>
              <w:t>非甲烷总烃监测结果（单位：mg/m</w:t>
            </w:r>
            <w:r>
              <w:rPr>
                <w:rFonts w:ascii="Times New Roman" w:hAnsi="Times New Roman" w:eastAsia="宋体" w:cs="Times New Roman"/>
                <w:b/>
                <w:bCs/>
                <w:color w:val="auto"/>
                <w:spacing w:val="8"/>
                <w:sz w:val="21"/>
                <w:szCs w:val="21"/>
                <w:vertAlign w:val="superscript"/>
              </w:rPr>
              <w:t>3</w:t>
            </w:r>
            <w:r>
              <w:rPr>
                <w:rFonts w:ascii="Times New Roman" w:hAnsi="Times New Roman" w:eastAsia="宋体" w:cs="Times New Roman"/>
                <w:b/>
                <w:bCs/>
                <w:color w:val="auto"/>
                <w:spacing w:val="8"/>
                <w:sz w:val="21"/>
                <w:szCs w:val="21"/>
              </w:rPr>
              <w:t>）</w:t>
            </w:r>
          </w:p>
          <w:tbl>
            <w:tblPr>
              <w:tblStyle w:val="25"/>
              <w:tblW w:w="84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763"/>
              <w:gridCol w:w="827"/>
              <w:gridCol w:w="1145"/>
              <w:gridCol w:w="862"/>
              <w:gridCol w:w="804"/>
              <w:gridCol w:w="838"/>
              <w:gridCol w:w="792"/>
              <w:gridCol w:w="921"/>
              <w:gridCol w:w="744"/>
              <w:gridCol w:w="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90" w:hRule="atLeast"/>
              </w:trPr>
              <w:tc>
                <w:tcPr>
                  <w:tcW w:w="763" w:type="dxa"/>
                  <w:vMerge w:val="restart"/>
                  <w:noWrap w:val="0"/>
                  <w:vAlign w:val="center"/>
                </w:tcPr>
                <w:p>
                  <w:pPr>
                    <w:spacing w:line="240" w:lineRule="auto"/>
                    <w:jc w:val="center"/>
                    <w:textAlignment w:val="baseline"/>
                    <w:rPr>
                      <w:rFonts w:hint="default" w:ascii="Times New Roman" w:hAnsi="Times New Roman" w:cs="Times New Roman"/>
                      <w:color w:val="auto"/>
                      <w:sz w:val="21"/>
                      <w:szCs w:val="21"/>
                      <w:highlight w:val="none"/>
                      <w:vertAlign w:val="baseline"/>
                    </w:rPr>
                  </w:pPr>
                  <w:r>
                    <w:rPr>
                      <w:rFonts w:hint="eastAsia"/>
                      <w:color w:val="auto"/>
                      <w:spacing w:val="6"/>
                      <w:sz w:val="21"/>
                      <w:szCs w:val="21"/>
                      <w:lang w:val="en-US" w:eastAsia="zh-CN"/>
                    </w:rPr>
                    <w:t>监</w:t>
                  </w:r>
                  <w:r>
                    <w:rPr>
                      <w:color w:val="auto"/>
                      <w:spacing w:val="6"/>
                      <w:sz w:val="21"/>
                      <w:szCs w:val="21"/>
                    </w:rPr>
                    <w:t>测</w:t>
                  </w:r>
                  <w:r>
                    <w:rPr>
                      <w:color w:val="auto"/>
                      <w:spacing w:val="4"/>
                      <w:sz w:val="21"/>
                      <w:szCs w:val="21"/>
                    </w:rPr>
                    <w:t>项目</w:t>
                  </w:r>
                </w:p>
              </w:tc>
              <w:tc>
                <w:tcPr>
                  <w:tcW w:w="827" w:type="dxa"/>
                  <w:vMerge w:val="restart"/>
                  <w:noWrap w:val="0"/>
                  <w:vAlign w:val="center"/>
                </w:tcPr>
                <w:p>
                  <w:pPr>
                    <w:pStyle w:val="79"/>
                    <w:keepNext w:val="0"/>
                    <w:keepLines w:val="0"/>
                    <w:pageBreakBefore w:val="0"/>
                    <w:widowControl w:val="0"/>
                    <w:kinsoku/>
                    <w:wordWrap/>
                    <w:overflowPunct/>
                    <w:topLinePunct w:val="0"/>
                    <w:autoSpaceDE/>
                    <w:autoSpaceDN/>
                    <w:bidi w:val="0"/>
                    <w:adjustRightInd/>
                    <w:snapToGrid/>
                    <w:spacing w:line="240" w:lineRule="auto"/>
                    <w:jc w:val="center"/>
                    <w:rPr>
                      <w:color w:val="auto"/>
                      <w:sz w:val="21"/>
                      <w:szCs w:val="21"/>
                    </w:rPr>
                  </w:pPr>
                  <w:r>
                    <w:rPr>
                      <w:color w:val="auto"/>
                      <w:spacing w:val="6"/>
                      <w:position w:val="4"/>
                      <w:sz w:val="21"/>
                      <w:szCs w:val="21"/>
                    </w:rPr>
                    <w:t>采样</w:t>
                  </w:r>
                </w:p>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color w:val="auto"/>
                      <w:sz w:val="21"/>
                      <w:szCs w:val="21"/>
                      <w:highlight w:val="none"/>
                      <w:vertAlign w:val="baseline"/>
                    </w:rPr>
                  </w:pPr>
                  <w:r>
                    <w:rPr>
                      <w:color w:val="auto"/>
                      <w:spacing w:val="-12"/>
                      <w:sz w:val="21"/>
                      <w:szCs w:val="21"/>
                    </w:rPr>
                    <w:t>日期</w:t>
                  </w:r>
                </w:p>
              </w:tc>
              <w:tc>
                <w:tcPr>
                  <w:tcW w:w="1145" w:type="dxa"/>
                  <w:vMerge w:val="restart"/>
                  <w:noWrap w:val="0"/>
                  <w:vAlign w:val="center"/>
                </w:tcPr>
                <w:p>
                  <w:pPr>
                    <w:spacing w:line="240" w:lineRule="auto"/>
                    <w:jc w:val="center"/>
                    <w:textAlignment w:val="baseline"/>
                    <w:rPr>
                      <w:rFonts w:hint="default" w:ascii="Times New Roman" w:hAnsi="Times New Roman" w:cs="Times New Roman"/>
                      <w:color w:val="auto"/>
                      <w:sz w:val="21"/>
                      <w:szCs w:val="21"/>
                      <w:highlight w:val="none"/>
                      <w:vertAlign w:val="baseline"/>
                    </w:rPr>
                  </w:pPr>
                  <w:r>
                    <w:rPr>
                      <w:rFonts w:hint="eastAsia"/>
                      <w:color w:val="auto"/>
                      <w:spacing w:val="8"/>
                      <w:sz w:val="21"/>
                      <w:szCs w:val="21"/>
                      <w:lang w:val="en-US" w:eastAsia="zh-CN"/>
                    </w:rPr>
                    <w:t>监</w:t>
                  </w:r>
                  <w:r>
                    <w:rPr>
                      <w:color w:val="auto"/>
                      <w:spacing w:val="8"/>
                      <w:sz w:val="21"/>
                      <w:szCs w:val="21"/>
                    </w:rPr>
                    <w:t>测点位</w:t>
                  </w:r>
                </w:p>
              </w:tc>
              <w:tc>
                <w:tcPr>
                  <w:tcW w:w="4217" w:type="dxa"/>
                  <w:gridSpan w:val="5"/>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color w:val="auto"/>
                      <w:sz w:val="21"/>
                      <w:szCs w:val="21"/>
                      <w:highlight w:val="none"/>
                      <w:vertAlign w:val="baseline"/>
                    </w:rPr>
                  </w:pPr>
                  <w:r>
                    <w:rPr>
                      <w:color w:val="auto"/>
                      <w:spacing w:val="8"/>
                      <w:sz w:val="21"/>
                      <w:szCs w:val="21"/>
                    </w:rPr>
                    <w:t>检测结果（</w:t>
                  </w:r>
                  <w:r>
                    <w:rPr>
                      <w:rFonts w:ascii="Times New Roman" w:hAnsi="Times New Roman" w:eastAsia="Times New Roman" w:cs="Times New Roman"/>
                      <w:b/>
                      <w:bCs/>
                      <w:color w:val="auto"/>
                      <w:sz w:val="21"/>
                      <w:szCs w:val="21"/>
                    </w:rPr>
                    <w:t>mg</w:t>
                  </w:r>
                  <w:r>
                    <w:rPr>
                      <w:rFonts w:ascii="Times New Roman" w:hAnsi="Times New Roman" w:eastAsia="Times New Roman" w:cs="Times New Roman"/>
                      <w:b/>
                      <w:bCs/>
                      <w:color w:val="auto"/>
                      <w:spacing w:val="8"/>
                      <w:sz w:val="21"/>
                      <w:szCs w:val="21"/>
                    </w:rPr>
                    <w:t>/m</w:t>
                  </w:r>
                  <w:r>
                    <w:rPr>
                      <w:rFonts w:hint="eastAsia" w:ascii="Times New Roman" w:hAnsi="Times New Roman" w:eastAsia="宋体" w:cs="Times New Roman"/>
                      <w:b/>
                      <w:bCs/>
                      <w:color w:val="auto"/>
                      <w:spacing w:val="8"/>
                      <w:sz w:val="21"/>
                      <w:szCs w:val="21"/>
                      <w:vertAlign w:val="superscript"/>
                      <w:lang w:val="en-US" w:eastAsia="zh-CN"/>
                    </w:rPr>
                    <w:t>3</w:t>
                  </w:r>
                  <w:r>
                    <w:rPr>
                      <w:color w:val="auto"/>
                      <w:spacing w:val="8"/>
                      <w:sz w:val="21"/>
                      <w:szCs w:val="21"/>
                    </w:rPr>
                    <w:t>）</w:t>
                  </w:r>
                </w:p>
              </w:tc>
              <w:tc>
                <w:tcPr>
                  <w:tcW w:w="744" w:type="dxa"/>
                  <w:vMerge w:val="restart"/>
                  <w:noWrap w:val="0"/>
                  <w:vAlign w:val="center"/>
                </w:tcPr>
                <w:p>
                  <w:pPr>
                    <w:spacing w:line="240" w:lineRule="auto"/>
                    <w:jc w:val="center"/>
                    <w:textAlignment w:val="baseline"/>
                    <w:rPr>
                      <w:rFonts w:hint="default" w:ascii="Times New Roman" w:hAnsi="Times New Roman" w:cs="Times New Roman"/>
                      <w:color w:val="auto"/>
                      <w:sz w:val="21"/>
                      <w:szCs w:val="21"/>
                      <w:highlight w:val="none"/>
                      <w:vertAlign w:val="baseline"/>
                    </w:rPr>
                  </w:pPr>
                  <w:r>
                    <w:rPr>
                      <w:color w:val="auto"/>
                      <w:spacing w:val="5"/>
                      <w:sz w:val="21"/>
                      <w:szCs w:val="21"/>
                    </w:rPr>
                    <w:t>标准</w:t>
                  </w:r>
                  <w:r>
                    <w:rPr>
                      <w:color w:val="auto"/>
                      <w:spacing w:val="-2"/>
                      <w:sz w:val="21"/>
                      <w:szCs w:val="21"/>
                    </w:rPr>
                    <w:t>限值</w:t>
                  </w:r>
                </w:p>
              </w:tc>
              <w:tc>
                <w:tcPr>
                  <w:tcW w:w="739" w:type="dxa"/>
                  <w:vMerge w:val="restart"/>
                  <w:noWrap w:val="0"/>
                  <w:vAlign w:val="center"/>
                </w:tcPr>
                <w:p>
                  <w:pPr>
                    <w:pStyle w:val="7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vertAlign w:val="baseline"/>
                    </w:rPr>
                  </w:pPr>
                  <w:r>
                    <w:rPr>
                      <w:rFonts w:ascii="Times New Roman" w:hAnsi="Times New Roman" w:eastAsia="宋体" w:cs="Times New Roman"/>
                      <w:color w:val="auto"/>
                      <w:spacing w:val="6"/>
                      <w:kern w:val="2"/>
                      <w:sz w:val="21"/>
                      <w:szCs w:val="21"/>
                      <w:lang w:val="en-US" w:eastAsia="zh-CN" w:bidi="ar-SA"/>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63"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827"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1145"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86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color w:val="auto"/>
                      <w:sz w:val="21"/>
                      <w:szCs w:val="21"/>
                      <w:highlight w:val="none"/>
                      <w:vertAlign w:val="baseline"/>
                    </w:rPr>
                  </w:pPr>
                  <w:r>
                    <w:rPr>
                      <w:color w:val="auto"/>
                      <w:spacing w:val="-7"/>
                      <w:sz w:val="21"/>
                      <w:szCs w:val="21"/>
                    </w:rPr>
                    <w:t>第</w:t>
                  </w:r>
                  <w:r>
                    <w:rPr>
                      <w:rFonts w:ascii="Times New Roman" w:hAnsi="Times New Roman" w:eastAsia="Times New Roman" w:cs="Times New Roman"/>
                      <w:color w:val="auto"/>
                      <w:spacing w:val="-7"/>
                      <w:sz w:val="21"/>
                      <w:szCs w:val="21"/>
                    </w:rPr>
                    <w:t>1</w:t>
                  </w:r>
                  <w:r>
                    <w:rPr>
                      <w:color w:val="auto"/>
                      <w:spacing w:val="-7"/>
                      <w:sz w:val="21"/>
                      <w:szCs w:val="21"/>
                    </w:rPr>
                    <w:t>次</w:t>
                  </w:r>
                </w:p>
              </w:tc>
              <w:tc>
                <w:tcPr>
                  <w:tcW w:w="8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color w:val="auto"/>
                      <w:sz w:val="21"/>
                      <w:szCs w:val="21"/>
                      <w:highlight w:val="none"/>
                      <w:vertAlign w:val="baseline"/>
                    </w:rPr>
                  </w:pPr>
                  <w:r>
                    <w:rPr>
                      <w:color w:val="auto"/>
                      <w:sz w:val="21"/>
                      <w:szCs w:val="21"/>
                    </w:rPr>
                    <w:t>第</w:t>
                  </w:r>
                  <w:r>
                    <w:rPr>
                      <w:rFonts w:hint="eastAsia"/>
                      <w:color w:val="auto"/>
                      <w:sz w:val="21"/>
                      <w:szCs w:val="21"/>
                      <w:lang w:val="en-US" w:eastAsia="zh-CN"/>
                    </w:rPr>
                    <w:t>2</w:t>
                  </w:r>
                  <w:r>
                    <w:rPr>
                      <w:color w:val="auto"/>
                      <w:sz w:val="21"/>
                      <w:szCs w:val="21"/>
                    </w:rPr>
                    <w:t>次</w:t>
                  </w:r>
                </w:p>
              </w:tc>
              <w:tc>
                <w:tcPr>
                  <w:tcW w:w="83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color w:val="auto"/>
                      <w:sz w:val="21"/>
                      <w:szCs w:val="21"/>
                      <w:highlight w:val="none"/>
                      <w:vertAlign w:val="baseline"/>
                    </w:rPr>
                  </w:pPr>
                  <w:r>
                    <w:rPr>
                      <w:color w:val="auto"/>
                      <w:spacing w:val="-1"/>
                      <w:sz w:val="21"/>
                      <w:szCs w:val="21"/>
                    </w:rPr>
                    <w:t>第</w:t>
                  </w:r>
                  <w:r>
                    <w:rPr>
                      <w:rFonts w:ascii="Times New Roman" w:hAnsi="Times New Roman" w:eastAsia="Times New Roman" w:cs="Times New Roman"/>
                      <w:color w:val="auto"/>
                      <w:spacing w:val="-1"/>
                      <w:sz w:val="21"/>
                      <w:szCs w:val="21"/>
                    </w:rPr>
                    <w:t>3</w:t>
                  </w:r>
                  <w:r>
                    <w:rPr>
                      <w:color w:val="auto"/>
                      <w:spacing w:val="-1"/>
                      <w:sz w:val="21"/>
                      <w:szCs w:val="21"/>
                    </w:rPr>
                    <w:t>次</w:t>
                  </w:r>
                </w:p>
              </w:tc>
              <w:tc>
                <w:tcPr>
                  <w:tcW w:w="79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color w:val="auto"/>
                      <w:sz w:val="21"/>
                      <w:szCs w:val="21"/>
                      <w:highlight w:val="none"/>
                      <w:vertAlign w:val="baseline"/>
                    </w:rPr>
                  </w:pPr>
                  <w:r>
                    <w:rPr>
                      <w:color w:val="auto"/>
                      <w:sz w:val="21"/>
                      <w:szCs w:val="21"/>
                    </w:rPr>
                    <w:t>第</w:t>
                  </w:r>
                  <w:r>
                    <w:rPr>
                      <w:rFonts w:hint="eastAsia"/>
                      <w:color w:val="auto"/>
                      <w:spacing w:val="-44"/>
                      <w:sz w:val="21"/>
                      <w:szCs w:val="21"/>
                      <w:lang w:val="en-US" w:eastAsia="zh-CN"/>
                    </w:rPr>
                    <w:t>4</w:t>
                  </w:r>
                  <w:r>
                    <w:rPr>
                      <w:color w:val="auto"/>
                      <w:sz w:val="21"/>
                      <w:szCs w:val="21"/>
                    </w:rPr>
                    <w:t>次</w:t>
                  </w:r>
                </w:p>
              </w:tc>
              <w:tc>
                <w:tcPr>
                  <w:tcW w:w="9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eastAsia" w:eastAsia="宋体"/>
                      <w:color w:val="auto"/>
                      <w:sz w:val="21"/>
                      <w:szCs w:val="21"/>
                      <w:lang w:val="en-US" w:eastAsia="zh-CN"/>
                    </w:rPr>
                  </w:pPr>
                  <w:r>
                    <w:rPr>
                      <w:rFonts w:hint="eastAsia"/>
                      <w:color w:val="auto"/>
                      <w:sz w:val="21"/>
                      <w:szCs w:val="21"/>
                      <w:lang w:val="en-US" w:eastAsia="zh-CN"/>
                    </w:rPr>
                    <w:t>平均值</w:t>
                  </w:r>
                </w:p>
              </w:tc>
              <w:tc>
                <w:tcPr>
                  <w:tcW w:w="744"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739"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63" w:type="dxa"/>
                  <w:vMerge w:val="restart"/>
                  <w:noWrap w:val="0"/>
                  <w:vAlign w:val="center"/>
                </w:tcPr>
                <w:p>
                  <w:pPr>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非甲烷总烃</w:t>
                  </w:r>
                </w:p>
              </w:tc>
              <w:tc>
                <w:tcPr>
                  <w:tcW w:w="827" w:type="dxa"/>
                  <w:vMerge w:val="restart"/>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2023.5.24</w:t>
                  </w:r>
                </w:p>
              </w:tc>
              <w:tc>
                <w:tcPr>
                  <w:tcW w:w="1145" w:type="dxa"/>
                  <w:noWrap w:val="0"/>
                  <w:vAlign w:val="center"/>
                </w:tcPr>
                <w:p>
                  <w:pPr>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上风向1#</w:t>
                  </w:r>
                </w:p>
              </w:tc>
              <w:tc>
                <w:tcPr>
                  <w:tcW w:w="862"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0.75</w:t>
                  </w:r>
                </w:p>
              </w:tc>
              <w:tc>
                <w:tcPr>
                  <w:tcW w:w="804"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0.84</w:t>
                  </w:r>
                </w:p>
              </w:tc>
              <w:tc>
                <w:tcPr>
                  <w:tcW w:w="838"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1.01</w:t>
                  </w:r>
                </w:p>
              </w:tc>
              <w:tc>
                <w:tcPr>
                  <w:tcW w:w="792"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0.91</w:t>
                  </w:r>
                </w:p>
              </w:tc>
              <w:tc>
                <w:tcPr>
                  <w:tcW w:w="921" w:type="dxa"/>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1.01</w:t>
                  </w:r>
                </w:p>
              </w:tc>
              <w:tc>
                <w:tcPr>
                  <w:tcW w:w="744" w:type="dxa"/>
                  <w:vMerge w:val="restart"/>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4.0</w:t>
                  </w:r>
                </w:p>
              </w:tc>
              <w:tc>
                <w:tcPr>
                  <w:tcW w:w="739" w:type="dxa"/>
                  <w:noWrap w:val="0"/>
                  <w:vAlign w:val="center"/>
                </w:tcPr>
                <w:p>
                  <w:pPr>
                    <w:spacing w:line="36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63"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827"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1145" w:type="dxa"/>
                  <w:noWrap w:val="0"/>
                  <w:vAlign w:val="center"/>
                </w:tcPr>
                <w:p>
                  <w:pPr>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下风向2#</w:t>
                  </w:r>
                </w:p>
              </w:tc>
              <w:tc>
                <w:tcPr>
                  <w:tcW w:w="862"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1.14</w:t>
                  </w:r>
                </w:p>
              </w:tc>
              <w:tc>
                <w:tcPr>
                  <w:tcW w:w="804"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1.20</w:t>
                  </w:r>
                </w:p>
              </w:tc>
              <w:tc>
                <w:tcPr>
                  <w:tcW w:w="838"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1.48</w:t>
                  </w:r>
                </w:p>
              </w:tc>
              <w:tc>
                <w:tcPr>
                  <w:tcW w:w="792"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1.33</w:t>
                  </w:r>
                </w:p>
              </w:tc>
              <w:tc>
                <w:tcPr>
                  <w:tcW w:w="921"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1.48</w:t>
                  </w:r>
                </w:p>
              </w:tc>
              <w:tc>
                <w:tcPr>
                  <w:tcW w:w="744"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739" w:type="dxa"/>
                  <w:noWrap w:val="0"/>
                  <w:vAlign w:val="center"/>
                </w:tcPr>
                <w:p>
                  <w:pPr>
                    <w:spacing w:line="36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63"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827"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1145" w:type="dxa"/>
                  <w:noWrap w:val="0"/>
                  <w:vAlign w:val="center"/>
                </w:tcPr>
                <w:p>
                  <w:pPr>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下风向3#</w:t>
                  </w:r>
                </w:p>
              </w:tc>
              <w:tc>
                <w:tcPr>
                  <w:tcW w:w="862"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1.50</w:t>
                  </w:r>
                </w:p>
              </w:tc>
              <w:tc>
                <w:tcPr>
                  <w:tcW w:w="804"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1.63</w:t>
                  </w:r>
                </w:p>
              </w:tc>
              <w:tc>
                <w:tcPr>
                  <w:tcW w:w="838"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1.82</w:t>
                  </w:r>
                </w:p>
              </w:tc>
              <w:tc>
                <w:tcPr>
                  <w:tcW w:w="792"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1.74</w:t>
                  </w:r>
                </w:p>
              </w:tc>
              <w:tc>
                <w:tcPr>
                  <w:tcW w:w="921"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1.82</w:t>
                  </w:r>
                </w:p>
              </w:tc>
              <w:tc>
                <w:tcPr>
                  <w:tcW w:w="744"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739" w:type="dxa"/>
                  <w:noWrap w:val="0"/>
                  <w:vAlign w:val="center"/>
                </w:tcPr>
                <w:p>
                  <w:pPr>
                    <w:spacing w:line="36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63"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827"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1145" w:type="dxa"/>
                  <w:noWrap w:val="0"/>
                  <w:vAlign w:val="center"/>
                </w:tcPr>
                <w:p>
                  <w:pPr>
                    <w:spacing w:line="24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下风向4#</w:t>
                  </w:r>
                </w:p>
              </w:tc>
              <w:tc>
                <w:tcPr>
                  <w:tcW w:w="862"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1.17</w:t>
                  </w:r>
                </w:p>
              </w:tc>
              <w:tc>
                <w:tcPr>
                  <w:tcW w:w="804"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1.24</w:t>
                  </w:r>
                </w:p>
              </w:tc>
              <w:tc>
                <w:tcPr>
                  <w:tcW w:w="838"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1.41</w:t>
                  </w:r>
                </w:p>
              </w:tc>
              <w:tc>
                <w:tcPr>
                  <w:tcW w:w="792"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1.36</w:t>
                  </w:r>
                </w:p>
              </w:tc>
              <w:tc>
                <w:tcPr>
                  <w:tcW w:w="921"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1.41</w:t>
                  </w:r>
                </w:p>
              </w:tc>
              <w:tc>
                <w:tcPr>
                  <w:tcW w:w="744"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739" w:type="dxa"/>
                  <w:noWrap w:val="0"/>
                  <w:vAlign w:val="center"/>
                </w:tcPr>
                <w:p>
                  <w:pPr>
                    <w:spacing w:line="36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达标</w:t>
                  </w:r>
                </w:p>
              </w:tc>
            </w:tr>
          </w:tbl>
          <w:p>
            <w:pPr>
              <w:pStyle w:val="79"/>
              <w:spacing w:before="37" w:line="360" w:lineRule="auto"/>
              <w:ind w:left="138" w:right="99" w:firstLine="449"/>
              <w:rPr>
                <w:color w:val="auto"/>
                <w:sz w:val="21"/>
                <w:szCs w:val="21"/>
              </w:rPr>
            </w:pPr>
            <w:r>
              <w:rPr>
                <w:rFonts w:hint="eastAsia"/>
                <w:color w:val="auto"/>
                <w:spacing w:val="-1"/>
                <w:sz w:val="21"/>
                <w:szCs w:val="21"/>
                <w:lang w:val="en-US" w:eastAsia="zh-CN"/>
              </w:rPr>
              <w:t>监</w:t>
            </w:r>
            <w:r>
              <w:rPr>
                <w:color w:val="auto"/>
                <w:spacing w:val="-1"/>
                <w:sz w:val="21"/>
                <w:szCs w:val="21"/>
              </w:rPr>
              <w:t>测结果表明，本项目正常运营的各加油站周界上风向及下风向的无组织非</w:t>
            </w:r>
            <w:r>
              <w:rPr>
                <w:color w:val="auto"/>
                <w:spacing w:val="-3"/>
                <w:sz w:val="21"/>
                <w:szCs w:val="21"/>
              </w:rPr>
              <w:t>甲烷总烃浓度均满足《加油站大气污染物排放标准》（</w:t>
            </w:r>
            <w:r>
              <w:rPr>
                <w:rFonts w:ascii="Times New Roman" w:hAnsi="Times New Roman" w:eastAsia="Times New Roman" w:cs="Times New Roman"/>
                <w:color w:val="auto"/>
                <w:spacing w:val="-3"/>
                <w:sz w:val="21"/>
                <w:szCs w:val="21"/>
              </w:rPr>
              <w:t>GB20952-2020</w:t>
            </w:r>
            <w:r>
              <w:rPr>
                <w:color w:val="auto"/>
                <w:spacing w:val="-3"/>
                <w:sz w:val="21"/>
                <w:szCs w:val="21"/>
              </w:rPr>
              <w:t>）中标准值</w:t>
            </w:r>
            <w:r>
              <w:rPr>
                <w:rFonts w:ascii="Times New Roman" w:hAnsi="Times New Roman" w:eastAsia="Times New Roman" w:cs="Times New Roman"/>
                <w:color w:val="auto"/>
                <w:spacing w:val="-1"/>
                <w:sz w:val="21"/>
                <w:szCs w:val="21"/>
              </w:rPr>
              <w:t>4.0mg/m</w:t>
            </w:r>
            <w:r>
              <w:rPr>
                <w:rFonts w:hint="eastAsia" w:ascii="Times New Roman" w:hAnsi="Times New Roman" w:cs="Times New Roman"/>
                <w:color w:val="auto"/>
                <w:spacing w:val="-1"/>
                <w:sz w:val="21"/>
                <w:szCs w:val="21"/>
                <w:vertAlign w:val="superscript"/>
                <w:lang w:val="en-US" w:eastAsia="zh-CN"/>
              </w:rPr>
              <w:t>3</w:t>
            </w:r>
            <w:r>
              <w:rPr>
                <w:color w:val="auto"/>
                <w:spacing w:val="-1"/>
                <w:sz w:val="21"/>
                <w:szCs w:val="21"/>
              </w:rPr>
              <w:t>的要求</w:t>
            </w:r>
            <w:r>
              <w:rPr>
                <w:rFonts w:hint="eastAsia"/>
                <w:color w:val="auto"/>
                <w:spacing w:val="-1"/>
                <w:sz w:val="21"/>
                <w:szCs w:val="21"/>
                <w:lang w:eastAsia="zh-CN"/>
              </w:rPr>
              <w:t>，</w:t>
            </w:r>
            <w:r>
              <w:rPr>
                <w:color w:val="auto"/>
                <w:spacing w:val="-1"/>
                <w:sz w:val="21"/>
                <w:szCs w:val="21"/>
              </w:rPr>
              <w:t>可达标排放，项目运营期对周围大气环境产生影响较小。</w:t>
            </w:r>
          </w:p>
          <w:p>
            <w:pPr>
              <w:spacing w:line="360" w:lineRule="auto"/>
              <w:ind w:firstLine="420" w:firstLineChars="200"/>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w:t>
            </w:r>
            <w:r>
              <w:rPr>
                <w:rFonts w:hint="eastAsia"/>
                <w:color w:val="auto"/>
                <w:spacing w:val="-2"/>
                <w:sz w:val="21"/>
                <w:szCs w:val="21"/>
                <w:lang w:val="en-US" w:eastAsia="zh-CN"/>
              </w:rPr>
              <w:t>三</w:t>
            </w:r>
            <w:r>
              <w:rPr>
                <w:color w:val="auto"/>
                <w:spacing w:val="-2"/>
                <w:sz w:val="21"/>
                <w:szCs w:val="21"/>
              </w:rPr>
              <w:t>次油气回收系统现状监测</w:t>
            </w:r>
          </w:p>
          <w:p>
            <w:pPr>
              <w:pStyle w:val="79"/>
              <w:spacing w:before="30" w:line="360" w:lineRule="auto"/>
              <w:ind w:left="107" w:right="40" w:firstLine="480"/>
              <w:jc w:val="both"/>
              <w:rPr>
                <w:rFonts w:hint="eastAsia" w:ascii="Times New Roman" w:hAnsi="Times New Roman" w:cs="Times New Roman"/>
                <w:b/>
                <w:bCs/>
                <w:color w:val="auto"/>
                <w:sz w:val="21"/>
                <w:szCs w:val="21"/>
                <w:highlight w:val="none"/>
                <w:lang w:val="en-US" w:eastAsia="zh-CN"/>
              </w:rPr>
            </w:pPr>
            <w:r>
              <w:rPr>
                <w:color w:val="auto"/>
                <w:spacing w:val="-1"/>
                <w:sz w:val="21"/>
                <w:szCs w:val="21"/>
              </w:rPr>
              <w:t>本项目加油站设置有三次油气回收装置，排放口高度均大于</w:t>
            </w:r>
            <w:r>
              <w:rPr>
                <w:rFonts w:hint="eastAsia" w:ascii="Times New Roman" w:hAnsi="Times New Roman" w:cs="Times New Roman"/>
                <w:color w:val="auto"/>
                <w:spacing w:val="-50"/>
                <w:sz w:val="21"/>
                <w:szCs w:val="21"/>
                <w:lang w:val="en-US" w:eastAsia="zh-CN"/>
              </w:rPr>
              <w:t>4米                 。</w:t>
            </w:r>
            <w:r>
              <w:rPr>
                <w:rFonts w:hint="eastAsia"/>
                <w:color w:val="auto"/>
                <w:spacing w:val="-1"/>
                <w:sz w:val="21"/>
                <w:szCs w:val="21"/>
                <w:lang w:val="en-US" w:eastAsia="zh-CN"/>
              </w:rPr>
              <w:t>根据</w:t>
            </w:r>
            <w:r>
              <w:rPr>
                <w:color w:val="auto"/>
                <w:spacing w:val="-10"/>
                <w:sz w:val="21"/>
                <w:szCs w:val="21"/>
              </w:rPr>
              <w:t>加油站</w:t>
            </w:r>
            <w:r>
              <w:rPr>
                <w:rFonts w:hint="eastAsia"/>
                <w:color w:val="auto"/>
                <w:spacing w:val="-10"/>
                <w:sz w:val="21"/>
                <w:szCs w:val="21"/>
                <w:lang w:val="en-US" w:eastAsia="zh-CN"/>
              </w:rPr>
              <w:t>自行监测报告，</w:t>
            </w:r>
            <w:r>
              <w:rPr>
                <w:color w:val="auto"/>
                <w:spacing w:val="-10"/>
                <w:sz w:val="21"/>
                <w:szCs w:val="21"/>
              </w:rPr>
              <w:t>油罐油气回收设备出气口（油气回收装置排放出口）</w:t>
            </w:r>
            <w:r>
              <w:rPr>
                <w:rFonts w:hint="eastAsia" w:ascii="Times New Roman" w:hAnsi="Times New Roman" w:cs="Times New Roman"/>
                <w:b w:val="0"/>
                <w:bCs w:val="0"/>
                <w:color w:val="auto"/>
                <w:sz w:val="21"/>
                <w:szCs w:val="21"/>
                <w:highlight w:val="none"/>
                <w:lang w:val="en-US" w:eastAsia="zh-CN"/>
              </w:rPr>
              <w:t>非甲烷总烃</w:t>
            </w:r>
            <w:r>
              <w:rPr>
                <w:color w:val="auto"/>
                <w:spacing w:val="-2"/>
                <w:sz w:val="21"/>
                <w:szCs w:val="21"/>
              </w:rPr>
              <w:t>监测</w:t>
            </w:r>
            <w:r>
              <w:rPr>
                <w:rFonts w:hint="eastAsia"/>
                <w:color w:val="auto"/>
                <w:spacing w:val="-2"/>
                <w:sz w:val="21"/>
                <w:szCs w:val="21"/>
                <w:lang w:val="en-US" w:eastAsia="zh-CN"/>
              </w:rPr>
              <w:t>结果</w:t>
            </w:r>
            <w:r>
              <w:rPr>
                <w:color w:val="auto"/>
                <w:spacing w:val="-2"/>
                <w:sz w:val="21"/>
                <w:szCs w:val="21"/>
              </w:rPr>
              <w:t>见下表。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表4-4油气回收装置排放口非甲烷总烃监测结果（</w:t>
            </w:r>
            <w:r>
              <w:rPr>
                <w:b/>
                <w:bCs/>
                <w:color w:val="auto"/>
                <w:spacing w:val="6"/>
                <w:sz w:val="21"/>
                <w:szCs w:val="21"/>
              </w:rPr>
              <w:t>单位：</w:t>
            </w:r>
            <w:r>
              <w:rPr>
                <w:rFonts w:ascii="Times New Roman" w:hAnsi="Times New Roman" w:eastAsia="Times New Roman" w:cs="Times New Roman"/>
                <w:b/>
                <w:bCs/>
                <w:color w:val="auto"/>
                <w:sz w:val="21"/>
                <w:szCs w:val="21"/>
              </w:rPr>
              <w:t>mg</w:t>
            </w:r>
            <w:r>
              <w:rPr>
                <w:rFonts w:ascii="Times New Roman" w:hAnsi="Times New Roman" w:eastAsia="Times New Roman" w:cs="Times New Roman"/>
                <w:b/>
                <w:bCs/>
                <w:color w:val="auto"/>
                <w:spacing w:val="6"/>
                <w:sz w:val="21"/>
                <w:szCs w:val="21"/>
              </w:rPr>
              <w:t>/m</w:t>
            </w:r>
            <w:r>
              <w:rPr>
                <w:rFonts w:hint="eastAsia" w:ascii="Times New Roman" w:hAnsi="Times New Roman" w:eastAsia="宋体" w:cs="Times New Roman"/>
                <w:b/>
                <w:bCs/>
                <w:color w:val="auto"/>
                <w:spacing w:val="6"/>
                <w:sz w:val="21"/>
                <w:szCs w:val="21"/>
                <w:vertAlign w:val="superscript"/>
                <w:lang w:val="en-US" w:eastAsia="zh-CN"/>
              </w:rPr>
              <w:t>3</w:t>
            </w:r>
            <w:r>
              <w:rPr>
                <w:rFonts w:hint="eastAsia" w:ascii="Times New Roman" w:hAnsi="Times New Roman" w:cs="Times New Roman"/>
                <w:b/>
                <w:bCs/>
                <w:color w:val="auto"/>
                <w:sz w:val="21"/>
                <w:szCs w:val="21"/>
                <w:highlight w:val="none"/>
                <w:lang w:val="en-US" w:eastAsia="zh-CN"/>
              </w:rPr>
              <w:t>）</w:t>
            </w:r>
          </w:p>
          <w:tbl>
            <w:tblPr>
              <w:tblStyle w:val="25"/>
              <w:tblW w:w="84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08" w:type="dxa"/>
                <w:right w:w="108" w:type="dxa"/>
              </w:tblCellMar>
            </w:tblPr>
            <w:tblGrid>
              <w:gridCol w:w="798"/>
              <w:gridCol w:w="662"/>
              <w:gridCol w:w="1311"/>
              <w:gridCol w:w="897"/>
              <w:gridCol w:w="851"/>
              <w:gridCol w:w="862"/>
              <w:gridCol w:w="815"/>
              <w:gridCol w:w="898"/>
              <w:gridCol w:w="673"/>
              <w:gridCol w:w="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98" w:type="dxa"/>
                  <w:vMerge w:val="restart"/>
                  <w:noWrap w:val="0"/>
                  <w:vAlign w:val="center"/>
                </w:tcPr>
                <w:p>
                  <w:pPr>
                    <w:spacing w:line="240" w:lineRule="auto"/>
                    <w:jc w:val="center"/>
                    <w:textAlignment w:val="baseline"/>
                    <w:rPr>
                      <w:rFonts w:hint="default" w:ascii="Times New Roman" w:hAnsi="Times New Roman" w:eastAsia="宋体" w:cs="Times New Roman"/>
                      <w:b/>
                      <w:bCs/>
                      <w:color w:val="auto"/>
                      <w:sz w:val="21"/>
                      <w:szCs w:val="21"/>
                      <w:highlight w:val="none"/>
                      <w:vertAlign w:val="baseline"/>
                    </w:rPr>
                  </w:pPr>
                  <w:r>
                    <w:rPr>
                      <w:rFonts w:hint="eastAsia" w:ascii="Times New Roman" w:hAnsi="Times New Roman" w:eastAsia="宋体" w:cs="Times New Roman"/>
                      <w:b/>
                      <w:bCs/>
                      <w:color w:val="auto"/>
                      <w:sz w:val="21"/>
                      <w:szCs w:val="21"/>
                      <w:highlight w:val="none"/>
                      <w:vertAlign w:val="baseline"/>
                      <w:lang w:val="en-US" w:eastAsia="zh-CN"/>
                    </w:rPr>
                    <w:t>监</w:t>
                  </w:r>
                  <w:r>
                    <w:rPr>
                      <w:rFonts w:hint="default" w:ascii="Times New Roman" w:hAnsi="Times New Roman" w:eastAsia="宋体" w:cs="Times New Roman"/>
                      <w:b/>
                      <w:bCs/>
                      <w:color w:val="auto"/>
                      <w:sz w:val="21"/>
                      <w:szCs w:val="21"/>
                      <w:highlight w:val="none"/>
                      <w:vertAlign w:val="baseline"/>
                    </w:rPr>
                    <w:t>测项目</w:t>
                  </w:r>
                </w:p>
              </w:tc>
              <w:tc>
                <w:tcPr>
                  <w:tcW w:w="662" w:type="dxa"/>
                  <w:vMerge w:val="restart"/>
                  <w:noWrap w:val="0"/>
                  <w:vAlign w:val="center"/>
                </w:tcPr>
                <w:p>
                  <w:pPr>
                    <w:spacing w:line="240" w:lineRule="auto"/>
                    <w:jc w:val="center"/>
                    <w:textAlignment w:val="baseline"/>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采样</w:t>
                  </w:r>
                </w:p>
                <w:p>
                  <w:pPr>
                    <w:spacing w:line="240" w:lineRule="auto"/>
                    <w:jc w:val="center"/>
                    <w:textAlignment w:val="baseline"/>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日期</w:t>
                  </w:r>
                </w:p>
              </w:tc>
              <w:tc>
                <w:tcPr>
                  <w:tcW w:w="1311" w:type="dxa"/>
                  <w:vMerge w:val="restart"/>
                  <w:noWrap w:val="0"/>
                  <w:vAlign w:val="center"/>
                </w:tcPr>
                <w:p>
                  <w:pPr>
                    <w:spacing w:line="240" w:lineRule="auto"/>
                    <w:jc w:val="center"/>
                    <w:textAlignment w:val="baseline"/>
                    <w:rPr>
                      <w:rFonts w:hint="default" w:ascii="Times New Roman" w:hAnsi="Times New Roman" w:eastAsia="宋体" w:cs="Times New Roman"/>
                      <w:b/>
                      <w:bCs/>
                      <w:color w:val="auto"/>
                      <w:sz w:val="21"/>
                      <w:szCs w:val="21"/>
                      <w:highlight w:val="none"/>
                      <w:vertAlign w:val="baseline"/>
                    </w:rPr>
                  </w:pPr>
                  <w:r>
                    <w:rPr>
                      <w:rFonts w:hint="eastAsia" w:ascii="Times New Roman" w:hAnsi="Times New Roman" w:eastAsia="宋体" w:cs="Times New Roman"/>
                      <w:b/>
                      <w:bCs/>
                      <w:color w:val="auto"/>
                      <w:sz w:val="21"/>
                      <w:szCs w:val="21"/>
                      <w:highlight w:val="none"/>
                      <w:vertAlign w:val="baseline"/>
                      <w:lang w:val="en-US" w:eastAsia="zh-CN"/>
                    </w:rPr>
                    <w:t>监</w:t>
                  </w:r>
                  <w:r>
                    <w:rPr>
                      <w:rFonts w:hint="default" w:ascii="Times New Roman" w:hAnsi="Times New Roman" w:eastAsia="宋体" w:cs="Times New Roman"/>
                      <w:b/>
                      <w:bCs/>
                      <w:color w:val="auto"/>
                      <w:sz w:val="21"/>
                      <w:szCs w:val="21"/>
                      <w:highlight w:val="none"/>
                      <w:vertAlign w:val="baseline"/>
                    </w:rPr>
                    <w:t>测点位</w:t>
                  </w:r>
                </w:p>
              </w:tc>
              <w:tc>
                <w:tcPr>
                  <w:tcW w:w="4323" w:type="dxa"/>
                  <w:gridSpan w:val="5"/>
                  <w:noWrap w:val="0"/>
                  <w:vAlign w:val="center"/>
                </w:tcPr>
                <w:p>
                  <w:pPr>
                    <w:spacing w:line="240" w:lineRule="auto"/>
                    <w:jc w:val="center"/>
                    <w:textAlignment w:val="baseline"/>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检测结果（mg/m</w:t>
                  </w:r>
                  <w:r>
                    <w:rPr>
                      <w:rFonts w:hint="eastAsia" w:ascii="Times New Roman" w:hAnsi="Times New Roman" w:eastAsia="宋体" w:cs="Times New Roman"/>
                      <w:b/>
                      <w:bCs/>
                      <w:color w:val="auto"/>
                      <w:sz w:val="21"/>
                      <w:szCs w:val="21"/>
                      <w:highlight w:val="none"/>
                      <w:vertAlign w:val="superscript"/>
                      <w:lang w:val="en-US" w:eastAsia="zh-CN"/>
                    </w:rPr>
                    <w:t>3</w:t>
                  </w:r>
                  <w:r>
                    <w:rPr>
                      <w:rFonts w:hint="default" w:ascii="Times New Roman" w:hAnsi="Times New Roman" w:eastAsia="宋体" w:cs="Times New Roman"/>
                      <w:b/>
                      <w:bCs/>
                      <w:color w:val="auto"/>
                      <w:sz w:val="21"/>
                      <w:szCs w:val="21"/>
                      <w:highlight w:val="none"/>
                      <w:vertAlign w:val="baseline"/>
                    </w:rPr>
                    <w:t>）</w:t>
                  </w:r>
                </w:p>
              </w:tc>
              <w:tc>
                <w:tcPr>
                  <w:tcW w:w="673" w:type="dxa"/>
                  <w:vMerge w:val="restart"/>
                  <w:noWrap w:val="0"/>
                  <w:vAlign w:val="center"/>
                </w:tcPr>
                <w:p>
                  <w:pPr>
                    <w:spacing w:line="240" w:lineRule="auto"/>
                    <w:jc w:val="center"/>
                    <w:textAlignment w:val="baseline"/>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标准限值</w:t>
                  </w:r>
                </w:p>
              </w:tc>
              <w:tc>
                <w:tcPr>
                  <w:tcW w:w="668" w:type="dxa"/>
                  <w:vMerge w:val="restart"/>
                  <w:noWrap w:val="0"/>
                  <w:vAlign w:val="center"/>
                </w:tcPr>
                <w:p>
                  <w:pPr>
                    <w:spacing w:line="240" w:lineRule="auto"/>
                    <w:jc w:val="center"/>
                    <w:textAlignment w:val="baseline"/>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98"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662"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1311"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8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b/>
                      <w:bCs/>
                      <w:color w:val="auto"/>
                      <w:sz w:val="21"/>
                      <w:szCs w:val="21"/>
                      <w:highlight w:val="none"/>
                      <w:vertAlign w:val="baseline"/>
                    </w:rPr>
                  </w:pPr>
                  <w:r>
                    <w:rPr>
                      <w:b/>
                      <w:bCs/>
                      <w:color w:val="auto"/>
                      <w:spacing w:val="-7"/>
                      <w:sz w:val="21"/>
                      <w:szCs w:val="21"/>
                    </w:rPr>
                    <w:t>第</w:t>
                  </w:r>
                  <w:r>
                    <w:rPr>
                      <w:rFonts w:ascii="Times New Roman" w:hAnsi="Times New Roman" w:eastAsia="Times New Roman" w:cs="Times New Roman"/>
                      <w:b/>
                      <w:bCs/>
                      <w:color w:val="auto"/>
                      <w:spacing w:val="-7"/>
                      <w:sz w:val="21"/>
                      <w:szCs w:val="21"/>
                    </w:rPr>
                    <w:t>1</w:t>
                  </w:r>
                  <w:r>
                    <w:rPr>
                      <w:b/>
                      <w:bCs/>
                      <w:color w:val="auto"/>
                      <w:spacing w:val="-7"/>
                      <w:sz w:val="21"/>
                      <w:szCs w:val="21"/>
                    </w:rPr>
                    <w:t>次</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b/>
                      <w:bCs/>
                      <w:color w:val="auto"/>
                      <w:sz w:val="21"/>
                      <w:szCs w:val="21"/>
                      <w:highlight w:val="none"/>
                      <w:vertAlign w:val="baseline"/>
                    </w:rPr>
                  </w:pPr>
                  <w:r>
                    <w:rPr>
                      <w:b/>
                      <w:bCs/>
                      <w:color w:val="auto"/>
                      <w:sz w:val="21"/>
                      <w:szCs w:val="21"/>
                    </w:rPr>
                    <w:t>第</w:t>
                  </w:r>
                  <w:r>
                    <w:rPr>
                      <w:rFonts w:hint="eastAsia"/>
                      <w:b/>
                      <w:bCs/>
                      <w:color w:val="auto"/>
                      <w:sz w:val="21"/>
                      <w:szCs w:val="21"/>
                      <w:lang w:val="en-US" w:eastAsia="zh-CN"/>
                    </w:rPr>
                    <w:t>2</w:t>
                  </w:r>
                  <w:r>
                    <w:rPr>
                      <w:b/>
                      <w:bCs/>
                      <w:color w:val="auto"/>
                      <w:sz w:val="21"/>
                      <w:szCs w:val="21"/>
                    </w:rPr>
                    <w:t>次</w:t>
                  </w:r>
                </w:p>
              </w:tc>
              <w:tc>
                <w:tcPr>
                  <w:tcW w:w="86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b/>
                      <w:bCs/>
                      <w:color w:val="auto"/>
                      <w:sz w:val="21"/>
                      <w:szCs w:val="21"/>
                      <w:highlight w:val="none"/>
                      <w:vertAlign w:val="baseline"/>
                    </w:rPr>
                  </w:pPr>
                  <w:r>
                    <w:rPr>
                      <w:b/>
                      <w:bCs/>
                      <w:color w:val="auto"/>
                      <w:spacing w:val="-1"/>
                      <w:sz w:val="21"/>
                      <w:szCs w:val="21"/>
                    </w:rPr>
                    <w:t>第</w:t>
                  </w:r>
                  <w:r>
                    <w:rPr>
                      <w:rFonts w:ascii="Times New Roman" w:hAnsi="Times New Roman" w:eastAsia="Times New Roman" w:cs="Times New Roman"/>
                      <w:b/>
                      <w:bCs/>
                      <w:color w:val="auto"/>
                      <w:spacing w:val="-1"/>
                      <w:sz w:val="21"/>
                      <w:szCs w:val="21"/>
                    </w:rPr>
                    <w:t>3</w:t>
                  </w:r>
                  <w:r>
                    <w:rPr>
                      <w:b/>
                      <w:bCs/>
                      <w:color w:val="auto"/>
                      <w:spacing w:val="-1"/>
                      <w:sz w:val="21"/>
                      <w:szCs w:val="21"/>
                    </w:rPr>
                    <w:t>次</w:t>
                  </w:r>
                </w:p>
              </w:tc>
              <w:tc>
                <w:tcPr>
                  <w:tcW w:w="81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b/>
                      <w:bCs/>
                      <w:color w:val="auto"/>
                      <w:sz w:val="21"/>
                      <w:szCs w:val="21"/>
                      <w:highlight w:val="none"/>
                      <w:vertAlign w:val="baseline"/>
                    </w:rPr>
                  </w:pPr>
                  <w:r>
                    <w:rPr>
                      <w:b/>
                      <w:bCs/>
                      <w:color w:val="auto"/>
                      <w:sz w:val="21"/>
                      <w:szCs w:val="21"/>
                    </w:rPr>
                    <w:t>第</w:t>
                  </w:r>
                  <w:r>
                    <w:rPr>
                      <w:rFonts w:hint="eastAsia"/>
                      <w:b/>
                      <w:bCs/>
                      <w:color w:val="auto"/>
                      <w:spacing w:val="-44"/>
                      <w:sz w:val="21"/>
                      <w:szCs w:val="21"/>
                      <w:lang w:val="en-US" w:eastAsia="zh-CN"/>
                    </w:rPr>
                    <w:t>4</w:t>
                  </w:r>
                  <w:r>
                    <w:rPr>
                      <w:b/>
                      <w:bCs/>
                      <w:color w:val="auto"/>
                      <w:sz w:val="21"/>
                      <w:szCs w:val="21"/>
                    </w:rPr>
                    <w:t>次</w:t>
                  </w: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cs="Times New Roman"/>
                      <w:b/>
                      <w:bCs/>
                      <w:color w:val="auto"/>
                      <w:sz w:val="21"/>
                      <w:szCs w:val="21"/>
                      <w:highlight w:val="none"/>
                      <w:vertAlign w:val="baseline"/>
                    </w:rPr>
                  </w:pPr>
                  <w:r>
                    <w:rPr>
                      <w:rFonts w:hint="eastAsia"/>
                      <w:b/>
                      <w:bCs/>
                      <w:color w:val="auto"/>
                      <w:sz w:val="21"/>
                      <w:szCs w:val="21"/>
                      <w:lang w:val="en-US" w:eastAsia="zh-CN"/>
                    </w:rPr>
                    <w:t>平均值</w:t>
                  </w:r>
                </w:p>
              </w:tc>
              <w:tc>
                <w:tcPr>
                  <w:tcW w:w="673"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c>
                <w:tcPr>
                  <w:tcW w:w="668" w:type="dxa"/>
                  <w:vMerge w:val="continue"/>
                  <w:noWrap w:val="0"/>
                  <w:vAlign w:val="center"/>
                </w:tcPr>
                <w:p>
                  <w:pPr>
                    <w:spacing w:line="360" w:lineRule="auto"/>
                    <w:jc w:val="center"/>
                    <w:textAlignment w:val="baseline"/>
                    <w:rPr>
                      <w:rFonts w:hint="default" w:ascii="Times New Roman" w:hAnsi="Times New Roman" w:cs="Times New Roman"/>
                      <w:color w:val="auto"/>
                      <w:sz w:val="21"/>
                      <w:szCs w:val="21"/>
                      <w:highlight w:val="none"/>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798" w:type="dxa"/>
                  <w:noWrap w:val="0"/>
                  <w:vAlign w:val="center"/>
                </w:tcPr>
                <w:p>
                  <w:pPr>
                    <w:spacing w:line="240" w:lineRule="auto"/>
                    <w:jc w:val="center"/>
                    <w:textAlignment w:val="baseline"/>
                    <w:rPr>
                      <w:rFonts w:hint="default" w:ascii="Times New Roman" w:hAnsi="Times New Roman" w:cs="Times New Roman"/>
                      <w:color w:val="auto"/>
                      <w:sz w:val="21"/>
                      <w:szCs w:val="21"/>
                      <w:highlight w:val="none"/>
                      <w:vertAlign w:val="baseline"/>
                    </w:rPr>
                  </w:pPr>
                  <w:r>
                    <w:rPr>
                      <w:rFonts w:hint="eastAsia" w:ascii="Times New Roman" w:hAnsi="Times New Roman" w:cs="Times New Roman"/>
                      <w:color w:val="auto"/>
                      <w:sz w:val="21"/>
                      <w:szCs w:val="21"/>
                      <w:highlight w:val="none"/>
                      <w:vertAlign w:val="baseline"/>
                      <w:lang w:val="en-US" w:eastAsia="zh-CN"/>
                    </w:rPr>
                    <w:t>非甲烷总烃</w:t>
                  </w:r>
                </w:p>
              </w:tc>
              <w:tc>
                <w:tcPr>
                  <w:tcW w:w="662" w:type="dxa"/>
                  <w:noWrap w:val="0"/>
                  <w:vAlign w:val="center"/>
                </w:tcPr>
                <w:p>
                  <w:pPr>
                    <w:spacing w:line="240" w:lineRule="auto"/>
                    <w:jc w:val="center"/>
                    <w:textAlignment w:val="baseline"/>
                    <w:rPr>
                      <w:rFonts w:hint="default" w:ascii="Times New Roman" w:hAnsi="Times New Roman" w:cs="Times New Roman"/>
                      <w:color w:val="auto"/>
                      <w:sz w:val="21"/>
                      <w:szCs w:val="21"/>
                      <w:highlight w:val="none"/>
                      <w:vertAlign w:val="baseline"/>
                    </w:rPr>
                  </w:pPr>
                  <w:r>
                    <w:rPr>
                      <w:rFonts w:hint="eastAsia" w:ascii="Times New Roman" w:hAnsi="Times New Roman" w:cs="Times New Roman"/>
                      <w:color w:val="auto"/>
                      <w:sz w:val="21"/>
                      <w:szCs w:val="21"/>
                      <w:highlight w:val="none"/>
                      <w:vertAlign w:val="baseline"/>
                      <w:lang w:val="en-US" w:eastAsia="zh-CN"/>
                    </w:rPr>
                    <w:t>2023.5.24</w:t>
                  </w:r>
                </w:p>
              </w:tc>
              <w:tc>
                <w:tcPr>
                  <w:tcW w:w="1311" w:type="dxa"/>
                  <w:noWrap w:val="0"/>
                  <w:vAlign w:val="center"/>
                </w:tcPr>
                <w:p>
                  <w:pPr>
                    <w:spacing w:line="240" w:lineRule="auto"/>
                    <w:jc w:val="center"/>
                    <w:textAlignment w:val="baseline"/>
                    <w:rPr>
                      <w:rFonts w:hint="default" w:ascii="Times New Roman" w:hAnsi="Times New Roman" w:cs="Times New Roman"/>
                      <w:color w:val="auto"/>
                      <w:sz w:val="21"/>
                      <w:szCs w:val="21"/>
                      <w:highlight w:val="none"/>
                      <w:vertAlign w:val="baseline"/>
                    </w:rPr>
                  </w:pPr>
                  <w:r>
                    <w:rPr>
                      <w:rFonts w:hint="eastAsia" w:ascii="Times New Roman" w:hAnsi="Times New Roman" w:cs="Times New Roman"/>
                      <w:color w:val="auto"/>
                      <w:sz w:val="21"/>
                      <w:szCs w:val="21"/>
                      <w:highlight w:val="none"/>
                      <w:lang w:val="en-US" w:eastAsia="zh-CN"/>
                    </w:rPr>
                    <w:t>油气回收系统处理装置排放口</w:t>
                  </w:r>
                </w:p>
              </w:tc>
              <w:tc>
                <w:tcPr>
                  <w:tcW w:w="897"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2.38</w:t>
                  </w:r>
                </w:p>
              </w:tc>
              <w:tc>
                <w:tcPr>
                  <w:tcW w:w="851"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2.52</w:t>
                  </w:r>
                </w:p>
              </w:tc>
              <w:tc>
                <w:tcPr>
                  <w:tcW w:w="862"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2.79</w:t>
                  </w:r>
                </w:p>
              </w:tc>
              <w:tc>
                <w:tcPr>
                  <w:tcW w:w="815"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2.91</w:t>
                  </w:r>
                </w:p>
              </w:tc>
              <w:tc>
                <w:tcPr>
                  <w:tcW w:w="898"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2.65</w:t>
                  </w:r>
                </w:p>
              </w:tc>
              <w:tc>
                <w:tcPr>
                  <w:tcW w:w="673" w:type="dxa"/>
                  <w:noWrap w:val="0"/>
                  <w:vAlign w:val="center"/>
                </w:tcPr>
                <w:p>
                  <w:pPr>
                    <w:spacing w:line="360" w:lineRule="auto"/>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≤25</w:t>
                  </w:r>
                </w:p>
              </w:tc>
              <w:tc>
                <w:tcPr>
                  <w:tcW w:w="668" w:type="dxa"/>
                  <w:noWrap w:val="0"/>
                  <w:vAlign w:val="center"/>
                </w:tcPr>
                <w:p>
                  <w:pPr>
                    <w:spacing w:line="360" w:lineRule="auto"/>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达标</w:t>
                  </w:r>
                </w:p>
              </w:tc>
            </w:tr>
          </w:tbl>
          <w:p>
            <w:pPr>
              <w:spacing w:line="360" w:lineRule="auto"/>
              <w:ind w:firstLine="420" w:firstLineChars="200"/>
              <w:textAlignment w:val="baseline"/>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 3 \* GB3 \* MERGEFORMAT </w:instrText>
            </w:r>
            <w:r>
              <w:rPr>
                <w:rFonts w:hint="default" w:ascii="Times New Roman" w:hAnsi="Times New Roman" w:cs="Times New Roman"/>
                <w:color w:val="auto"/>
                <w:sz w:val="21"/>
                <w:szCs w:val="21"/>
                <w:highlight w:val="none"/>
              </w:rPr>
              <w:fldChar w:fldCharType="separate"/>
            </w:r>
            <w:r>
              <w:rPr>
                <w:color w:val="auto"/>
              </w:rPr>
              <w:t>③</w:t>
            </w:r>
            <w:r>
              <w:rPr>
                <w:rFonts w:hint="default" w:ascii="Times New Roman" w:hAnsi="Times New Roman" w:cs="Times New Roman"/>
                <w:color w:val="auto"/>
                <w:sz w:val="21"/>
                <w:szCs w:val="21"/>
                <w:highlight w:val="none"/>
              </w:rPr>
              <w:fldChar w:fldCharType="end"/>
            </w:r>
            <w:r>
              <w:rPr>
                <w:color w:val="auto"/>
                <w:spacing w:val="-2"/>
              </w:rPr>
              <w:t>二次油气回收系统现状监测</w:t>
            </w:r>
          </w:p>
          <w:p>
            <w:pPr>
              <w:pStyle w:val="79"/>
              <w:keepNext w:val="0"/>
              <w:keepLines w:val="0"/>
              <w:pageBreakBefore w:val="0"/>
              <w:widowControl w:val="0"/>
              <w:kinsoku/>
              <w:wordWrap/>
              <w:overflowPunct/>
              <w:topLinePunct w:val="0"/>
              <w:autoSpaceDE/>
              <w:autoSpaceDN/>
              <w:bidi w:val="0"/>
              <w:adjustRightInd/>
              <w:snapToGrid/>
              <w:spacing w:line="360" w:lineRule="auto"/>
              <w:ind w:left="108" w:firstLine="476"/>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根据加油站自行监测报告，本项目加油站的二次油气回收系统</w:t>
            </w:r>
            <w:r>
              <w:rPr>
                <w:rFonts w:hint="default" w:ascii="Times New Roman" w:hAnsi="Times New Roman" w:eastAsia="宋体" w:cs="Times New Roman"/>
                <w:color w:val="auto"/>
                <w:kern w:val="0"/>
                <w:sz w:val="21"/>
                <w:szCs w:val="21"/>
                <w:highlight w:val="none"/>
                <w:lang w:val="en-US" w:eastAsia="zh-CN" w:bidi="ar-SA"/>
              </w:rPr>
              <w:t>气液比满足《加油站大气污染物排放标准》（G</w:t>
            </w:r>
            <w:r>
              <w:rPr>
                <w:rFonts w:hint="default" w:ascii="Times New Roman" w:hAnsi="Times New Roman" w:eastAsia="宋体" w:cs="Times New Roman"/>
                <w:color w:val="auto"/>
                <w:kern w:val="0"/>
                <w:sz w:val="21"/>
                <w:szCs w:val="21"/>
                <w:highlight w:val="none"/>
                <w:lang w:val="en-US" w:eastAsia="zh-CN" w:bidi="ar-SA"/>
              </w:rPr>
              <w:t>B20952-2020）中1.0-1.2的要求限值；</w:t>
            </w:r>
            <w:r>
              <w:rPr>
                <w:rFonts w:hint="default" w:ascii="Times New Roman" w:hAnsi="Times New Roman" w:cs="Times New Roman"/>
                <w:color w:val="auto"/>
                <w:spacing w:val="-5"/>
                <w:sz w:val="21"/>
                <w:szCs w:val="21"/>
              </w:rPr>
              <w:t>回收管线液阻检测值小于《加油站大气污染物排放标准》</w:t>
            </w:r>
            <w:r>
              <w:rPr>
                <w:rFonts w:hint="default" w:ascii="Times New Roman" w:hAnsi="Times New Roman" w:cs="Times New Roman"/>
                <w:color w:val="auto"/>
                <w:spacing w:val="-2"/>
                <w:sz w:val="21"/>
                <w:szCs w:val="21"/>
              </w:rPr>
              <w:t>（</w:t>
            </w:r>
            <w:r>
              <w:rPr>
                <w:rFonts w:hint="default" w:ascii="Times New Roman" w:hAnsi="Times New Roman" w:eastAsia="Times New Roman" w:cs="Times New Roman"/>
                <w:color w:val="auto"/>
                <w:spacing w:val="-2"/>
                <w:sz w:val="21"/>
                <w:szCs w:val="21"/>
              </w:rPr>
              <w:t>GB20952-2020</w:t>
            </w:r>
            <w:r>
              <w:rPr>
                <w:rFonts w:hint="default" w:ascii="Times New Roman" w:hAnsi="Times New Roman" w:cs="Times New Roman"/>
                <w:color w:val="auto"/>
                <w:spacing w:val="-2"/>
                <w:sz w:val="21"/>
                <w:szCs w:val="21"/>
              </w:rPr>
              <w:t>）表</w:t>
            </w:r>
            <w:r>
              <w:rPr>
                <w:rFonts w:hint="default" w:ascii="Times New Roman" w:hAnsi="Times New Roman" w:cs="Times New Roman"/>
                <w:color w:val="auto"/>
                <w:spacing w:val="-32"/>
                <w:sz w:val="21"/>
                <w:szCs w:val="21"/>
                <w:lang w:val="en-US" w:eastAsia="zh-CN"/>
              </w:rPr>
              <w:t>1</w:t>
            </w:r>
            <w:r>
              <w:rPr>
                <w:rFonts w:hint="default" w:ascii="Times New Roman" w:hAnsi="Times New Roman" w:cs="Times New Roman"/>
                <w:color w:val="auto"/>
                <w:spacing w:val="-2"/>
                <w:sz w:val="21"/>
                <w:szCs w:val="21"/>
              </w:rPr>
              <w:t>规定</w:t>
            </w:r>
            <w:r>
              <w:rPr>
                <w:rFonts w:hint="default" w:ascii="Times New Roman" w:hAnsi="Times New Roman" w:cs="Times New Roman"/>
                <w:color w:val="auto"/>
                <w:spacing w:val="-3"/>
                <w:sz w:val="21"/>
                <w:szCs w:val="21"/>
              </w:rPr>
              <w:t>的最大压力限值</w:t>
            </w:r>
            <w:r>
              <w:rPr>
                <w:rFonts w:hint="default" w:ascii="Times New Roman" w:hAnsi="Times New Roman" w:cs="Times New Roman"/>
                <w:color w:val="auto"/>
                <w:spacing w:val="-3"/>
                <w:sz w:val="21"/>
                <w:szCs w:val="21"/>
                <w:lang w:eastAsia="zh-CN"/>
              </w:rPr>
              <w:t>；</w:t>
            </w:r>
            <w:r>
              <w:rPr>
                <w:rFonts w:hint="default" w:ascii="Times New Roman" w:hAnsi="Times New Roman" w:cs="Times New Roman"/>
                <w:color w:val="auto"/>
                <w:spacing w:val="-3"/>
                <w:sz w:val="21"/>
                <w:szCs w:val="21"/>
              </w:rPr>
              <w:t>密</w:t>
            </w:r>
            <w:r>
              <w:rPr>
                <w:rFonts w:hint="default" w:ascii="Times New Roman" w:hAnsi="Times New Roman" w:cs="Times New Roman"/>
                <w:color w:val="auto"/>
                <w:spacing w:val="-1"/>
                <w:sz w:val="21"/>
                <w:szCs w:val="21"/>
              </w:rPr>
              <w:t>闭性压力检测值大于等于《加油站大气污染物排放标准》（</w:t>
            </w:r>
            <w:r>
              <w:rPr>
                <w:rFonts w:hint="default" w:ascii="Times New Roman" w:hAnsi="Times New Roman" w:eastAsia="Times New Roman" w:cs="Times New Roman"/>
                <w:color w:val="auto"/>
                <w:spacing w:val="-1"/>
                <w:sz w:val="21"/>
                <w:szCs w:val="21"/>
              </w:rPr>
              <w:t>GB20952-2020</w:t>
            </w:r>
            <w:r>
              <w:rPr>
                <w:rFonts w:hint="default" w:ascii="Times New Roman" w:hAnsi="Times New Roman" w:cs="Times New Roman"/>
                <w:color w:val="auto"/>
                <w:spacing w:val="-1"/>
                <w:sz w:val="21"/>
                <w:szCs w:val="21"/>
              </w:rPr>
              <w:t>）表</w:t>
            </w:r>
            <w:r>
              <w:rPr>
                <w:rFonts w:hint="default" w:ascii="Times New Roman" w:hAnsi="Times New Roman" w:cs="Times New Roman"/>
                <w:color w:val="auto"/>
                <w:spacing w:val="-38"/>
                <w:sz w:val="21"/>
                <w:szCs w:val="21"/>
                <w:lang w:val="en-US" w:eastAsia="zh-CN"/>
              </w:rPr>
              <w:t>2</w:t>
            </w:r>
            <w:r>
              <w:rPr>
                <w:rFonts w:hint="default" w:ascii="Times New Roman" w:hAnsi="Times New Roman" w:cs="Times New Roman"/>
                <w:color w:val="auto"/>
                <w:spacing w:val="-5"/>
                <w:sz w:val="21"/>
                <w:szCs w:val="21"/>
              </w:rPr>
              <w:t>规定的最小剩余压力值</w:t>
            </w:r>
            <w:r>
              <w:rPr>
                <w:rFonts w:hint="default" w:ascii="Times New Roman" w:hAnsi="Times New Roman" w:cs="Times New Roman"/>
                <w:color w:val="auto"/>
                <w:spacing w:val="-5"/>
                <w:sz w:val="21"/>
                <w:szCs w:val="21"/>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baseline"/>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3</w:t>
            </w:r>
            <w:r>
              <w:rPr>
                <w:rFonts w:hint="eastAsia" w:ascii="Times New Roman" w:hAnsi="Times New Roman" w:cs="Times New Roman"/>
                <w:color w:val="auto"/>
                <w:sz w:val="21"/>
                <w:szCs w:val="21"/>
                <w:highlight w:val="none"/>
                <w:lang w:eastAsia="zh-CN"/>
              </w:rPr>
              <w:t>）</w:t>
            </w:r>
            <w:r>
              <w:rPr>
                <w:color w:val="auto"/>
                <w:sz w:val="21"/>
                <w:szCs w:val="21"/>
              </w:rPr>
              <w:t>废气达标排放及影响分析</w:t>
            </w:r>
          </w:p>
          <w:p>
            <w:pPr>
              <w:pStyle w:val="79"/>
              <w:keepNext w:val="0"/>
              <w:keepLines w:val="0"/>
              <w:pageBreakBefore w:val="0"/>
              <w:widowControl w:val="0"/>
              <w:kinsoku/>
              <w:wordWrap/>
              <w:overflowPunct/>
              <w:topLinePunct w:val="0"/>
              <w:autoSpaceDE/>
              <w:autoSpaceDN/>
              <w:bidi w:val="0"/>
              <w:adjustRightInd/>
              <w:snapToGrid/>
              <w:spacing w:line="360" w:lineRule="auto"/>
              <w:ind w:left="108" w:right="96" w:firstLine="482"/>
              <w:jc w:val="both"/>
              <w:textAlignment w:val="auto"/>
              <w:rPr>
                <w:rFonts w:hint="default" w:ascii="Times New Roman" w:hAnsi="Times New Roman" w:cs="Times New Roman"/>
                <w:color w:val="auto"/>
                <w:sz w:val="21"/>
                <w:szCs w:val="21"/>
                <w:highlight w:val="none"/>
              </w:rPr>
            </w:pPr>
            <w:r>
              <w:rPr>
                <w:color w:val="auto"/>
                <w:spacing w:val="-1"/>
                <w:sz w:val="21"/>
                <w:szCs w:val="21"/>
              </w:rPr>
              <w:t>加油站的废气污染物主要为非甲烷总烃，根据前述计算及监测数据，项目产生的非甲烷总烃经一次、二次、三次油气回收装置回收处理后，非甲烷总烃的无</w:t>
            </w:r>
            <w:r>
              <w:rPr>
                <w:color w:val="auto"/>
                <w:spacing w:val="-2"/>
                <w:sz w:val="21"/>
                <w:szCs w:val="21"/>
              </w:rPr>
              <w:t>组织排放浓度可以满足《加油站大气污染物排放标准》（</w:t>
            </w:r>
            <w:r>
              <w:rPr>
                <w:rFonts w:ascii="Times New Roman" w:hAnsi="Times New Roman" w:eastAsia="Times New Roman" w:cs="Times New Roman"/>
                <w:color w:val="auto"/>
                <w:spacing w:val="-2"/>
                <w:sz w:val="21"/>
                <w:szCs w:val="21"/>
              </w:rPr>
              <w:t>GB20952-2020</w:t>
            </w:r>
            <w:r>
              <w:rPr>
                <w:color w:val="auto"/>
                <w:spacing w:val="-2"/>
                <w:sz w:val="21"/>
                <w:szCs w:val="21"/>
              </w:rPr>
              <w:t>）中的无</w:t>
            </w:r>
            <w:r>
              <w:rPr>
                <w:color w:val="auto"/>
                <w:spacing w:val="-1"/>
                <w:sz w:val="21"/>
                <w:szCs w:val="21"/>
              </w:rPr>
              <w:t>组织排放要求；经储油三次油气回收装置回收处理后，非甲烷总烃的有组织排放</w:t>
            </w:r>
            <w:r>
              <w:rPr>
                <w:color w:val="auto"/>
                <w:spacing w:val="-2"/>
                <w:sz w:val="21"/>
                <w:szCs w:val="21"/>
              </w:rPr>
              <w:t>浓度可以满足《加油站大气污染物排放标准》（</w:t>
            </w:r>
            <w:r>
              <w:rPr>
                <w:rFonts w:ascii="Times New Roman" w:hAnsi="Times New Roman" w:eastAsia="Times New Roman" w:cs="Times New Roman"/>
                <w:color w:val="auto"/>
                <w:spacing w:val="-2"/>
                <w:sz w:val="21"/>
                <w:szCs w:val="21"/>
              </w:rPr>
              <w:t>GB20952-2020</w:t>
            </w:r>
            <w:r>
              <w:rPr>
                <w:color w:val="auto"/>
                <w:spacing w:val="-2"/>
                <w:sz w:val="21"/>
                <w:szCs w:val="21"/>
              </w:rPr>
              <w:t>）的限值要求；进</w:t>
            </w:r>
            <w:r>
              <w:rPr>
                <w:color w:val="auto"/>
                <w:spacing w:val="-1"/>
                <w:sz w:val="21"/>
                <w:szCs w:val="21"/>
              </w:rPr>
              <w:t>出车辆汽车尾气易于扩散且排放量相对较小；因此，项目营运期对周围环境影响</w:t>
            </w:r>
            <w:r>
              <w:rPr>
                <w:color w:val="auto"/>
                <w:spacing w:val="-4"/>
                <w:sz w:val="21"/>
                <w:szCs w:val="21"/>
              </w:rPr>
              <w:t>较小。</w:t>
            </w:r>
          </w:p>
          <w:p>
            <w:pPr>
              <w:spacing w:line="360" w:lineRule="auto"/>
              <w:ind w:firstLine="420" w:firstLineChars="200"/>
              <w:textAlignment w:val="baseline"/>
              <w:rPr>
                <w:rFonts w:hint="default" w:ascii="Times New Roman" w:hAnsi="Times New Roman" w:cs="Times New Roman"/>
                <w:sz w:val="21"/>
                <w:szCs w:val="21"/>
                <w:highlight w:val="none"/>
              </w:rPr>
            </w:pPr>
            <w:r>
              <w:rPr>
                <w:rFonts w:hint="eastAsia" w:ascii="宋体" w:hAnsi="宋体" w:eastAsia="宋体" w:cs="宋体"/>
                <w:sz w:val="21"/>
                <w:szCs w:val="21"/>
                <w:highlight w:val="none"/>
                <w:lang w:eastAsia="zh-CN"/>
              </w:rPr>
              <w:t>（</w:t>
            </w:r>
            <w:r>
              <w:rPr>
                <w:rFonts w:hint="eastAsia" w:ascii="宋体" w:hAnsi="宋体" w:eastAsia="宋体" w:cs="宋体"/>
                <w:sz w:val="21"/>
                <w:szCs w:val="21"/>
                <w:highlight w:val="none"/>
                <w:lang w:val="en-US" w:eastAsia="zh-CN"/>
              </w:rPr>
              <w:t>4</w:t>
            </w:r>
            <w:r>
              <w:rPr>
                <w:rFonts w:hint="eastAsia" w:ascii="宋体" w:hAnsi="宋体" w:eastAsia="宋体" w:cs="宋体"/>
                <w:sz w:val="21"/>
                <w:szCs w:val="21"/>
                <w:highlight w:val="none"/>
                <w:lang w:eastAsia="zh-CN"/>
              </w:rPr>
              <w:t>）</w:t>
            </w:r>
            <w:r>
              <w:rPr>
                <w:rFonts w:hint="default" w:ascii="Times New Roman" w:hAnsi="Times New Roman" w:cs="Times New Roman"/>
                <w:sz w:val="21"/>
                <w:szCs w:val="21"/>
                <w:highlight w:val="none"/>
              </w:rPr>
              <w:t>监测要求</w:t>
            </w:r>
          </w:p>
          <w:p>
            <w:pPr>
              <w:pStyle w:val="71"/>
              <w:ind w:firstLine="420"/>
              <w:rPr>
                <w:rFonts w:hint="eastAsia" w:ascii="Times New Roman" w:hAnsi="Times New Roman" w:eastAsia="宋体" w:cs="Times New Roman"/>
                <w:kern w:val="0"/>
                <w:sz w:val="21"/>
                <w:szCs w:val="21"/>
                <w:highlight w:val="none"/>
                <w:lang w:val="en-US" w:eastAsia="zh-CN"/>
              </w:rPr>
            </w:pPr>
            <w:r>
              <w:rPr>
                <w:rFonts w:hint="default" w:ascii="Times New Roman" w:hAnsi="Times New Roman" w:cs="Times New Roman"/>
                <w:kern w:val="0"/>
                <w:sz w:val="21"/>
                <w:szCs w:val="21"/>
                <w:highlight w:val="none"/>
              </w:rPr>
              <w:t>根据《排污许可证申请与核发技术规范储油库、加油站》（HJ1118-2020）表8要求，本项目运营后应定期委托有资质环境监测单位对废气开展污染源监测，以便及时掌握产排污规律，加强污染治理。项目运营期环境监测计划见下表</w:t>
            </w:r>
            <w:r>
              <w:rPr>
                <w:rFonts w:hint="eastAsia" w:ascii="Times New Roman" w:hAnsi="Times New Roman" w:cs="Times New Roman"/>
                <w:kern w:val="0"/>
                <w:sz w:val="21"/>
                <w:szCs w:val="21"/>
                <w:highlight w:val="none"/>
                <w:lang w:eastAsia="zh-CN"/>
              </w:rPr>
              <w:t>。</w:t>
            </w:r>
          </w:p>
          <w:p>
            <w:pPr>
              <w:pStyle w:val="71"/>
              <w:spacing w:line="240" w:lineRule="auto"/>
              <w:ind w:firstLine="0" w:firstLineChars="0"/>
              <w:jc w:val="center"/>
              <w:rPr>
                <w:rFonts w:hint="default" w:ascii="Times New Roman" w:hAnsi="Times New Roman" w:cs="Times New Roman"/>
                <w:b/>
                <w:bCs/>
                <w:kern w:val="0"/>
                <w:sz w:val="21"/>
                <w:szCs w:val="21"/>
                <w:highlight w:val="none"/>
              </w:rPr>
            </w:pPr>
            <w:r>
              <w:rPr>
                <w:rFonts w:hint="default" w:ascii="Times New Roman" w:hAnsi="Times New Roman" w:cs="Times New Roman"/>
                <w:b/>
                <w:bCs/>
                <w:kern w:val="0"/>
                <w:sz w:val="21"/>
                <w:szCs w:val="21"/>
                <w:highlight w:val="none"/>
              </w:rPr>
              <w:t>表4-</w:t>
            </w:r>
            <w:r>
              <w:rPr>
                <w:rFonts w:hint="eastAsia" w:ascii="Times New Roman" w:hAnsi="Times New Roman" w:cs="Times New Roman"/>
                <w:b/>
                <w:bCs/>
                <w:kern w:val="0"/>
                <w:sz w:val="21"/>
                <w:szCs w:val="21"/>
                <w:highlight w:val="none"/>
                <w:lang w:val="en-US" w:eastAsia="zh-CN"/>
              </w:rPr>
              <w:t>5</w:t>
            </w:r>
            <w:r>
              <w:rPr>
                <w:rFonts w:hint="default" w:ascii="Times New Roman" w:hAnsi="Times New Roman" w:cs="Times New Roman"/>
                <w:b/>
                <w:bCs/>
                <w:kern w:val="0"/>
                <w:sz w:val="21"/>
                <w:szCs w:val="21"/>
                <w:highlight w:val="none"/>
              </w:rPr>
              <w:t>废气监测内容及计划一览表</w:t>
            </w:r>
          </w:p>
          <w:tbl>
            <w:tblPr>
              <w:tblStyle w:val="24"/>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4"/>
              <w:gridCol w:w="1287"/>
              <w:gridCol w:w="1075"/>
              <w:gridCol w:w="41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37" w:type="pct"/>
                  <w:noWrap w:val="0"/>
                  <w:vAlign w:val="center"/>
                </w:tcPr>
                <w:p>
                  <w:pPr>
                    <w:pStyle w:val="71"/>
                    <w:spacing w:line="240" w:lineRule="auto"/>
                    <w:ind w:firstLine="0" w:firstLineChars="0"/>
                    <w:jc w:val="center"/>
                    <w:rPr>
                      <w:rFonts w:hint="default" w:ascii="Times New Roman" w:hAnsi="Times New Roman" w:cs="Times New Roman"/>
                      <w:b/>
                      <w:bCs/>
                      <w:kern w:val="0"/>
                      <w:sz w:val="21"/>
                      <w:szCs w:val="21"/>
                      <w:highlight w:val="none"/>
                    </w:rPr>
                  </w:pPr>
                  <w:r>
                    <w:rPr>
                      <w:rFonts w:hint="default" w:ascii="Times New Roman" w:hAnsi="Times New Roman" w:cs="Times New Roman"/>
                      <w:b/>
                      <w:bCs/>
                      <w:kern w:val="0"/>
                      <w:sz w:val="21"/>
                      <w:szCs w:val="21"/>
                      <w:highlight w:val="none"/>
                    </w:rPr>
                    <w:t>监测点位</w:t>
                  </w:r>
                </w:p>
              </w:tc>
              <w:tc>
                <w:tcPr>
                  <w:tcW w:w="764" w:type="pct"/>
                  <w:noWrap w:val="0"/>
                  <w:vAlign w:val="center"/>
                </w:tcPr>
                <w:p>
                  <w:pPr>
                    <w:pStyle w:val="71"/>
                    <w:spacing w:line="240" w:lineRule="auto"/>
                    <w:ind w:firstLine="0" w:firstLineChars="0"/>
                    <w:jc w:val="center"/>
                    <w:rPr>
                      <w:rFonts w:hint="default" w:ascii="Times New Roman" w:hAnsi="Times New Roman" w:cs="Times New Roman"/>
                      <w:b/>
                      <w:bCs/>
                      <w:kern w:val="0"/>
                      <w:sz w:val="21"/>
                      <w:szCs w:val="21"/>
                      <w:highlight w:val="none"/>
                    </w:rPr>
                  </w:pPr>
                  <w:r>
                    <w:rPr>
                      <w:rFonts w:hint="default" w:ascii="Times New Roman" w:hAnsi="Times New Roman" w:cs="Times New Roman"/>
                      <w:b/>
                      <w:bCs/>
                      <w:kern w:val="0"/>
                      <w:sz w:val="21"/>
                      <w:szCs w:val="21"/>
                      <w:highlight w:val="none"/>
                    </w:rPr>
                    <w:t>监测项目</w:t>
                  </w:r>
                </w:p>
              </w:tc>
              <w:tc>
                <w:tcPr>
                  <w:tcW w:w="638" w:type="pct"/>
                  <w:noWrap w:val="0"/>
                  <w:vAlign w:val="center"/>
                </w:tcPr>
                <w:p>
                  <w:pPr>
                    <w:pStyle w:val="71"/>
                    <w:spacing w:line="240" w:lineRule="auto"/>
                    <w:ind w:firstLine="0" w:firstLineChars="0"/>
                    <w:jc w:val="center"/>
                    <w:rPr>
                      <w:rFonts w:hint="default" w:ascii="Times New Roman" w:hAnsi="Times New Roman" w:cs="Times New Roman"/>
                      <w:b/>
                      <w:bCs/>
                      <w:kern w:val="0"/>
                      <w:sz w:val="21"/>
                      <w:szCs w:val="21"/>
                      <w:highlight w:val="none"/>
                    </w:rPr>
                  </w:pPr>
                  <w:r>
                    <w:rPr>
                      <w:rFonts w:hint="default" w:ascii="Times New Roman" w:hAnsi="Times New Roman" w:cs="Times New Roman"/>
                      <w:b/>
                      <w:bCs/>
                      <w:kern w:val="0"/>
                      <w:sz w:val="21"/>
                      <w:szCs w:val="21"/>
                      <w:highlight w:val="none"/>
                    </w:rPr>
                    <w:t>监测频次</w:t>
                  </w:r>
                </w:p>
              </w:tc>
              <w:tc>
                <w:tcPr>
                  <w:tcW w:w="2458" w:type="pct"/>
                  <w:noWrap w:val="0"/>
                  <w:vAlign w:val="center"/>
                </w:tcPr>
                <w:p>
                  <w:pPr>
                    <w:pStyle w:val="71"/>
                    <w:spacing w:line="240" w:lineRule="auto"/>
                    <w:ind w:firstLine="0" w:firstLineChars="0"/>
                    <w:jc w:val="center"/>
                    <w:rPr>
                      <w:rFonts w:hint="default" w:ascii="Times New Roman" w:hAnsi="Times New Roman" w:cs="Times New Roman"/>
                      <w:b/>
                      <w:bCs/>
                      <w:kern w:val="0"/>
                      <w:sz w:val="21"/>
                      <w:szCs w:val="21"/>
                      <w:highlight w:val="none"/>
                    </w:rPr>
                  </w:pPr>
                  <w:r>
                    <w:rPr>
                      <w:rFonts w:hint="default" w:ascii="Times New Roman" w:hAnsi="Times New Roman" w:cs="Times New Roman"/>
                      <w:b/>
                      <w:bCs/>
                      <w:kern w:val="0"/>
                      <w:sz w:val="21"/>
                      <w:szCs w:val="21"/>
                      <w:highlight w:val="none"/>
                    </w:rPr>
                    <w:t>控制标准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1137" w:type="pct"/>
                  <w:noWrap w:val="0"/>
                  <w:vAlign w:val="center"/>
                </w:tcPr>
                <w:p>
                  <w:pPr>
                    <w:pStyle w:val="71"/>
                    <w:spacing w:line="240" w:lineRule="auto"/>
                    <w:ind w:firstLine="0" w:firstLineChars="0"/>
                    <w:jc w:val="center"/>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企业边界（上风向1个，下风向3个）</w:t>
                  </w:r>
                </w:p>
              </w:tc>
              <w:tc>
                <w:tcPr>
                  <w:tcW w:w="764" w:type="pct"/>
                  <w:noWrap w:val="0"/>
                  <w:vAlign w:val="center"/>
                </w:tcPr>
                <w:p>
                  <w:pPr>
                    <w:pStyle w:val="71"/>
                    <w:spacing w:line="240" w:lineRule="auto"/>
                    <w:ind w:firstLine="0" w:firstLineChars="0"/>
                    <w:jc w:val="center"/>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非甲烷总烃</w:t>
                  </w:r>
                </w:p>
              </w:tc>
              <w:tc>
                <w:tcPr>
                  <w:tcW w:w="638" w:type="pct"/>
                  <w:noWrap w:val="0"/>
                  <w:vAlign w:val="center"/>
                </w:tcPr>
                <w:p>
                  <w:pPr>
                    <w:pStyle w:val="71"/>
                    <w:spacing w:line="240" w:lineRule="auto"/>
                    <w:ind w:left="0" w:leftChars="0" w:firstLine="0" w:firstLineChars="0"/>
                    <w:jc w:val="center"/>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1次/年</w:t>
                  </w:r>
                </w:p>
              </w:tc>
              <w:tc>
                <w:tcPr>
                  <w:tcW w:w="2458" w:type="pct"/>
                  <w:vMerge w:val="restart"/>
                  <w:noWrap w:val="0"/>
                  <w:vAlign w:val="center"/>
                </w:tcPr>
                <w:p>
                  <w:pPr>
                    <w:pStyle w:val="71"/>
                    <w:spacing w:line="240" w:lineRule="auto"/>
                    <w:ind w:firstLine="0" w:firstLineChars="0"/>
                    <w:jc w:val="center"/>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《大气污染物综合排放标准》（GB16297-1996）表2无组织排放标准及《加油站大气污染物排放标准》（GB20952-2020）中相关规定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137" w:type="pct"/>
                  <w:noWrap w:val="0"/>
                  <w:vAlign w:val="center"/>
                </w:tcPr>
                <w:p>
                  <w:pPr>
                    <w:widowControl/>
                    <w:jc w:val="center"/>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油气处理回收装置排气口</w:t>
                  </w:r>
                </w:p>
              </w:tc>
              <w:tc>
                <w:tcPr>
                  <w:tcW w:w="764" w:type="pct"/>
                  <w:noWrap w:val="0"/>
                  <w:vAlign w:val="center"/>
                </w:tcPr>
                <w:p>
                  <w:pPr>
                    <w:pStyle w:val="71"/>
                    <w:spacing w:line="240" w:lineRule="auto"/>
                    <w:ind w:firstLine="0" w:firstLineChars="0"/>
                    <w:jc w:val="center"/>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rPr>
                    <w:t>非甲烷总烃</w:t>
                  </w:r>
                </w:p>
              </w:tc>
              <w:tc>
                <w:tcPr>
                  <w:tcW w:w="638" w:type="pct"/>
                  <w:noWrap w:val="0"/>
                  <w:vAlign w:val="center"/>
                </w:tcPr>
                <w:p>
                  <w:pPr>
                    <w:pStyle w:val="71"/>
                    <w:spacing w:line="240" w:lineRule="auto"/>
                    <w:ind w:firstLine="0" w:firstLineChars="0"/>
                    <w:jc w:val="center"/>
                    <w:rPr>
                      <w:rFonts w:hint="eastAsia" w:ascii="Times New Roman" w:hAnsi="Times New Roman" w:eastAsia="宋体" w:cs="Times New Roman"/>
                      <w:kern w:val="0"/>
                      <w:sz w:val="21"/>
                      <w:szCs w:val="21"/>
                      <w:highlight w:val="none"/>
                      <w:lang w:eastAsia="zh-CN"/>
                    </w:rPr>
                  </w:pPr>
                  <w:r>
                    <w:rPr>
                      <w:rFonts w:hint="default" w:ascii="Times New Roman" w:hAnsi="Times New Roman" w:cs="Times New Roman"/>
                      <w:kern w:val="0"/>
                      <w:sz w:val="21"/>
                      <w:szCs w:val="21"/>
                      <w:highlight w:val="none"/>
                    </w:rPr>
                    <w:t>1次/年</w:t>
                  </w:r>
                </w:p>
              </w:tc>
              <w:tc>
                <w:tcPr>
                  <w:tcW w:w="2458" w:type="pct"/>
                  <w:vMerge w:val="continue"/>
                  <w:noWrap w:val="0"/>
                  <w:vAlign w:val="center"/>
                </w:tcPr>
                <w:p>
                  <w:pPr>
                    <w:pStyle w:val="71"/>
                    <w:spacing w:line="240" w:lineRule="auto"/>
                    <w:ind w:firstLine="0" w:firstLineChars="0"/>
                    <w:jc w:val="center"/>
                    <w:rPr>
                      <w:rFonts w:hint="default" w:ascii="Times New Roman" w:hAnsi="Times New Roman" w:cs="Times New Roman"/>
                      <w:kern w:val="0"/>
                      <w:sz w:val="21"/>
                      <w:szCs w:val="21"/>
                      <w:highlight w:val="none"/>
                    </w:rPr>
                  </w:pPr>
                </w:p>
              </w:tc>
            </w:tr>
          </w:tbl>
          <w:p>
            <w:pPr>
              <w:spacing w:line="360" w:lineRule="auto"/>
              <w:ind w:firstLine="420" w:firstLineChars="200"/>
              <w:textAlignment w:val="baseline"/>
              <w:rPr>
                <w:rFonts w:hint="default" w:ascii="Times New Roman" w:hAnsi="Times New Roman" w:cs="Times New Roman"/>
                <w:sz w:val="21"/>
                <w:szCs w:val="21"/>
                <w:highlight w:val="none"/>
              </w:rPr>
            </w:pPr>
            <w:r>
              <w:rPr>
                <w:rFonts w:hint="eastAsia" w:ascii="Times New Roman" w:hAnsi="Times New Roman" w:cs="Times New Roman"/>
                <w:sz w:val="21"/>
                <w:szCs w:val="21"/>
                <w:highlight w:val="none"/>
                <w:lang w:eastAsia="zh-CN"/>
              </w:rPr>
              <w:t>（</w:t>
            </w:r>
            <w:r>
              <w:rPr>
                <w:rFonts w:hint="eastAsia" w:ascii="Times New Roman" w:hAnsi="Times New Roman" w:cs="Times New Roman"/>
                <w:sz w:val="21"/>
                <w:szCs w:val="21"/>
                <w:highlight w:val="none"/>
                <w:lang w:val="en-US" w:eastAsia="zh-CN"/>
              </w:rPr>
              <w:t>5</w:t>
            </w:r>
            <w:r>
              <w:rPr>
                <w:rFonts w:hint="eastAsia" w:ascii="Times New Roman" w:hAnsi="Times New Roman" w:cs="Times New Roman"/>
                <w:sz w:val="21"/>
                <w:szCs w:val="21"/>
                <w:highlight w:val="none"/>
                <w:lang w:eastAsia="zh-CN"/>
              </w:rPr>
              <w:t>）</w:t>
            </w:r>
            <w:r>
              <w:rPr>
                <w:rFonts w:hint="default" w:ascii="Times New Roman" w:hAnsi="Times New Roman" w:cs="Times New Roman"/>
                <w:sz w:val="21"/>
                <w:szCs w:val="21"/>
                <w:highlight w:val="none"/>
              </w:rPr>
              <w:t>治理方式可行性分析</w:t>
            </w:r>
          </w:p>
          <w:p>
            <w:pPr>
              <w:pStyle w:val="71"/>
              <w:ind w:firstLine="420"/>
              <w:rPr>
                <w:rFonts w:hint="default" w:ascii="Times New Roman" w:hAnsi="Times New Roman" w:cs="Times New Roman"/>
                <w:kern w:val="0"/>
                <w:sz w:val="21"/>
                <w:szCs w:val="21"/>
                <w:highlight w:val="none"/>
              </w:rPr>
            </w:pPr>
            <w:r>
              <w:rPr>
                <w:rFonts w:hint="default" w:ascii="Times New Roman" w:hAnsi="Times New Roman" w:cs="Times New Roman"/>
                <w:kern w:val="0"/>
                <w:sz w:val="21"/>
                <w:szCs w:val="21"/>
                <w:highlight w:val="none"/>
                <w:lang w:val="en-US" w:eastAsia="zh-CN"/>
              </w:rPr>
              <w:t>本项目设置有卸油油气回收系统、加油油气回收系统、油气回收处理装置</w:t>
            </w: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val="en-US" w:eastAsia="zh-CN"/>
              </w:rPr>
              <w:t>在油罐车采用封闭式卸油方式，油罐车卸下一定数量的</w:t>
            </w:r>
            <w:r>
              <w:rPr>
                <w:rFonts w:hint="eastAsia" w:ascii="Times New Roman" w:hAnsi="Times New Roman" w:cs="Times New Roman"/>
                <w:sz w:val="21"/>
                <w:szCs w:val="21"/>
                <w:highlight w:val="none"/>
                <w:lang w:val="en-US" w:eastAsia="zh-CN"/>
              </w:rPr>
              <w:t>成品油</w:t>
            </w:r>
            <w:r>
              <w:rPr>
                <w:rFonts w:hint="default" w:ascii="Times New Roman" w:hAnsi="Times New Roman" w:cs="Times New Roman"/>
                <w:sz w:val="21"/>
                <w:szCs w:val="21"/>
                <w:highlight w:val="none"/>
                <w:lang w:val="en-US" w:eastAsia="zh-CN"/>
              </w:rPr>
              <w:t>，就需吸入大致相等的气体补气，而加油站内的埋地油罐也因注入油品而向外排出相当数量的油气，此油气经过导管重新输回油罐车内，完成油气循环的卸油过程。当加油机向汽车油箱发油时，以油气回收真空泵做辅助动力，通过油气回收加油枪、比例调节阀、拉断阀、同轴胶管、油气分离接头、油气回收管线等把汽车油箱里产生的油气收集到地下储油罐内。油气回收装置</w:t>
            </w:r>
            <w:r>
              <w:rPr>
                <w:rFonts w:hint="default" w:ascii="Times New Roman" w:hAnsi="Times New Roman" w:cs="Times New Roman"/>
                <w:kern w:val="0"/>
                <w:sz w:val="21"/>
                <w:szCs w:val="21"/>
                <w:highlight w:val="none"/>
                <w:lang w:val="zh-CN"/>
              </w:rPr>
              <w:t>采用</w:t>
            </w:r>
            <w:r>
              <w:rPr>
                <w:rFonts w:hint="eastAsia" w:ascii="Times New Roman" w:hAnsi="Times New Roman" w:cs="Times New Roman"/>
                <w:kern w:val="0"/>
                <w:sz w:val="21"/>
                <w:szCs w:val="21"/>
                <w:highlight w:val="none"/>
                <w:lang w:val="en-US" w:eastAsia="zh-CN"/>
              </w:rPr>
              <w:t>膜分离法</w:t>
            </w:r>
            <w:r>
              <w:rPr>
                <w:rFonts w:hint="default" w:ascii="Times New Roman" w:hAnsi="Times New Roman" w:cs="Times New Roman"/>
                <w:kern w:val="0"/>
                <w:sz w:val="21"/>
                <w:szCs w:val="21"/>
                <w:highlight w:val="none"/>
                <w:lang w:val="zh-CN"/>
              </w:rPr>
              <w:t>对</w:t>
            </w:r>
            <w:r>
              <w:rPr>
                <w:rFonts w:hint="default" w:ascii="Times New Roman" w:hAnsi="Times New Roman" w:cs="Times New Roman"/>
                <w:kern w:val="0"/>
                <w:sz w:val="21"/>
                <w:szCs w:val="21"/>
                <w:highlight w:val="none"/>
                <w:lang w:val="en-US" w:eastAsia="zh-CN"/>
              </w:rPr>
              <w:t>加油油气回收系统的油气以及油罐内挥发的</w:t>
            </w:r>
            <w:r>
              <w:rPr>
                <w:rFonts w:hint="default" w:ascii="Times New Roman" w:hAnsi="Times New Roman" w:cs="Times New Roman"/>
                <w:kern w:val="0"/>
                <w:sz w:val="21"/>
                <w:szCs w:val="21"/>
                <w:highlight w:val="none"/>
                <w:lang w:val="zh-CN"/>
              </w:rPr>
              <w:t>油气进行回收处理。</w:t>
            </w:r>
            <w:r>
              <w:rPr>
                <w:rFonts w:hint="default" w:ascii="Times New Roman" w:hAnsi="Times New Roman" w:cs="Times New Roman"/>
                <w:kern w:val="0"/>
                <w:sz w:val="21"/>
                <w:szCs w:val="21"/>
                <w:highlight w:val="none"/>
              </w:rPr>
              <w:t>对照《排污许可证申请与核发技术规范储油库、加油站》（HJ1118-2020）中列出的废气污染防治可行技术，属于废气污染防治可行技术。</w:t>
            </w:r>
          </w:p>
          <w:p>
            <w:pPr>
              <w:pStyle w:val="71"/>
              <w:ind w:firstLine="42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综上，本项目废气治理方式可行。</w:t>
            </w:r>
          </w:p>
          <w:p>
            <w:pPr>
              <w:spacing w:line="360" w:lineRule="auto"/>
              <w:ind w:firstLine="422" w:firstLineChars="200"/>
              <w:rPr>
                <w:rFonts w:hint="default" w:ascii="Times New Roman" w:hAnsi="Times New Roman" w:cs="Times New Roman"/>
                <w:b/>
                <w:bCs/>
                <w:szCs w:val="21"/>
                <w:highlight w:val="yellow"/>
              </w:rPr>
            </w:pPr>
            <w:r>
              <w:rPr>
                <w:rFonts w:hint="default" w:ascii="Times New Roman" w:hAnsi="Times New Roman" w:cs="Times New Roman"/>
                <w:b/>
                <w:bCs/>
                <w:szCs w:val="21"/>
                <w:highlight w:val="none"/>
              </w:rPr>
              <w:t>2、废水</w:t>
            </w:r>
          </w:p>
          <w:p>
            <w:pPr>
              <w:spacing w:line="360" w:lineRule="auto"/>
              <w:ind w:firstLine="420" w:firstLineChars="200"/>
              <w:rPr>
                <w:rFonts w:hint="default" w:ascii="Times New Roman" w:hAnsi="Times New Roman" w:cs="Times New Roman"/>
                <w:snapToGrid w:val="0"/>
                <w:szCs w:val="21"/>
                <w:highlight w:val="none"/>
              </w:rPr>
            </w:pPr>
            <w:r>
              <w:rPr>
                <w:rFonts w:hint="default" w:ascii="Times New Roman" w:hAnsi="Times New Roman" w:cs="Times New Roman"/>
                <w:szCs w:val="21"/>
                <w:highlight w:val="none"/>
              </w:rPr>
              <w:t>（1）产排污环节、类别、污染物种类、污染物产生浓度和产生量</w:t>
            </w:r>
          </w:p>
          <w:p>
            <w:pPr>
              <w:autoSpaceDE w:val="0"/>
              <w:autoSpaceDN w:val="0"/>
              <w:spacing w:line="360" w:lineRule="auto"/>
              <w:ind w:firstLine="420" w:firstLineChars="200"/>
              <w:rPr>
                <w:rFonts w:hint="default" w:ascii="Times New Roman" w:hAnsi="Times New Roman" w:cs="Times New Roman"/>
                <w:snapToGrid w:val="0"/>
                <w:color w:val="0000FF"/>
                <w:szCs w:val="21"/>
                <w:highlight w:val="none"/>
              </w:rPr>
            </w:pPr>
            <w:r>
              <w:rPr>
                <w:rFonts w:hint="default" w:ascii="Times New Roman" w:hAnsi="Times New Roman" w:cs="Times New Roman"/>
                <w:snapToGrid w:val="0"/>
                <w:szCs w:val="21"/>
                <w:highlight w:val="none"/>
              </w:rPr>
              <w:t>项目运营期</w:t>
            </w:r>
            <w:r>
              <w:rPr>
                <w:rFonts w:hint="eastAsia"/>
                <w:szCs w:val="21"/>
                <w:lang w:val="en-US" w:eastAsia="zh-CN"/>
              </w:rPr>
              <w:t>洗车废水重复利用不外排；排放</w:t>
            </w:r>
            <w:r>
              <w:rPr>
                <w:rFonts w:hint="default" w:ascii="Times New Roman" w:hAnsi="Times New Roman" w:cs="Times New Roman"/>
                <w:snapToGrid w:val="0"/>
                <w:szCs w:val="21"/>
                <w:highlight w:val="none"/>
              </w:rPr>
              <w:t>废水主要为员工和顾客生活污水。日排放污水量为</w:t>
            </w:r>
            <w:r>
              <w:rPr>
                <w:rFonts w:hint="eastAsia"/>
                <w:kern w:val="0"/>
                <w:szCs w:val="21"/>
                <w:lang w:val="en-US" w:eastAsia="zh-CN"/>
              </w:rPr>
              <w:t>1.224</w:t>
            </w:r>
            <w:r>
              <w:rPr>
                <w:rFonts w:hint="default" w:ascii="Times New Roman" w:hAnsi="Times New Roman" w:cs="Times New Roman"/>
                <w:snapToGrid w:val="0"/>
                <w:szCs w:val="21"/>
                <w:highlight w:val="none"/>
              </w:rPr>
              <w:t>m</w:t>
            </w:r>
            <w:r>
              <w:rPr>
                <w:rFonts w:hint="default" w:ascii="Times New Roman" w:hAnsi="Times New Roman" w:cs="Times New Roman"/>
                <w:snapToGrid w:val="0"/>
                <w:szCs w:val="21"/>
                <w:highlight w:val="none"/>
                <w:vertAlign w:val="superscript"/>
              </w:rPr>
              <w:t>3</w:t>
            </w:r>
            <w:r>
              <w:rPr>
                <w:rFonts w:hint="default" w:ascii="Times New Roman" w:hAnsi="Times New Roman" w:cs="Times New Roman"/>
                <w:snapToGrid w:val="0"/>
                <w:szCs w:val="21"/>
                <w:highlight w:val="none"/>
              </w:rPr>
              <w:t>，</w:t>
            </w:r>
            <w:r>
              <w:rPr>
                <w:rFonts w:hint="default" w:ascii="Times New Roman" w:hAnsi="Times New Roman" w:cs="Times New Roman"/>
                <w:szCs w:val="21"/>
                <w:highlight w:val="none"/>
              </w:rPr>
              <w:t>废水量共计</w:t>
            </w:r>
            <w:r>
              <w:rPr>
                <w:rFonts w:hint="eastAsia" w:ascii="Times New Roman" w:hAnsi="Times New Roman" w:cs="Times New Roman"/>
                <w:szCs w:val="21"/>
                <w:highlight w:val="none"/>
                <w:lang w:val="en-US" w:eastAsia="zh-CN"/>
              </w:rPr>
              <w:t>446.76</w:t>
            </w:r>
            <w:r>
              <w:rPr>
                <w:rFonts w:hint="default" w:ascii="Times New Roman" w:hAnsi="Times New Roman" w:cs="Times New Roman"/>
                <w:szCs w:val="21"/>
                <w:highlight w:val="none"/>
              </w:rPr>
              <w:t>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/a，主要污染物为COD、BOD</w:t>
            </w:r>
            <w:r>
              <w:rPr>
                <w:rFonts w:hint="default" w:ascii="Times New Roman" w:hAnsi="Times New Roman" w:cs="Times New Roman"/>
                <w:szCs w:val="21"/>
                <w:highlight w:val="none"/>
                <w:vertAlign w:val="subscript"/>
              </w:rPr>
              <w:t>5</w:t>
            </w:r>
            <w:r>
              <w:rPr>
                <w:rFonts w:hint="default" w:ascii="Times New Roman" w:hAnsi="Times New Roman" w:cs="Times New Roman"/>
                <w:szCs w:val="21"/>
                <w:highlight w:val="none"/>
              </w:rPr>
              <w:t>、氨氮、SS、总磷、总氮。</w:t>
            </w:r>
          </w:p>
          <w:p>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依据典型生活污水水质类别，并结合本项目特点，确定本项目污染物产生浓度分别为COD400mg/L、BOD</w:t>
            </w:r>
            <w:r>
              <w:rPr>
                <w:rFonts w:hint="default" w:ascii="Times New Roman" w:hAnsi="Times New Roman" w:cs="Times New Roman"/>
                <w:szCs w:val="21"/>
                <w:highlight w:val="none"/>
                <w:vertAlign w:val="subscript"/>
              </w:rPr>
              <w:t>5</w:t>
            </w:r>
            <w:r>
              <w:rPr>
                <w:rFonts w:hint="default" w:ascii="Times New Roman" w:hAnsi="Times New Roman" w:cs="Times New Roman"/>
                <w:szCs w:val="21"/>
                <w:highlight w:val="none"/>
              </w:rPr>
              <w:t>200mg/L、SS300mg/L、氨氮25mg/L，总磷5mg/L，总氮40mg/L。废水污染物产生情况见表4-</w:t>
            </w:r>
            <w:r>
              <w:rPr>
                <w:rFonts w:hint="eastAsia" w:ascii="Times New Roman" w:hAnsi="Times New Roman" w:cs="Times New Roman"/>
                <w:szCs w:val="21"/>
                <w:highlight w:val="none"/>
                <w:lang w:val="en-US" w:eastAsia="zh-CN"/>
              </w:rPr>
              <w:t>6</w:t>
            </w:r>
            <w:r>
              <w:rPr>
                <w:rFonts w:hint="default" w:ascii="Times New Roman" w:hAnsi="Times New Roman" w:cs="Times New Roman"/>
                <w:szCs w:val="21"/>
                <w:highlight w:val="none"/>
              </w:rPr>
              <w:t>。</w:t>
            </w:r>
          </w:p>
          <w:p>
            <w:pPr>
              <w:adjustRightInd w:val="0"/>
              <w:jc w:val="center"/>
              <w:rPr>
                <w:rFonts w:hint="default" w:ascii="Times New Roman" w:hAnsi="Times New Roman" w:cs="Times New Roman"/>
                <w:b/>
                <w:szCs w:val="21"/>
                <w:highlight w:val="none"/>
              </w:rPr>
            </w:pPr>
            <w:r>
              <w:rPr>
                <w:rFonts w:hint="default" w:ascii="Times New Roman" w:hAnsi="Times New Roman" w:cs="Times New Roman"/>
                <w:b/>
                <w:szCs w:val="21"/>
                <w:highlight w:val="none"/>
              </w:rPr>
              <w:t>表4-</w:t>
            </w:r>
            <w:r>
              <w:rPr>
                <w:rFonts w:hint="eastAsia" w:ascii="Times New Roman" w:hAnsi="Times New Roman" w:cs="Times New Roman"/>
                <w:b/>
                <w:szCs w:val="21"/>
                <w:highlight w:val="none"/>
                <w:lang w:val="en-US" w:eastAsia="zh-CN"/>
              </w:rPr>
              <w:t>6</w:t>
            </w:r>
            <w:r>
              <w:rPr>
                <w:rFonts w:hint="default" w:ascii="Times New Roman" w:hAnsi="Times New Roman" w:cs="Times New Roman"/>
                <w:b/>
                <w:szCs w:val="21"/>
                <w:highlight w:val="none"/>
              </w:rPr>
              <w:t>水污染物产生情况一览表</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0"/>
              <w:gridCol w:w="1325"/>
              <w:gridCol w:w="1023"/>
              <w:gridCol w:w="912"/>
              <w:gridCol w:w="933"/>
              <w:gridCol w:w="891"/>
              <w:gridCol w:w="1009"/>
              <w:gridCol w:w="1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gridSpan w:val="2"/>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项目</w:t>
                  </w:r>
                </w:p>
              </w:tc>
              <w:tc>
                <w:tcPr>
                  <w:tcW w:w="607"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COD</w:t>
                  </w:r>
                </w:p>
              </w:tc>
              <w:tc>
                <w:tcPr>
                  <w:tcW w:w="541"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BOD</w:t>
                  </w:r>
                  <w:r>
                    <w:rPr>
                      <w:rFonts w:hint="default" w:ascii="Times New Roman" w:hAnsi="Times New Roman" w:cs="Times New Roman"/>
                      <w:b/>
                      <w:bCs/>
                      <w:szCs w:val="21"/>
                      <w:highlight w:val="none"/>
                      <w:vertAlign w:val="subscript"/>
                    </w:rPr>
                    <w:t>5</w:t>
                  </w:r>
                </w:p>
              </w:tc>
              <w:tc>
                <w:tcPr>
                  <w:tcW w:w="554"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SS</w:t>
                  </w:r>
                </w:p>
              </w:tc>
              <w:tc>
                <w:tcPr>
                  <w:tcW w:w="529"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NH</w:t>
                  </w:r>
                  <w:r>
                    <w:rPr>
                      <w:rFonts w:hint="default" w:ascii="Times New Roman" w:hAnsi="Times New Roman" w:cs="Times New Roman"/>
                      <w:b/>
                      <w:bCs/>
                      <w:szCs w:val="21"/>
                      <w:highlight w:val="none"/>
                      <w:vertAlign w:val="subscript"/>
                    </w:rPr>
                    <w:t>3</w:t>
                  </w:r>
                  <w:r>
                    <w:rPr>
                      <w:rFonts w:hint="default" w:ascii="Times New Roman" w:hAnsi="Times New Roman" w:cs="Times New Roman"/>
                      <w:b/>
                      <w:bCs/>
                      <w:szCs w:val="21"/>
                      <w:highlight w:val="none"/>
                    </w:rPr>
                    <w:t>-N</w:t>
                  </w:r>
                </w:p>
              </w:tc>
              <w:tc>
                <w:tcPr>
                  <w:tcW w:w="599"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总磷</w:t>
                  </w:r>
                </w:p>
              </w:tc>
              <w:tc>
                <w:tcPr>
                  <w:tcW w:w="599"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总氮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2" w:type="pct"/>
                  <w:vMerge w:val="restar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废水</w:t>
                  </w:r>
                  <w:r>
                    <w:rPr>
                      <w:rFonts w:hint="eastAsia" w:ascii="Times New Roman" w:hAnsi="Times New Roman" w:cs="Times New Roman"/>
                      <w:szCs w:val="21"/>
                      <w:highlight w:val="none"/>
                      <w:lang w:val="en-US" w:eastAsia="zh-CN"/>
                    </w:rPr>
                    <w:t>446.76</w:t>
                  </w:r>
                  <w:r>
                    <w:rPr>
                      <w:rFonts w:hint="default" w:ascii="Times New Roman" w:hAnsi="Times New Roman" w:cs="Times New Roman"/>
                      <w:szCs w:val="21"/>
                      <w:highlight w:val="none"/>
                    </w:rPr>
                    <w:t>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/a</w:t>
                  </w:r>
                </w:p>
              </w:tc>
              <w:tc>
                <w:tcPr>
                  <w:tcW w:w="784"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浓度（mg/L)</w:t>
                  </w:r>
                </w:p>
              </w:tc>
              <w:tc>
                <w:tcPr>
                  <w:tcW w:w="607"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400</w:t>
                  </w:r>
                </w:p>
              </w:tc>
              <w:tc>
                <w:tcPr>
                  <w:tcW w:w="541"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200</w:t>
                  </w:r>
                </w:p>
              </w:tc>
              <w:tc>
                <w:tcPr>
                  <w:tcW w:w="554"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300</w:t>
                  </w:r>
                </w:p>
              </w:tc>
              <w:tc>
                <w:tcPr>
                  <w:tcW w:w="529"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25</w:t>
                  </w:r>
                </w:p>
              </w:tc>
              <w:tc>
                <w:tcPr>
                  <w:tcW w:w="599"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w:t>
                  </w:r>
                </w:p>
              </w:tc>
              <w:tc>
                <w:tcPr>
                  <w:tcW w:w="599"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2" w:type="pct"/>
                  <w:vMerge w:val="continue"/>
                  <w:noWrap w:val="0"/>
                  <w:vAlign w:val="center"/>
                </w:tcPr>
                <w:p>
                  <w:pPr>
                    <w:jc w:val="center"/>
                    <w:rPr>
                      <w:rFonts w:hint="default" w:ascii="Times New Roman" w:hAnsi="Times New Roman" w:cs="Times New Roman"/>
                      <w:szCs w:val="21"/>
                      <w:highlight w:val="none"/>
                    </w:rPr>
                  </w:pPr>
                </w:p>
              </w:tc>
              <w:tc>
                <w:tcPr>
                  <w:tcW w:w="784"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产生量（t/a）</w:t>
                  </w:r>
                </w:p>
              </w:tc>
              <w:tc>
                <w:tcPr>
                  <w:tcW w:w="607"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0.179</w:t>
                  </w:r>
                </w:p>
              </w:tc>
              <w:tc>
                <w:tcPr>
                  <w:tcW w:w="541"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0.0</w:t>
                  </w:r>
                  <w:r>
                    <w:rPr>
                      <w:rFonts w:hint="eastAsia" w:ascii="Times New Roman" w:hAnsi="Times New Roman" w:cs="Times New Roman"/>
                      <w:szCs w:val="21"/>
                      <w:highlight w:val="none"/>
                      <w:lang w:val="en-US" w:eastAsia="zh-CN"/>
                    </w:rPr>
                    <w:t>89</w:t>
                  </w:r>
                </w:p>
              </w:tc>
              <w:tc>
                <w:tcPr>
                  <w:tcW w:w="554"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0.</w:t>
                  </w:r>
                  <w:r>
                    <w:rPr>
                      <w:rFonts w:hint="eastAsia" w:ascii="Times New Roman" w:hAnsi="Times New Roman" w:cs="Times New Roman"/>
                      <w:szCs w:val="21"/>
                      <w:highlight w:val="none"/>
                      <w:lang w:val="en-US" w:eastAsia="zh-CN"/>
                    </w:rPr>
                    <w:t>134</w:t>
                  </w:r>
                </w:p>
              </w:tc>
              <w:tc>
                <w:tcPr>
                  <w:tcW w:w="529"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0.0</w:t>
                  </w:r>
                  <w:r>
                    <w:rPr>
                      <w:rFonts w:hint="eastAsia" w:ascii="Times New Roman" w:hAnsi="Times New Roman" w:cs="Times New Roman"/>
                      <w:szCs w:val="21"/>
                      <w:highlight w:val="none"/>
                      <w:lang w:val="en-US" w:eastAsia="zh-CN"/>
                    </w:rPr>
                    <w:t>11</w:t>
                  </w:r>
                </w:p>
              </w:tc>
              <w:tc>
                <w:tcPr>
                  <w:tcW w:w="599" w:type="pct"/>
                  <w:noWrap w:val="0"/>
                  <w:vAlign w:val="center"/>
                </w:tcPr>
                <w:p>
                  <w:pPr>
                    <w:jc w:val="center"/>
                    <w:rPr>
                      <w:rFonts w:hint="eastAsia" w:ascii="Times New Roman" w:hAnsi="Times New Roman" w:eastAsia="宋体" w:cs="Times New Roman"/>
                      <w:szCs w:val="21"/>
                      <w:highlight w:val="none"/>
                      <w:lang w:eastAsia="zh-CN"/>
                    </w:rPr>
                  </w:pPr>
                  <w:r>
                    <w:rPr>
                      <w:rFonts w:hint="default" w:ascii="Times New Roman" w:hAnsi="Times New Roman" w:cs="Times New Roman"/>
                      <w:szCs w:val="21"/>
                      <w:highlight w:val="none"/>
                    </w:rPr>
                    <w:t>0.00</w:t>
                  </w:r>
                  <w:r>
                    <w:rPr>
                      <w:rFonts w:hint="eastAsia" w:ascii="Times New Roman" w:hAnsi="Times New Roman" w:cs="Times New Roman"/>
                      <w:szCs w:val="21"/>
                      <w:highlight w:val="none"/>
                      <w:lang w:val="en-US" w:eastAsia="zh-CN"/>
                    </w:rPr>
                    <w:t>2</w:t>
                  </w:r>
                </w:p>
              </w:tc>
              <w:tc>
                <w:tcPr>
                  <w:tcW w:w="599"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0.0</w:t>
                  </w:r>
                  <w:r>
                    <w:rPr>
                      <w:rFonts w:hint="eastAsia" w:ascii="Times New Roman" w:hAnsi="Times New Roman" w:cs="Times New Roman"/>
                      <w:szCs w:val="21"/>
                      <w:highlight w:val="none"/>
                      <w:lang w:val="en-US" w:eastAsia="zh-CN"/>
                    </w:rPr>
                    <w:t>18</w:t>
                  </w:r>
                </w:p>
              </w:tc>
            </w:tr>
          </w:tbl>
          <w:p>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bCs/>
                <w:szCs w:val="21"/>
                <w:highlight w:val="none"/>
              </w:rPr>
              <w:t>（2）治理设施、废水排放量、污染物排放量和浓度、排放方式、排放去向、排放规律、排放口基本情况、排放标准。</w:t>
            </w:r>
          </w:p>
          <w:p>
            <w:pPr>
              <w:pStyle w:val="23"/>
              <w:spacing w:after="0" w:line="360" w:lineRule="auto"/>
              <w:ind w:left="0" w:leftChars="0"/>
              <w:rPr>
                <w:rFonts w:hint="default" w:ascii="Times New Roman" w:hAnsi="Times New Roman" w:cs="Times New Roman"/>
                <w:bCs/>
                <w:szCs w:val="21"/>
                <w:highlight w:val="none"/>
              </w:rPr>
            </w:pPr>
            <w:r>
              <w:rPr>
                <w:rFonts w:hint="default" w:ascii="Times New Roman" w:hAnsi="Times New Roman" w:cs="Times New Roman"/>
                <w:bCs/>
                <w:szCs w:val="21"/>
                <w:highlight w:val="none"/>
              </w:rPr>
              <w:t>①废水排放情况</w:t>
            </w:r>
          </w:p>
          <w:p>
            <w:pPr>
              <w:pStyle w:val="23"/>
              <w:spacing w:after="0" w:line="360" w:lineRule="auto"/>
              <w:ind w:left="0" w:leftChars="0"/>
              <w:rPr>
                <w:rFonts w:hint="default" w:ascii="Times New Roman" w:hAnsi="Times New Roman" w:cs="Times New Roman"/>
                <w:szCs w:val="21"/>
                <w:highlight w:val="none"/>
              </w:rPr>
            </w:pPr>
            <w:r>
              <w:rPr>
                <w:rFonts w:hint="default" w:ascii="Times New Roman" w:hAnsi="Times New Roman" w:cs="Times New Roman"/>
                <w:szCs w:val="21"/>
                <w:highlight w:val="none"/>
              </w:rPr>
              <w:t>本项目</w:t>
            </w:r>
            <w:r>
              <w:rPr>
                <w:rFonts w:hint="eastAsia" w:ascii="Times New Roman" w:hAnsi="Times New Roman" w:cs="Times New Roman"/>
                <w:szCs w:val="21"/>
                <w:highlight w:val="none"/>
                <w:lang w:val="en-US" w:eastAsia="zh-CN"/>
              </w:rPr>
              <w:t>加油站设有</w:t>
            </w:r>
            <w:r>
              <w:rPr>
                <w:rFonts w:hint="default" w:ascii="Times New Roman" w:hAnsi="Times New Roman" w:cs="Times New Roman"/>
                <w:szCs w:val="21"/>
                <w:highlight w:val="none"/>
              </w:rPr>
              <w:t>1座化粪池（V=10m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）对生活污水进行处理</w:t>
            </w:r>
            <w:r>
              <w:rPr>
                <w:rFonts w:hint="default" w:ascii="Times New Roman" w:hAnsi="Times New Roman" w:cs="Times New Roman"/>
                <w:bCs/>
                <w:szCs w:val="21"/>
                <w:highlight w:val="none"/>
              </w:rPr>
              <w:t>。</w:t>
            </w:r>
            <w:r>
              <w:rPr>
                <w:rFonts w:hint="default" w:ascii="Times New Roman" w:hAnsi="Times New Roman" w:cs="Times New Roman"/>
                <w:szCs w:val="21"/>
                <w:highlight w:val="none"/>
              </w:rPr>
              <w:t>污染物排放情况如下表4-</w:t>
            </w:r>
            <w:r>
              <w:rPr>
                <w:rFonts w:hint="eastAsia" w:ascii="Times New Roman" w:hAnsi="Times New Roman" w:cs="Times New Roman"/>
                <w:szCs w:val="21"/>
                <w:highlight w:val="none"/>
                <w:lang w:val="en-US" w:eastAsia="zh-CN"/>
              </w:rPr>
              <w:t>7</w:t>
            </w:r>
            <w:r>
              <w:rPr>
                <w:rFonts w:hint="default" w:ascii="Times New Roman" w:hAnsi="Times New Roman" w:cs="Times New Roman"/>
                <w:szCs w:val="21"/>
                <w:highlight w:val="none"/>
              </w:rPr>
              <w:t>所示。</w:t>
            </w:r>
          </w:p>
          <w:p>
            <w:pPr>
              <w:pStyle w:val="7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eastAsia" w:ascii="Times New Roman" w:hAnsi="Times New Roman" w:eastAsia="宋体" w:cs="Times New Roman"/>
                <w:b/>
                <w:bCs/>
                <w:color w:val="auto"/>
                <w:sz w:val="21"/>
                <w:szCs w:val="21"/>
                <w:highlight w:val="none"/>
                <w:lang w:val="en-US" w:eastAsia="zh-CN"/>
              </w:rPr>
              <w:t>7</w:t>
            </w:r>
            <w:r>
              <w:rPr>
                <w:rFonts w:hint="default" w:ascii="Times New Roman" w:hAnsi="Times New Roman" w:eastAsia="宋体" w:cs="Times New Roman"/>
                <w:b/>
                <w:bCs/>
                <w:color w:val="auto"/>
                <w:sz w:val="21"/>
                <w:szCs w:val="21"/>
                <w:highlight w:val="none"/>
              </w:rPr>
              <w:t>生活污水排放情况</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2"/>
              <w:gridCol w:w="1323"/>
              <w:gridCol w:w="1022"/>
              <w:gridCol w:w="910"/>
              <w:gridCol w:w="931"/>
              <w:gridCol w:w="889"/>
              <w:gridCol w:w="1009"/>
              <w:gridCol w:w="10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gridSpan w:val="2"/>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项目</w:t>
                  </w:r>
                </w:p>
              </w:tc>
              <w:tc>
                <w:tcPr>
                  <w:tcW w:w="606"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COD</w:t>
                  </w:r>
                </w:p>
              </w:tc>
              <w:tc>
                <w:tcPr>
                  <w:tcW w:w="540"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BOD</w:t>
                  </w:r>
                  <w:r>
                    <w:rPr>
                      <w:rFonts w:hint="default" w:ascii="Times New Roman" w:hAnsi="Times New Roman" w:cs="Times New Roman"/>
                      <w:b/>
                      <w:bCs/>
                      <w:szCs w:val="21"/>
                      <w:highlight w:val="none"/>
                      <w:vertAlign w:val="subscript"/>
                    </w:rPr>
                    <w:t>5</w:t>
                  </w:r>
                </w:p>
              </w:tc>
              <w:tc>
                <w:tcPr>
                  <w:tcW w:w="553"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SS</w:t>
                  </w:r>
                </w:p>
              </w:tc>
              <w:tc>
                <w:tcPr>
                  <w:tcW w:w="528"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NH</w:t>
                  </w:r>
                  <w:r>
                    <w:rPr>
                      <w:rFonts w:hint="default" w:ascii="Times New Roman" w:hAnsi="Times New Roman" w:cs="Times New Roman"/>
                      <w:b/>
                      <w:bCs/>
                      <w:szCs w:val="21"/>
                      <w:highlight w:val="none"/>
                      <w:vertAlign w:val="subscript"/>
                    </w:rPr>
                    <w:t>3</w:t>
                  </w:r>
                  <w:r>
                    <w:rPr>
                      <w:rFonts w:hint="default" w:ascii="Times New Roman" w:hAnsi="Times New Roman" w:cs="Times New Roman"/>
                      <w:b/>
                      <w:bCs/>
                      <w:szCs w:val="21"/>
                      <w:highlight w:val="none"/>
                    </w:rPr>
                    <w:t>-N</w:t>
                  </w:r>
                </w:p>
              </w:tc>
              <w:tc>
                <w:tcPr>
                  <w:tcW w:w="599"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总磷</w:t>
                  </w:r>
                </w:p>
              </w:tc>
              <w:tc>
                <w:tcPr>
                  <w:tcW w:w="603"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总氮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67" w:type="pct"/>
                  <w:gridSpan w:val="2"/>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化粪池处理效率（%）</w:t>
                  </w:r>
                </w:p>
              </w:tc>
              <w:tc>
                <w:tcPr>
                  <w:tcW w:w="606"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15</w:t>
                  </w:r>
                </w:p>
              </w:tc>
              <w:tc>
                <w:tcPr>
                  <w:tcW w:w="540"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10</w:t>
                  </w:r>
                </w:p>
              </w:tc>
              <w:tc>
                <w:tcPr>
                  <w:tcW w:w="553"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30</w:t>
                  </w:r>
                </w:p>
              </w:tc>
              <w:tc>
                <w:tcPr>
                  <w:tcW w:w="528"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599"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c>
                <w:tcPr>
                  <w:tcW w:w="603"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restart"/>
                  <w:noWrap w:val="0"/>
                  <w:vAlign w:val="center"/>
                </w:tcPr>
                <w:p>
                  <w:pPr>
                    <w:jc w:val="center"/>
                    <w:rPr>
                      <w:rFonts w:hint="default" w:ascii="Times New Roman" w:hAnsi="Times New Roman" w:cs="Times New Roman"/>
                      <w:color w:val="0000FF"/>
                      <w:szCs w:val="21"/>
                      <w:highlight w:val="none"/>
                    </w:rPr>
                  </w:pPr>
                  <w:r>
                    <w:rPr>
                      <w:rFonts w:hint="default" w:ascii="Times New Roman" w:hAnsi="Times New Roman" w:cs="Times New Roman"/>
                      <w:szCs w:val="21"/>
                      <w:highlight w:val="none"/>
                    </w:rPr>
                    <w:t>生活污水</w:t>
                  </w:r>
                  <w:r>
                    <w:rPr>
                      <w:rFonts w:hint="eastAsia" w:ascii="Times New Roman" w:hAnsi="Times New Roman" w:cs="Times New Roman"/>
                      <w:szCs w:val="21"/>
                      <w:highlight w:val="none"/>
                      <w:lang w:val="en-US" w:eastAsia="zh-CN"/>
                    </w:rPr>
                    <w:t>446.76</w:t>
                  </w:r>
                  <w:r>
                    <w:rPr>
                      <w:rFonts w:hint="default" w:ascii="Times New Roman" w:hAnsi="Times New Roman" w:cs="Times New Roman"/>
                      <w:szCs w:val="21"/>
                      <w:highlight w:val="none"/>
                    </w:rPr>
                    <w:t>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/a</w:t>
                  </w:r>
                </w:p>
              </w:tc>
              <w:tc>
                <w:tcPr>
                  <w:tcW w:w="784"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浓度（mg/L)</w:t>
                  </w:r>
                </w:p>
              </w:tc>
              <w:tc>
                <w:tcPr>
                  <w:tcW w:w="606"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340</w:t>
                  </w:r>
                </w:p>
              </w:tc>
              <w:tc>
                <w:tcPr>
                  <w:tcW w:w="540"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180</w:t>
                  </w:r>
                </w:p>
              </w:tc>
              <w:tc>
                <w:tcPr>
                  <w:tcW w:w="553"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210</w:t>
                  </w:r>
                </w:p>
              </w:tc>
              <w:tc>
                <w:tcPr>
                  <w:tcW w:w="528"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25</w:t>
                  </w:r>
                </w:p>
              </w:tc>
              <w:tc>
                <w:tcPr>
                  <w:tcW w:w="599"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5</w:t>
                  </w:r>
                </w:p>
              </w:tc>
              <w:tc>
                <w:tcPr>
                  <w:tcW w:w="603"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83" w:type="pct"/>
                  <w:vMerge w:val="continue"/>
                  <w:noWrap w:val="0"/>
                  <w:vAlign w:val="center"/>
                </w:tcPr>
                <w:p>
                  <w:pPr>
                    <w:jc w:val="center"/>
                    <w:rPr>
                      <w:rFonts w:hint="default" w:ascii="Times New Roman" w:hAnsi="Times New Roman" w:cs="Times New Roman"/>
                      <w:color w:val="0000FF"/>
                      <w:szCs w:val="21"/>
                      <w:highlight w:val="none"/>
                    </w:rPr>
                  </w:pPr>
                </w:p>
              </w:tc>
              <w:tc>
                <w:tcPr>
                  <w:tcW w:w="784" w:type="pc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排放量（t/a）</w:t>
                  </w:r>
                </w:p>
              </w:tc>
              <w:tc>
                <w:tcPr>
                  <w:tcW w:w="606"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0.</w:t>
                  </w:r>
                  <w:r>
                    <w:rPr>
                      <w:rFonts w:hint="eastAsia" w:ascii="Times New Roman" w:hAnsi="Times New Roman" w:cs="Times New Roman"/>
                      <w:szCs w:val="21"/>
                      <w:highlight w:val="none"/>
                      <w:lang w:val="en-US" w:eastAsia="zh-CN"/>
                    </w:rPr>
                    <w:t>152</w:t>
                  </w:r>
                </w:p>
              </w:tc>
              <w:tc>
                <w:tcPr>
                  <w:tcW w:w="540" w:type="pct"/>
                  <w:noWrap w:val="0"/>
                  <w:vAlign w:val="center"/>
                </w:tcPr>
                <w:p>
                  <w:pPr>
                    <w:jc w:val="center"/>
                    <w:rPr>
                      <w:rFonts w:hint="eastAsia" w:ascii="Times New Roman" w:hAnsi="Times New Roman" w:eastAsia="宋体" w:cs="Times New Roman"/>
                      <w:szCs w:val="21"/>
                      <w:highlight w:val="none"/>
                      <w:lang w:eastAsia="zh-CN"/>
                    </w:rPr>
                  </w:pPr>
                  <w:r>
                    <w:rPr>
                      <w:rFonts w:hint="default" w:ascii="Times New Roman" w:hAnsi="Times New Roman" w:cs="Times New Roman"/>
                      <w:szCs w:val="21"/>
                      <w:highlight w:val="none"/>
                    </w:rPr>
                    <w:t>0.0</w:t>
                  </w:r>
                  <w:r>
                    <w:rPr>
                      <w:rFonts w:hint="eastAsia" w:ascii="Times New Roman" w:hAnsi="Times New Roman" w:cs="Times New Roman"/>
                      <w:szCs w:val="21"/>
                      <w:highlight w:val="none"/>
                      <w:lang w:val="en-US" w:eastAsia="zh-CN"/>
                    </w:rPr>
                    <w:t>8</w:t>
                  </w:r>
                </w:p>
              </w:tc>
              <w:tc>
                <w:tcPr>
                  <w:tcW w:w="553"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0.0</w:t>
                  </w:r>
                  <w:r>
                    <w:rPr>
                      <w:rFonts w:hint="eastAsia" w:ascii="Times New Roman" w:hAnsi="Times New Roman" w:cs="Times New Roman"/>
                      <w:szCs w:val="21"/>
                      <w:highlight w:val="none"/>
                      <w:lang w:val="en-US" w:eastAsia="zh-CN"/>
                    </w:rPr>
                    <w:t>94</w:t>
                  </w:r>
                </w:p>
              </w:tc>
              <w:tc>
                <w:tcPr>
                  <w:tcW w:w="528"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0.0</w:t>
                  </w:r>
                  <w:r>
                    <w:rPr>
                      <w:rFonts w:hint="eastAsia" w:ascii="Times New Roman" w:hAnsi="Times New Roman" w:cs="Times New Roman"/>
                      <w:szCs w:val="21"/>
                      <w:highlight w:val="none"/>
                      <w:lang w:val="en-US" w:eastAsia="zh-CN"/>
                    </w:rPr>
                    <w:t>11</w:t>
                  </w:r>
                </w:p>
              </w:tc>
              <w:tc>
                <w:tcPr>
                  <w:tcW w:w="599" w:type="pct"/>
                  <w:noWrap w:val="0"/>
                  <w:vAlign w:val="center"/>
                </w:tcPr>
                <w:p>
                  <w:pPr>
                    <w:jc w:val="center"/>
                    <w:rPr>
                      <w:rFonts w:hint="eastAsia" w:ascii="Times New Roman" w:hAnsi="Times New Roman" w:eastAsia="宋体" w:cs="Times New Roman"/>
                      <w:szCs w:val="21"/>
                      <w:highlight w:val="none"/>
                      <w:lang w:eastAsia="zh-CN"/>
                    </w:rPr>
                  </w:pPr>
                  <w:r>
                    <w:rPr>
                      <w:rFonts w:hint="default" w:ascii="Times New Roman" w:hAnsi="Times New Roman" w:cs="Times New Roman"/>
                      <w:szCs w:val="21"/>
                      <w:highlight w:val="none"/>
                    </w:rPr>
                    <w:t>0.00</w:t>
                  </w:r>
                  <w:r>
                    <w:rPr>
                      <w:rFonts w:hint="eastAsia" w:ascii="Times New Roman" w:hAnsi="Times New Roman" w:cs="Times New Roman"/>
                      <w:szCs w:val="21"/>
                      <w:highlight w:val="none"/>
                      <w:lang w:val="en-US" w:eastAsia="zh-CN"/>
                    </w:rPr>
                    <w:t>2</w:t>
                  </w:r>
                </w:p>
              </w:tc>
              <w:tc>
                <w:tcPr>
                  <w:tcW w:w="603" w:type="pct"/>
                  <w:noWrap w:val="0"/>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0.0</w:t>
                  </w:r>
                  <w:r>
                    <w:rPr>
                      <w:rFonts w:hint="eastAsia" w:ascii="Times New Roman" w:hAnsi="Times New Roman" w:cs="Times New Roman"/>
                      <w:szCs w:val="21"/>
                      <w:highlight w:val="none"/>
                      <w:lang w:val="en-US" w:eastAsia="zh-CN"/>
                    </w:rPr>
                    <w:t>18</w:t>
                  </w:r>
                </w:p>
              </w:tc>
            </w:tr>
          </w:tbl>
          <w:p>
            <w:pPr>
              <w:pStyle w:val="23"/>
              <w:spacing w:after="0" w:line="360" w:lineRule="auto"/>
              <w:ind w:left="0" w:leftChars="0"/>
              <w:rPr>
                <w:rFonts w:hint="default" w:ascii="Times New Roman" w:hAnsi="Times New Roman" w:cs="Times New Roman"/>
                <w:bCs/>
                <w:szCs w:val="21"/>
                <w:highlight w:val="none"/>
              </w:rPr>
            </w:pPr>
            <w:r>
              <w:rPr>
                <w:rFonts w:hint="default" w:ascii="Times New Roman" w:hAnsi="Times New Roman" w:cs="Times New Roman"/>
                <w:bCs/>
                <w:szCs w:val="21"/>
                <w:highlight w:val="none"/>
              </w:rPr>
              <w:t>由表4-</w:t>
            </w:r>
            <w:r>
              <w:rPr>
                <w:rFonts w:hint="eastAsia" w:ascii="Times New Roman" w:hAnsi="Times New Roman" w:cs="Times New Roman"/>
                <w:bCs/>
                <w:szCs w:val="21"/>
                <w:highlight w:val="none"/>
                <w:lang w:val="en-US" w:eastAsia="zh-CN"/>
              </w:rPr>
              <w:t>7</w:t>
            </w:r>
            <w:r>
              <w:rPr>
                <w:rFonts w:hint="default" w:ascii="Times New Roman" w:hAnsi="Times New Roman" w:cs="Times New Roman"/>
                <w:bCs/>
                <w:szCs w:val="21"/>
                <w:highlight w:val="none"/>
              </w:rPr>
              <w:t>可知，生活污水经化粪池处理后，各项污染物浓度指标满足</w:t>
            </w:r>
            <w:r>
              <w:rPr>
                <w:rFonts w:hint="default" w:ascii="Times New Roman" w:hAnsi="Times New Roman" w:cs="Times New Roman"/>
                <w:bCs/>
                <w:kern w:val="28"/>
                <w:szCs w:val="21"/>
                <w:highlight w:val="none"/>
              </w:rPr>
              <w:t>《污水排入城镇下水道水质标准》（GB/T31962-2015）A等级标准，生活污水进入市政污水管网后排入西安市第</w:t>
            </w:r>
            <w:r>
              <w:rPr>
                <w:rFonts w:hint="eastAsia" w:ascii="Times New Roman" w:hAnsi="Times New Roman" w:cs="Times New Roman"/>
                <w:bCs/>
                <w:kern w:val="28"/>
                <w:szCs w:val="21"/>
                <w:highlight w:val="none"/>
                <w:lang w:val="en-US" w:eastAsia="zh-CN"/>
              </w:rPr>
              <w:t>三</w:t>
            </w:r>
            <w:r>
              <w:rPr>
                <w:rFonts w:hint="default" w:ascii="Times New Roman" w:hAnsi="Times New Roman" w:cs="Times New Roman"/>
                <w:bCs/>
                <w:kern w:val="28"/>
                <w:szCs w:val="21"/>
                <w:highlight w:val="none"/>
              </w:rPr>
              <w:t>污水处理厂进行后续处理。</w:t>
            </w:r>
          </w:p>
          <w:p>
            <w:pPr>
              <w:pStyle w:val="23"/>
              <w:spacing w:after="0" w:line="360" w:lineRule="auto"/>
              <w:ind w:left="0" w:leftChars="0"/>
              <w:rPr>
                <w:rFonts w:hint="default" w:ascii="Times New Roman" w:hAnsi="Times New Roman" w:cs="Times New Roman"/>
                <w:bCs/>
                <w:szCs w:val="21"/>
                <w:highlight w:val="none"/>
              </w:rPr>
            </w:pPr>
            <w:r>
              <w:rPr>
                <w:rFonts w:hint="default" w:ascii="Times New Roman" w:hAnsi="Times New Roman" w:cs="Times New Roman"/>
                <w:bCs/>
                <w:szCs w:val="21"/>
                <w:highlight w:val="none"/>
              </w:rPr>
              <w:t>②排放方式及去向</w:t>
            </w:r>
          </w:p>
          <w:p>
            <w:pPr>
              <w:pStyle w:val="63"/>
              <w:spacing w:line="360" w:lineRule="auto"/>
              <w:ind w:firstLine="420" w:firstLineChars="200"/>
              <w:rPr>
                <w:rFonts w:hint="default" w:ascii="Times New Roman" w:hAnsi="Times New Roman" w:cs="Times New Roman"/>
                <w:bCs/>
                <w:color w:val="0000FF"/>
                <w:sz w:val="21"/>
                <w:szCs w:val="21"/>
                <w:highlight w:val="none"/>
              </w:rPr>
            </w:pPr>
            <w:r>
              <w:rPr>
                <w:rFonts w:hint="default" w:ascii="Times New Roman" w:hAnsi="Times New Roman" w:cs="Times New Roman"/>
                <w:bCs/>
                <w:color w:val="auto"/>
                <w:sz w:val="21"/>
                <w:szCs w:val="21"/>
                <w:highlight w:val="none"/>
              </w:rPr>
              <w:t>本项目产生污水为间接排放，站内生活污水经化粪池处理后排入西安市第</w:t>
            </w:r>
            <w:r>
              <w:rPr>
                <w:rFonts w:hint="eastAsia" w:ascii="Times New Roman" w:cs="Times New Roman"/>
                <w:bCs/>
                <w:color w:val="auto"/>
                <w:sz w:val="21"/>
                <w:szCs w:val="21"/>
                <w:highlight w:val="none"/>
                <w:lang w:val="en-US" w:eastAsia="zh-CN"/>
              </w:rPr>
              <w:t>三</w:t>
            </w:r>
            <w:r>
              <w:rPr>
                <w:rFonts w:hint="default" w:ascii="Times New Roman" w:hAnsi="Times New Roman" w:cs="Times New Roman"/>
                <w:bCs/>
                <w:color w:val="auto"/>
                <w:sz w:val="21"/>
                <w:szCs w:val="21"/>
                <w:highlight w:val="none"/>
              </w:rPr>
              <w:t>污水处理厂进行处理。</w:t>
            </w:r>
          </w:p>
          <w:p>
            <w:pPr>
              <w:pStyle w:val="63"/>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③排放口基本情况</w:t>
            </w:r>
          </w:p>
          <w:p>
            <w:pPr>
              <w:spacing w:line="360" w:lineRule="auto"/>
              <w:ind w:firstLine="420" w:firstLineChars="200"/>
              <w:rPr>
                <w:rFonts w:hint="default" w:ascii="Times New Roman" w:hAnsi="Times New Roman" w:cs="Times New Roman"/>
                <w:bCs/>
                <w:szCs w:val="21"/>
                <w:highlight w:val="none"/>
              </w:rPr>
            </w:pPr>
            <w:r>
              <w:rPr>
                <w:rFonts w:hint="default" w:ascii="Times New Roman" w:hAnsi="Times New Roman" w:cs="Times New Roman"/>
                <w:bCs/>
                <w:szCs w:val="21"/>
                <w:highlight w:val="none"/>
              </w:rPr>
              <w:t>本项目废水排放口基本情况见下表。</w:t>
            </w:r>
          </w:p>
          <w:p>
            <w:pPr>
              <w:pStyle w:val="57"/>
              <w:snapToGrid/>
              <w:spacing w:line="240" w:lineRule="auto"/>
              <w:contextualSpacing/>
              <w:rPr>
                <w:rFonts w:hint="default" w:ascii="Times New Roman" w:hAnsi="Times New Roman" w:cs="Times New Roman"/>
                <w:color w:val="0000FF"/>
                <w:highlight w:val="none"/>
              </w:rPr>
            </w:pPr>
            <w:r>
              <w:rPr>
                <w:rFonts w:hint="default" w:ascii="Times New Roman" w:hAnsi="Times New Roman" w:cs="Times New Roman"/>
                <w:highlight w:val="none"/>
              </w:rPr>
              <w:t>表4-</w:t>
            </w:r>
            <w:r>
              <w:rPr>
                <w:rFonts w:hint="eastAsia" w:ascii="Times New Roman" w:hAnsi="Times New Roman" w:cs="Times New Roman"/>
                <w:highlight w:val="none"/>
                <w:lang w:val="en-US" w:eastAsia="zh-CN"/>
              </w:rPr>
              <w:t>8</w:t>
            </w:r>
            <w:r>
              <w:rPr>
                <w:rFonts w:hint="default" w:ascii="Times New Roman" w:hAnsi="Times New Roman" w:cs="Times New Roman"/>
                <w:highlight w:val="none"/>
              </w:rPr>
              <w:t>废水间接排放口基本情况表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4"/>
              <w:gridCol w:w="747"/>
              <w:gridCol w:w="880"/>
              <w:gridCol w:w="870"/>
              <w:gridCol w:w="844"/>
              <w:gridCol w:w="782"/>
              <w:gridCol w:w="983"/>
              <w:gridCol w:w="391"/>
              <w:gridCol w:w="672"/>
              <w:gridCol w:w="755"/>
              <w:gridCol w:w="10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45" w:type="pct"/>
                  <w:vMerge w:val="restar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序</w:t>
                  </w:r>
                </w:p>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号</w:t>
                  </w:r>
                </w:p>
              </w:tc>
              <w:tc>
                <w:tcPr>
                  <w:tcW w:w="443" w:type="pct"/>
                  <w:vMerge w:val="restar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排放口编号</w:t>
                  </w:r>
                </w:p>
              </w:tc>
              <w:tc>
                <w:tcPr>
                  <w:tcW w:w="1038" w:type="pct"/>
                  <w:gridSpan w:val="2"/>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排放口地理坐标</w:t>
                  </w:r>
                </w:p>
              </w:tc>
              <w:tc>
                <w:tcPr>
                  <w:tcW w:w="500" w:type="pct"/>
                  <w:vMerge w:val="restar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废水排放量/（t/a）</w:t>
                  </w:r>
                </w:p>
              </w:tc>
              <w:tc>
                <w:tcPr>
                  <w:tcW w:w="464" w:type="pct"/>
                  <w:vMerge w:val="restar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排放去向</w:t>
                  </w:r>
                </w:p>
                <w:p>
                  <w:pPr>
                    <w:jc w:val="center"/>
                    <w:rPr>
                      <w:rFonts w:hint="default" w:ascii="Times New Roman" w:hAnsi="Times New Roman" w:cs="Times New Roman"/>
                      <w:b/>
                      <w:bCs/>
                      <w:szCs w:val="21"/>
                      <w:highlight w:val="none"/>
                    </w:rPr>
                  </w:pPr>
                </w:p>
              </w:tc>
              <w:tc>
                <w:tcPr>
                  <w:tcW w:w="583" w:type="pct"/>
                  <w:vMerge w:val="restar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排放规律</w:t>
                  </w:r>
                </w:p>
                <w:p>
                  <w:pPr>
                    <w:jc w:val="center"/>
                    <w:rPr>
                      <w:rFonts w:hint="default" w:ascii="Times New Roman" w:hAnsi="Times New Roman" w:cs="Times New Roman"/>
                      <w:b/>
                      <w:bCs/>
                      <w:szCs w:val="21"/>
                      <w:highlight w:val="none"/>
                    </w:rPr>
                  </w:pPr>
                </w:p>
              </w:tc>
              <w:tc>
                <w:tcPr>
                  <w:tcW w:w="232" w:type="pct"/>
                  <w:vMerge w:val="restar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间歇排放时段</w:t>
                  </w:r>
                </w:p>
                <w:p>
                  <w:pPr>
                    <w:jc w:val="center"/>
                    <w:rPr>
                      <w:rFonts w:hint="default" w:ascii="Times New Roman" w:hAnsi="Times New Roman" w:cs="Times New Roman"/>
                      <w:b/>
                      <w:bCs/>
                      <w:szCs w:val="21"/>
                      <w:highlight w:val="none"/>
                    </w:rPr>
                  </w:pPr>
                </w:p>
              </w:tc>
              <w:tc>
                <w:tcPr>
                  <w:tcW w:w="1491" w:type="pct"/>
                  <w:gridSpan w:val="3"/>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45" w:type="pct"/>
                  <w:vMerge w:val="continue"/>
                  <w:noWrap w:val="0"/>
                  <w:vAlign w:val="center"/>
                </w:tcPr>
                <w:p>
                  <w:pPr>
                    <w:jc w:val="center"/>
                    <w:rPr>
                      <w:rFonts w:hint="default" w:ascii="Times New Roman" w:hAnsi="Times New Roman" w:cs="Times New Roman"/>
                      <w:b/>
                      <w:bCs/>
                      <w:szCs w:val="21"/>
                      <w:highlight w:val="none"/>
                    </w:rPr>
                  </w:pPr>
                </w:p>
              </w:tc>
              <w:tc>
                <w:tcPr>
                  <w:tcW w:w="443" w:type="pct"/>
                  <w:vMerge w:val="continue"/>
                  <w:noWrap w:val="0"/>
                  <w:vAlign w:val="center"/>
                </w:tcPr>
                <w:p>
                  <w:pPr>
                    <w:jc w:val="center"/>
                    <w:rPr>
                      <w:rFonts w:hint="default" w:ascii="Times New Roman" w:hAnsi="Times New Roman" w:cs="Times New Roman"/>
                      <w:b/>
                      <w:bCs/>
                      <w:szCs w:val="21"/>
                      <w:highlight w:val="none"/>
                    </w:rPr>
                  </w:pPr>
                </w:p>
              </w:tc>
              <w:tc>
                <w:tcPr>
                  <w:tcW w:w="522"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经度</w:t>
                  </w:r>
                </w:p>
              </w:tc>
              <w:tc>
                <w:tcPr>
                  <w:tcW w:w="516"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纬度</w:t>
                  </w:r>
                </w:p>
              </w:tc>
              <w:tc>
                <w:tcPr>
                  <w:tcW w:w="500" w:type="pct"/>
                  <w:vMerge w:val="continue"/>
                  <w:noWrap w:val="0"/>
                  <w:vAlign w:val="center"/>
                </w:tcPr>
                <w:p>
                  <w:pPr>
                    <w:jc w:val="center"/>
                    <w:rPr>
                      <w:rFonts w:hint="default" w:ascii="Times New Roman" w:hAnsi="Times New Roman" w:cs="Times New Roman"/>
                      <w:b/>
                      <w:bCs/>
                      <w:szCs w:val="21"/>
                      <w:highlight w:val="none"/>
                    </w:rPr>
                  </w:pPr>
                </w:p>
              </w:tc>
              <w:tc>
                <w:tcPr>
                  <w:tcW w:w="464" w:type="pct"/>
                  <w:vMerge w:val="continue"/>
                  <w:noWrap w:val="0"/>
                  <w:vAlign w:val="center"/>
                </w:tcPr>
                <w:p>
                  <w:pPr>
                    <w:jc w:val="center"/>
                    <w:rPr>
                      <w:rFonts w:hint="default" w:ascii="Times New Roman" w:hAnsi="Times New Roman" w:cs="Times New Roman"/>
                      <w:b/>
                      <w:bCs/>
                      <w:szCs w:val="21"/>
                      <w:highlight w:val="none"/>
                    </w:rPr>
                  </w:pPr>
                </w:p>
              </w:tc>
              <w:tc>
                <w:tcPr>
                  <w:tcW w:w="583" w:type="pct"/>
                  <w:vMerge w:val="continue"/>
                  <w:noWrap w:val="0"/>
                  <w:vAlign w:val="center"/>
                </w:tcPr>
                <w:p>
                  <w:pPr>
                    <w:jc w:val="center"/>
                    <w:rPr>
                      <w:rFonts w:hint="default" w:ascii="Times New Roman" w:hAnsi="Times New Roman" w:cs="Times New Roman"/>
                      <w:b/>
                      <w:bCs/>
                      <w:szCs w:val="21"/>
                      <w:highlight w:val="none"/>
                    </w:rPr>
                  </w:pPr>
                </w:p>
              </w:tc>
              <w:tc>
                <w:tcPr>
                  <w:tcW w:w="232" w:type="pct"/>
                  <w:vMerge w:val="continue"/>
                  <w:noWrap w:val="0"/>
                  <w:vAlign w:val="center"/>
                </w:tcPr>
                <w:p>
                  <w:pPr>
                    <w:jc w:val="center"/>
                    <w:rPr>
                      <w:rFonts w:hint="default" w:ascii="Times New Roman" w:hAnsi="Times New Roman" w:cs="Times New Roman"/>
                      <w:b/>
                      <w:bCs/>
                      <w:szCs w:val="21"/>
                      <w:highlight w:val="none"/>
                    </w:rPr>
                  </w:pPr>
                </w:p>
              </w:tc>
              <w:tc>
                <w:tcPr>
                  <w:tcW w:w="398"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名称</w:t>
                  </w:r>
                </w:p>
                <w:p>
                  <w:pPr>
                    <w:jc w:val="center"/>
                    <w:rPr>
                      <w:rFonts w:hint="default" w:ascii="Times New Roman" w:hAnsi="Times New Roman" w:cs="Times New Roman"/>
                      <w:b/>
                      <w:bCs/>
                      <w:szCs w:val="21"/>
                      <w:highlight w:val="none"/>
                    </w:rPr>
                  </w:pPr>
                </w:p>
              </w:tc>
              <w:tc>
                <w:tcPr>
                  <w:tcW w:w="448"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污染物种类</w:t>
                  </w:r>
                </w:p>
              </w:tc>
              <w:tc>
                <w:tcPr>
                  <w:tcW w:w="645" w:type="pct"/>
                  <w:noWrap w:val="0"/>
                  <w:vAlign w:val="center"/>
                </w:tcPr>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国家或地方污染物排放</w:t>
                  </w:r>
                </w:p>
                <w:p>
                  <w:pPr>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标准浓度限值/（mg/L）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5" w:type="pct"/>
                  <w:vMerge w:val="restar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1</w:t>
                  </w:r>
                </w:p>
              </w:tc>
              <w:tc>
                <w:tcPr>
                  <w:tcW w:w="443" w:type="pct"/>
                  <w:vMerge w:val="restar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DW001</w:t>
                  </w:r>
                </w:p>
              </w:tc>
              <w:tc>
                <w:tcPr>
                  <w:tcW w:w="522" w:type="pct"/>
                  <w:vMerge w:val="restart"/>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109.05100644</w:t>
                  </w:r>
                </w:p>
              </w:tc>
              <w:tc>
                <w:tcPr>
                  <w:tcW w:w="516" w:type="pct"/>
                  <w:vMerge w:val="restart"/>
                  <w:noWrap w:val="0"/>
                  <w:vAlign w:val="center"/>
                </w:tcPr>
                <w:p>
                  <w:pPr>
                    <w:jc w:val="center"/>
                    <w:rPr>
                      <w:rFonts w:hint="default" w:ascii="Times New Roman" w:hAnsi="Times New Roman" w:cs="Times New Roman"/>
                      <w:bCs/>
                      <w:szCs w:val="21"/>
                      <w:highlight w:val="none"/>
                    </w:rPr>
                  </w:pPr>
                  <w:r>
                    <w:rPr>
                      <w:rFonts w:hint="default" w:ascii="Times New Roman" w:hAnsi="Times New Roman" w:cs="Times New Roman"/>
                      <w:bCs/>
                      <w:szCs w:val="21"/>
                      <w:highlight w:val="none"/>
                    </w:rPr>
                    <w:t>34.25080937</w:t>
                  </w:r>
                </w:p>
              </w:tc>
              <w:tc>
                <w:tcPr>
                  <w:tcW w:w="500" w:type="pct"/>
                  <w:vMerge w:val="restart"/>
                  <w:noWrap w:val="0"/>
                  <w:vAlign w:val="center"/>
                </w:tcPr>
                <w:p>
                  <w:pPr>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val="en-US" w:eastAsia="zh-CN"/>
                    </w:rPr>
                    <w:t>446.76</w:t>
                  </w:r>
                </w:p>
              </w:tc>
              <w:tc>
                <w:tcPr>
                  <w:tcW w:w="464" w:type="pct"/>
                  <w:vMerge w:val="restar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城市污水处理厂</w:t>
                  </w:r>
                </w:p>
              </w:tc>
              <w:tc>
                <w:tcPr>
                  <w:tcW w:w="583" w:type="pct"/>
                  <w:vMerge w:val="restar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间断排放，排放期间流量稳定</w:t>
                  </w:r>
                </w:p>
              </w:tc>
              <w:tc>
                <w:tcPr>
                  <w:tcW w:w="232" w:type="pct"/>
                  <w:vMerge w:val="restar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不固定</w:t>
                  </w:r>
                </w:p>
              </w:tc>
              <w:tc>
                <w:tcPr>
                  <w:tcW w:w="398" w:type="pct"/>
                  <w:vMerge w:val="restart"/>
                  <w:noWrap w:val="0"/>
                  <w:vAlign w:val="center"/>
                </w:tcPr>
                <w:p>
                  <w:pPr>
                    <w:jc w:val="center"/>
                    <w:rPr>
                      <w:rFonts w:hint="default" w:ascii="Times New Roman" w:hAnsi="Times New Roman" w:cs="Times New Roman"/>
                      <w:szCs w:val="21"/>
                      <w:highlight w:val="none"/>
                    </w:rPr>
                  </w:pPr>
                  <w:r>
                    <w:rPr>
                      <w:rFonts w:hint="default" w:ascii="Times New Roman" w:hAnsi="Times New Roman" w:cs="Times New Roman"/>
                      <w:bCs/>
                      <w:szCs w:val="21"/>
                      <w:highlight w:val="none"/>
                    </w:rPr>
                    <w:t>西安市第</w:t>
                  </w:r>
                  <w:r>
                    <w:rPr>
                      <w:rFonts w:hint="eastAsia" w:ascii="Times New Roman" w:hAnsi="Times New Roman" w:cs="Times New Roman"/>
                      <w:bCs/>
                      <w:szCs w:val="21"/>
                      <w:highlight w:val="none"/>
                      <w:lang w:val="en-US" w:eastAsia="zh-CN"/>
                    </w:rPr>
                    <w:t>三</w:t>
                  </w:r>
                  <w:r>
                    <w:rPr>
                      <w:rFonts w:hint="default" w:ascii="Times New Roman" w:hAnsi="Times New Roman" w:cs="Times New Roman"/>
                      <w:bCs/>
                      <w:szCs w:val="21"/>
                      <w:highlight w:val="none"/>
                    </w:rPr>
                    <w:t>污水处理厂</w:t>
                  </w:r>
                </w:p>
              </w:tc>
              <w:tc>
                <w:tcPr>
                  <w:tcW w:w="448"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COD</w:t>
                  </w:r>
                </w:p>
              </w:tc>
              <w:tc>
                <w:tcPr>
                  <w:tcW w:w="645" w:type="pct"/>
                  <w:noWrap w:val="0"/>
                  <w:vAlign w:val="center"/>
                </w:tcPr>
                <w:p>
                  <w:pPr>
                    <w:snapToGrid w:val="0"/>
                    <w:jc w:val="center"/>
                    <w:rPr>
                      <w:rFonts w:hint="eastAsia" w:ascii="Times New Roman" w:hAnsi="Times New Roman" w:eastAsia="宋体" w:cs="Times New Roman"/>
                      <w:szCs w:val="21"/>
                      <w:highlight w:val="none"/>
                      <w:lang w:val="en-US" w:eastAsia="zh-CN"/>
                    </w:rPr>
                  </w:pPr>
                  <w:r>
                    <w:rPr>
                      <w:rFonts w:hint="default" w:ascii="Times New Roman" w:hAnsi="Times New Roman" w:cs="Times New Roman"/>
                      <w:szCs w:val="21"/>
                      <w:highlight w:val="none"/>
                    </w:rPr>
                    <w:t>50</w:t>
                  </w:r>
                  <w:r>
                    <w:rPr>
                      <w:rFonts w:hint="eastAsia" w:ascii="Times New Roman" w:hAnsi="Times New Roman" w:cs="Times New Roman"/>
                      <w:szCs w:val="21"/>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trPr>
              <w:tc>
                <w:tcPr>
                  <w:tcW w:w="245" w:type="pct"/>
                  <w:vMerge w:val="continue"/>
                  <w:noWrap w:val="0"/>
                  <w:vAlign w:val="center"/>
                </w:tcPr>
                <w:p>
                  <w:pPr>
                    <w:jc w:val="center"/>
                    <w:rPr>
                      <w:rFonts w:hint="default" w:ascii="Times New Roman" w:hAnsi="Times New Roman" w:cs="Times New Roman"/>
                      <w:szCs w:val="21"/>
                      <w:highlight w:val="none"/>
                    </w:rPr>
                  </w:pPr>
                </w:p>
              </w:tc>
              <w:tc>
                <w:tcPr>
                  <w:tcW w:w="443" w:type="pct"/>
                  <w:vMerge w:val="continue"/>
                  <w:noWrap w:val="0"/>
                  <w:vAlign w:val="center"/>
                </w:tcPr>
                <w:p>
                  <w:pPr>
                    <w:jc w:val="center"/>
                    <w:rPr>
                      <w:rFonts w:hint="default" w:ascii="Times New Roman" w:hAnsi="Times New Roman" w:cs="Times New Roman"/>
                      <w:szCs w:val="21"/>
                      <w:highlight w:val="none"/>
                    </w:rPr>
                  </w:pPr>
                </w:p>
              </w:tc>
              <w:tc>
                <w:tcPr>
                  <w:tcW w:w="522" w:type="pct"/>
                  <w:vMerge w:val="continue"/>
                  <w:noWrap w:val="0"/>
                  <w:vAlign w:val="center"/>
                </w:tcPr>
                <w:p>
                  <w:pPr>
                    <w:jc w:val="center"/>
                    <w:rPr>
                      <w:rFonts w:hint="default" w:ascii="Times New Roman" w:hAnsi="Times New Roman" w:cs="Times New Roman"/>
                      <w:szCs w:val="21"/>
                      <w:highlight w:val="none"/>
                    </w:rPr>
                  </w:pPr>
                </w:p>
              </w:tc>
              <w:tc>
                <w:tcPr>
                  <w:tcW w:w="516" w:type="pct"/>
                  <w:vMerge w:val="continue"/>
                  <w:noWrap w:val="0"/>
                  <w:vAlign w:val="center"/>
                </w:tcPr>
                <w:p>
                  <w:pPr>
                    <w:jc w:val="center"/>
                    <w:rPr>
                      <w:rFonts w:hint="default" w:ascii="Times New Roman" w:hAnsi="Times New Roman" w:cs="Times New Roman"/>
                      <w:szCs w:val="21"/>
                      <w:highlight w:val="none"/>
                    </w:rPr>
                  </w:pPr>
                </w:p>
              </w:tc>
              <w:tc>
                <w:tcPr>
                  <w:tcW w:w="500" w:type="pct"/>
                  <w:vMerge w:val="continue"/>
                  <w:noWrap w:val="0"/>
                  <w:vAlign w:val="center"/>
                </w:tcPr>
                <w:p>
                  <w:pPr>
                    <w:jc w:val="center"/>
                    <w:rPr>
                      <w:rFonts w:hint="default" w:ascii="Times New Roman" w:hAnsi="Times New Roman" w:cs="Times New Roman"/>
                      <w:szCs w:val="21"/>
                      <w:highlight w:val="none"/>
                    </w:rPr>
                  </w:pPr>
                </w:p>
              </w:tc>
              <w:tc>
                <w:tcPr>
                  <w:tcW w:w="464" w:type="pct"/>
                  <w:vMerge w:val="continue"/>
                  <w:noWrap w:val="0"/>
                  <w:vAlign w:val="center"/>
                </w:tcPr>
                <w:p>
                  <w:pPr>
                    <w:jc w:val="center"/>
                    <w:rPr>
                      <w:rFonts w:hint="default" w:ascii="Times New Roman" w:hAnsi="Times New Roman" w:cs="Times New Roman"/>
                      <w:szCs w:val="21"/>
                      <w:highlight w:val="none"/>
                    </w:rPr>
                  </w:pPr>
                </w:p>
              </w:tc>
              <w:tc>
                <w:tcPr>
                  <w:tcW w:w="583" w:type="pct"/>
                  <w:vMerge w:val="continue"/>
                  <w:noWrap w:val="0"/>
                  <w:vAlign w:val="center"/>
                </w:tcPr>
                <w:p>
                  <w:pPr>
                    <w:jc w:val="center"/>
                    <w:rPr>
                      <w:rFonts w:hint="default" w:ascii="Times New Roman" w:hAnsi="Times New Roman" w:cs="Times New Roman"/>
                      <w:szCs w:val="21"/>
                      <w:highlight w:val="none"/>
                    </w:rPr>
                  </w:pPr>
                </w:p>
              </w:tc>
              <w:tc>
                <w:tcPr>
                  <w:tcW w:w="232" w:type="pct"/>
                  <w:vMerge w:val="continue"/>
                  <w:noWrap w:val="0"/>
                  <w:vAlign w:val="center"/>
                </w:tcPr>
                <w:p>
                  <w:pPr>
                    <w:jc w:val="center"/>
                    <w:rPr>
                      <w:rFonts w:hint="default" w:ascii="Times New Roman" w:hAnsi="Times New Roman" w:cs="Times New Roman"/>
                      <w:szCs w:val="21"/>
                      <w:highlight w:val="none"/>
                    </w:rPr>
                  </w:pPr>
                </w:p>
              </w:tc>
              <w:tc>
                <w:tcPr>
                  <w:tcW w:w="398" w:type="pct"/>
                  <w:vMerge w:val="continue"/>
                  <w:noWrap w:val="0"/>
                  <w:vAlign w:val="center"/>
                </w:tcPr>
                <w:p>
                  <w:pPr>
                    <w:jc w:val="center"/>
                    <w:rPr>
                      <w:rFonts w:hint="default" w:ascii="Times New Roman" w:hAnsi="Times New Roman" w:cs="Times New Roman"/>
                      <w:szCs w:val="21"/>
                      <w:highlight w:val="none"/>
                    </w:rPr>
                  </w:pPr>
                </w:p>
              </w:tc>
              <w:tc>
                <w:tcPr>
                  <w:tcW w:w="448"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BOD</w:t>
                  </w:r>
                  <w:r>
                    <w:rPr>
                      <w:rFonts w:hint="default" w:ascii="Times New Roman" w:hAnsi="Times New Roman" w:cs="Times New Roman"/>
                      <w:szCs w:val="21"/>
                      <w:highlight w:val="none"/>
                      <w:vertAlign w:val="subscript"/>
                    </w:rPr>
                    <w:t>5</w:t>
                  </w:r>
                </w:p>
              </w:tc>
              <w:tc>
                <w:tcPr>
                  <w:tcW w:w="645" w:type="pct"/>
                  <w:noWrap w:val="0"/>
                  <w:vAlign w:val="center"/>
                </w:tcPr>
                <w:p>
                  <w:pPr>
                    <w:snapToGrid w:val="0"/>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trPr>
              <w:tc>
                <w:tcPr>
                  <w:tcW w:w="245" w:type="pct"/>
                  <w:vMerge w:val="continue"/>
                  <w:noWrap w:val="0"/>
                  <w:vAlign w:val="center"/>
                </w:tcPr>
                <w:p>
                  <w:pPr>
                    <w:jc w:val="center"/>
                    <w:rPr>
                      <w:rFonts w:hint="default" w:ascii="Times New Roman" w:hAnsi="Times New Roman" w:cs="Times New Roman"/>
                      <w:szCs w:val="21"/>
                      <w:highlight w:val="none"/>
                    </w:rPr>
                  </w:pPr>
                </w:p>
              </w:tc>
              <w:tc>
                <w:tcPr>
                  <w:tcW w:w="443" w:type="pct"/>
                  <w:vMerge w:val="continue"/>
                  <w:noWrap w:val="0"/>
                  <w:vAlign w:val="center"/>
                </w:tcPr>
                <w:p>
                  <w:pPr>
                    <w:jc w:val="center"/>
                    <w:rPr>
                      <w:rFonts w:hint="default" w:ascii="Times New Roman" w:hAnsi="Times New Roman" w:cs="Times New Roman"/>
                      <w:szCs w:val="21"/>
                      <w:highlight w:val="none"/>
                    </w:rPr>
                  </w:pPr>
                </w:p>
              </w:tc>
              <w:tc>
                <w:tcPr>
                  <w:tcW w:w="522" w:type="pct"/>
                  <w:vMerge w:val="continue"/>
                  <w:noWrap w:val="0"/>
                  <w:vAlign w:val="center"/>
                </w:tcPr>
                <w:p>
                  <w:pPr>
                    <w:jc w:val="center"/>
                    <w:rPr>
                      <w:rFonts w:hint="default" w:ascii="Times New Roman" w:hAnsi="Times New Roman" w:cs="Times New Roman"/>
                      <w:szCs w:val="21"/>
                      <w:highlight w:val="none"/>
                    </w:rPr>
                  </w:pPr>
                </w:p>
              </w:tc>
              <w:tc>
                <w:tcPr>
                  <w:tcW w:w="516" w:type="pct"/>
                  <w:vMerge w:val="continue"/>
                  <w:noWrap w:val="0"/>
                  <w:vAlign w:val="center"/>
                </w:tcPr>
                <w:p>
                  <w:pPr>
                    <w:jc w:val="center"/>
                    <w:rPr>
                      <w:rFonts w:hint="default" w:ascii="Times New Roman" w:hAnsi="Times New Roman" w:cs="Times New Roman"/>
                      <w:szCs w:val="21"/>
                      <w:highlight w:val="none"/>
                    </w:rPr>
                  </w:pPr>
                </w:p>
              </w:tc>
              <w:tc>
                <w:tcPr>
                  <w:tcW w:w="500" w:type="pct"/>
                  <w:vMerge w:val="continue"/>
                  <w:noWrap w:val="0"/>
                  <w:vAlign w:val="center"/>
                </w:tcPr>
                <w:p>
                  <w:pPr>
                    <w:jc w:val="center"/>
                    <w:rPr>
                      <w:rFonts w:hint="default" w:ascii="Times New Roman" w:hAnsi="Times New Roman" w:cs="Times New Roman"/>
                      <w:szCs w:val="21"/>
                      <w:highlight w:val="none"/>
                    </w:rPr>
                  </w:pPr>
                </w:p>
              </w:tc>
              <w:tc>
                <w:tcPr>
                  <w:tcW w:w="464" w:type="pct"/>
                  <w:vMerge w:val="continue"/>
                  <w:noWrap w:val="0"/>
                  <w:vAlign w:val="center"/>
                </w:tcPr>
                <w:p>
                  <w:pPr>
                    <w:jc w:val="center"/>
                    <w:rPr>
                      <w:rFonts w:hint="default" w:ascii="Times New Roman" w:hAnsi="Times New Roman" w:cs="Times New Roman"/>
                      <w:szCs w:val="21"/>
                      <w:highlight w:val="none"/>
                    </w:rPr>
                  </w:pPr>
                </w:p>
              </w:tc>
              <w:tc>
                <w:tcPr>
                  <w:tcW w:w="583" w:type="pct"/>
                  <w:vMerge w:val="continue"/>
                  <w:noWrap w:val="0"/>
                  <w:vAlign w:val="center"/>
                </w:tcPr>
                <w:p>
                  <w:pPr>
                    <w:jc w:val="center"/>
                    <w:rPr>
                      <w:rFonts w:hint="default" w:ascii="Times New Roman" w:hAnsi="Times New Roman" w:cs="Times New Roman"/>
                      <w:szCs w:val="21"/>
                      <w:highlight w:val="none"/>
                    </w:rPr>
                  </w:pPr>
                </w:p>
              </w:tc>
              <w:tc>
                <w:tcPr>
                  <w:tcW w:w="232" w:type="pct"/>
                  <w:vMerge w:val="continue"/>
                  <w:noWrap w:val="0"/>
                  <w:vAlign w:val="center"/>
                </w:tcPr>
                <w:p>
                  <w:pPr>
                    <w:jc w:val="center"/>
                    <w:rPr>
                      <w:rFonts w:hint="default" w:ascii="Times New Roman" w:hAnsi="Times New Roman" w:cs="Times New Roman"/>
                      <w:szCs w:val="21"/>
                      <w:highlight w:val="none"/>
                    </w:rPr>
                  </w:pPr>
                </w:p>
              </w:tc>
              <w:tc>
                <w:tcPr>
                  <w:tcW w:w="398" w:type="pct"/>
                  <w:vMerge w:val="continue"/>
                  <w:noWrap w:val="0"/>
                  <w:vAlign w:val="center"/>
                </w:tcPr>
                <w:p>
                  <w:pPr>
                    <w:jc w:val="center"/>
                    <w:rPr>
                      <w:rFonts w:hint="default" w:ascii="Times New Roman" w:hAnsi="Times New Roman" w:cs="Times New Roman"/>
                      <w:szCs w:val="21"/>
                      <w:highlight w:val="none"/>
                    </w:rPr>
                  </w:pPr>
                </w:p>
              </w:tc>
              <w:tc>
                <w:tcPr>
                  <w:tcW w:w="448"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SS</w:t>
                  </w:r>
                </w:p>
              </w:tc>
              <w:tc>
                <w:tcPr>
                  <w:tcW w:w="645" w:type="pct"/>
                  <w:noWrap w:val="0"/>
                  <w:vAlign w:val="center"/>
                </w:tcPr>
                <w:p>
                  <w:pPr>
                    <w:snapToGrid w:val="0"/>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5" w:type="pct"/>
                  <w:vMerge w:val="continue"/>
                  <w:noWrap w:val="0"/>
                  <w:vAlign w:val="center"/>
                </w:tcPr>
                <w:p>
                  <w:pPr>
                    <w:jc w:val="center"/>
                    <w:rPr>
                      <w:rFonts w:hint="default" w:ascii="Times New Roman" w:hAnsi="Times New Roman" w:cs="Times New Roman"/>
                      <w:szCs w:val="21"/>
                      <w:highlight w:val="none"/>
                    </w:rPr>
                  </w:pPr>
                </w:p>
              </w:tc>
              <w:tc>
                <w:tcPr>
                  <w:tcW w:w="443" w:type="pct"/>
                  <w:vMerge w:val="continue"/>
                  <w:noWrap w:val="0"/>
                  <w:vAlign w:val="center"/>
                </w:tcPr>
                <w:p>
                  <w:pPr>
                    <w:jc w:val="center"/>
                    <w:rPr>
                      <w:rFonts w:hint="default" w:ascii="Times New Roman" w:hAnsi="Times New Roman" w:cs="Times New Roman"/>
                      <w:szCs w:val="21"/>
                      <w:highlight w:val="none"/>
                    </w:rPr>
                  </w:pPr>
                </w:p>
              </w:tc>
              <w:tc>
                <w:tcPr>
                  <w:tcW w:w="522" w:type="pct"/>
                  <w:vMerge w:val="continue"/>
                  <w:noWrap w:val="0"/>
                  <w:vAlign w:val="center"/>
                </w:tcPr>
                <w:p>
                  <w:pPr>
                    <w:jc w:val="center"/>
                    <w:rPr>
                      <w:rFonts w:hint="default" w:ascii="Times New Roman" w:hAnsi="Times New Roman" w:cs="Times New Roman"/>
                      <w:szCs w:val="21"/>
                      <w:highlight w:val="none"/>
                    </w:rPr>
                  </w:pPr>
                </w:p>
              </w:tc>
              <w:tc>
                <w:tcPr>
                  <w:tcW w:w="516" w:type="pct"/>
                  <w:vMerge w:val="continue"/>
                  <w:noWrap w:val="0"/>
                  <w:vAlign w:val="center"/>
                </w:tcPr>
                <w:p>
                  <w:pPr>
                    <w:jc w:val="center"/>
                    <w:rPr>
                      <w:rFonts w:hint="default" w:ascii="Times New Roman" w:hAnsi="Times New Roman" w:cs="Times New Roman"/>
                      <w:szCs w:val="21"/>
                      <w:highlight w:val="none"/>
                    </w:rPr>
                  </w:pPr>
                </w:p>
              </w:tc>
              <w:tc>
                <w:tcPr>
                  <w:tcW w:w="500" w:type="pct"/>
                  <w:vMerge w:val="continue"/>
                  <w:noWrap w:val="0"/>
                  <w:vAlign w:val="center"/>
                </w:tcPr>
                <w:p>
                  <w:pPr>
                    <w:jc w:val="center"/>
                    <w:rPr>
                      <w:rFonts w:hint="default" w:ascii="Times New Roman" w:hAnsi="Times New Roman" w:cs="Times New Roman"/>
                      <w:szCs w:val="21"/>
                      <w:highlight w:val="none"/>
                    </w:rPr>
                  </w:pPr>
                </w:p>
              </w:tc>
              <w:tc>
                <w:tcPr>
                  <w:tcW w:w="464" w:type="pct"/>
                  <w:vMerge w:val="continue"/>
                  <w:noWrap w:val="0"/>
                  <w:vAlign w:val="center"/>
                </w:tcPr>
                <w:p>
                  <w:pPr>
                    <w:jc w:val="center"/>
                    <w:rPr>
                      <w:rFonts w:hint="default" w:ascii="Times New Roman" w:hAnsi="Times New Roman" w:cs="Times New Roman"/>
                      <w:szCs w:val="21"/>
                      <w:highlight w:val="none"/>
                    </w:rPr>
                  </w:pPr>
                </w:p>
              </w:tc>
              <w:tc>
                <w:tcPr>
                  <w:tcW w:w="583" w:type="pct"/>
                  <w:vMerge w:val="continue"/>
                  <w:noWrap w:val="0"/>
                  <w:vAlign w:val="center"/>
                </w:tcPr>
                <w:p>
                  <w:pPr>
                    <w:jc w:val="center"/>
                    <w:rPr>
                      <w:rFonts w:hint="default" w:ascii="Times New Roman" w:hAnsi="Times New Roman" w:cs="Times New Roman"/>
                      <w:szCs w:val="21"/>
                      <w:highlight w:val="none"/>
                    </w:rPr>
                  </w:pPr>
                </w:p>
              </w:tc>
              <w:tc>
                <w:tcPr>
                  <w:tcW w:w="232" w:type="pct"/>
                  <w:vMerge w:val="continue"/>
                  <w:noWrap w:val="0"/>
                  <w:vAlign w:val="center"/>
                </w:tcPr>
                <w:p>
                  <w:pPr>
                    <w:jc w:val="center"/>
                    <w:rPr>
                      <w:rFonts w:hint="default" w:ascii="Times New Roman" w:hAnsi="Times New Roman" w:cs="Times New Roman"/>
                      <w:szCs w:val="21"/>
                      <w:highlight w:val="none"/>
                    </w:rPr>
                  </w:pPr>
                </w:p>
              </w:tc>
              <w:tc>
                <w:tcPr>
                  <w:tcW w:w="398" w:type="pct"/>
                  <w:vMerge w:val="continue"/>
                  <w:noWrap w:val="0"/>
                  <w:vAlign w:val="center"/>
                </w:tcPr>
                <w:p>
                  <w:pPr>
                    <w:jc w:val="center"/>
                    <w:rPr>
                      <w:rFonts w:hint="default" w:ascii="Times New Roman" w:hAnsi="Times New Roman" w:cs="Times New Roman"/>
                      <w:szCs w:val="21"/>
                      <w:highlight w:val="none"/>
                    </w:rPr>
                  </w:pPr>
                </w:p>
              </w:tc>
              <w:tc>
                <w:tcPr>
                  <w:tcW w:w="448"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氨氮</w:t>
                  </w:r>
                </w:p>
              </w:tc>
              <w:tc>
                <w:tcPr>
                  <w:tcW w:w="645" w:type="pct"/>
                  <w:noWrap w:val="0"/>
                  <w:vAlign w:val="center"/>
                </w:tcPr>
                <w:p>
                  <w:pPr>
                    <w:snapToGrid w:val="0"/>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trPr>
              <w:tc>
                <w:tcPr>
                  <w:tcW w:w="245" w:type="pct"/>
                  <w:vMerge w:val="continue"/>
                  <w:noWrap w:val="0"/>
                  <w:vAlign w:val="center"/>
                </w:tcPr>
                <w:p>
                  <w:pPr>
                    <w:jc w:val="center"/>
                    <w:rPr>
                      <w:rFonts w:hint="default" w:ascii="Times New Roman" w:hAnsi="Times New Roman" w:cs="Times New Roman"/>
                      <w:szCs w:val="21"/>
                      <w:highlight w:val="none"/>
                    </w:rPr>
                  </w:pPr>
                </w:p>
              </w:tc>
              <w:tc>
                <w:tcPr>
                  <w:tcW w:w="443" w:type="pct"/>
                  <w:vMerge w:val="continue"/>
                  <w:noWrap w:val="0"/>
                  <w:vAlign w:val="center"/>
                </w:tcPr>
                <w:p>
                  <w:pPr>
                    <w:jc w:val="center"/>
                    <w:rPr>
                      <w:rFonts w:hint="default" w:ascii="Times New Roman" w:hAnsi="Times New Roman" w:cs="Times New Roman"/>
                      <w:szCs w:val="21"/>
                      <w:highlight w:val="none"/>
                    </w:rPr>
                  </w:pPr>
                </w:p>
              </w:tc>
              <w:tc>
                <w:tcPr>
                  <w:tcW w:w="522" w:type="pct"/>
                  <w:vMerge w:val="continue"/>
                  <w:noWrap w:val="0"/>
                  <w:vAlign w:val="center"/>
                </w:tcPr>
                <w:p>
                  <w:pPr>
                    <w:jc w:val="center"/>
                    <w:rPr>
                      <w:rFonts w:hint="default" w:ascii="Times New Roman" w:hAnsi="Times New Roman" w:cs="Times New Roman"/>
                      <w:szCs w:val="21"/>
                      <w:highlight w:val="none"/>
                    </w:rPr>
                  </w:pPr>
                </w:p>
              </w:tc>
              <w:tc>
                <w:tcPr>
                  <w:tcW w:w="516" w:type="pct"/>
                  <w:vMerge w:val="continue"/>
                  <w:noWrap w:val="0"/>
                  <w:vAlign w:val="center"/>
                </w:tcPr>
                <w:p>
                  <w:pPr>
                    <w:jc w:val="center"/>
                    <w:rPr>
                      <w:rFonts w:hint="default" w:ascii="Times New Roman" w:hAnsi="Times New Roman" w:cs="Times New Roman"/>
                      <w:szCs w:val="21"/>
                      <w:highlight w:val="none"/>
                    </w:rPr>
                  </w:pPr>
                </w:p>
              </w:tc>
              <w:tc>
                <w:tcPr>
                  <w:tcW w:w="500" w:type="pct"/>
                  <w:vMerge w:val="continue"/>
                  <w:noWrap w:val="0"/>
                  <w:vAlign w:val="center"/>
                </w:tcPr>
                <w:p>
                  <w:pPr>
                    <w:jc w:val="center"/>
                    <w:rPr>
                      <w:rFonts w:hint="default" w:ascii="Times New Roman" w:hAnsi="Times New Roman" w:cs="Times New Roman"/>
                      <w:szCs w:val="21"/>
                      <w:highlight w:val="none"/>
                    </w:rPr>
                  </w:pPr>
                </w:p>
              </w:tc>
              <w:tc>
                <w:tcPr>
                  <w:tcW w:w="464" w:type="pct"/>
                  <w:vMerge w:val="continue"/>
                  <w:noWrap w:val="0"/>
                  <w:vAlign w:val="center"/>
                </w:tcPr>
                <w:p>
                  <w:pPr>
                    <w:jc w:val="center"/>
                    <w:rPr>
                      <w:rFonts w:hint="default" w:ascii="Times New Roman" w:hAnsi="Times New Roman" w:cs="Times New Roman"/>
                      <w:szCs w:val="21"/>
                      <w:highlight w:val="none"/>
                    </w:rPr>
                  </w:pPr>
                </w:p>
              </w:tc>
              <w:tc>
                <w:tcPr>
                  <w:tcW w:w="583" w:type="pct"/>
                  <w:vMerge w:val="continue"/>
                  <w:noWrap w:val="0"/>
                  <w:vAlign w:val="center"/>
                </w:tcPr>
                <w:p>
                  <w:pPr>
                    <w:jc w:val="center"/>
                    <w:rPr>
                      <w:rFonts w:hint="default" w:ascii="Times New Roman" w:hAnsi="Times New Roman" w:cs="Times New Roman"/>
                      <w:szCs w:val="21"/>
                      <w:highlight w:val="none"/>
                    </w:rPr>
                  </w:pPr>
                </w:p>
              </w:tc>
              <w:tc>
                <w:tcPr>
                  <w:tcW w:w="232" w:type="pct"/>
                  <w:vMerge w:val="continue"/>
                  <w:noWrap w:val="0"/>
                  <w:vAlign w:val="center"/>
                </w:tcPr>
                <w:p>
                  <w:pPr>
                    <w:jc w:val="center"/>
                    <w:rPr>
                      <w:rFonts w:hint="default" w:ascii="Times New Roman" w:hAnsi="Times New Roman" w:cs="Times New Roman"/>
                      <w:szCs w:val="21"/>
                      <w:highlight w:val="none"/>
                    </w:rPr>
                  </w:pPr>
                </w:p>
              </w:tc>
              <w:tc>
                <w:tcPr>
                  <w:tcW w:w="398" w:type="pct"/>
                  <w:vMerge w:val="continue"/>
                  <w:noWrap w:val="0"/>
                  <w:vAlign w:val="center"/>
                </w:tcPr>
                <w:p>
                  <w:pPr>
                    <w:jc w:val="center"/>
                    <w:rPr>
                      <w:rFonts w:hint="default" w:ascii="Times New Roman" w:hAnsi="Times New Roman" w:cs="Times New Roman"/>
                      <w:szCs w:val="21"/>
                      <w:highlight w:val="none"/>
                    </w:rPr>
                  </w:pPr>
                </w:p>
              </w:tc>
              <w:tc>
                <w:tcPr>
                  <w:tcW w:w="448"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TP</w:t>
                  </w:r>
                </w:p>
              </w:tc>
              <w:tc>
                <w:tcPr>
                  <w:tcW w:w="645" w:type="pct"/>
                  <w:noWrap w:val="0"/>
                  <w:vAlign w:val="center"/>
                </w:tcPr>
                <w:p>
                  <w:pPr>
                    <w:jc w:val="center"/>
                    <w:rPr>
                      <w:rFonts w:hint="eastAsia" w:ascii="Times New Roman" w:hAnsi="Times New Roman" w:eastAsia="宋体" w:cs="Times New Roman"/>
                      <w:szCs w:val="21"/>
                      <w:highlight w:val="none"/>
                      <w:lang w:eastAsia="zh-CN"/>
                    </w:rPr>
                  </w:pPr>
                  <w:r>
                    <w:rPr>
                      <w:rFonts w:hint="eastAsia" w:ascii="Times New Roman" w:hAnsi="Times New Roman" w:cs="Times New Roman"/>
                      <w:szCs w:val="21"/>
                      <w:highlight w:val="no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trPr>
              <w:tc>
                <w:tcPr>
                  <w:tcW w:w="245" w:type="pct"/>
                  <w:vMerge w:val="continue"/>
                  <w:noWrap w:val="0"/>
                  <w:vAlign w:val="center"/>
                </w:tcPr>
                <w:p>
                  <w:pPr>
                    <w:jc w:val="center"/>
                    <w:rPr>
                      <w:rFonts w:hint="default" w:ascii="Times New Roman" w:hAnsi="Times New Roman" w:cs="Times New Roman"/>
                      <w:szCs w:val="21"/>
                      <w:highlight w:val="none"/>
                    </w:rPr>
                  </w:pPr>
                </w:p>
              </w:tc>
              <w:tc>
                <w:tcPr>
                  <w:tcW w:w="443" w:type="pct"/>
                  <w:vMerge w:val="continue"/>
                  <w:noWrap w:val="0"/>
                  <w:vAlign w:val="center"/>
                </w:tcPr>
                <w:p>
                  <w:pPr>
                    <w:jc w:val="center"/>
                    <w:rPr>
                      <w:rFonts w:hint="default" w:ascii="Times New Roman" w:hAnsi="Times New Roman" w:cs="Times New Roman"/>
                      <w:szCs w:val="21"/>
                      <w:highlight w:val="none"/>
                    </w:rPr>
                  </w:pPr>
                </w:p>
              </w:tc>
              <w:tc>
                <w:tcPr>
                  <w:tcW w:w="522" w:type="pct"/>
                  <w:vMerge w:val="continue"/>
                  <w:noWrap w:val="0"/>
                  <w:vAlign w:val="center"/>
                </w:tcPr>
                <w:p>
                  <w:pPr>
                    <w:jc w:val="center"/>
                    <w:rPr>
                      <w:rFonts w:hint="default" w:ascii="Times New Roman" w:hAnsi="Times New Roman" w:cs="Times New Roman"/>
                      <w:szCs w:val="21"/>
                      <w:highlight w:val="none"/>
                    </w:rPr>
                  </w:pPr>
                </w:p>
              </w:tc>
              <w:tc>
                <w:tcPr>
                  <w:tcW w:w="516" w:type="pct"/>
                  <w:vMerge w:val="continue"/>
                  <w:noWrap w:val="0"/>
                  <w:vAlign w:val="center"/>
                </w:tcPr>
                <w:p>
                  <w:pPr>
                    <w:jc w:val="center"/>
                    <w:rPr>
                      <w:rFonts w:hint="default" w:ascii="Times New Roman" w:hAnsi="Times New Roman" w:cs="Times New Roman"/>
                      <w:szCs w:val="21"/>
                      <w:highlight w:val="none"/>
                    </w:rPr>
                  </w:pPr>
                </w:p>
              </w:tc>
              <w:tc>
                <w:tcPr>
                  <w:tcW w:w="500" w:type="pct"/>
                  <w:vMerge w:val="continue"/>
                  <w:noWrap w:val="0"/>
                  <w:vAlign w:val="center"/>
                </w:tcPr>
                <w:p>
                  <w:pPr>
                    <w:jc w:val="center"/>
                    <w:rPr>
                      <w:rFonts w:hint="default" w:ascii="Times New Roman" w:hAnsi="Times New Roman" w:cs="Times New Roman"/>
                      <w:szCs w:val="21"/>
                      <w:highlight w:val="none"/>
                    </w:rPr>
                  </w:pPr>
                </w:p>
              </w:tc>
              <w:tc>
                <w:tcPr>
                  <w:tcW w:w="464" w:type="pct"/>
                  <w:vMerge w:val="continue"/>
                  <w:noWrap w:val="0"/>
                  <w:vAlign w:val="center"/>
                </w:tcPr>
                <w:p>
                  <w:pPr>
                    <w:jc w:val="center"/>
                    <w:rPr>
                      <w:rFonts w:hint="default" w:ascii="Times New Roman" w:hAnsi="Times New Roman" w:cs="Times New Roman"/>
                      <w:szCs w:val="21"/>
                      <w:highlight w:val="none"/>
                    </w:rPr>
                  </w:pPr>
                </w:p>
              </w:tc>
              <w:tc>
                <w:tcPr>
                  <w:tcW w:w="583" w:type="pct"/>
                  <w:vMerge w:val="continue"/>
                  <w:noWrap w:val="0"/>
                  <w:vAlign w:val="center"/>
                </w:tcPr>
                <w:p>
                  <w:pPr>
                    <w:jc w:val="center"/>
                    <w:rPr>
                      <w:rFonts w:hint="default" w:ascii="Times New Roman" w:hAnsi="Times New Roman" w:cs="Times New Roman"/>
                      <w:szCs w:val="21"/>
                      <w:highlight w:val="none"/>
                    </w:rPr>
                  </w:pPr>
                </w:p>
              </w:tc>
              <w:tc>
                <w:tcPr>
                  <w:tcW w:w="232" w:type="pct"/>
                  <w:vMerge w:val="continue"/>
                  <w:noWrap w:val="0"/>
                  <w:vAlign w:val="center"/>
                </w:tcPr>
                <w:p>
                  <w:pPr>
                    <w:jc w:val="center"/>
                    <w:rPr>
                      <w:rFonts w:hint="default" w:ascii="Times New Roman" w:hAnsi="Times New Roman" w:cs="Times New Roman"/>
                      <w:szCs w:val="21"/>
                      <w:highlight w:val="none"/>
                    </w:rPr>
                  </w:pPr>
                </w:p>
              </w:tc>
              <w:tc>
                <w:tcPr>
                  <w:tcW w:w="398" w:type="pct"/>
                  <w:vMerge w:val="continue"/>
                  <w:noWrap w:val="0"/>
                  <w:vAlign w:val="center"/>
                </w:tcPr>
                <w:p>
                  <w:pPr>
                    <w:jc w:val="center"/>
                    <w:rPr>
                      <w:rFonts w:hint="default" w:ascii="Times New Roman" w:hAnsi="Times New Roman" w:cs="Times New Roman"/>
                      <w:szCs w:val="21"/>
                      <w:highlight w:val="none"/>
                    </w:rPr>
                  </w:pPr>
                </w:p>
              </w:tc>
              <w:tc>
                <w:tcPr>
                  <w:tcW w:w="448"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TN</w:t>
                  </w:r>
                </w:p>
              </w:tc>
              <w:tc>
                <w:tcPr>
                  <w:tcW w:w="645" w:type="pct"/>
                  <w:noWrap w:val="0"/>
                  <w:vAlign w:val="center"/>
                </w:tcPr>
                <w:p>
                  <w:pPr>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70</w:t>
                  </w:r>
                </w:p>
              </w:tc>
            </w:tr>
          </w:tbl>
          <w:p>
            <w:pPr>
              <w:pStyle w:val="63"/>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（3）监测要求</w:t>
            </w:r>
          </w:p>
          <w:p>
            <w:pPr>
              <w:pStyle w:val="63"/>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本项目运营期环境监测计划见表4-</w:t>
            </w:r>
            <w:r>
              <w:rPr>
                <w:rFonts w:hint="eastAsia" w:ascii="Times New Roman" w:cs="Times New Roman"/>
                <w:bCs/>
                <w:color w:val="auto"/>
                <w:sz w:val="21"/>
                <w:szCs w:val="21"/>
                <w:highlight w:val="none"/>
                <w:lang w:val="en-US" w:eastAsia="zh-CN"/>
              </w:rPr>
              <w:t>9</w:t>
            </w:r>
            <w:r>
              <w:rPr>
                <w:rFonts w:hint="default" w:ascii="Times New Roman" w:hAnsi="Times New Roman" w:cs="Times New Roman"/>
                <w:bCs/>
                <w:color w:val="auto"/>
                <w:sz w:val="21"/>
                <w:szCs w:val="21"/>
                <w:highlight w:val="none"/>
              </w:rPr>
              <w:t>。</w:t>
            </w:r>
          </w:p>
          <w:p>
            <w:pPr>
              <w:pStyle w:val="57"/>
              <w:snapToGrid/>
              <w:spacing w:line="240" w:lineRule="auto"/>
              <w:contextualSpacing/>
              <w:rPr>
                <w:rFonts w:hint="default" w:ascii="Times New Roman" w:hAnsi="Times New Roman" w:cs="Times New Roman"/>
                <w:highlight w:val="none"/>
              </w:rPr>
            </w:pPr>
            <w:r>
              <w:rPr>
                <w:rFonts w:hint="default" w:ascii="Times New Roman" w:hAnsi="Times New Roman" w:cs="Times New Roman"/>
                <w:highlight w:val="none"/>
              </w:rPr>
              <w:t>表4-</w:t>
            </w:r>
            <w:r>
              <w:rPr>
                <w:rFonts w:hint="eastAsia" w:ascii="Times New Roman" w:hAnsi="Times New Roman" w:cs="Times New Roman"/>
                <w:highlight w:val="none"/>
                <w:lang w:val="en-US" w:eastAsia="zh-CN"/>
              </w:rPr>
              <w:t>9</w:t>
            </w:r>
            <w:r>
              <w:rPr>
                <w:rFonts w:hint="default" w:ascii="Times New Roman" w:hAnsi="Times New Roman" w:cs="Times New Roman"/>
                <w:highlight w:val="none"/>
              </w:rPr>
              <w:t>废水监测内容及计划一览表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4"/>
              <w:gridCol w:w="1733"/>
              <w:gridCol w:w="1396"/>
              <w:gridCol w:w="1227"/>
              <w:gridCol w:w="3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1021" w:type="dxa"/>
                  <w:noWrap w:val="0"/>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类别</w:t>
                  </w:r>
                </w:p>
              </w:tc>
              <w:tc>
                <w:tcPr>
                  <w:tcW w:w="1695" w:type="dxa"/>
                  <w:noWrap w:val="0"/>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监测因子</w:t>
                  </w:r>
                </w:p>
              </w:tc>
              <w:tc>
                <w:tcPr>
                  <w:tcW w:w="1365" w:type="dxa"/>
                  <w:noWrap w:val="0"/>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监测点位</w:t>
                  </w:r>
                </w:p>
              </w:tc>
              <w:tc>
                <w:tcPr>
                  <w:tcW w:w="1200" w:type="dxa"/>
                  <w:noWrap w:val="0"/>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监测频次</w:t>
                  </w:r>
                </w:p>
              </w:tc>
              <w:tc>
                <w:tcPr>
                  <w:tcW w:w="2959" w:type="dxa"/>
                  <w:noWrap w:val="0"/>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控制标准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021" w:type="dxa"/>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废水</w:t>
                  </w:r>
                </w:p>
              </w:tc>
              <w:tc>
                <w:tcPr>
                  <w:tcW w:w="1695" w:type="dxa"/>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COD、BOD</w:t>
                  </w:r>
                  <w:r>
                    <w:rPr>
                      <w:rFonts w:hint="default" w:ascii="Times New Roman" w:hAnsi="Times New Roman" w:cs="Times New Roman"/>
                      <w:highlight w:val="none"/>
                      <w:vertAlign w:val="subscript"/>
                    </w:rPr>
                    <w:t>5</w:t>
                  </w:r>
                  <w:r>
                    <w:rPr>
                      <w:rFonts w:hint="default" w:ascii="Times New Roman" w:hAnsi="Times New Roman" w:cs="Times New Roman"/>
                      <w:highlight w:val="none"/>
                    </w:rPr>
                    <w:t>、SS、NH</w:t>
                  </w:r>
                  <w:r>
                    <w:rPr>
                      <w:rFonts w:hint="default" w:ascii="Times New Roman" w:hAnsi="Times New Roman" w:cs="Times New Roman"/>
                      <w:highlight w:val="none"/>
                      <w:vertAlign w:val="subscript"/>
                    </w:rPr>
                    <w:t>3</w:t>
                  </w:r>
                  <w:r>
                    <w:rPr>
                      <w:rFonts w:hint="default" w:ascii="Times New Roman" w:hAnsi="Times New Roman" w:cs="Times New Roman"/>
                      <w:highlight w:val="none"/>
                    </w:rPr>
                    <w:t>-N、总磷、总氮</w:t>
                  </w:r>
                </w:p>
              </w:tc>
              <w:tc>
                <w:tcPr>
                  <w:tcW w:w="1365" w:type="dxa"/>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废水排放口</w:t>
                  </w:r>
                </w:p>
              </w:tc>
              <w:tc>
                <w:tcPr>
                  <w:tcW w:w="1200" w:type="dxa"/>
                  <w:noWrap w:val="0"/>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季度/次</w:t>
                  </w:r>
                </w:p>
              </w:tc>
              <w:tc>
                <w:tcPr>
                  <w:tcW w:w="2959" w:type="dxa"/>
                  <w:noWrap w:val="0"/>
                  <w:vAlign w:val="center"/>
                </w:tcPr>
                <w:p>
                  <w:pPr>
                    <w:jc w:val="center"/>
                    <w:rPr>
                      <w:rFonts w:hint="default" w:ascii="Times New Roman" w:hAnsi="Times New Roman" w:cs="Times New Roman"/>
                      <w:highlight w:val="none"/>
                    </w:rPr>
                  </w:pPr>
                  <w:r>
                    <w:rPr>
                      <w:rFonts w:hint="default" w:ascii="Times New Roman" w:hAnsi="Times New Roman" w:cs="Times New Roman"/>
                      <w:bCs/>
                      <w:kern w:val="28"/>
                      <w:szCs w:val="21"/>
                      <w:highlight w:val="none"/>
                    </w:rPr>
                    <w:t>《污水综合排放标准》（GB8978-1996）三级标准</w:t>
                  </w:r>
                  <w:r>
                    <w:rPr>
                      <w:rFonts w:hint="eastAsia" w:ascii="Times New Roman" w:hAnsi="Times New Roman" w:cs="Times New Roman"/>
                      <w:bCs/>
                      <w:kern w:val="28"/>
                      <w:szCs w:val="21"/>
                      <w:highlight w:val="none"/>
                      <w:lang w:val="en-US" w:eastAsia="zh-CN"/>
                    </w:rPr>
                    <w:t>及</w:t>
                  </w:r>
                  <w:r>
                    <w:rPr>
                      <w:rFonts w:hint="default" w:ascii="Times New Roman" w:hAnsi="Times New Roman" w:cs="Times New Roman"/>
                      <w:bCs/>
                      <w:kern w:val="28"/>
                      <w:szCs w:val="21"/>
                      <w:highlight w:val="none"/>
                    </w:rPr>
                    <w:t>《污水排入城镇下水道水质标准》（GB/T31962-2015）A等级标准</w:t>
                  </w:r>
                </w:p>
              </w:tc>
            </w:tr>
          </w:tbl>
          <w:p>
            <w:pPr>
              <w:pStyle w:val="63"/>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（4）治理方式可行性分析</w:t>
            </w:r>
          </w:p>
          <w:p>
            <w:pPr>
              <w:pStyle w:val="63"/>
              <w:spacing w:line="360" w:lineRule="auto"/>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本项目建</w:t>
            </w:r>
            <w:r>
              <w:rPr>
                <w:rFonts w:hint="eastAsia" w:ascii="Times New Roman" w:cs="Times New Roman"/>
                <w:color w:val="auto"/>
                <w:sz w:val="21"/>
                <w:szCs w:val="21"/>
                <w:highlight w:val="none"/>
                <w:lang w:val="en-US" w:eastAsia="zh-CN"/>
              </w:rPr>
              <w:t>有</w:t>
            </w:r>
            <w:r>
              <w:rPr>
                <w:rFonts w:hint="default" w:ascii="Times New Roman" w:hAnsi="Times New Roman" w:cs="Times New Roman"/>
                <w:color w:val="auto"/>
                <w:sz w:val="21"/>
                <w:szCs w:val="21"/>
                <w:highlight w:val="none"/>
              </w:rPr>
              <w:t>1座10m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化粪池，项目生活污水量为</w:t>
            </w:r>
            <w:r>
              <w:rPr>
                <w:rFonts w:hint="default" w:ascii="Times New Roman" w:hAnsi="Times New Roman" w:cs="Times New Roman"/>
                <w:kern w:val="0"/>
                <w:sz w:val="21"/>
                <w:szCs w:val="21"/>
                <w:lang w:val="en-US" w:eastAsia="zh-CN"/>
              </w:rPr>
              <w:t>1.224</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/d，化粪池停留时间按1d计，则</w:t>
            </w:r>
            <w:r>
              <w:rPr>
                <w:rFonts w:hint="eastAsia" w:ascii="Times New Roman" w:cs="Times New Roman"/>
                <w:color w:val="auto"/>
                <w:sz w:val="21"/>
                <w:szCs w:val="21"/>
                <w:highlight w:val="none"/>
                <w:lang w:val="en-US" w:eastAsia="zh-CN"/>
              </w:rPr>
              <w:t>化粪池</w:t>
            </w:r>
            <w:r>
              <w:rPr>
                <w:rFonts w:hint="default" w:ascii="Times New Roman" w:hAnsi="Times New Roman" w:cs="Times New Roman"/>
                <w:color w:val="auto"/>
                <w:sz w:val="21"/>
                <w:szCs w:val="21"/>
                <w:highlight w:val="none"/>
              </w:rPr>
              <w:t>容积满足处理需求，故项目化粪池容积可行。</w:t>
            </w:r>
          </w:p>
          <w:p>
            <w:pPr>
              <w:spacing w:before="9" w:line="384" w:lineRule="auto"/>
              <w:ind w:left="11" w:right="4" w:firstLine="478"/>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本项目洗车废水经中水回用过滤设备处理后重复利用不外排。中水回用过滤设备采用“混凝沉淀过滤”工艺</w:t>
            </w:r>
            <w:r>
              <w:rPr>
                <w:rFonts w:hint="default" w:ascii="Times New Roman" w:hAnsi="Times New Roman" w:eastAsia="宋体" w:cs="Times New Roman"/>
                <w:color w:val="auto"/>
                <w:kern w:val="0"/>
                <w:sz w:val="21"/>
                <w:szCs w:val="21"/>
                <w:highlight w:val="none"/>
                <w:lang w:val="en-US" w:eastAsia="zh-CN" w:bidi="ar-SA"/>
              </w:rPr>
              <w:t>进行处理，</w:t>
            </w:r>
            <w:r>
              <w:rPr>
                <w:rFonts w:hint="eastAsia" w:ascii="Times New Roman" w:hAnsi="Times New Roman" w:eastAsia="宋体" w:cs="Times New Roman"/>
                <w:color w:val="auto"/>
                <w:kern w:val="0"/>
                <w:sz w:val="21"/>
                <w:szCs w:val="21"/>
                <w:highlight w:val="none"/>
                <w:lang w:val="en-US" w:eastAsia="zh-CN" w:bidi="ar-SA"/>
              </w:rPr>
              <w:t>首先在废水中加入药剂PAC，使废水中颜色基本脱除，去除有害物质，降低50%左右的COD，然后进行沉淀，主要去除污水中的杂质、SS等，使出水得到进一步净化，沉淀出水输送至多介质过滤器进一步处理到非饮用水的标准</w:t>
            </w:r>
            <w:r>
              <w:rPr>
                <w:rFonts w:hint="eastAsia" w:ascii="Times New Roman" w:hAnsi="Times New Roman" w:eastAsia="宋体" w:cs="Times New Roman"/>
                <w:color w:val="auto"/>
                <w:kern w:val="0"/>
                <w:sz w:val="21"/>
                <w:szCs w:val="21"/>
                <w:highlight w:val="none"/>
                <w:lang w:val="en-US" w:eastAsia="zh-CN" w:bidi="ar-SA"/>
              </w:rPr>
              <w:t>后</w:t>
            </w:r>
            <w:r>
              <w:rPr>
                <w:rFonts w:hint="eastAsia" w:ascii="Times New Roman" w:hAnsi="Times New Roman" w:eastAsia="宋体" w:cs="Times New Roman"/>
                <w:color w:val="auto"/>
                <w:kern w:val="0"/>
                <w:sz w:val="21"/>
                <w:szCs w:val="21"/>
                <w:highlight w:val="none"/>
                <w:lang w:val="en-US" w:eastAsia="zh-CN" w:bidi="ar-SA"/>
              </w:rPr>
              <w:t>，可全部回用于洗车。</w:t>
            </w:r>
            <w:r>
              <w:rPr>
                <w:rFonts w:hint="default" w:ascii="Times New Roman" w:hAnsi="Times New Roman" w:eastAsia="宋体" w:cs="Times New Roman"/>
                <w:color w:val="auto"/>
                <w:kern w:val="0"/>
                <w:sz w:val="21"/>
                <w:szCs w:val="21"/>
                <w:highlight w:val="none"/>
                <w:lang w:val="en-US" w:eastAsia="zh-CN" w:bidi="ar-SA"/>
              </w:rPr>
              <w:t>沉淀池中的污泥经</w:t>
            </w:r>
            <w:r>
              <w:rPr>
                <w:rFonts w:hint="eastAsia" w:ascii="Times New Roman" w:hAnsi="Times New Roman" w:eastAsia="宋体" w:cs="Times New Roman"/>
                <w:color w:val="auto"/>
                <w:kern w:val="0"/>
                <w:sz w:val="21"/>
                <w:szCs w:val="21"/>
                <w:highlight w:val="none"/>
                <w:lang w:val="en-US" w:eastAsia="zh-CN" w:bidi="ar-SA"/>
              </w:rPr>
              <w:t>有资质单位定期清掏处理</w:t>
            </w:r>
            <w:r>
              <w:rPr>
                <w:rFonts w:hint="default" w:ascii="Times New Roman" w:hAnsi="Times New Roman" w:eastAsia="宋体" w:cs="Times New Roman"/>
                <w:color w:val="auto"/>
                <w:kern w:val="0"/>
                <w:sz w:val="21"/>
                <w:szCs w:val="21"/>
                <w:highlight w:val="none"/>
                <w:lang w:val="en-US" w:eastAsia="zh-CN" w:bidi="ar-SA"/>
              </w:rPr>
              <w:t>。</w:t>
            </w:r>
          </w:p>
          <w:p>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综上所述，在采取以上污水处理措施后，能够有效的减小废水对水环境的影响，项目采取的污水处理措施是合理可行的。</w:t>
            </w:r>
          </w:p>
          <w:p>
            <w:pPr>
              <w:pStyle w:val="63"/>
              <w:numPr>
                <w:ilvl w:val="0"/>
                <w:numId w:val="4"/>
              </w:numPr>
              <w:spacing w:line="360" w:lineRule="auto"/>
              <w:ind w:firstLine="420" w:firstLineChars="200"/>
              <w:rPr>
                <w:rFonts w:hint="default" w:ascii="Times New Roman" w:hAnsi="Times New Roman" w:cs="Times New Roman"/>
                <w:highlight w:val="none"/>
              </w:rPr>
            </w:pPr>
            <w:r>
              <w:rPr>
                <w:rFonts w:hint="default" w:ascii="Times New Roman" w:hAnsi="Times New Roman" w:cs="Times New Roman"/>
                <w:bCs/>
                <w:color w:val="auto"/>
                <w:sz w:val="21"/>
                <w:szCs w:val="21"/>
                <w:highlight w:val="none"/>
              </w:rPr>
              <w:t>依托污水处理厂可行性分析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西安市第三污水处理厂位于西安市灞桥区席王街办南牛寺村以西，采用较为先进的污水处理工艺“改良型底曝氧化沟+滤布滤池过滤”，已建成运行，污水处理厂设计规模为：二级生物处理20万</w:t>
            </w:r>
            <w:r>
              <w:rPr>
                <w:rFonts w:hint="eastAsia" w:ascii="Times New Roman" w:hAnsi="Times New Roman" w:eastAsia="宋体" w:cs="Times New Roman"/>
                <w:color w:val="auto"/>
                <w:spacing w:val="0"/>
                <w:sz w:val="21"/>
                <w:szCs w:val="21"/>
                <w:lang w:eastAsia="zh-CN"/>
              </w:rPr>
              <w:t>m</w:t>
            </w:r>
            <w:r>
              <w:rPr>
                <w:rFonts w:hint="eastAsia" w:ascii="Times New Roman" w:hAnsi="Times New Roman" w:eastAsia="宋体" w:cs="Times New Roman"/>
                <w:color w:val="auto"/>
                <w:spacing w:val="0"/>
                <w:sz w:val="21"/>
                <w:szCs w:val="21"/>
                <w:vertAlign w:val="superscript"/>
                <w:lang w:eastAsia="zh-CN"/>
              </w:rPr>
              <w:t>3</w:t>
            </w:r>
            <w:r>
              <w:rPr>
                <w:rFonts w:hint="eastAsia" w:ascii="Times New Roman" w:hAnsi="Times New Roman" w:eastAsia="宋体" w:cs="Times New Roman"/>
                <w:color w:val="auto"/>
                <w:spacing w:val="0"/>
                <w:sz w:val="21"/>
                <w:szCs w:val="21"/>
                <w:lang w:eastAsia="zh-CN"/>
              </w:rPr>
              <w:t>/d，</w:t>
            </w:r>
            <w:r>
              <w:rPr>
                <w:rFonts w:hint="eastAsia" w:ascii="Times New Roman" w:hAnsi="Times New Roman" w:eastAsia="宋体" w:cs="Times New Roman"/>
                <w:color w:val="auto"/>
                <w:spacing w:val="0"/>
                <w:sz w:val="21"/>
                <w:szCs w:val="21"/>
                <w:lang w:val="en-US" w:eastAsia="zh-CN"/>
              </w:rPr>
              <w:t>再生水日处理能力处理5万</w:t>
            </w:r>
            <w:r>
              <w:rPr>
                <w:rFonts w:hint="eastAsia" w:ascii="Times New Roman" w:hAnsi="Times New Roman" w:eastAsia="宋体" w:cs="Times New Roman"/>
                <w:color w:val="auto"/>
                <w:spacing w:val="0"/>
                <w:sz w:val="21"/>
                <w:szCs w:val="21"/>
                <w:lang w:eastAsia="zh-CN"/>
              </w:rPr>
              <w:t>m</w:t>
            </w:r>
            <w:r>
              <w:rPr>
                <w:rFonts w:hint="eastAsia" w:ascii="Times New Roman" w:hAnsi="Times New Roman" w:eastAsia="宋体" w:cs="Times New Roman"/>
                <w:color w:val="auto"/>
                <w:spacing w:val="0"/>
                <w:sz w:val="21"/>
                <w:szCs w:val="21"/>
                <w:vertAlign w:val="superscript"/>
                <w:lang w:eastAsia="zh-CN"/>
              </w:rPr>
              <w:t>3</w:t>
            </w:r>
            <w:r>
              <w:rPr>
                <w:rFonts w:hint="eastAsia" w:ascii="Times New Roman" w:hAnsi="Times New Roman" w:eastAsia="宋体" w:cs="Times New Roman"/>
                <w:color w:val="auto"/>
                <w:spacing w:val="0"/>
                <w:sz w:val="21"/>
                <w:szCs w:val="21"/>
                <w:lang w:eastAsia="zh-CN"/>
              </w:rPr>
              <w:t>/d。</w:t>
            </w:r>
            <w:r>
              <w:rPr>
                <w:rFonts w:hint="eastAsia" w:ascii="Times New Roman" w:hAnsi="Times New Roman" w:eastAsia="宋体" w:cs="Times New Roman"/>
                <w:color w:val="auto"/>
                <w:spacing w:val="0"/>
                <w:sz w:val="21"/>
                <w:szCs w:val="21"/>
                <w:lang w:val="en-US" w:eastAsia="zh-CN"/>
              </w:rPr>
              <w:t>第三污水处理厂主要接纳浐河东西两岸和纺织城地区2509公顷范围内的工业废水和生活污水。第三污水处理厂污水排放执行的是《城镇污水处理厂综合排放标准》一级A标准。回用水经过混凝沉淀和砂滤等工序处理后送电厂作为冷却水使用。</w:t>
            </w:r>
            <w:r>
              <w:rPr>
                <w:rFonts w:hint="eastAsia" w:ascii="Times New Roman" w:hAnsi="Times New Roman" w:eastAsia="宋体" w:cs="Times New Roman"/>
                <w:color w:val="auto"/>
                <w:spacing w:val="0"/>
                <w:sz w:val="21"/>
                <w:szCs w:val="21"/>
                <w:lang w:eastAsia="zh-CN"/>
              </w:rPr>
              <w:t>西安市第三污水处理厂进出水水质指标见下表。</w:t>
            </w:r>
          </w:p>
          <w:p>
            <w:pPr>
              <w:autoSpaceDE w:val="0"/>
              <w:autoSpaceDN w:val="0"/>
              <w:adjustRightInd w:val="0"/>
              <w:spacing w:line="318" w:lineRule="exact"/>
              <w:ind w:right="250" w:firstLine="99" w:firstLineChars="47"/>
              <w:jc w:val="center"/>
              <w:rPr>
                <w:b/>
                <w:color w:val="auto"/>
                <w:sz w:val="21"/>
                <w:szCs w:val="21"/>
              </w:rPr>
            </w:pPr>
            <w:r>
              <w:rPr>
                <w:b/>
                <w:color w:val="auto"/>
                <w:sz w:val="21"/>
                <w:szCs w:val="21"/>
              </w:rPr>
              <w:t>表</w:t>
            </w:r>
            <w:r>
              <w:rPr>
                <w:rFonts w:hint="eastAsia"/>
                <w:b/>
                <w:color w:val="auto"/>
                <w:sz w:val="21"/>
                <w:szCs w:val="21"/>
                <w:lang w:val="en-US" w:eastAsia="zh-CN"/>
              </w:rPr>
              <w:t>4-10</w:t>
            </w:r>
            <w:r>
              <w:rPr>
                <w:b/>
                <w:color w:val="auto"/>
                <w:sz w:val="21"/>
                <w:szCs w:val="21"/>
              </w:rPr>
              <w:t>西安市第三污水处理厂进出水水质单位：mg/L</w:t>
            </w:r>
          </w:p>
          <w:tbl>
            <w:tblPr>
              <w:tblStyle w:val="24"/>
              <w:tblW w:w="4995"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5"/>
              <w:gridCol w:w="1158"/>
              <w:gridCol w:w="1141"/>
              <w:gridCol w:w="942"/>
              <w:gridCol w:w="1440"/>
              <w:gridCol w:w="942"/>
              <w:gridCol w:w="10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70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b/>
                      <w:color w:val="auto"/>
                      <w:spacing w:val="5"/>
                      <w:kern w:val="0"/>
                      <w:sz w:val="21"/>
                      <w:szCs w:val="21"/>
                    </w:rPr>
                  </w:pPr>
                  <w:r>
                    <w:rPr>
                      <w:b/>
                      <w:color w:val="auto"/>
                      <w:spacing w:val="5"/>
                      <w:kern w:val="0"/>
                      <w:sz w:val="21"/>
                      <w:szCs w:val="21"/>
                    </w:rPr>
                    <w:t>指标</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b/>
                      <w:color w:val="auto"/>
                      <w:spacing w:val="5"/>
                      <w:kern w:val="0"/>
                      <w:sz w:val="21"/>
                      <w:szCs w:val="21"/>
                    </w:rPr>
                  </w:pPr>
                  <w:r>
                    <w:rPr>
                      <w:b/>
                      <w:color w:val="auto"/>
                      <w:spacing w:val="5"/>
                      <w:kern w:val="0"/>
                      <w:sz w:val="21"/>
                      <w:szCs w:val="21"/>
                    </w:rPr>
                    <w:t>COD</w:t>
                  </w:r>
                </w:p>
              </w:tc>
              <w:tc>
                <w:tcPr>
                  <w:tcW w:w="110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b/>
                      <w:color w:val="auto"/>
                      <w:spacing w:val="5"/>
                      <w:kern w:val="0"/>
                      <w:sz w:val="21"/>
                      <w:szCs w:val="21"/>
                    </w:rPr>
                  </w:pPr>
                  <w:r>
                    <w:rPr>
                      <w:b/>
                      <w:color w:val="auto"/>
                      <w:spacing w:val="5"/>
                      <w:kern w:val="0"/>
                      <w:sz w:val="21"/>
                      <w:szCs w:val="21"/>
                    </w:rPr>
                    <w:t>BOD</w:t>
                  </w:r>
                </w:p>
              </w:tc>
              <w:tc>
                <w:tcPr>
                  <w:tcW w:w="91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b/>
                      <w:color w:val="auto"/>
                      <w:spacing w:val="5"/>
                      <w:kern w:val="0"/>
                      <w:sz w:val="21"/>
                      <w:szCs w:val="21"/>
                    </w:rPr>
                  </w:pPr>
                  <w:r>
                    <w:rPr>
                      <w:b/>
                      <w:color w:val="auto"/>
                      <w:spacing w:val="5"/>
                      <w:kern w:val="0"/>
                      <w:sz w:val="21"/>
                      <w:szCs w:val="21"/>
                    </w:rPr>
                    <w:t>SS</w:t>
                  </w:r>
                </w:p>
              </w:tc>
              <w:tc>
                <w:tcPr>
                  <w:tcW w:w="139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b/>
                      <w:color w:val="auto"/>
                      <w:spacing w:val="5"/>
                      <w:kern w:val="0"/>
                      <w:sz w:val="21"/>
                      <w:szCs w:val="21"/>
                    </w:rPr>
                  </w:pPr>
                  <w:r>
                    <w:rPr>
                      <w:b/>
                      <w:color w:val="auto"/>
                      <w:spacing w:val="5"/>
                      <w:kern w:val="0"/>
                      <w:sz w:val="21"/>
                      <w:szCs w:val="21"/>
                    </w:rPr>
                    <w:t>NH</w:t>
                  </w:r>
                  <w:r>
                    <w:rPr>
                      <w:b/>
                      <w:color w:val="auto"/>
                      <w:spacing w:val="5"/>
                      <w:kern w:val="0"/>
                      <w:sz w:val="21"/>
                      <w:szCs w:val="21"/>
                      <w:vertAlign w:val="subscript"/>
                    </w:rPr>
                    <w:t>3</w:t>
                  </w:r>
                  <w:r>
                    <w:rPr>
                      <w:b/>
                      <w:color w:val="auto"/>
                      <w:spacing w:val="5"/>
                      <w:kern w:val="0"/>
                      <w:sz w:val="21"/>
                      <w:szCs w:val="21"/>
                    </w:rPr>
                    <w:t>-N</w:t>
                  </w:r>
                </w:p>
              </w:tc>
              <w:tc>
                <w:tcPr>
                  <w:tcW w:w="91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b/>
                      <w:color w:val="auto"/>
                      <w:spacing w:val="5"/>
                      <w:kern w:val="0"/>
                      <w:sz w:val="21"/>
                      <w:szCs w:val="21"/>
                    </w:rPr>
                  </w:pPr>
                  <w:r>
                    <w:rPr>
                      <w:b/>
                      <w:color w:val="auto"/>
                      <w:spacing w:val="5"/>
                      <w:kern w:val="0"/>
                      <w:sz w:val="21"/>
                      <w:szCs w:val="21"/>
                    </w:rPr>
                    <w:t>TN</w:t>
                  </w:r>
                </w:p>
              </w:tc>
              <w:tc>
                <w:tcPr>
                  <w:tcW w:w="9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b/>
                      <w:color w:val="auto"/>
                      <w:spacing w:val="5"/>
                      <w:kern w:val="0"/>
                      <w:sz w:val="21"/>
                      <w:szCs w:val="21"/>
                    </w:rPr>
                  </w:pPr>
                  <w:r>
                    <w:rPr>
                      <w:b/>
                      <w:color w:val="auto"/>
                      <w:spacing w:val="5"/>
                      <w:kern w:val="0"/>
                      <w:sz w:val="21"/>
                      <w:szCs w:val="21"/>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0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color w:val="auto"/>
                      <w:spacing w:val="5"/>
                      <w:kern w:val="0"/>
                      <w:sz w:val="21"/>
                      <w:szCs w:val="21"/>
                    </w:rPr>
                  </w:pPr>
                  <w:r>
                    <w:rPr>
                      <w:color w:val="auto"/>
                      <w:spacing w:val="5"/>
                      <w:kern w:val="0"/>
                      <w:sz w:val="21"/>
                      <w:szCs w:val="21"/>
                    </w:rPr>
                    <w:t>进水水质</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rFonts w:hint="default" w:eastAsia="宋体"/>
                      <w:color w:val="auto"/>
                      <w:spacing w:val="5"/>
                      <w:kern w:val="0"/>
                      <w:sz w:val="21"/>
                      <w:szCs w:val="21"/>
                      <w:lang w:val="en-US" w:eastAsia="zh-CN"/>
                    </w:rPr>
                  </w:pPr>
                  <w:r>
                    <w:rPr>
                      <w:rFonts w:hint="eastAsia"/>
                      <w:color w:val="auto"/>
                      <w:spacing w:val="5"/>
                      <w:kern w:val="0"/>
                      <w:sz w:val="21"/>
                      <w:szCs w:val="21"/>
                      <w:lang w:val="en-US" w:eastAsia="zh-CN"/>
                    </w:rPr>
                    <w:t>500</w:t>
                  </w:r>
                </w:p>
              </w:tc>
              <w:tc>
                <w:tcPr>
                  <w:tcW w:w="110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rFonts w:hint="default" w:eastAsia="宋体"/>
                      <w:color w:val="auto"/>
                      <w:spacing w:val="5"/>
                      <w:kern w:val="0"/>
                      <w:sz w:val="21"/>
                      <w:szCs w:val="21"/>
                      <w:lang w:val="en-US" w:eastAsia="zh-CN"/>
                    </w:rPr>
                  </w:pPr>
                  <w:r>
                    <w:rPr>
                      <w:rFonts w:hint="eastAsia"/>
                      <w:color w:val="auto"/>
                      <w:spacing w:val="5"/>
                      <w:kern w:val="0"/>
                      <w:sz w:val="21"/>
                      <w:szCs w:val="21"/>
                      <w:lang w:val="en-US" w:eastAsia="zh-CN"/>
                    </w:rPr>
                    <w:t>250</w:t>
                  </w:r>
                </w:p>
              </w:tc>
              <w:tc>
                <w:tcPr>
                  <w:tcW w:w="91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rFonts w:hint="default" w:eastAsia="宋体"/>
                      <w:color w:val="auto"/>
                      <w:spacing w:val="5"/>
                      <w:kern w:val="0"/>
                      <w:sz w:val="21"/>
                      <w:szCs w:val="21"/>
                      <w:lang w:val="en-US" w:eastAsia="zh-CN"/>
                    </w:rPr>
                  </w:pPr>
                  <w:r>
                    <w:rPr>
                      <w:rFonts w:hint="eastAsia"/>
                      <w:color w:val="auto"/>
                      <w:spacing w:val="5"/>
                      <w:kern w:val="0"/>
                      <w:sz w:val="21"/>
                      <w:szCs w:val="21"/>
                      <w:lang w:val="en-US" w:eastAsia="zh-CN"/>
                    </w:rPr>
                    <w:t>400</w:t>
                  </w:r>
                </w:p>
              </w:tc>
              <w:tc>
                <w:tcPr>
                  <w:tcW w:w="139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rFonts w:hint="default" w:eastAsia="宋体"/>
                      <w:color w:val="auto"/>
                      <w:spacing w:val="5"/>
                      <w:kern w:val="0"/>
                      <w:sz w:val="21"/>
                      <w:szCs w:val="21"/>
                      <w:lang w:val="en-US" w:eastAsia="zh-CN"/>
                    </w:rPr>
                  </w:pPr>
                  <w:r>
                    <w:rPr>
                      <w:rFonts w:hint="eastAsia"/>
                      <w:color w:val="auto"/>
                      <w:spacing w:val="5"/>
                      <w:kern w:val="0"/>
                      <w:sz w:val="21"/>
                      <w:szCs w:val="21"/>
                      <w:lang w:val="en-US" w:eastAsia="zh-CN"/>
                    </w:rPr>
                    <w:t>40</w:t>
                  </w:r>
                </w:p>
              </w:tc>
              <w:tc>
                <w:tcPr>
                  <w:tcW w:w="91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rFonts w:hint="default" w:eastAsia="宋体"/>
                      <w:color w:val="auto"/>
                      <w:spacing w:val="5"/>
                      <w:kern w:val="0"/>
                      <w:sz w:val="21"/>
                      <w:szCs w:val="21"/>
                      <w:lang w:val="en-US" w:eastAsia="zh-CN"/>
                    </w:rPr>
                  </w:pPr>
                  <w:r>
                    <w:rPr>
                      <w:rFonts w:hint="eastAsia"/>
                      <w:color w:val="auto"/>
                      <w:spacing w:val="5"/>
                      <w:kern w:val="0"/>
                      <w:sz w:val="21"/>
                      <w:szCs w:val="21"/>
                      <w:lang w:val="en-US" w:eastAsia="zh-CN"/>
                    </w:rPr>
                    <w:t>52</w:t>
                  </w:r>
                </w:p>
              </w:tc>
              <w:tc>
                <w:tcPr>
                  <w:tcW w:w="9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rFonts w:hint="eastAsia" w:eastAsia="宋体"/>
                      <w:color w:val="auto"/>
                      <w:spacing w:val="5"/>
                      <w:kern w:val="0"/>
                      <w:sz w:val="21"/>
                      <w:szCs w:val="21"/>
                      <w:lang w:eastAsia="zh-CN"/>
                    </w:rPr>
                  </w:pPr>
                  <w:r>
                    <w:rPr>
                      <w:rFonts w:hint="eastAsia"/>
                      <w:color w:val="auto"/>
                      <w:spacing w:val="5"/>
                      <w:kern w:val="0"/>
                      <w:sz w:val="21"/>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7"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jc w:val="center"/>
                    <w:textAlignment w:val="auto"/>
                    <w:rPr>
                      <w:color w:val="auto"/>
                      <w:spacing w:val="5"/>
                      <w:kern w:val="0"/>
                      <w:sz w:val="21"/>
                      <w:szCs w:val="21"/>
                    </w:rPr>
                  </w:pPr>
                  <w:r>
                    <w:rPr>
                      <w:color w:val="auto"/>
                      <w:spacing w:val="5"/>
                      <w:kern w:val="0"/>
                      <w:sz w:val="21"/>
                      <w:szCs w:val="21"/>
                    </w:rPr>
                    <w:t>出水水质</w:t>
                  </w:r>
                </w:p>
              </w:tc>
              <w:tc>
                <w:tcPr>
                  <w:tcW w:w="1120"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rightChars="0"/>
                    <w:jc w:val="center"/>
                    <w:textAlignment w:val="auto"/>
                    <w:rPr>
                      <w:color w:val="auto"/>
                      <w:spacing w:val="5"/>
                      <w:kern w:val="0"/>
                      <w:sz w:val="21"/>
                      <w:szCs w:val="21"/>
                      <w:lang w:val="en-US" w:eastAsia="zh-CN" w:bidi="ar-SA"/>
                    </w:rPr>
                  </w:pPr>
                  <w:r>
                    <w:rPr>
                      <w:color w:val="auto"/>
                      <w:spacing w:val="5"/>
                      <w:kern w:val="0"/>
                      <w:sz w:val="21"/>
                      <w:szCs w:val="21"/>
                    </w:rPr>
                    <w:t>≤50</w:t>
                  </w:r>
                </w:p>
              </w:tc>
              <w:tc>
                <w:tcPr>
                  <w:tcW w:w="110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rightChars="0"/>
                    <w:jc w:val="center"/>
                    <w:textAlignment w:val="auto"/>
                    <w:rPr>
                      <w:color w:val="auto"/>
                      <w:spacing w:val="5"/>
                      <w:kern w:val="0"/>
                      <w:sz w:val="21"/>
                      <w:szCs w:val="21"/>
                      <w:lang w:val="en-US" w:eastAsia="zh-CN" w:bidi="ar-SA"/>
                    </w:rPr>
                  </w:pPr>
                  <w:r>
                    <w:rPr>
                      <w:color w:val="auto"/>
                      <w:spacing w:val="5"/>
                      <w:kern w:val="0"/>
                      <w:sz w:val="21"/>
                      <w:szCs w:val="21"/>
                    </w:rPr>
                    <w:t>≤10</w:t>
                  </w:r>
                </w:p>
              </w:tc>
              <w:tc>
                <w:tcPr>
                  <w:tcW w:w="91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rightChars="0"/>
                    <w:jc w:val="center"/>
                    <w:textAlignment w:val="auto"/>
                    <w:rPr>
                      <w:color w:val="auto"/>
                      <w:spacing w:val="5"/>
                      <w:kern w:val="0"/>
                      <w:sz w:val="21"/>
                      <w:szCs w:val="21"/>
                      <w:lang w:val="en-US" w:eastAsia="zh-CN" w:bidi="ar-SA"/>
                    </w:rPr>
                  </w:pPr>
                  <w:r>
                    <w:rPr>
                      <w:color w:val="auto"/>
                      <w:spacing w:val="5"/>
                      <w:kern w:val="0"/>
                      <w:sz w:val="21"/>
                      <w:szCs w:val="21"/>
                    </w:rPr>
                    <w:t>≤10</w:t>
                  </w:r>
                </w:p>
              </w:tc>
              <w:tc>
                <w:tcPr>
                  <w:tcW w:w="1393"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rightChars="0"/>
                    <w:jc w:val="center"/>
                    <w:textAlignment w:val="auto"/>
                    <w:rPr>
                      <w:color w:val="auto"/>
                      <w:spacing w:val="5"/>
                      <w:kern w:val="0"/>
                      <w:sz w:val="21"/>
                      <w:szCs w:val="21"/>
                      <w:lang w:val="en-US" w:eastAsia="zh-CN" w:bidi="ar-SA"/>
                    </w:rPr>
                  </w:pPr>
                  <w:r>
                    <w:rPr>
                      <w:color w:val="auto"/>
                      <w:spacing w:val="5"/>
                      <w:kern w:val="0"/>
                      <w:sz w:val="21"/>
                      <w:szCs w:val="21"/>
                    </w:rPr>
                    <w:t>≤5</w:t>
                  </w:r>
                </w:p>
              </w:tc>
              <w:tc>
                <w:tcPr>
                  <w:tcW w:w="91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rightChars="0"/>
                    <w:jc w:val="center"/>
                    <w:textAlignment w:val="auto"/>
                    <w:rPr>
                      <w:color w:val="auto"/>
                      <w:spacing w:val="5"/>
                      <w:kern w:val="0"/>
                      <w:sz w:val="21"/>
                      <w:szCs w:val="21"/>
                      <w:lang w:val="en-US" w:eastAsia="zh-CN" w:bidi="ar-SA"/>
                    </w:rPr>
                  </w:pPr>
                  <w:r>
                    <w:rPr>
                      <w:color w:val="auto"/>
                      <w:spacing w:val="5"/>
                      <w:kern w:val="0"/>
                      <w:sz w:val="21"/>
                      <w:szCs w:val="21"/>
                    </w:rPr>
                    <w:t>≤1</w:t>
                  </w:r>
                  <w:r>
                    <w:rPr>
                      <w:rFonts w:hint="eastAsia"/>
                      <w:color w:val="auto"/>
                      <w:spacing w:val="5"/>
                      <w:kern w:val="0"/>
                      <w:sz w:val="21"/>
                      <w:szCs w:val="21"/>
                      <w:lang w:val="en-US" w:eastAsia="zh-CN"/>
                    </w:rPr>
                    <w:t>5</w:t>
                  </w:r>
                </w:p>
              </w:tc>
              <w:tc>
                <w:tcPr>
                  <w:tcW w:w="995"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right="40" w:rightChars="0"/>
                    <w:jc w:val="center"/>
                    <w:textAlignment w:val="auto"/>
                    <w:rPr>
                      <w:color w:val="auto"/>
                      <w:spacing w:val="5"/>
                      <w:kern w:val="0"/>
                      <w:sz w:val="21"/>
                      <w:szCs w:val="21"/>
                      <w:lang w:val="en-US" w:eastAsia="zh-CN" w:bidi="ar-SA"/>
                    </w:rPr>
                  </w:pPr>
                  <w:r>
                    <w:rPr>
                      <w:color w:val="auto"/>
                      <w:spacing w:val="5"/>
                      <w:kern w:val="0"/>
                      <w:sz w:val="21"/>
                      <w:szCs w:val="21"/>
                    </w:rPr>
                    <w:t>≤0.5</w:t>
                  </w:r>
                </w:p>
              </w:tc>
            </w:tr>
          </w:tbl>
          <w:p>
            <w:pPr>
              <w:spacing w:line="360" w:lineRule="auto"/>
              <w:ind w:firstLine="420" w:firstLineChars="200"/>
              <w:rPr>
                <w:b/>
                <w:bCs/>
                <w:color w:val="auto"/>
                <w:sz w:val="21"/>
                <w:szCs w:val="21"/>
              </w:rPr>
            </w:pPr>
            <w:r>
              <w:rPr>
                <w:rFonts w:hint="eastAsia"/>
                <w:color w:val="auto"/>
                <w:sz w:val="21"/>
                <w:szCs w:val="21"/>
                <w:lang w:val="en-US" w:eastAsia="zh-CN" w:bidi="ar"/>
              </w:rPr>
              <w:t>本项目在西安市第三污水处理厂收水范围内，本项目污水经化粪池处理后，进入配套市政污水管网，最后进入西安市第三污水处理厂集中处理。</w:t>
            </w:r>
            <w:r>
              <w:rPr>
                <w:rFonts w:hint="eastAsia"/>
                <w:color w:val="auto"/>
                <w:sz w:val="21"/>
                <w:szCs w:val="21"/>
                <w:lang w:bidi="ar"/>
              </w:rPr>
              <w:t>本项目</w:t>
            </w:r>
            <w:r>
              <w:rPr>
                <w:rFonts w:hint="eastAsia"/>
                <w:color w:val="auto"/>
                <w:sz w:val="21"/>
                <w:szCs w:val="21"/>
                <w:lang w:val="en-US" w:eastAsia="zh-CN" w:bidi="ar"/>
              </w:rPr>
              <w:t>废水最大日排放量为</w:t>
            </w:r>
            <w:r>
              <w:rPr>
                <w:rFonts w:hint="eastAsia"/>
                <w:kern w:val="0"/>
                <w:szCs w:val="21"/>
                <w:lang w:val="en-US" w:eastAsia="zh-CN"/>
              </w:rPr>
              <w:t>1.224</w:t>
            </w:r>
            <w:r>
              <w:rPr>
                <w:color w:val="auto"/>
                <w:sz w:val="21"/>
                <w:szCs w:val="21"/>
                <w:lang w:bidi="ar"/>
              </w:rPr>
              <w:t>m</w:t>
            </w:r>
            <w:r>
              <w:rPr>
                <w:color w:val="auto"/>
                <w:sz w:val="21"/>
                <w:szCs w:val="21"/>
                <w:vertAlign w:val="superscript"/>
                <w:lang w:bidi="ar"/>
              </w:rPr>
              <w:t>3</w:t>
            </w:r>
            <w:r>
              <w:rPr>
                <w:rFonts w:hint="eastAsia"/>
                <w:color w:val="auto"/>
                <w:sz w:val="21"/>
                <w:szCs w:val="21"/>
                <w:lang w:bidi="ar"/>
              </w:rPr>
              <w:t>，</w:t>
            </w:r>
            <w:r>
              <w:rPr>
                <w:rFonts w:hint="eastAsia"/>
                <w:color w:val="auto"/>
                <w:sz w:val="21"/>
                <w:szCs w:val="21"/>
                <w:lang w:eastAsia="zh-CN" w:bidi="ar"/>
              </w:rPr>
              <w:t>远小于</w:t>
            </w:r>
            <w:r>
              <w:rPr>
                <w:rFonts w:hint="eastAsia"/>
                <w:color w:val="auto"/>
                <w:sz w:val="21"/>
                <w:szCs w:val="21"/>
                <w:lang w:val="en-US" w:eastAsia="zh-CN" w:bidi="ar"/>
              </w:rPr>
              <w:t>西安市第三污水处理厂处理规模</w:t>
            </w:r>
            <w:r>
              <w:rPr>
                <w:rFonts w:hint="eastAsia" w:ascii="Times New Roman" w:hAnsi="Times New Roman" w:eastAsia="宋体" w:cs="Times New Roman"/>
                <w:color w:val="auto"/>
                <w:spacing w:val="0"/>
                <w:sz w:val="21"/>
                <w:szCs w:val="21"/>
                <w:lang w:val="en-US" w:eastAsia="zh-CN"/>
              </w:rPr>
              <w:t>20万</w:t>
            </w:r>
            <w:r>
              <w:rPr>
                <w:rFonts w:hint="eastAsia" w:ascii="Times New Roman" w:hAnsi="Times New Roman" w:eastAsia="宋体" w:cs="Times New Roman"/>
                <w:color w:val="auto"/>
                <w:spacing w:val="0"/>
                <w:sz w:val="21"/>
                <w:szCs w:val="21"/>
                <w:lang w:eastAsia="zh-CN"/>
              </w:rPr>
              <w:t>m</w:t>
            </w:r>
            <w:r>
              <w:rPr>
                <w:rFonts w:hint="eastAsia" w:ascii="Times New Roman" w:hAnsi="Times New Roman" w:eastAsia="宋体" w:cs="Times New Roman"/>
                <w:color w:val="auto"/>
                <w:spacing w:val="0"/>
                <w:sz w:val="21"/>
                <w:szCs w:val="21"/>
                <w:vertAlign w:val="superscript"/>
                <w:lang w:eastAsia="zh-CN"/>
              </w:rPr>
              <w:t>3</w:t>
            </w:r>
            <w:r>
              <w:rPr>
                <w:rFonts w:hint="eastAsia" w:ascii="Times New Roman" w:hAnsi="Times New Roman" w:eastAsia="宋体" w:cs="Times New Roman"/>
                <w:color w:val="auto"/>
                <w:spacing w:val="0"/>
                <w:sz w:val="21"/>
                <w:szCs w:val="21"/>
                <w:lang w:eastAsia="zh-CN"/>
              </w:rPr>
              <w:t>/d，</w:t>
            </w:r>
            <w:r>
              <w:rPr>
                <w:rFonts w:hint="eastAsia"/>
                <w:color w:val="auto"/>
                <w:sz w:val="21"/>
                <w:szCs w:val="21"/>
                <w:lang w:bidi="ar"/>
              </w:rPr>
              <w:t>目前</w:t>
            </w:r>
            <w:r>
              <w:rPr>
                <w:rFonts w:hint="eastAsia"/>
                <w:color w:val="auto"/>
                <w:sz w:val="21"/>
                <w:szCs w:val="21"/>
                <w:lang w:val="en-US" w:eastAsia="zh-CN" w:bidi="ar"/>
              </w:rPr>
              <w:t>西安市第三污水处理厂日进水量为2.4万</w:t>
            </w:r>
            <w:r>
              <w:rPr>
                <w:rFonts w:hint="eastAsia" w:ascii="Times New Roman" w:hAnsi="Times New Roman" w:eastAsia="宋体" w:cs="Times New Roman"/>
                <w:color w:val="auto"/>
                <w:spacing w:val="0"/>
                <w:sz w:val="21"/>
                <w:szCs w:val="21"/>
                <w:lang w:eastAsia="zh-CN"/>
              </w:rPr>
              <w:t>m</w:t>
            </w:r>
            <w:r>
              <w:rPr>
                <w:rFonts w:hint="eastAsia" w:ascii="Times New Roman" w:hAnsi="Times New Roman" w:eastAsia="宋体" w:cs="Times New Roman"/>
                <w:color w:val="auto"/>
                <w:spacing w:val="0"/>
                <w:sz w:val="21"/>
                <w:szCs w:val="21"/>
                <w:vertAlign w:val="superscript"/>
                <w:lang w:eastAsia="zh-CN"/>
              </w:rPr>
              <w:t>3</w:t>
            </w:r>
            <w:r>
              <w:rPr>
                <w:rFonts w:hint="eastAsia" w:ascii="Times New Roman" w:hAnsi="Times New Roman" w:eastAsia="宋体" w:cs="Times New Roman"/>
                <w:color w:val="auto"/>
                <w:spacing w:val="0"/>
                <w:sz w:val="21"/>
                <w:szCs w:val="21"/>
                <w:lang w:eastAsia="zh-CN"/>
              </w:rPr>
              <w:t>/d，</w:t>
            </w:r>
            <w:r>
              <w:rPr>
                <w:rFonts w:hint="eastAsia"/>
                <w:color w:val="auto"/>
                <w:sz w:val="21"/>
                <w:szCs w:val="21"/>
                <w:lang w:bidi="ar"/>
              </w:rPr>
              <w:t>有足够的余量接纳本项目废水</w:t>
            </w:r>
            <w:r>
              <w:rPr>
                <w:rFonts w:hint="eastAsia"/>
                <w:color w:val="auto"/>
                <w:sz w:val="21"/>
                <w:szCs w:val="21"/>
                <w:lang w:val="en-US" w:eastAsia="zh-CN" w:bidi="ar"/>
              </w:rPr>
              <w:t>，不会对污水处理厂的进水水质、水量及处理能力造成</w:t>
            </w:r>
            <w:r>
              <w:rPr>
                <w:rFonts w:hint="eastAsia"/>
                <w:color w:val="auto"/>
                <w:sz w:val="21"/>
                <w:szCs w:val="21"/>
                <w:u w:val="none"/>
                <w:lang w:val="en-US" w:eastAsia="zh-CN" w:bidi="ar"/>
              </w:rPr>
              <w:t>冲击</w:t>
            </w:r>
            <w:r>
              <w:rPr>
                <w:rFonts w:hint="eastAsia"/>
                <w:color w:val="auto"/>
                <w:sz w:val="21"/>
                <w:szCs w:val="21"/>
                <w:lang w:val="en-US" w:eastAsia="zh-CN" w:bidi="ar"/>
              </w:rPr>
              <w:t>。</w:t>
            </w:r>
            <w:r>
              <w:rPr>
                <w:rFonts w:hint="eastAsia"/>
                <w:color w:val="auto"/>
                <w:sz w:val="21"/>
                <w:szCs w:val="21"/>
                <w:lang w:bidi="ar"/>
              </w:rPr>
              <w:t>因此，项目</w:t>
            </w:r>
            <w:r>
              <w:rPr>
                <w:rFonts w:hint="eastAsia"/>
                <w:color w:val="auto"/>
                <w:sz w:val="21"/>
                <w:szCs w:val="21"/>
                <w:lang w:val="en-US" w:eastAsia="zh-CN" w:bidi="ar"/>
              </w:rPr>
              <w:t>生活</w:t>
            </w:r>
            <w:r>
              <w:rPr>
                <w:rFonts w:hint="eastAsia"/>
                <w:color w:val="auto"/>
                <w:sz w:val="21"/>
                <w:szCs w:val="21"/>
                <w:lang w:eastAsia="zh-CN" w:bidi="ar"/>
              </w:rPr>
              <w:t>废水</w:t>
            </w:r>
            <w:r>
              <w:rPr>
                <w:rFonts w:hint="eastAsia"/>
                <w:color w:val="auto"/>
                <w:sz w:val="21"/>
                <w:szCs w:val="21"/>
                <w:lang w:bidi="ar"/>
              </w:rPr>
              <w:t>依托</w:t>
            </w:r>
            <w:r>
              <w:rPr>
                <w:rFonts w:hint="eastAsia"/>
                <w:color w:val="auto"/>
                <w:sz w:val="21"/>
                <w:szCs w:val="21"/>
                <w:lang w:val="en-US" w:eastAsia="zh-CN" w:bidi="ar"/>
              </w:rPr>
              <w:t>西安市第三污水处理厂</w:t>
            </w:r>
            <w:r>
              <w:rPr>
                <w:rFonts w:hint="eastAsia"/>
                <w:color w:val="auto"/>
                <w:sz w:val="21"/>
                <w:szCs w:val="21"/>
                <w:lang w:bidi="ar"/>
              </w:rPr>
              <w:t>可行。</w:t>
            </w:r>
          </w:p>
          <w:p>
            <w:pPr>
              <w:spacing w:line="360" w:lineRule="auto"/>
              <w:ind w:firstLine="422" w:firstLineChars="200"/>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3、噪声</w:t>
            </w:r>
          </w:p>
          <w:p>
            <w:pPr>
              <w:spacing w:line="360" w:lineRule="auto"/>
              <w:ind w:firstLine="420" w:firstLineChars="200"/>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eastAsia="zh-CN"/>
              </w:rPr>
              <w:t>（</w:t>
            </w:r>
            <w:r>
              <w:rPr>
                <w:rFonts w:hint="eastAsia" w:ascii="Times New Roman" w:hAnsi="Times New Roman" w:cs="Times New Roman"/>
                <w:sz w:val="21"/>
                <w:szCs w:val="21"/>
                <w:highlight w:val="none"/>
                <w:lang w:val="en-US" w:eastAsia="zh-CN"/>
              </w:rPr>
              <w:t>1</w:t>
            </w:r>
            <w:r>
              <w:rPr>
                <w:rFonts w:hint="eastAsia" w:ascii="Times New Roman" w:hAnsi="Times New Roman" w:cs="Times New Roman"/>
                <w:sz w:val="21"/>
                <w:szCs w:val="21"/>
                <w:highlight w:val="none"/>
                <w:lang w:eastAsia="zh-CN"/>
              </w:rPr>
              <w:t>）</w:t>
            </w:r>
            <w:r>
              <w:rPr>
                <w:rFonts w:hint="eastAsia" w:ascii="Times New Roman" w:hAnsi="Times New Roman" w:cs="Times New Roman"/>
                <w:sz w:val="21"/>
                <w:szCs w:val="21"/>
                <w:highlight w:val="none"/>
                <w:lang w:val="en-US" w:eastAsia="zh-CN"/>
              </w:rPr>
              <w:t>噪声现状</w:t>
            </w:r>
          </w:p>
          <w:p>
            <w:pPr>
              <w:spacing w:line="360" w:lineRule="auto"/>
              <w:ind w:firstLine="420" w:firstLineChars="200"/>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highlight w:val="none"/>
              </w:rPr>
              <w:t>本项目运营期噪声来源主要为加油机、潜油泵等运转时所产生的噪声</w:t>
            </w:r>
            <w:r>
              <w:rPr>
                <w:rFonts w:hint="eastAsia" w:ascii="Times New Roman" w:hAnsi="Times New Roman" w:cs="Times New Roman"/>
                <w:sz w:val="21"/>
                <w:szCs w:val="21"/>
                <w:highlight w:val="none"/>
                <w:lang w:val="en-US" w:eastAsia="zh-CN"/>
              </w:rPr>
              <w:t>以及进出车辆噪声，噪声源强在</w:t>
            </w:r>
            <w:r>
              <w:rPr>
                <w:rFonts w:hint="eastAsia" w:ascii="Times New Roman" w:hAnsi="Times New Roman" w:eastAsia="宋体" w:cs="Times New Roman"/>
                <w:sz w:val="21"/>
                <w:szCs w:val="21"/>
                <w:highlight w:val="none"/>
                <w:lang w:val="en-US" w:eastAsia="zh-CN"/>
              </w:rPr>
              <w:t>60-80dB（A）之间</w:t>
            </w:r>
            <w:r>
              <w:rPr>
                <w:rFonts w:hint="eastAsia" w:ascii="Times New Roman" w:hAnsi="Times New Roman" w:eastAsia="宋体" w:cs="Times New Roman"/>
                <w:sz w:val="21"/>
                <w:szCs w:val="21"/>
                <w:lang w:val="en-US" w:eastAsia="zh-CN"/>
              </w:rPr>
              <w:t>。</w:t>
            </w:r>
          </w:p>
          <w:p>
            <w:pPr>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本项目已建成，处于正常运营状态，</w:t>
            </w:r>
            <w:r>
              <w:rPr>
                <w:rFonts w:hint="eastAsia"/>
                <w:sz w:val="21"/>
                <w:szCs w:val="21"/>
                <w:lang w:val="en-US" w:eastAsia="zh-CN"/>
              </w:rPr>
              <w:t>中国石油天然气股份有限公司陕西西安销售分公司</w:t>
            </w:r>
            <w:r>
              <w:rPr>
                <w:rFonts w:hint="eastAsia" w:ascii="Times New Roman" w:hAnsi="Times New Roman" w:eastAsia="宋体" w:cs="Times New Roman"/>
                <w:color w:val="auto"/>
                <w:sz w:val="21"/>
                <w:szCs w:val="21"/>
                <w:highlight w:val="none"/>
                <w:lang w:val="en-US" w:eastAsia="zh-CN"/>
              </w:rPr>
              <w:t>委托陕西中天环保科技有限公司于2023年4月19日对厂界噪声进行了监测，</w:t>
            </w:r>
            <w:r>
              <w:rPr>
                <w:rFonts w:hint="eastAsia"/>
                <w:color w:val="auto"/>
                <w:sz w:val="21"/>
                <w:szCs w:val="21"/>
                <w:highlight w:val="none"/>
              </w:rPr>
              <w:t>监测时生产设备及环保设备等产噪设备均正常运行</w:t>
            </w:r>
            <w:r>
              <w:rPr>
                <w:rStyle w:val="29"/>
                <w:rFonts w:hint="eastAsia"/>
                <w:color w:val="auto"/>
                <w:sz w:val="21"/>
                <w:szCs w:val="21"/>
                <w:highlight w:val="none"/>
              </w:rPr>
              <w:t>。</w:t>
            </w:r>
            <w:r>
              <w:rPr>
                <w:rFonts w:hint="eastAsia" w:ascii="Times New Roman" w:hAnsi="Times New Roman" w:eastAsia="宋体" w:cs="Times New Roman"/>
                <w:color w:val="auto"/>
                <w:sz w:val="21"/>
                <w:szCs w:val="21"/>
                <w:highlight w:val="none"/>
                <w:lang w:val="en-US" w:eastAsia="zh-CN"/>
              </w:rPr>
              <w:t>监测结果如下。</w:t>
            </w:r>
          </w:p>
          <w:p>
            <w:pPr>
              <w:pStyle w:val="80"/>
              <w:spacing w:before="0" w:beforeLines="0" w:line="240" w:lineRule="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表4-11各厂界噪声监测结果统计表单位：dB（A）</w:t>
            </w:r>
          </w:p>
          <w:tbl>
            <w:tblPr>
              <w:tblStyle w:val="24"/>
              <w:tblW w:w="84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2630"/>
              <w:gridCol w:w="1366"/>
              <w:gridCol w:w="638"/>
              <w:gridCol w:w="744"/>
              <w:gridCol w:w="685"/>
              <w:gridCol w:w="827"/>
              <w:gridCol w:w="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vMerge w:val="restart"/>
                  <w:noWrap w:val="0"/>
                  <w:vAlign w:val="center"/>
                </w:tcPr>
                <w:p>
                  <w:pPr>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点位</w:t>
                  </w:r>
                </w:p>
              </w:tc>
              <w:tc>
                <w:tcPr>
                  <w:tcW w:w="2630" w:type="dxa"/>
                  <w:vMerge w:val="restart"/>
                  <w:noWrap w:val="0"/>
                  <w:vAlign w:val="center"/>
                </w:tcPr>
                <w:p>
                  <w:pPr>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监测</w:t>
                  </w:r>
                </w:p>
                <w:p>
                  <w:pPr>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位置</w:t>
                  </w:r>
                </w:p>
              </w:tc>
              <w:tc>
                <w:tcPr>
                  <w:tcW w:w="2004" w:type="dxa"/>
                  <w:gridSpan w:val="2"/>
                  <w:noWrap w:val="0"/>
                  <w:vAlign w:val="center"/>
                </w:tcPr>
                <w:p>
                  <w:pPr>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2023.04.19</w:t>
                  </w:r>
                </w:p>
              </w:tc>
              <w:tc>
                <w:tcPr>
                  <w:tcW w:w="1429" w:type="dxa"/>
                  <w:gridSpan w:val="2"/>
                  <w:noWrap w:val="0"/>
                  <w:vAlign w:val="center"/>
                </w:tcPr>
                <w:p>
                  <w:pPr>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标准值</w:t>
                  </w:r>
                </w:p>
              </w:tc>
              <w:tc>
                <w:tcPr>
                  <w:tcW w:w="1682" w:type="dxa"/>
                  <w:gridSpan w:val="2"/>
                  <w:noWrap w:val="0"/>
                  <w:vAlign w:val="center"/>
                </w:tcPr>
                <w:p>
                  <w:pPr>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660" w:type="dxa"/>
                  <w:vMerge w:val="continue"/>
                  <w:noWrap w:val="0"/>
                  <w:vAlign w:val="center"/>
                </w:tcPr>
                <w:p>
                  <w:pPr>
                    <w:jc w:val="center"/>
                    <w:rPr>
                      <w:rFonts w:hint="eastAsia" w:ascii="Times New Roman" w:hAnsi="Times New Roman" w:eastAsia="宋体" w:cs="Times New Roman"/>
                      <w:b/>
                      <w:bCs/>
                      <w:color w:val="auto"/>
                      <w:sz w:val="21"/>
                      <w:szCs w:val="21"/>
                      <w:lang w:val="en-US" w:eastAsia="zh-CN"/>
                    </w:rPr>
                  </w:pPr>
                </w:p>
              </w:tc>
              <w:tc>
                <w:tcPr>
                  <w:tcW w:w="2630" w:type="dxa"/>
                  <w:vMerge w:val="continue"/>
                  <w:noWrap w:val="0"/>
                  <w:vAlign w:val="center"/>
                </w:tcPr>
                <w:p>
                  <w:pPr>
                    <w:jc w:val="center"/>
                    <w:rPr>
                      <w:rFonts w:hint="eastAsia" w:ascii="Times New Roman" w:hAnsi="Times New Roman" w:eastAsia="宋体" w:cs="Times New Roman"/>
                      <w:b/>
                      <w:bCs/>
                      <w:color w:val="auto"/>
                      <w:sz w:val="21"/>
                      <w:szCs w:val="21"/>
                      <w:lang w:val="en-US" w:eastAsia="zh-CN"/>
                    </w:rPr>
                  </w:pPr>
                </w:p>
              </w:tc>
              <w:tc>
                <w:tcPr>
                  <w:tcW w:w="1366" w:type="dxa"/>
                  <w:noWrap w:val="0"/>
                  <w:vAlign w:val="center"/>
                </w:tcPr>
                <w:p>
                  <w:pPr>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昼间</w:t>
                  </w:r>
                </w:p>
              </w:tc>
              <w:tc>
                <w:tcPr>
                  <w:tcW w:w="638" w:type="dxa"/>
                  <w:noWrap w:val="0"/>
                  <w:vAlign w:val="center"/>
                </w:tcPr>
                <w:p>
                  <w:pPr>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夜间</w:t>
                  </w:r>
                </w:p>
              </w:tc>
              <w:tc>
                <w:tcPr>
                  <w:tcW w:w="744" w:type="dxa"/>
                  <w:noWrap w:val="0"/>
                  <w:vAlign w:val="center"/>
                </w:tcPr>
                <w:p>
                  <w:pPr>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昼间</w:t>
                  </w:r>
                </w:p>
              </w:tc>
              <w:tc>
                <w:tcPr>
                  <w:tcW w:w="685" w:type="dxa"/>
                  <w:noWrap w:val="0"/>
                  <w:vAlign w:val="center"/>
                </w:tcPr>
                <w:p>
                  <w:pPr>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夜间</w:t>
                  </w:r>
                </w:p>
              </w:tc>
              <w:tc>
                <w:tcPr>
                  <w:tcW w:w="827" w:type="dxa"/>
                  <w:noWrap w:val="0"/>
                  <w:vAlign w:val="center"/>
                </w:tcPr>
                <w:p>
                  <w:pPr>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昼间</w:t>
                  </w:r>
                </w:p>
              </w:tc>
              <w:tc>
                <w:tcPr>
                  <w:tcW w:w="855" w:type="dxa"/>
                  <w:noWrap w:val="0"/>
                  <w:vAlign w:val="center"/>
                </w:tcPr>
                <w:p>
                  <w:pPr>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2630"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东厂界</w:t>
                  </w:r>
                </w:p>
              </w:tc>
              <w:tc>
                <w:tcPr>
                  <w:tcW w:w="1366"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57</w:t>
                  </w:r>
                </w:p>
              </w:tc>
              <w:tc>
                <w:tcPr>
                  <w:tcW w:w="638"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47</w:t>
                  </w:r>
                </w:p>
              </w:tc>
              <w:tc>
                <w:tcPr>
                  <w:tcW w:w="744"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c>
                <w:tcPr>
                  <w:tcW w:w="685"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55</w:t>
                  </w:r>
                </w:p>
              </w:tc>
              <w:tc>
                <w:tcPr>
                  <w:tcW w:w="827"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c>
                <w:tcPr>
                  <w:tcW w:w="855"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p>
              </w:tc>
              <w:tc>
                <w:tcPr>
                  <w:tcW w:w="2630"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南厂界</w:t>
                  </w:r>
                </w:p>
              </w:tc>
              <w:tc>
                <w:tcPr>
                  <w:tcW w:w="1366"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w:t>
                  </w:r>
                </w:p>
              </w:tc>
              <w:tc>
                <w:tcPr>
                  <w:tcW w:w="638"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46</w:t>
                  </w:r>
                </w:p>
              </w:tc>
              <w:tc>
                <w:tcPr>
                  <w:tcW w:w="744"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685"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827"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c>
                <w:tcPr>
                  <w:tcW w:w="855"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hint="eastAsia" w:ascii="Times New Roman" w:hAnsi="Times New Roman" w:eastAsia="宋体" w:cs="Times New Roman"/>
                      <w:color w:val="auto"/>
                      <w:sz w:val="21"/>
                      <w:szCs w:val="21"/>
                      <w:highlight w:val="yellow"/>
                      <w:lang w:val="en-US" w:eastAsia="zh-CN"/>
                    </w:rPr>
                  </w:pPr>
                  <w:r>
                    <w:rPr>
                      <w:rFonts w:hint="eastAsia" w:ascii="Times New Roman" w:hAnsi="Times New Roman" w:eastAsia="宋体" w:cs="Times New Roman"/>
                      <w:color w:val="auto"/>
                      <w:sz w:val="21"/>
                      <w:szCs w:val="21"/>
                      <w:highlight w:val="none"/>
                      <w:lang w:val="en-US" w:eastAsia="zh-CN"/>
                    </w:rPr>
                    <w:t>3#</w:t>
                  </w:r>
                </w:p>
              </w:tc>
              <w:tc>
                <w:tcPr>
                  <w:tcW w:w="2630"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西厂界</w:t>
                  </w:r>
                </w:p>
              </w:tc>
              <w:tc>
                <w:tcPr>
                  <w:tcW w:w="1366"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56</w:t>
                  </w:r>
                </w:p>
              </w:tc>
              <w:tc>
                <w:tcPr>
                  <w:tcW w:w="638"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w:t>
                  </w:r>
                </w:p>
              </w:tc>
              <w:tc>
                <w:tcPr>
                  <w:tcW w:w="744"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685"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w:t>
                  </w:r>
                </w:p>
              </w:tc>
              <w:tc>
                <w:tcPr>
                  <w:tcW w:w="827"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c>
                <w:tcPr>
                  <w:tcW w:w="855"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2630"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北厂界</w:t>
                  </w:r>
                </w:p>
              </w:tc>
              <w:tc>
                <w:tcPr>
                  <w:tcW w:w="1366"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58</w:t>
                  </w:r>
                </w:p>
              </w:tc>
              <w:tc>
                <w:tcPr>
                  <w:tcW w:w="638"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48</w:t>
                  </w:r>
                </w:p>
              </w:tc>
              <w:tc>
                <w:tcPr>
                  <w:tcW w:w="744"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70</w:t>
                  </w:r>
                </w:p>
              </w:tc>
              <w:tc>
                <w:tcPr>
                  <w:tcW w:w="685"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55</w:t>
                  </w:r>
                </w:p>
              </w:tc>
              <w:tc>
                <w:tcPr>
                  <w:tcW w:w="827"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c>
                <w:tcPr>
                  <w:tcW w:w="855" w:type="dxa"/>
                  <w:noWrap w:val="0"/>
                  <w:vAlign w:val="center"/>
                </w:tcPr>
                <w:p>
                  <w:pPr>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达标</w:t>
                  </w:r>
                </w:p>
              </w:tc>
            </w:tr>
          </w:tbl>
          <w:p>
            <w:pPr>
              <w:spacing w:line="360" w:lineRule="auto"/>
              <w:ind w:firstLine="420" w:firstLineChars="200"/>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从监测结果可以看出，</w:t>
            </w:r>
            <w:r>
              <w:rPr>
                <w:rFonts w:ascii="Times New Roman" w:hAnsi="Times New Roman" w:eastAsia="宋体"/>
                <w:sz w:val="21"/>
                <w:szCs w:val="21"/>
              </w:rPr>
              <w:t>项目正常生产，</w:t>
            </w:r>
            <w:r>
              <w:rPr>
                <w:rFonts w:hint="eastAsia" w:ascii="Times New Roman" w:hAnsi="Times New Roman" w:eastAsia="宋体"/>
                <w:sz w:val="21"/>
                <w:szCs w:val="21"/>
                <w:lang w:val="en-US" w:eastAsia="zh-CN"/>
              </w:rPr>
              <w:t>东</w:t>
            </w:r>
            <w:r>
              <w:rPr>
                <w:rFonts w:hint="eastAsia" w:ascii="Times New Roman" w:hAnsi="Times New Roman" w:eastAsia="宋体" w:cs="Times New Roman"/>
                <w:sz w:val="21"/>
                <w:szCs w:val="21"/>
                <w:lang w:val="en-US" w:eastAsia="zh-CN"/>
              </w:rPr>
              <w:t>厂界、北厂界噪声昼、夜间监测值均满足《工业企业厂界环境噪声排放标准》（GB12348-2008）中4类标准要求，南厂界和西厂界</w:t>
            </w:r>
            <w:r>
              <w:rPr>
                <w:rFonts w:hint="eastAsia" w:ascii="Times New Roman" w:hAnsi="Times New Roman" w:eastAsia="宋体" w:cs="Times New Roman"/>
                <w:sz w:val="21"/>
                <w:szCs w:val="21"/>
                <w:lang w:val="en-US" w:eastAsia="zh-CN"/>
              </w:rPr>
              <w:t>噪声昼、夜间监测值均满足《工业企业厂界环境噪声排放标准》（GB12348-2008）中2类标准要求</w:t>
            </w:r>
            <w:r>
              <w:rPr>
                <w:rFonts w:hint="eastAsia" w:ascii="Times New Roman" w:hAnsi="Times New Roman" w:eastAsia="宋体" w:cs="Times New Roman"/>
                <w:sz w:val="21"/>
                <w:szCs w:val="21"/>
                <w:lang w:val="en-US" w:eastAsia="zh-CN"/>
              </w:rPr>
              <w:t>。因此，项目运营期间，设备噪声对周边环境影响较小。</w:t>
            </w:r>
          </w:p>
          <w:p>
            <w:pPr>
              <w:spacing w:line="360" w:lineRule="auto"/>
              <w:ind w:firstLine="420" w:firstLineChars="200"/>
              <w:rPr>
                <w:rFonts w:hint="eastAsia"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val="en-US" w:eastAsia="zh-CN"/>
              </w:rPr>
              <w:t>（2）</w:t>
            </w:r>
            <w:r>
              <w:rPr>
                <w:rFonts w:hint="eastAsia" w:ascii="Times New Roman" w:hAnsi="Times New Roman" w:eastAsia="宋体" w:cs="Times New Roman"/>
                <w:sz w:val="21"/>
                <w:szCs w:val="21"/>
                <w:highlight w:val="none"/>
                <w:lang w:eastAsia="zh-CN"/>
              </w:rPr>
              <w:t>自行监测要求</w:t>
            </w:r>
          </w:p>
          <w:p>
            <w:pPr>
              <w:adjustRightInd w:val="0"/>
              <w:snapToGrid w:val="0"/>
              <w:spacing w:line="360" w:lineRule="auto"/>
              <w:ind w:firstLine="420" w:firstLineChars="200"/>
              <w:rPr>
                <w:sz w:val="21"/>
                <w:szCs w:val="21"/>
              </w:rPr>
            </w:pPr>
            <w:r>
              <w:rPr>
                <w:sz w:val="21"/>
                <w:szCs w:val="21"/>
              </w:rPr>
              <w:t>项目噪声监测计划为每季度对厂界噪声进行一次监测，详见下表。</w:t>
            </w:r>
          </w:p>
          <w:p>
            <w:pPr>
              <w:pStyle w:val="80"/>
              <w:spacing w:before="0" w:beforeLines="0" w:line="240" w:lineRule="auto"/>
              <w:rPr>
                <w:rFonts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4</w:t>
            </w:r>
            <w:r>
              <w:rPr>
                <w:rFonts w:ascii="Times New Roman" w:hAnsi="Times New Roman" w:eastAsia="宋体" w:cs="Times New Roman"/>
                <w:b/>
                <w:bCs/>
                <w:color w:val="auto"/>
                <w:sz w:val="21"/>
                <w:szCs w:val="21"/>
                <w:lang w:val="zh-CN"/>
              </w:rPr>
              <w:t>-</w:t>
            </w:r>
            <w:r>
              <w:rPr>
                <w:rFonts w:hint="eastAsia" w:ascii="Times New Roman" w:hAnsi="Times New Roman" w:eastAsia="宋体" w:cs="Times New Roman"/>
                <w:b/>
                <w:bCs/>
                <w:color w:val="auto"/>
                <w:sz w:val="21"/>
                <w:szCs w:val="21"/>
                <w:lang w:val="en-US" w:eastAsia="zh-CN"/>
              </w:rPr>
              <w:t>12噪声自行监测方案</w:t>
            </w:r>
          </w:p>
          <w:tbl>
            <w:tblPr>
              <w:tblStyle w:val="24"/>
              <w:tblW w:w="84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9"/>
              <w:gridCol w:w="729"/>
              <w:gridCol w:w="1405"/>
              <w:gridCol w:w="1426"/>
              <w:gridCol w:w="1091"/>
              <w:gridCol w:w="30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1478" w:type="dxa"/>
                  <w:gridSpan w:val="2"/>
                  <w:tcBorders>
                    <w:tl2br w:val="nil"/>
                    <w:tr2bl w:val="nil"/>
                  </w:tcBorders>
                  <w:noWrap w:val="0"/>
                  <w:vAlign w:val="center"/>
                </w:tcPr>
                <w:p>
                  <w:pPr>
                    <w:jc w:val="center"/>
                    <w:rPr>
                      <w:rFonts w:ascii="Times New Roman" w:hAnsi="Times New Roman" w:eastAsia="宋体"/>
                      <w:b/>
                      <w:bCs/>
                      <w:color w:val="auto"/>
                      <w:sz w:val="21"/>
                      <w:szCs w:val="21"/>
                    </w:rPr>
                  </w:pPr>
                  <w:r>
                    <w:rPr>
                      <w:rFonts w:hint="eastAsia" w:ascii="Times New Roman" w:hAnsi="Times New Roman" w:eastAsia="宋体"/>
                      <w:b/>
                      <w:bCs/>
                      <w:color w:val="auto"/>
                      <w:sz w:val="21"/>
                      <w:szCs w:val="21"/>
                    </w:rPr>
                    <w:t>类别</w:t>
                  </w:r>
                </w:p>
              </w:tc>
              <w:tc>
                <w:tcPr>
                  <w:tcW w:w="1405" w:type="dxa"/>
                  <w:tcBorders>
                    <w:tl2br w:val="nil"/>
                    <w:tr2bl w:val="nil"/>
                  </w:tcBorders>
                  <w:noWrap w:val="0"/>
                  <w:vAlign w:val="center"/>
                </w:tcPr>
                <w:p>
                  <w:pPr>
                    <w:jc w:val="center"/>
                    <w:rPr>
                      <w:rFonts w:ascii="Times New Roman" w:hAnsi="Times New Roman" w:eastAsia="宋体"/>
                      <w:b/>
                      <w:bCs/>
                      <w:color w:val="auto"/>
                      <w:sz w:val="21"/>
                      <w:szCs w:val="21"/>
                    </w:rPr>
                  </w:pPr>
                  <w:r>
                    <w:rPr>
                      <w:rFonts w:hint="eastAsia" w:ascii="Times New Roman" w:hAnsi="Times New Roman" w:eastAsia="宋体"/>
                      <w:b/>
                      <w:bCs/>
                      <w:color w:val="auto"/>
                      <w:sz w:val="21"/>
                      <w:szCs w:val="21"/>
                    </w:rPr>
                    <w:t>监测因子</w:t>
                  </w:r>
                </w:p>
              </w:tc>
              <w:tc>
                <w:tcPr>
                  <w:tcW w:w="1426" w:type="dxa"/>
                  <w:tcBorders>
                    <w:tl2br w:val="nil"/>
                    <w:tr2bl w:val="nil"/>
                  </w:tcBorders>
                  <w:noWrap w:val="0"/>
                  <w:vAlign w:val="center"/>
                </w:tcPr>
                <w:p>
                  <w:pPr>
                    <w:jc w:val="center"/>
                    <w:rPr>
                      <w:rFonts w:hint="eastAsia" w:ascii="Times New Roman" w:hAnsi="Times New Roman" w:eastAsia="宋体"/>
                      <w:b/>
                      <w:bCs/>
                      <w:color w:val="auto"/>
                      <w:sz w:val="21"/>
                      <w:szCs w:val="21"/>
                      <w:lang w:eastAsia="zh-CN"/>
                    </w:rPr>
                  </w:pPr>
                  <w:r>
                    <w:rPr>
                      <w:rFonts w:hint="eastAsia" w:ascii="Times New Roman" w:hAnsi="Times New Roman" w:eastAsia="宋体"/>
                      <w:b/>
                      <w:bCs/>
                      <w:color w:val="auto"/>
                      <w:sz w:val="21"/>
                      <w:szCs w:val="21"/>
                    </w:rPr>
                    <w:t>监测</w:t>
                  </w:r>
                  <w:r>
                    <w:rPr>
                      <w:rFonts w:hint="eastAsia" w:ascii="Times New Roman" w:hAnsi="Times New Roman" w:eastAsia="宋体"/>
                      <w:b/>
                      <w:bCs/>
                      <w:color w:val="auto"/>
                      <w:sz w:val="21"/>
                      <w:szCs w:val="21"/>
                      <w:lang w:val="en-US" w:eastAsia="zh-CN"/>
                    </w:rPr>
                    <w:t>点位</w:t>
                  </w:r>
                </w:p>
              </w:tc>
              <w:tc>
                <w:tcPr>
                  <w:tcW w:w="1091" w:type="dxa"/>
                  <w:tcBorders>
                    <w:tl2br w:val="nil"/>
                    <w:tr2bl w:val="nil"/>
                  </w:tcBorders>
                  <w:noWrap w:val="0"/>
                  <w:vAlign w:val="center"/>
                </w:tcPr>
                <w:p>
                  <w:pPr>
                    <w:jc w:val="center"/>
                    <w:rPr>
                      <w:rFonts w:ascii="Times New Roman" w:hAnsi="Times New Roman" w:eastAsia="宋体"/>
                      <w:b/>
                      <w:bCs/>
                      <w:color w:val="auto"/>
                      <w:sz w:val="21"/>
                      <w:szCs w:val="21"/>
                    </w:rPr>
                  </w:pPr>
                  <w:r>
                    <w:rPr>
                      <w:rFonts w:hint="eastAsia" w:ascii="Times New Roman" w:hAnsi="Times New Roman" w:eastAsia="宋体"/>
                      <w:b/>
                      <w:bCs/>
                      <w:color w:val="auto"/>
                      <w:sz w:val="21"/>
                      <w:szCs w:val="21"/>
                    </w:rPr>
                    <w:t>监测频次</w:t>
                  </w:r>
                </w:p>
              </w:tc>
              <w:tc>
                <w:tcPr>
                  <w:tcW w:w="3049" w:type="dxa"/>
                  <w:tcBorders>
                    <w:tl2br w:val="nil"/>
                    <w:tr2bl w:val="nil"/>
                  </w:tcBorders>
                  <w:noWrap w:val="0"/>
                  <w:vAlign w:val="center"/>
                </w:tcPr>
                <w:p>
                  <w:pPr>
                    <w:jc w:val="center"/>
                    <w:rPr>
                      <w:rFonts w:ascii="Times New Roman" w:hAnsi="Times New Roman" w:eastAsia="宋体"/>
                      <w:b/>
                      <w:bCs/>
                      <w:color w:val="auto"/>
                      <w:sz w:val="21"/>
                      <w:szCs w:val="21"/>
                    </w:rPr>
                  </w:pPr>
                  <w:r>
                    <w:rPr>
                      <w:rFonts w:hint="eastAsia" w:ascii="Times New Roman" w:hAnsi="Times New Roman" w:eastAsia="宋体"/>
                      <w:b/>
                      <w:bCs/>
                      <w:color w:val="auto"/>
                      <w:sz w:val="21"/>
                      <w:szCs w:val="21"/>
                    </w:rPr>
                    <w:t>控制标准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5" w:hRule="atLeast"/>
                <w:jc w:val="center"/>
              </w:trPr>
              <w:tc>
                <w:tcPr>
                  <w:tcW w:w="749" w:type="dxa"/>
                  <w:tcBorders>
                    <w:tl2br w:val="nil"/>
                    <w:tr2bl w:val="nil"/>
                  </w:tcBorders>
                  <w:noWrap w:val="0"/>
                  <w:vAlign w:val="center"/>
                </w:tcPr>
                <w:p>
                  <w:pPr>
                    <w:jc w:val="center"/>
                    <w:rPr>
                      <w:rFonts w:ascii="Times New Roman" w:hAnsi="Times New Roman" w:eastAsia="宋体"/>
                      <w:color w:val="auto"/>
                      <w:sz w:val="21"/>
                      <w:szCs w:val="21"/>
                    </w:rPr>
                  </w:pPr>
                  <w:r>
                    <w:rPr>
                      <w:rFonts w:hint="eastAsia" w:ascii="Times New Roman" w:hAnsi="Times New Roman" w:eastAsia="宋体"/>
                      <w:color w:val="auto"/>
                      <w:sz w:val="21"/>
                      <w:szCs w:val="21"/>
                    </w:rPr>
                    <w:t>噪声</w:t>
                  </w:r>
                </w:p>
              </w:tc>
              <w:tc>
                <w:tcPr>
                  <w:tcW w:w="729" w:type="dxa"/>
                  <w:tcBorders>
                    <w:tl2br w:val="nil"/>
                    <w:tr2bl w:val="nil"/>
                  </w:tcBorders>
                  <w:noWrap w:val="0"/>
                  <w:vAlign w:val="center"/>
                </w:tcPr>
                <w:p>
                  <w:pPr>
                    <w:jc w:val="center"/>
                    <w:rPr>
                      <w:rFonts w:ascii="Times New Roman" w:hAnsi="Times New Roman" w:eastAsia="宋体"/>
                      <w:color w:val="auto"/>
                      <w:sz w:val="21"/>
                      <w:szCs w:val="21"/>
                    </w:rPr>
                  </w:pPr>
                  <w:r>
                    <w:rPr>
                      <w:rFonts w:hint="eastAsia" w:ascii="Times New Roman" w:hAnsi="Times New Roman" w:eastAsia="宋体"/>
                      <w:color w:val="auto"/>
                      <w:sz w:val="21"/>
                      <w:szCs w:val="21"/>
                    </w:rPr>
                    <w:t>厂界</w:t>
                  </w:r>
                </w:p>
              </w:tc>
              <w:tc>
                <w:tcPr>
                  <w:tcW w:w="1405" w:type="dxa"/>
                  <w:tcBorders>
                    <w:tl2br w:val="nil"/>
                    <w:tr2bl w:val="nil"/>
                  </w:tcBorders>
                  <w:noWrap w:val="0"/>
                  <w:vAlign w:val="center"/>
                </w:tcPr>
                <w:p>
                  <w:pPr>
                    <w:jc w:val="center"/>
                    <w:rPr>
                      <w:rFonts w:ascii="Times New Roman" w:hAnsi="Times New Roman" w:eastAsia="宋体"/>
                      <w:color w:val="auto"/>
                      <w:sz w:val="21"/>
                      <w:szCs w:val="21"/>
                    </w:rPr>
                  </w:pPr>
                  <w:r>
                    <w:rPr>
                      <w:rFonts w:ascii="Times New Roman" w:hAnsi="Times New Roman" w:eastAsia="宋体"/>
                      <w:color w:val="auto"/>
                      <w:sz w:val="21"/>
                      <w:szCs w:val="21"/>
                    </w:rPr>
                    <w:t>Leq[dB(A)]</w:t>
                  </w:r>
                </w:p>
              </w:tc>
              <w:tc>
                <w:tcPr>
                  <w:tcW w:w="1426" w:type="dxa"/>
                  <w:tcBorders>
                    <w:tl2br w:val="nil"/>
                    <w:tr2bl w:val="nil"/>
                  </w:tcBorders>
                  <w:noWrap w:val="0"/>
                  <w:vAlign w:val="center"/>
                </w:tcPr>
                <w:p>
                  <w:pPr>
                    <w:jc w:val="center"/>
                    <w:rPr>
                      <w:rFonts w:hint="eastAsia" w:ascii="Times New Roman" w:hAnsi="Times New Roman" w:eastAsia="宋体"/>
                      <w:color w:val="auto"/>
                      <w:sz w:val="21"/>
                      <w:szCs w:val="21"/>
                      <w:lang w:eastAsia="zh-CN"/>
                    </w:rPr>
                  </w:pPr>
                  <w:r>
                    <w:rPr>
                      <w:rFonts w:hint="eastAsia" w:ascii="Times New Roman" w:hAnsi="Times New Roman" w:eastAsia="宋体"/>
                      <w:color w:val="auto"/>
                      <w:sz w:val="21"/>
                      <w:szCs w:val="21"/>
                      <w:lang w:val="en-US" w:eastAsia="zh-CN"/>
                    </w:rPr>
                    <w:t>东、</w:t>
                  </w:r>
                  <w:r>
                    <w:rPr>
                      <w:rFonts w:hint="eastAsia" w:ascii="Times New Roman" w:hAnsi="Times New Roman" w:eastAsia="宋体"/>
                      <w:color w:val="auto"/>
                      <w:sz w:val="21"/>
                      <w:szCs w:val="21"/>
                    </w:rPr>
                    <w:t>南</w:t>
                  </w:r>
                  <w:r>
                    <w:rPr>
                      <w:rFonts w:hint="eastAsia" w:ascii="Times New Roman" w:hAnsi="Times New Roman" w:eastAsia="宋体"/>
                      <w:color w:val="auto"/>
                      <w:sz w:val="21"/>
                      <w:szCs w:val="21"/>
                      <w:lang w:eastAsia="zh-CN"/>
                    </w:rPr>
                    <w:t>、</w:t>
                  </w:r>
                  <w:r>
                    <w:rPr>
                      <w:rFonts w:hint="eastAsia" w:ascii="Times New Roman" w:hAnsi="Times New Roman" w:eastAsia="宋体"/>
                      <w:color w:val="auto"/>
                      <w:sz w:val="21"/>
                      <w:szCs w:val="21"/>
                      <w:lang w:val="en-US" w:eastAsia="zh-CN"/>
                    </w:rPr>
                    <w:t>西、北</w:t>
                  </w:r>
                  <w:r>
                    <w:rPr>
                      <w:rFonts w:hint="eastAsia" w:ascii="Times New Roman" w:hAnsi="Times New Roman" w:eastAsia="宋体"/>
                      <w:color w:val="auto"/>
                      <w:sz w:val="21"/>
                      <w:szCs w:val="21"/>
                    </w:rPr>
                    <w:t>侧各设置1个监测点位</w:t>
                  </w:r>
                </w:p>
              </w:tc>
              <w:tc>
                <w:tcPr>
                  <w:tcW w:w="1091" w:type="dxa"/>
                  <w:tcBorders>
                    <w:tl2br w:val="nil"/>
                    <w:tr2bl w:val="nil"/>
                  </w:tcBorders>
                  <w:noWrap w:val="0"/>
                  <w:vAlign w:val="center"/>
                </w:tcPr>
                <w:p>
                  <w:pPr>
                    <w:jc w:val="center"/>
                    <w:rPr>
                      <w:rFonts w:ascii="Times New Roman" w:hAnsi="Times New Roman" w:eastAsia="宋体"/>
                      <w:color w:val="auto"/>
                      <w:sz w:val="21"/>
                      <w:szCs w:val="21"/>
                    </w:rPr>
                  </w:pPr>
                  <w:r>
                    <w:rPr>
                      <w:rFonts w:hint="eastAsia" w:ascii="Times New Roman" w:hAnsi="Times New Roman" w:eastAsia="宋体"/>
                      <w:color w:val="auto"/>
                      <w:sz w:val="21"/>
                      <w:szCs w:val="21"/>
                    </w:rPr>
                    <w:t>1次/</w:t>
                  </w:r>
                  <w:r>
                    <w:rPr>
                      <w:rFonts w:hint="eastAsia" w:ascii="Times New Roman" w:hAnsi="Times New Roman" w:eastAsia="宋体"/>
                      <w:color w:val="auto"/>
                      <w:sz w:val="21"/>
                      <w:szCs w:val="21"/>
                      <w:lang w:val="en-US" w:eastAsia="zh-CN"/>
                    </w:rPr>
                    <w:t>季度</w:t>
                  </w:r>
                </w:p>
              </w:tc>
              <w:tc>
                <w:tcPr>
                  <w:tcW w:w="3049" w:type="dxa"/>
                  <w:tcBorders>
                    <w:tl2br w:val="nil"/>
                    <w:tr2bl w:val="nil"/>
                  </w:tcBorders>
                  <w:noWrap w:val="0"/>
                  <w:vAlign w:val="center"/>
                </w:tcPr>
                <w:p>
                  <w:pPr>
                    <w:jc w:val="center"/>
                    <w:rPr>
                      <w:rFonts w:ascii="Times New Roman" w:hAnsi="Times New Roman" w:eastAsia="宋体"/>
                      <w:color w:val="auto"/>
                      <w:sz w:val="21"/>
                      <w:szCs w:val="21"/>
                    </w:rPr>
                  </w:pPr>
                  <w:r>
                    <w:rPr>
                      <w:rFonts w:hint="default" w:ascii="Times New Roman" w:hAnsi="Times New Roman" w:eastAsia="宋体"/>
                      <w:color w:val="auto"/>
                      <w:sz w:val="21"/>
                      <w:szCs w:val="21"/>
                      <w:lang w:val="en-GB" w:eastAsia="zh-CN"/>
                    </w:rPr>
                    <w:t>《工业企业厂界环境噪声排放标准》（GB12348</w:t>
                  </w:r>
                  <w:r>
                    <w:rPr>
                      <w:rFonts w:hint="default" w:ascii="Times New Roman" w:hAnsi="Times New Roman" w:eastAsia="宋体"/>
                      <w:color w:val="auto"/>
                      <w:sz w:val="21"/>
                      <w:szCs w:val="21"/>
                      <w:lang w:val="en-US" w:eastAsia="zh-CN"/>
                    </w:rPr>
                    <w:t>-</w:t>
                  </w:r>
                  <w:r>
                    <w:rPr>
                      <w:rFonts w:hint="default" w:ascii="Times New Roman" w:hAnsi="Times New Roman" w:eastAsia="宋体"/>
                      <w:color w:val="auto"/>
                      <w:sz w:val="21"/>
                      <w:szCs w:val="21"/>
                      <w:lang w:val="en-GB" w:eastAsia="zh-CN"/>
                    </w:rPr>
                    <w:t>2008）中的</w:t>
                  </w:r>
                  <w:r>
                    <w:rPr>
                      <w:rFonts w:hint="eastAsia" w:ascii="Times New Roman" w:hAnsi="Times New Roman" w:eastAsia="宋体"/>
                      <w:color w:val="auto"/>
                      <w:sz w:val="21"/>
                      <w:szCs w:val="21"/>
                      <w:lang w:val="en-US" w:eastAsia="zh-CN"/>
                    </w:rPr>
                    <w:t>2</w:t>
                  </w:r>
                  <w:r>
                    <w:rPr>
                      <w:rFonts w:hint="default" w:ascii="Times New Roman" w:hAnsi="Times New Roman" w:eastAsia="宋体"/>
                      <w:color w:val="auto"/>
                      <w:sz w:val="21"/>
                      <w:szCs w:val="21"/>
                      <w:lang w:val="en-GB" w:eastAsia="zh-CN"/>
                    </w:rPr>
                    <w:t>类</w:t>
                  </w:r>
                  <w:r>
                    <w:rPr>
                      <w:rFonts w:hint="eastAsia"/>
                      <w:sz w:val="21"/>
                      <w:szCs w:val="21"/>
                      <w:lang w:val="en-US" w:eastAsia="zh-CN"/>
                    </w:rPr>
                    <w:t>及4类</w:t>
                  </w:r>
                  <w:r>
                    <w:rPr>
                      <w:rFonts w:hint="default" w:ascii="Times New Roman" w:hAnsi="Times New Roman" w:eastAsia="宋体"/>
                      <w:color w:val="auto"/>
                      <w:sz w:val="21"/>
                      <w:szCs w:val="21"/>
                      <w:lang w:val="en-GB" w:eastAsia="zh-CN"/>
                    </w:rPr>
                    <w:t>标准</w:t>
                  </w:r>
                </w:p>
              </w:tc>
            </w:tr>
          </w:tbl>
          <w:p>
            <w:pPr>
              <w:spacing w:line="360" w:lineRule="auto"/>
              <w:ind w:firstLine="422" w:firstLineChars="200"/>
              <w:rPr>
                <w:rFonts w:hint="default" w:ascii="Times New Roman" w:hAnsi="Times New Roman" w:cs="Times New Roman"/>
                <w:szCs w:val="21"/>
                <w:highlight w:val="none"/>
              </w:rPr>
            </w:pPr>
            <w:r>
              <w:rPr>
                <w:rFonts w:hint="default" w:ascii="Times New Roman" w:hAnsi="Times New Roman" w:cs="Times New Roman"/>
                <w:b/>
                <w:bCs/>
                <w:szCs w:val="21"/>
                <w:highlight w:val="none"/>
              </w:rPr>
              <w:t>4、固体废弃物</w:t>
            </w:r>
          </w:p>
          <w:p>
            <w:pPr>
              <w:keepNext w:val="0"/>
              <w:keepLines w:val="0"/>
              <w:widowControl/>
              <w:suppressLineNumbers w:val="0"/>
              <w:spacing w:line="360" w:lineRule="auto"/>
              <w:ind w:firstLine="420" w:firstLineChars="200"/>
              <w:jc w:val="left"/>
              <w:rPr>
                <w:rFonts w:hint="default" w:ascii="Times New Roman" w:hAnsi="Times New Roman" w:eastAsia="宋体" w:cs="Times New Roman"/>
                <w:szCs w:val="21"/>
                <w:highlight w:val="none"/>
              </w:rPr>
            </w:pPr>
            <w:r>
              <w:rPr>
                <w:rFonts w:hint="default" w:ascii="Times New Roman" w:hAnsi="Times New Roman" w:cs="Times New Roman"/>
                <w:szCs w:val="21"/>
                <w:highlight w:val="none"/>
              </w:rPr>
              <w:t>本项目固体废物主要为生活垃圾、含油废渣、含油</w:t>
            </w:r>
            <w:r>
              <w:rPr>
                <w:rFonts w:hint="eastAsia" w:ascii="Times New Roman" w:hAnsi="Times New Roman" w:cs="Times New Roman"/>
                <w:szCs w:val="21"/>
                <w:highlight w:val="none"/>
                <w:lang w:val="en-US" w:eastAsia="zh-CN"/>
              </w:rPr>
              <w:t>棉纱、手套、污泥</w:t>
            </w:r>
            <w:r>
              <w:rPr>
                <w:rFonts w:hint="default" w:ascii="Times New Roman" w:hAnsi="Times New Roman" w:cs="Times New Roman"/>
                <w:szCs w:val="21"/>
                <w:highlight w:val="none"/>
              </w:rPr>
              <w:t>以及废</w:t>
            </w:r>
            <w:r>
              <w:rPr>
                <w:rFonts w:hint="eastAsia" w:ascii="Times New Roman" w:hAnsi="Times New Roman" w:eastAsia="宋体" w:cs="Times New Roman"/>
                <w:szCs w:val="21"/>
                <w:highlight w:val="none"/>
                <w:lang w:val="en-US" w:eastAsia="zh-CN"/>
              </w:rPr>
              <w:t>高分子膜</w:t>
            </w:r>
            <w:r>
              <w:rPr>
                <w:rFonts w:hint="default" w:ascii="Times New Roman" w:hAnsi="Times New Roman" w:eastAsia="宋体" w:cs="Times New Roman"/>
                <w:szCs w:val="21"/>
                <w:highlight w:val="none"/>
              </w:rPr>
              <w:t>。</w:t>
            </w:r>
          </w:p>
          <w:p>
            <w:pPr>
              <w:autoSpaceDE w:val="0"/>
              <w:autoSpaceDN w:val="0"/>
              <w:spacing w:line="360" w:lineRule="auto"/>
              <w:ind w:firstLine="420" w:firstLineChars="200"/>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（1）生活垃圾</w:t>
            </w:r>
          </w:p>
          <w:p>
            <w:pPr>
              <w:autoSpaceDE w:val="0"/>
              <w:autoSpaceDN w:val="0"/>
              <w:spacing w:line="360" w:lineRule="auto"/>
              <w:ind w:firstLine="420" w:firstLineChars="200"/>
              <w:rPr>
                <w:rFonts w:hint="default" w:ascii="Times New Roman" w:hAnsi="Times New Roman" w:cs="Times New Roman"/>
                <w:kern w:val="0"/>
                <w:szCs w:val="21"/>
                <w:highlight w:val="none"/>
              </w:rPr>
            </w:pPr>
            <w:r>
              <w:rPr>
                <w:rFonts w:hint="default" w:ascii="Times New Roman" w:hAnsi="Times New Roman" w:cs="Times New Roman"/>
                <w:kern w:val="0"/>
                <w:szCs w:val="21"/>
                <w:highlight w:val="none"/>
              </w:rPr>
              <w:t>本项目定员</w:t>
            </w:r>
            <w:r>
              <w:rPr>
                <w:rFonts w:hint="eastAsia" w:ascii="Times New Roman" w:hAnsi="Times New Roman" w:cs="Times New Roman"/>
                <w:kern w:val="0"/>
                <w:szCs w:val="21"/>
                <w:highlight w:val="none"/>
                <w:lang w:val="en-US" w:eastAsia="zh-CN"/>
              </w:rPr>
              <w:t>21</w:t>
            </w:r>
            <w:r>
              <w:rPr>
                <w:rFonts w:hint="default" w:ascii="Times New Roman" w:hAnsi="Times New Roman" w:cs="Times New Roman"/>
                <w:kern w:val="0"/>
                <w:szCs w:val="21"/>
                <w:highlight w:val="none"/>
              </w:rPr>
              <w:t>人，</w:t>
            </w:r>
            <w:r>
              <w:rPr>
                <w:rFonts w:hint="eastAsia"/>
                <w:lang w:val="en-US" w:eastAsia="zh-CN"/>
              </w:rPr>
              <w:t>根据建设单位提供资料</w:t>
            </w:r>
            <w:r>
              <w:rPr>
                <w:rFonts w:hint="default" w:ascii="Times New Roman" w:hAnsi="Times New Roman" w:cs="Times New Roman"/>
                <w:kern w:val="0"/>
                <w:szCs w:val="21"/>
                <w:highlight w:val="none"/>
              </w:rPr>
              <w:t>，年生活垃圾产生量</w:t>
            </w:r>
            <w:r>
              <w:rPr>
                <w:rFonts w:hint="eastAsia" w:ascii="Times New Roman" w:hAnsi="Times New Roman" w:cs="Times New Roman"/>
                <w:kern w:val="0"/>
                <w:szCs w:val="21"/>
                <w:highlight w:val="none"/>
                <w:lang w:val="en-US" w:eastAsia="zh-CN"/>
              </w:rPr>
              <w:t>为3.83</w:t>
            </w:r>
            <w:r>
              <w:rPr>
                <w:rFonts w:hint="default" w:ascii="Times New Roman" w:hAnsi="Times New Roman" w:cs="Times New Roman"/>
                <w:kern w:val="0"/>
                <w:szCs w:val="21"/>
                <w:highlight w:val="none"/>
              </w:rPr>
              <w:t>t/a，生活垃圾采取垃圾桶集中收集，当地环卫部门定期清运。</w:t>
            </w:r>
          </w:p>
          <w:p>
            <w:pPr>
              <w:keepNext w:val="0"/>
              <w:keepLines w:val="0"/>
              <w:widowControl/>
              <w:suppressLineNumbers w:val="0"/>
              <w:spacing w:line="360" w:lineRule="auto"/>
              <w:ind w:firstLine="420" w:firstLineChars="200"/>
              <w:jc w:val="left"/>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rPr>
              <w:t>（2）</w:t>
            </w:r>
            <w:r>
              <w:rPr>
                <w:rFonts w:hint="eastAsia" w:ascii="Times New Roman" w:hAnsi="Times New Roman" w:eastAsia="宋体" w:cs="Times New Roman"/>
                <w:szCs w:val="21"/>
                <w:highlight w:val="none"/>
                <w:lang w:val="en-US" w:eastAsia="zh-CN"/>
              </w:rPr>
              <w:t>油罐残渣</w:t>
            </w:r>
          </w:p>
          <w:p>
            <w:pPr>
              <w:keepNext w:val="0"/>
              <w:keepLines w:val="0"/>
              <w:widowControl/>
              <w:suppressLineNumbers w:val="0"/>
              <w:spacing w:line="360" w:lineRule="auto"/>
              <w:ind w:firstLine="420" w:firstLineChars="200"/>
              <w:jc w:val="left"/>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根据建设单位提供资料，加油站油罐清洗作业每</w:t>
            </w:r>
            <w:r>
              <w:rPr>
                <w:rFonts w:hint="default" w:ascii="Times New Roman" w:hAnsi="Times New Roman" w:eastAsia="宋体" w:cs="Times New Roman"/>
                <w:szCs w:val="21"/>
                <w:highlight w:val="none"/>
                <w:lang w:val="en-US" w:eastAsia="zh-CN"/>
              </w:rPr>
              <w:t>10</w:t>
            </w:r>
            <w:r>
              <w:rPr>
                <w:rFonts w:hint="eastAsia" w:ascii="Times New Roman" w:hAnsi="Times New Roman" w:eastAsia="宋体" w:cs="Times New Roman"/>
                <w:szCs w:val="21"/>
                <w:highlight w:val="none"/>
                <w:lang w:val="en-US" w:eastAsia="zh-CN"/>
              </w:rPr>
              <w:t>年清洗</w:t>
            </w:r>
            <w:r>
              <w:rPr>
                <w:rFonts w:hint="default" w:ascii="Times New Roman" w:hAnsi="Times New Roman" w:eastAsia="宋体" w:cs="Times New Roman"/>
                <w:szCs w:val="21"/>
                <w:highlight w:val="none"/>
                <w:lang w:val="en-US" w:eastAsia="zh-CN"/>
              </w:rPr>
              <w:t>1</w:t>
            </w:r>
            <w:r>
              <w:rPr>
                <w:rFonts w:hint="eastAsia" w:ascii="Times New Roman" w:hAnsi="Times New Roman" w:eastAsia="宋体" w:cs="Times New Roman"/>
                <w:szCs w:val="21"/>
                <w:highlight w:val="none"/>
                <w:lang w:val="en-US" w:eastAsia="zh-CN"/>
              </w:rPr>
              <w:t>次，每次产生油罐残渣约为</w:t>
            </w:r>
            <w:r>
              <w:rPr>
                <w:rFonts w:hint="default" w:ascii="Times New Roman" w:hAnsi="Times New Roman" w:eastAsia="宋体" w:cs="Times New Roman"/>
                <w:szCs w:val="21"/>
                <w:highlight w:val="none"/>
                <w:lang w:val="en-US" w:eastAsia="zh-CN"/>
              </w:rPr>
              <w:t>0.0</w:t>
            </w:r>
            <w:r>
              <w:rPr>
                <w:rFonts w:hint="eastAsia" w:ascii="Times New Roman" w:hAnsi="Times New Roman" w:eastAsia="宋体" w:cs="Times New Roman"/>
                <w:szCs w:val="21"/>
                <w:highlight w:val="none"/>
                <w:lang w:val="en-US" w:eastAsia="zh-CN"/>
              </w:rPr>
              <w:t>5</w:t>
            </w:r>
            <w:r>
              <w:rPr>
                <w:rFonts w:hint="default" w:ascii="Times New Roman" w:hAnsi="Times New Roman" w:eastAsia="宋体" w:cs="Times New Roman"/>
                <w:szCs w:val="21"/>
                <w:highlight w:val="none"/>
                <w:lang w:val="en-US" w:eastAsia="zh-CN"/>
              </w:rPr>
              <w:t>t/</w:t>
            </w:r>
            <w:r>
              <w:rPr>
                <w:rFonts w:hint="eastAsia" w:ascii="Times New Roman" w:hAnsi="Times New Roman" w:eastAsia="宋体" w:cs="Times New Roman"/>
                <w:szCs w:val="21"/>
                <w:highlight w:val="none"/>
                <w:lang w:val="en-US" w:eastAsia="zh-CN"/>
              </w:rPr>
              <w:t>10a，其主要成分为机械杂质、石油类、水等。废物类别为</w:t>
            </w:r>
            <w:r>
              <w:rPr>
                <w:rFonts w:hint="default" w:ascii="Times New Roman" w:hAnsi="Times New Roman" w:eastAsia="宋体" w:cs="Times New Roman"/>
                <w:szCs w:val="21"/>
                <w:highlight w:val="none"/>
                <w:lang w:val="en-US" w:eastAsia="zh-CN"/>
              </w:rPr>
              <w:t>HW08</w:t>
            </w:r>
            <w:r>
              <w:rPr>
                <w:rFonts w:hint="eastAsia" w:ascii="Times New Roman" w:hAnsi="Times New Roman" w:eastAsia="宋体" w:cs="Times New Roman"/>
                <w:szCs w:val="21"/>
                <w:highlight w:val="none"/>
                <w:lang w:val="en-US" w:eastAsia="zh-CN"/>
              </w:rPr>
              <w:t>废矿物油，废物代码</w:t>
            </w:r>
            <w:r>
              <w:rPr>
                <w:rFonts w:hint="default" w:ascii="Times New Roman" w:hAnsi="Times New Roman" w:eastAsia="宋体" w:cs="Times New Roman"/>
                <w:szCs w:val="21"/>
                <w:highlight w:val="none"/>
                <w:lang w:val="en-US" w:eastAsia="zh-CN"/>
              </w:rPr>
              <w:t>900-221-08</w:t>
            </w:r>
            <w:r>
              <w:rPr>
                <w:rFonts w:hint="eastAsia" w:ascii="Times New Roman" w:hAnsi="Times New Roman" w:eastAsia="宋体" w:cs="Times New Roman"/>
                <w:szCs w:val="21"/>
                <w:highlight w:val="none"/>
                <w:lang w:val="en-US" w:eastAsia="zh-CN"/>
              </w:rPr>
              <w:t>，危险特性为毒性及易燃性。油罐残渣委托专业的清理公司清罐并全部带走处置。因清罐时间间隔较长，本项目加油站暂无清罐协议，故本次环评要求加油站每次清罐必须由具有资质的清罐单位清理并妥善处置油罐残渣。</w:t>
            </w:r>
          </w:p>
          <w:p>
            <w:pPr>
              <w:keepNext w:val="0"/>
              <w:keepLines w:val="0"/>
              <w:widowControl/>
              <w:suppressLineNumbers w:val="0"/>
              <w:spacing w:line="360" w:lineRule="auto"/>
              <w:ind w:firstLine="420" w:firstLineChars="200"/>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（3）含油</w:t>
            </w:r>
            <w:r>
              <w:rPr>
                <w:rFonts w:hint="eastAsia" w:ascii="Times New Roman" w:hAnsi="Times New Roman" w:eastAsia="宋体" w:cs="Times New Roman"/>
                <w:szCs w:val="21"/>
                <w:highlight w:val="none"/>
                <w:lang w:val="en-US" w:eastAsia="zh-CN"/>
              </w:rPr>
              <w:t>棉纱、手套</w:t>
            </w:r>
          </w:p>
          <w:p>
            <w:pPr>
              <w:keepNext w:val="0"/>
              <w:keepLines w:val="0"/>
              <w:widowControl/>
              <w:suppressLineNumbers w:val="0"/>
              <w:spacing w:line="360" w:lineRule="auto"/>
              <w:ind w:firstLine="420" w:firstLineChars="200"/>
              <w:jc w:val="left"/>
              <w:rPr>
                <w:rFonts w:hint="default" w:ascii="Times New Roman" w:hAnsi="Times New Roman" w:cs="Times New Roman"/>
                <w:color w:val="auto"/>
                <w:szCs w:val="21"/>
                <w:highlight w:val="none"/>
              </w:rPr>
            </w:pPr>
            <w:r>
              <w:rPr>
                <w:rFonts w:hint="default" w:ascii="Times New Roman" w:hAnsi="Times New Roman" w:eastAsia="宋体" w:cs="Times New Roman"/>
                <w:szCs w:val="21"/>
                <w:highlight w:val="none"/>
              </w:rPr>
              <w:t>项目运营期间会定期产生含油</w:t>
            </w:r>
            <w:r>
              <w:rPr>
                <w:rFonts w:hint="eastAsia" w:ascii="Times New Roman" w:hAnsi="Times New Roman" w:eastAsia="宋体" w:cs="Times New Roman"/>
                <w:szCs w:val="21"/>
                <w:highlight w:val="none"/>
                <w:lang w:val="en-US" w:eastAsia="zh-CN"/>
              </w:rPr>
              <w:t>棉纱、</w:t>
            </w:r>
            <w:r>
              <w:rPr>
                <w:rFonts w:hint="eastAsia" w:ascii="Times New Roman" w:hAnsi="Times New Roman" w:cs="Times New Roman"/>
                <w:szCs w:val="21"/>
                <w:highlight w:val="none"/>
                <w:lang w:val="en-US" w:eastAsia="zh-CN"/>
              </w:rPr>
              <w:t>手套</w:t>
            </w:r>
            <w:r>
              <w:rPr>
                <w:rFonts w:hint="default" w:ascii="Times New Roman" w:hAnsi="Times New Roman" w:cs="Times New Roman"/>
                <w:szCs w:val="21"/>
                <w:highlight w:val="none"/>
              </w:rPr>
              <w:t>等，产生量约为0.005t/a，危险废物类别/代码为900-041-49，</w:t>
            </w:r>
            <w:r>
              <w:rPr>
                <w:rFonts w:hint="default" w:ascii="Times New Roman" w:hAnsi="Times New Roman" w:cs="Times New Roman"/>
                <w:szCs w:val="21"/>
                <w:highlight w:val="none"/>
              </w:rPr>
              <w:t>含油</w:t>
            </w:r>
            <w:r>
              <w:rPr>
                <w:rFonts w:hint="eastAsia" w:ascii="Times New Roman" w:hAnsi="Times New Roman" w:cs="Times New Roman"/>
                <w:szCs w:val="21"/>
                <w:highlight w:val="none"/>
                <w:lang w:val="en-US" w:eastAsia="zh-CN"/>
              </w:rPr>
              <w:t>棉纱、手套</w:t>
            </w:r>
            <w:r>
              <w:rPr>
                <w:rFonts w:hint="default" w:ascii="Times New Roman" w:hAnsi="Times New Roman" w:cs="Times New Roman"/>
                <w:szCs w:val="21"/>
                <w:highlight w:val="none"/>
              </w:rPr>
              <w:t>暂</w:t>
            </w:r>
            <w:r>
              <w:rPr>
                <w:rFonts w:hint="default" w:ascii="Times New Roman" w:hAnsi="Times New Roman" w:cs="Times New Roman"/>
                <w:color w:val="auto"/>
                <w:szCs w:val="21"/>
                <w:highlight w:val="none"/>
              </w:rPr>
              <w:t>存于</w:t>
            </w:r>
            <w:r>
              <w:rPr>
                <w:rFonts w:hint="eastAsia" w:ascii="宋体" w:hAnsi="宋体" w:eastAsia="宋体" w:cs="宋体"/>
                <w:color w:val="auto"/>
                <w:kern w:val="0"/>
                <w:sz w:val="21"/>
                <w:szCs w:val="21"/>
                <w:lang w:val="en-US" w:eastAsia="zh-CN" w:bidi="ar"/>
              </w:rPr>
              <w:t>危险废物贮存点</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rPr>
              <w:t>交由</w:t>
            </w:r>
            <w:r>
              <w:rPr>
                <w:rFonts w:hint="eastAsia" w:ascii="Times New Roman" w:hAnsi="Times New Roman" w:cs="Times New Roman"/>
                <w:color w:val="auto"/>
                <w:szCs w:val="21"/>
                <w:highlight w:val="none"/>
                <w:lang w:val="en-US" w:eastAsia="zh-CN"/>
              </w:rPr>
              <w:t>陕西新天地固体废物综合处置有限公司</w:t>
            </w:r>
            <w:r>
              <w:rPr>
                <w:rFonts w:hint="default" w:ascii="Times New Roman" w:hAnsi="Times New Roman" w:cs="Times New Roman"/>
                <w:color w:val="auto"/>
                <w:szCs w:val="21"/>
                <w:highlight w:val="none"/>
              </w:rPr>
              <w:t>统一处理。</w:t>
            </w:r>
          </w:p>
          <w:p>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r>
              <w:rPr>
                <w:rFonts w:hint="default" w:ascii="Times New Roman" w:hAnsi="Times New Roman" w:cs="Times New Roman"/>
                <w:color w:val="auto"/>
                <w:szCs w:val="21"/>
                <w:highlight w:val="none"/>
              </w:rPr>
              <w:t>废</w:t>
            </w:r>
            <w:r>
              <w:rPr>
                <w:rFonts w:hint="eastAsia" w:ascii="Times New Roman" w:hAnsi="Times New Roman" w:eastAsia="宋体" w:cs="Times New Roman"/>
                <w:color w:val="auto"/>
                <w:szCs w:val="21"/>
                <w:highlight w:val="none"/>
                <w:lang w:val="en-US" w:eastAsia="zh-CN"/>
              </w:rPr>
              <w:t>高分子膜</w:t>
            </w:r>
          </w:p>
          <w:p>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加油站采取</w:t>
            </w:r>
            <w:r>
              <w:rPr>
                <w:rFonts w:hint="eastAsia" w:ascii="Times New Roman" w:hAnsi="Times New Roman" w:cs="Times New Roman"/>
                <w:color w:val="auto"/>
                <w:szCs w:val="21"/>
                <w:highlight w:val="none"/>
                <w:lang w:val="en-US" w:eastAsia="zh-CN"/>
              </w:rPr>
              <w:t>膜分离</w:t>
            </w:r>
            <w:r>
              <w:rPr>
                <w:rFonts w:hint="default" w:ascii="Times New Roman" w:hAnsi="Times New Roman" w:cs="Times New Roman"/>
                <w:color w:val="auto"/>
                <w:szCs w:val="21"/>
                <w:highlight w:val="none"/>
              </w:rPr>
              <w:t>技术进行油气回收会产生</w:t>
            </w:r>
            <w:r>
              <w:rPr>
                <w:rFonts w:hint="default" w:ascii="Times New Roman" w:hAnsi="Times New Roman" w:cs="Times New Roman"/>
                <w:color w:val="auto"/>
                <w:szCs w:val="21"/>
                <w:highlight w:val="none"/>
              </w:rPr>
              <w:t>废</w:t>
            </w:r>
            <w:r>
              <w:rPr>
                <w:rFonts w:hint="eastAsia" w:ascii="Times New Roman" w:hAnsi="Times New Roman" w:eastAsia="宋体" w:cs="Times New Roman"/>
                <w:color w:val="auto"/>
                <w:szCs w:val="21"/>
                <w:highlight w:val="none"/>
                <w:lang w:val="en-US" w:eastAsia="zh-CN"/>
              </w:rPr>
              <w:t>高分子膜</w:t>
            </w:r>
            <w:r>
              <w:rPr>
                <w:rFonts w:hint="default" w:ascii="Times New Roman" w:hAnsi="Times New Roman" w:cs="Times New Roman"/>
                <w:color w:val="auto"/>
                <w:szCs w:val="21"/>
                <w:highlight w:val="none"/>
              </w:rPr>
              <w:t>，</w:t>
            </w:r>
            <w:r>
              <w:rPr>
                <w:rFonts w:hint="eastAsia" w:ascii="Times New Roman" w:hAnsi="Times New Roman" w:cs="Times New Roman"/>
                <w:color w:val="auto"/>
                <w:szCs w:val="21"/>
                <w:highlight w:val="none"/>
                <w:lang w:val="en-US" w:eastAsia="zh-CN"/>
              </w:rPr>
              <w:t>根据加油站提供资料，高分子膜为0.02</w:t>
            </w:r>
            <w:r>
              <w:rPr>
                <w:rFonts w:hint="default" w:ascii="Times New Roman" w:hAnsi="Times New Roman" w:cs="Times New Roman"/>
                <w:color w:val="auto"/>
                <w:szCs w:val="21"/>
                <w:highlight w:val="none"/>
              </w:rPr>
              <w:t>t/a，</w:t>
            </w:r>
            <w:r>
              <w:rPr>
                <w:rFonts w:hint="eastAsia" w:ascii="Times New Roman" w:hAnsi="Times New Roman" w:cs="Times New Roman"/>
                <w:color w:val="auto"/>
                <w:szCs w:val="21"/>
                <w:highlight w:val="none"/>
                <w:lang w:val="en-US" w:eastAsia="zh-CN"/>
              </w:rPr>
              <w:t>2年更换一次，废高分子膜的产生量约为0.01</w:t>
            </w:r>
            <w:r>
              <w:rPr>
                <w:rFonts w:hint="default" w:ascii="Times New Roman" w:hAnsi="Times New Roman" w:cs="Times New Roman"/>
                <w:color w:val="auto"/>
                <w:szCs w:val="21"/>
                <w:highlight w:val="none"/>
              </w:rPr>
              <w:t>t/a，</w:t>
            </w:r>
            <w:r>
              <w:rPr>
                <w:rFonts w:hint="default" w:ascii="Times New Roman" w:hAnsi="Times New Roman" w:cs="Times New Roman"/>
                <w:color w:val="auto"/>
                <w:szCs w:val="21"/>
                <w:highlight w:val="none"/>
              </w:rPr>
              <w:t>废物类别为HW49，废物代码为900-0</w:t>
            </w:r>
            <w:r>
              <w:rPr>
                <w:rFonts w:hint="eastAsia" w:ascii="Times New Roman" w:hAnsi="Times New Roman" w:cs="Times New Roman"/>
                <w:color w:val="auto"/>
                <w:szCs w:val="21"/>
                <w:highlight w:val="none"/>
                <w:lang w:val="en-US" w:eastAsia="zh-CN"/>
              </w:rPr>
              <w:t>41</w:t>
            </w:r>
            <w:r>
              <w:rPr>
                <w:rFonts w:hint="default" w:ascii="Times New Roman" w:hAnsi="Times New Roman" w:cs="Times New Roman"/>
                <w:color w:val="auto"/>
                <w:szCs w:val="21"/>
                <w:highlight w:val="none"/>
              </w:rPr>
              <w:t>-49。</w:t>
            </w:r>
            <w:r>
              <w:rPr>
                <w:rFonts w:hint="default" w:ascii="Times New Roman" w:hAnsi="Times New Roman" w:cs="Times New Roman"/>
                <w:color w:val="auto"/>
                <w:szCs w:val="21"/>
                <w:highlight w:val="none"/>
              </w:rPr>
              <w:t>废</w:t>
            </w:r>
            <w:r>
              <w:rPr>
                <w:rFonts w:hint="eastAsia" w:ascii="Times New Roman" w:hAnsi="Times New Roman" w:eastAsia="宋体" w:cs="Times New Roman"/>
                <w:color w:val="auto"/>
                <w:szCs w:val="21"/>
                <w:highlight w:val="none"/>
                <w:lang w:val="en-US" w:eastAsia="zh-CN"/>
              </w:rPr>
              <w:t>高分子膜</w:t>
            </w:r>
            <w:r>
              <w:rPr>
                <w:rFonts w:hint="default" w:ascii="Times New Roman" w:hAnsi="Times New Roman" w:cs="Times New Roman"/>
                <w:color w:val="auto"/>
                <w:szCs w:val="21"/>
                <w:highlight w:val="none"/>
              </w:rPr>
              <w:t>暂存于</w:t>
            </w:r>
            <w:r>
              <w:rPr>
                <w:rFonts w:hint="eastAsia" w:ascii="宋体" w:hAnsi="宋体" w:eastAsia="宋体" w:cs="宋体"/>
                <w:color w:val="auto"/>
                <w:kern w:val="0"/>
                <w:sz w:val="21"/>
                <w:szCs w:val="21"/>
                <w:lang w:val="en-US" w:eastAsia="zh-CN" w:bidi="ar"/>
              </w:rPr>
              <w:t>危险废物贮存点</w:t>
            </w:r>
            <w:r>
              <w:rPr>
                <w:rFonts w:hint="default" w:ascii="Times New Roman" w:hAnsi="Times New Roman" w:cs="Times New Roman"/>
                <w:color w:val="auto"/>
                <w:szCs w:val="21"/>
                <w:highlight w:val="none"/>
              </w:rPr>
              <w:t>，与含油废渣、</w:t>
            </w:r>
            <w:r>
              <w:rPr>
                <w:rFonts w:hint="default" w:ascii="Times New Roman" w:hAnsi="Times New Roman" w:cs="Times New Roman"/>
                <w:color w:val="auto"/>
                <w:szCs w:val="21"/>
                <w:highlight w:val="none"/>
              </w:rPr>
              <w:t>含油</w:t>
            </w:r>
            <w:r>
              <w:rPr>
                <w:rFonts w:hint="eastAsia" w:ascii="Times New Roman" w:hAnsi="Times New Roman" w:cs="Times New Roman"/>
                <w:color w:val="auto"/>
                <w:szCs w:val="21"/>
                <w:highlight w:val="none"/>
                <w:lang w:val="en-US" w:eastAsia="zh-CN"/>
              </w:rPr>
              <w:t>棉纱、手套</w:t>
            </w:r>
            <w:r>
              <w:rPr>
                <w:rFonts w:hint="default" w:ascii="Times New Roman" w:hAnsi="Times New Roman" w:cs="Times New Roman"/>
                <w:color w:val="auto"/>
                <w:szCs w:val="21"/>
                <w:highlight w:val="none"/>
              </w:rPr>
              <w:t>等一同</w:t>
            </w:r>
            <w:r>
              <w:rPr>
                <w:rFonts w:hint="default" w:ascii="Times New Roman" w:hAnsi="Times New Roman" w:cs="Times New Roman"/>
                <w:color w:val="auto"/>
                <w:szCs w:val="21"/>
                <w:highlight w:val="none"/>
              </w:rPr>
              <w:t>交由</w:t>
            </w:r>
            <w:r>
              <w:rPr>
                <w:rFonts w:hint="eastAsia" w:ascii="Times New Roman" w:hAnsi="Times New Roman" w:cs="Times New Roman"/>
                <w:color w:val="auto"/>
                <w:szCs w:val="21"/>
                <w:highlight w:val="none"/>
                <w:lang w:val="en-US" w:eastAsia="zh-CN"/>
              </w:rPr>
              <w:t>陕西新天地固体废物综合处置有限公司</w:t>
            </w:r>
            <w:r>
              <w:rPr>
                <w:rFonts w:hint="default" w:ascii="Times New Roman" w:hAnsi="Times New Roman" w:cs="Times New Roman"/>
                <w:color w:val="auto"/>
                <w:szCs w:val="21"/>
                <w:highlight w:val="none"/>
              </w:rPr>
              <w:t>统一处理。</w:t>
            </w:r>
          </w:p>
          <w:p>
            <w:pPr>
              <w:spacing w:line="360" w:lineRule="auto"/>
              <w:ind w:firstLine="420" w:firstLineChars="200"/>
              <w:rPr>
                <w:rFonts w:hint="eastAsia" w:ascii="Times New Roman" w:hAnsi="Times New Roman" w:eastAsia="宋体" w:cs="Times New Roman"/>
                <w:color w:val="auto"/>
                <w:szCs w:val="21"/>
                <w:highlight w:val="yellow"/>
                <w:lang w:val="en-US" w:eastAsia="zh-CN"/>
              </w:rPr>
            </w:pPr>
            <w:r>
              <w:rPr>
                <w:rFonts w:hint="default" w:ascii="Times New Roman" w:hAnsi="Times New Roman" w:cs="Times New Roman"/>
                <w:color w:val="auto"/>
                <w:szCs w:val="21"/>
                <w:highlight w:val="none"/>
              </w:rPr>
              <w:t>（</w:t>
            </w:r>
            <w:r>
              <w:rPr>
                <w:rFonts w:hint="eastAsia"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w:t>
            </w:r>
            <w:r>
              <w:rPr>
                <w:rFonts w:hint="eastAsia" w:ascii="Times New Roman" w:hAnsi="Times New Roman" w:cs="Times New Roman"/>
                <w:color w:val="auto"/>
                <w:szCs w:val="21"/>
                <w:highlight w:val="none"/>
                <w:lang w:val="en-US" w:eastAsia="zh-CN"/>
              </w:rPr>
              <w:t>污泥</w:t>
            </w:r>
          </w:p>
          <w:p>
            <w:pPr>
              <w:autoSpaceDE w:val="0"/>
              <w:autoSpaceDN w:val="0"/>
              <w:adjustRightInd w:val="0"/>
              <w:spacing w:line="360" w:lineRule="auto"/>
              <w:ind w:firstLine="420" w:firstLineChars="200"/>
              <w:rPr>
                <w:rFonts w:hint="default" w:ascii="Times New Roman" w:hAnsi="Times New Roman" w:eastAsia="宋体" w:cs="Times New Roman"/>
                <w:color w:val="auto"/>
                <w:szCs w:val="21"/>
                <w:highlight w:val="none"/>
                <w:lang w:val="en-US" w:eastAsia="zh-CN"/>
              </w:rPr>
            </w:pPr>
            <w:r>
              <w:rPr>
                <w:color w:val="auto"/>
                <w:szCs w:val="21"/>
              </w:rPr>
              <w:t>项目</w:t>
            </w:r>
            <w:r>
              <w:rPr>
                <w:rFonts w:hint="eastAsia"/>
                <w:color w:val="auto"/>
                <w:szCs w:val="21"/>
                <w:lang w:val="en-US" w:eastAsia="zh-CN"/>
              </w:rPr>
              <w:t>洗车台中水回用</w:t>
            </w:r>
            <w:r>
              <w:rPr>
                <w:color w:val="auto"/>
                <w:szCs w:val="21"/>
              </w:rPr>
              <w:t>设施在运行过程中会产生一定的污泥，</w:t>
            </w:r>
            <w:r>
              <w:rPr>
                <w:rFonts w:hint="eastAsia"/>
                <w:color w:val="auto"/>
                <w:szCs w:val="21"/>
                <w:lang w:val="en-US" w:eastAsia="zh-CN"/>
              </w:rPr>
              <w:t>根据建设单位提供资料，沉淀池污泥产生</w:t>
            </w:r>
            <w:r>
              <w:rPr>
                <w:color w:val="auto"/>
                <w:szCs w:val="21"/>
              </w:rPr>
              <w:t>量为0.</w:t>
            </w:r>
            <w:r>
              <w:rPr>
                <w:rFonts w:hint="eastAsia"/>
                <w:color w:val="auto"/>
                <w:szCs w:val="21"/>
                <w:lang w:val="en-US" w:eastAsia="zh-CN"/>
              </w:rPr>
              <w:t>7</w:t>
            </w:r>
            <w:r>
              <w:rPr>
                <w:color w:val="auto"/>
                <w:szCs w:val="21"/>
              </w:rPr>
              <w:t>t/a，由于</w:t>
            </w:r>
            <w:r>
              <w:rPr>
                <w:rFonts w:hint="eastAsia"/>
                <w:color w:val="auto"/>
                <w:szCs w:val="21"/>
                <w:lang w:val="en-US" w:eastAsia="zh-CN"/>
              </w:rPr>
              <w:t>洗车台</w:t>
            </w:r>
            <w:r>
              <w:rPr>
                <w:color w:val="auto"/>
                <w:szCs w:val="21"/>
              </w:rPr>
              <w:t>污泥主要存在</w:t>
            </w:r>
            <w:r>
              <w:rPr>
                <w:rFonts w:hint="eastAsia"/>
                <w:color w:val="auto"/>
                <w:szCs w:val="21"/>
                <w:lang w:val="en-US" w:eastAsia="zh-CN"/>
              </w:rPr>
              <w:t>浮油、油渣</w:t>
            </w:r>
            <w:r>
              <w:rPr>
                <w:color w:val="auto"/>
                <w:szCs w:val="21"/>
              </w:rPr>
              <w:t>等</w:t>
            </w:r>
            <w:r>
              <w:rPr>
                <w:rFonts w:hint="eastAsia"/>
                <w:color w:val="auto"/>
                <w:szCs w:val="21"/>
                <w:lang w:val="en-US" w:eastAsia="zh-CN"/>
              </w:rPr>
              <w:t>有害物质</w:t>
            </w:r>
            <w:r>
              <w:rPr>
                <w:color w:val="auto"/>
                <w:szCs w:val="21"/>
              </w:rPr>
              <w:t>，属于《国家危险废物名录》</w:t>
            </w:r>
            <w:r>
              <w:rPr>
                <w:rFonts w:hint="eastAsia"/>
                <w:color w:val="auto"/>
                <w:szCs w:val="21"/>
              </w:rPr>
              <w:t>（</w:t>
            </w:r>
            <w:r>
              <w:rPr>
                <w:color w:val="auto"/>
                <w:szCs w:val="21"/>
              </w:rPr>
              <w:t>2021年版</w:t>
            </w:r>
            <w:r>
              <w:rPr>
                <w:rFonts w:hint="eastAsia"/>
                <w:color w:val="auto"/>
                <w:szCs w:val="21"/>
              </w:rPr>
              <w:t>）</w:t>
            </w:r>
            <w:r>
              <w:rPr>
                <w:color w:val="auto"/>
                <w:szCs w:val="21"/>
              </w:rPr>
              <w:t>中的HW0</w:t>
            </w:r>
            <w:r>
              <w:rPr>
                <w:rFonts w:hint="eastAsia"/>
                <w:color w:val="auto"/>
                <w:szCs w:val="21"/>
                <w:lang w:val="en-US" w:eastAsia="zh-CN"/>
              </w:rPr>
              <w:t>8废矿物油与含废矿物油废物</w:t>
            </w:r>
            <w:r>
              <w:rPr>
                <w:rFonts w:hint="eastAsia"/>
                <w:color w:val="auto"/>
                <w:szCs w:val="21"/>
              </w:rPr>
              <w:t>（废物代码</w:t>
            </w:r>
            <w:r>
              <w:rPr>
                <w:rFonts w:hint="eastAsia"/>
                <w:color w:val="auto"/>
                <w:szCs w:val="21"/>
                <w:lang w:val="en-US" w:eastAsia="zh-CN"/>
              </w:rPr>
              <w:t>900</w:t>
            </w:r>
            <w:r>
              <w:rPr>
                <w:color w:val="auto"/>
                <w:szCs w:val="21"/>
              </w:rPr>
              <w:t>-</w:t>
            </w:r>
            <w:r>
              <w:rPr>
                <w:rFonts w:hint="eastAsia"/>
                <w:color w:val="auto"/>
                <w:szCs w:val="21"/>
                <w:lang w:val="en-US" w:eastAsia="zh-CN"/>
              </w:rPr>
              <w:t>210</w:t>
            </w:r>
            <w:r>
              <w:rPr>
                <w:color w:val="auto"/>
                <w:szCs w:val="21"/>
              </w:rPr>
              <w:t>-0</w:t>
            </w:r>
            <w:r>
              <w:rPr>
                <w:rFonts w:hint="eastAsia"/>
                <w:color w:val="auto"/>
                <w:szCs w:val="21"/>
                <w:lang w:val="en-US" w:eastAsia="zh-CN"/>
              </w:rPr>
              <w:t>8</w:t>
            </w:r>
            <w:r>
              <w:rPr>
                <w:rFonts w:hint="eastAsia"/>
                <w:color w:val="auto"/>
                <w:szCs w:val="21"/>
              </w:rPr>
              <w:t>）</w:t>
            </w:r>
            <w:r>
              <w:rPr>
                <w:color w:val="auto"/>
                <w:szCs w:val="21"/>
              </w:rPr>
              <w:t>，</w:t>
            </w:r>
            <w:r>
              <w:rPr>
                <w:rFonts w:hint="eastAsia"/>
                <w:color w:val="auto"/>
                <w:szCs w:val="21"/>
                <w:lang w:val="en-US" w:eastAsia="zh-CN"/>
              </w:rPr>
              <w:t>由有资质单位西安穿山甲管道疏通有限公司定期清掏外运处置</w:t>
            </w:r>
            <w:r>
              <w:rPr>
                <w:color w:val="auto"/>
                <w:szCs w:val="21"/>
              </w:rPr>
              <w:t>。</w:t>
            </w:r>
          </w:p>
          <w:p>
            <w:pPr>
              <w:spacing w:line="360" w:lineRule="auto"/>
              <w:ind w:firstLine="420" w:firstLineChars="200"/>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本项目加油站已按照《危险废物污染防治技术政策》（环发〔</w:t>
            </w:r>
            <w:r>
              <w:rPr>
                <w:rFonts w:hint="default" w:ascii="Times New Roman" w:hAnsi="Times New Roman" w:eastAsia="宋体" w:cs="Times New Roman"/>
                <w:color w:val="auto"/>
                <w:szCs w:val="21"/>
                <w:highlight w:val="none"/>
                <w:lang w:val="en-US" w:eastAsia="zh-CN"/>
              </w:rPr>
              <w:t>2001</w:t>
            </w:r>
            <w:r>
              <w:rPr>
                <w:rFonts w:hint="eastAsia" w:ascii="Times New Roman" w:hAnsi="Times New Roman" w:eastAsia="宋体" w:cs="Times New Roman"/>
                <w:color w:val="auto"/>
                <w:szCs w:val="21"/>
                <w:highlight w:val="none"/>
                <w:lang w:val="en-US" w:eastAsia="zh-CN"/>
              </w:rPr>
              <w:t>〕</w:t>
            </w:r>
            <w:r>
              <w:rPr>
                <w:rFonts w:hint="default" w:ascii="Times New Roman" w:hAnsi="Times New Roman" w:eastAsia="宋体" w:cs="Times New Roman"/>
                <w:color w:val="auto"/>
                <w:szCs w:val="21"/>
                <w:highlight w:val="none"/>
                <w:lang w:val="en-US" w:eastAsia="zh-CN"/>
              </w:rPr>
              <w:t>199</w:t>
            </w:r>
            <w:r>
              <w:rPr>
                <w:rFonts w:hint="eastAsia" w:ascii="Times New Roman" w:hAnsi="Times New Roman" w:eastAsia="宋体" w:cs="Times New Roman"/>
                <w:color w:val="auto"/>
                <w:szCs w:val="21"/>
                <w:highlight w:val="none"/>
                <w:lang w:val="en-US" w:eastAsia="zh-CN"/>
              </w:rPr>
              <w:t>号）和</w:t>
            </w:r>
            <w:r>
              <w:rPr>
                <w:rFonts w:hint="eastAsia" w:ascii="Times New Roman" w:hAnsi="Times New Roman" w:eastAsia="宋体" w:cs="Times New Roman"/>
                <w:color w:val="auto"/>
                <w:kern w:val="2"/>
                <w:sz w:val="21"/>
                <w:szCs w:val="21"/>
                <w:lang w:val="en-US" w:eastAsia="zh-CN" w:bidi="ar-SA"/>
              </w:rPr>
              <w:t>《危险废物贮存污染控制标准》（GB18597-2023）</w:t>
            </w:r>
            <w:r>
              <w:rPr>
                <w:rFonts w:hint="eastAsia" w:ascii="Times New Roman" w:hAnsi="Times New Roman" w:eastAsia="宋体" w:cs="Times New Roman"/>
                <w:color w:val="auto"/>
                <w:szCs w:val="21"/>
                <w:highlight w:val="none"/>
                <w:lang w:val="en-US" w:eastAsia="zh-CN"/>
              </w:rPr>
              <w:t>中相关要求，设置了</w:t>
            </w:r>
            <w:r>
              <w:rPr>
                <w:rFonts w:hint="eastAsia" w:ascii="宋体" w:hAnsi="宋体" w:eastAsia="宋体" w:cs="宋体"/>
                <w:color w:val="auto"/>
                <w:kern w:val="0"/>
                <w:sz w:val="21"/>
                <w:szCs w:val="21"/>
                <w:lang w:val="en-US" w:eastAsia="zh-CN" w:bidi="ar"/>
              </w:rPr>
              <w:t>危险废物贮存点</w:t>
            </w:r>
            <w:r>
              <w:rPr>
                <w:rFonts w:hint="eastAsia" w:ascii="Times New Roman" w:hAnsi="Times New Roman" w:eastAsia="宋体" w:cs="Times New Roman"/>
                <w:color w:val="auto"/>
                <w:szCs w:val="21"/>
                <w:highlight w:val="none"/>
                <w:lang w:val="en-US" w:eastAsia="zh-CN"/>
              </w:rPr>
              <w:t>。本项目固体废物产生及处置情况见下表。</w:t>
            </w:r>
          </w:p>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表4-1</w:t>
            </w:r>
            <w:r>
              <w:rPr>
                <w:rFonts w:hint="eastAsia" w:ascii="Times New Roman" w:hAnsi="Times New Roman" w:cs="Times New Roman"/>
                <w:b/>
                <w:bCs/>
                <w:color w:val="auto"/>
                <w:szCs w:val="21"/>
                <w:highlight w:val="none"/>
                <w:lang w:val="en-US" w:eastAsia="zh-CN"/>
              </w:rPr>
              <w:t>3</w:t>
            </w:r>
            <w:r>
              <w:rPr>
                <w:rFonts w:hint="default" w:ascii="Times New Roman" w:hAnsi="Times New Roman" w:cs="Times New Roman"/>
                <w:b/>
                <w:bCs/>
                <w:color w:val="auto"/>
                <w:szCs w:val="21"/>
                <w:highlight w:val="none"/>
              </w:rPr>
              <w:t>本项目固体废物汇总表</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0"/>
              <w:gridCol w:w="669"/>
              <w:gridCol w:w="781"/>
              <w:gridCol w:w="1021"/>
              <w:gridCol w:w="1034"/>
              <w:gridCol w:w="1303"/>
              <w:gridCol w:w="852"/>
              <w:gridCol w:w="1651"/>
              <w:gridCol w:w="6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dxa"/>
                  <w:noWrap w:val="0"/>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序号</w:t>
                  </w:r>
                </w:p>
              </w:tc>
              <w:tc>
                <w:tcPr>
                  <w:tcW w:w="669" w:type="dxa"/>
                  <w:noWrap w:val="0"/>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名称</w:t>
                  </w:r>
                </w:p>
              </w:tc>
              <w:tc>
                <w:tcPr>
                  <w:tcW w:w="781" w:type="dxa"/>
                  <w:noWrap w:val="0"/>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产生工序</w:t>
                  </w:r>
                </w:p>
              </w:tc>
              <w:tc>
                <w:tcPr>
                  <w:tcW w:w="1021" w:type="dxa"/>
                  <w:noWrap w:val="0"/>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固体废物类别</w:t>
                  </w:r>
                </w:p>
              </w:tc>
              <w:tc>
                <w:tcPr>
                  <w:tcW w:w="1034" w:type="dxa"/>
                  <w:noWrap w:val="0"/>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固体废物代码</w:t>
                  </w:r>
                </w:p>
              </w:tc>
              <w:tc>
                <w:tcPr>
                  <w:tcW w:w="1303" w:type="dxa"/>
                  <w:noWrap w:val="0"/>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产生量</w:t>
                  </w:r>
                </w:p>
                <w:p>
                  <w:pPr>
                    <w:jc w:val="center"/>
                    <w:rPr>
                      <w:rFonts w:hint="default" w:ascii="Times New Roman" w:hAnsi="Times New Roman" w:cs="Times New Roman"/>
                      <w:b/>
                      <w:bCs/>
                      <w:color w:val="auto"/>
                      <w:szCs w:val="21"/>
                      <w:highlight w:val="none"/>
                    </w:rPr>
                  </w:pPr>
                </w:p>
              </w:tc>
              <w:tc>
                <w:tcPr>
                  <w:tcW w:w="852" w:type="dxa"/>
                  <w:noWrap w:val="0"/>
                  <w:vAlign w:val="center"/>
                </w:tcPr>
                <w:p>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主要成分</w:t>
                  </w:r>
                </w:p>
              </w:tc>
              <w:tc>
                <w:tcPr>
                  <w:tcW w:w="1651" w:type="dxa"/>
                  <w:noWrap w:val="0"/>
                  <w:vAlign w:val="center"/>
                </w:tcPr>
                <w:p>
                  <w:pPr>
                    <w:pStyle w:val="63"/>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2"/>
                      <w:sz w:val="21"/>
                      <w:szCs w:val="21"/>
                      <w:highlight w:val="none"/>
                    </w:rPr>
                    <w:t>处置方式</w:t>
                  </w:r>
                </w:p>
              </w:tc>
              <w:tc>
                <w:tcPr>
                  <w:tcW w:w="621" w:type="dxa"/>
                  <w:noWrap w:val="0"/>
                  <w:vAlign w:val="center"/>
                </w:tcPr>
                <w:p>
                  <w:pPr>
                    <w:keepNext w:val="0"/>
                    <w:keepLines w:val="0"/>
                    <w:widowControl/>
                    <w:suppressLineNumbers w:val="0"/>
                    <w:jc w:val="left"/>
                    <w:rPr>
                      <w:color w:val="auto"/>
                    </w:rPr>
                  </w:pPr>
                  <w:r>
                    <w:rPr>
                      <w:rFonts w:hint="eastAsia" w:ascii="宋体" w:hAnsi="宋体" w:eastAsia="宋体" w:cs="宋体"/>
                      <w:b/>
                      <w:bCs/>
                      <w:color w:val="auto"/>
                      <w:kern w:val="0"/>
                      <w:sz w:val="20"/>
                      <w:szCs w:val="20"/>
                      <w:lang w:val="en-US" w:eastAsia="zh-CN" w:bidi="ar"/>
                    </w:rPr>
                    <w:t>危险特性</w:t>
                  </w:r>
                </w:p>
                <w:p>
                  <w:pPr>
                    <w:pStyle w:val="63"/>
                    <w:jc w:val="center"/>
                    <w:rPr>
                      <w:rFonts w:hint="default" w:ascii="Times New Roman" w:hAnsi="Times New Roman" w:cs="Times New Roman"/>
                      <w:b/>
                      <w:bCs/>
                      <w:color w:val="auto"/>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669"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生活垃圾</w:t>
                  </w:r>
                </w:p>
              </w:tc>
              <w:tc>
                <w:tcPr>
                  <w:tcW w:w="781" w:type="dxa"/>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职工生活</w:t>
                  </w:r>
                </w:p>
              </w:tc>
              <w:tc>
                <w:tcPr>
                  <w:tcW w:w="1021"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99</w:t>
                  </w:r>
                </w:p>
              </w:tc>
              <w:tc>
                <w:tcPr>
                  <w:tcW w:w="1034"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351-999-99</w:t>
                  </w:r>
                </w:p>
              </w:tc>
              <w:tc>
                <w:tcPr>
                  <w:tcW w:w="1303" w:type="dxa"/>
                  <w:noWrap w:val="0"/>
                  <w:vAlign w:val="center"/>
                </w:tcPr>
                <w:p>
                  <w:pPr>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3.83</w:t>
                  </w:r>
                  <w:r>
                    <w:rPr>
                      <w:rFonts w:hint="default" w:ascii="Times New Roman" w:hAnsi="Times New Roman" w:cs="Times New Roman"/>
                      <w:color w:val="auto"/>
                      <w:szCs w:val="21"/>
                      <w:highlight w:val="none"/>
                    </w:rPr>
                    <w:t>t/a</w:t>
                  </w:r>
                </w:p>
              </w:tc>
              <w:tc>
                <w:tcPr>
                  <w:tcW w:w="852" w:type="dxa"/>
                  <w:noWrap w:val="0"/>
                  <w:vAlign w:val="center"/>
                </w:tcPr>
                <w:p>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c>
                <w:tcPr>
                  <w:tcW w:w="1651" w:type="dxa"/>
                  <w:noWrap w:val="0"/>
                  <w:vAlign w:val="center"/>
                </w:tcPr>
                <w:p>
                  <w:pPr>
                    <w:jc w:val="center"/>
                    <w:rPr>
                      <w:rFonts w:hint="eastAsia"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交由环卫部门统一处置</w:t>
                  </w:r>
                  <w:r>
                    <w:rPr>
                      <w:rFonts w:hint="eastAsia" w:ascii="Times New Roman" w:hAnsi="Times New Roman" w:cs="Times New Roman"/>
                      <w:color w:val="auto"/>
                      <w:szCs w:val="21"/>
                      <w:highlight w:val="none"/>
                      <w:lang w:eastAsia="zh-CN"/>
                    </w:rPr>
                    <w:t>。</w:t>
                  </w:r>
                </w:p>
              </w:tc>
              <w:tc>
                <w:tcPr>
                  <w:tcW w:w="621" w:type="dxa"/>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669" w:type="dxa"/>
                  <w:noWrap w:val="0"/>
                  <w:vAlign w:val="center"/>
                </w:tcPr>
                <w:p>
                  <w:pPr>
                    <w:jc w:val="center"/>
                    <w:rPr>
                      <w:rFonts w:hint="default"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val="en-US" w:eastAsia="zh-CN"/>
                    </w:rPr>
                    <w:t>油罐残渣</w:t>
                  </w:r>
                </w:p>
              </w:tc>
              <w:tc>
                <w:tcPr>
                  <w:tcW w:w="781"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部件更换、日常保养</w:t>
                  </w:r>
                </w:p>
              </w:tc>
              <w:tc>
                <w:tcPr>
                  <w:tcW w:w="1021"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HW08</w:t>
                  </w:r>
                </w:p>
              </w:tc>
              <w:tc>
                <w:tcPr>
                  <w:tcW w:w="1034"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900-221-08</w:t>
                  </w:r>
                </w:p>
              </w:tc>
              <w:tc>
                <w:tcPr>
                  <w:tcW w:w="1303"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r>
                    <w:rPr>
                      <w:rFonts w:hint="eastAsia" w:ascii="Times New Roman" w:hAnsi="Times New Roman" w:cs="Times New Roman"/>
                      <w:color w:val="auto"/>
                      <w:szCs w:val="21"/>
                      <w:highlight w:val="none"/>
                      <w:lang w:val="en-US" w:eastAsia="zh-CN"/>
                    </w:rPr>
                    <w:t>05</w:t>
                  </w:r>
                  <w:r>
                    <w:rPr>
                      <w:rFonts w:hint="default" w:ascii="Times New Roman" w:hAnsi="Times New Roman" w:cs="Times New Roman"/>
                      <w:color w:val="auto"/>
                      <w:szCs w:val="21"/>
                      <w:highlight w:val="none"/>
                    </w:rPr>
                    <w:t>t/</w:t>
                  </w:r>
                  <w:r>
                    <w:rPr>
                      <w:rFonts w:hint="eastAsia" w:ascii="Times New Roman" w:hAnsi="Times New Roman" w:cs="Times New Roman"/>
                      <w:color w:val="auto"/>
                      <w:szCs w:val="21"/>
                      <w:highlight w:val="none"/>
                      <w:lang w:val="en-US" w:eastAsia="zh-CN"/>
                    </w:rPr>
                    <w:t>次</w:t>
                  </w:r>
                </w:p>
              </w:tc>
              <w:tc>
                <w:tcPr>
                  <w:tcW w:w="852" w:type="dxa"/>
                  <w:noWrap w:val="0"/>
                  <w:vAlign w:val="center"/>
                </w:tcPr>
                <w:p>
                  <w:pPr>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石</w:t>
                  </w:r>
                  <w:r>
                    <w:rPr>
                      <w:rFonts w:hint="default" w:ascii="Times New Roman" w:hAnsi="Times New Roman" w:cs="Times New Roman"/>
                      <w:color w:val="auto"/>
                      <w:szCs w:val="21"/>
                      <w:highlight w:val="none"/>
                    </w:rPr>
                    <w:t>油类、SS、氧化铁</w:t>
                  </w:r>
                </w:p>
              </w:tc>
              <w:tc>
                <w:tcPr>
                  <w:tcW w:w="1651"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储油罐清洗</w:t>
                  </w:r>
                  <w:r>
                    <w:rPr>
                      <w:rFonts w:hint="eastAsia" w:ascii="Times New Roman" w:hAnsi="Times New Roman" w:eastAsia="宋体" w:cs="Times New Roman"/>
                      <w:color w:val="auto"/>
                      <w:szCs w:val="21"/>
                      <w:highlight w:val="none"/>
                      <w:lang w:val="en-US" w:eastAsia="zh-CN"/>
                    </w:rPr>
                    <w:t>委托专业的清理公司清罐并全部带走处置</w:t>
                  </w:r>
                  <w:r>
                    <w:rPr>
                      <w:rFonts w:hint="default" w:ascii="Times New Roman" w:hAnsi="Times New Roman" w:cs="Times New Roman"/>
                      <w:color w:val="auto"/>
                      <w:szCs w:val="21"/>
                      <w:highlight w:val="none"/>
                    </w:rPr>
                    <w:t>，站内不暂存</w:t>
                  </w:r>
                  <w:r>
                    <w:rPr>
                      <w:rFonts w:hint="default" w:ascii="Times New Roman" w:hAnsi="Times New Roman" w:cs="Times New Roman"/>
                      <w:color w:val="auto"/>
                      <w:szCs w:val="21"/>
                      <w:highlight w:val="none"/>
                    </w:rPr>
                    <w:t>。</w:t>
                  </w:r>
                </w:p>
              </w:tc>
              <w:tc>
                <w:tcPr>
                  <w:tcW w:w="621" w:type="dxa"/>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669"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rPr>
                    <w:t>含油</w:t>
                  </w:r>
                  <w:r>
                    <w:rPr>
                      <w:rFonts w:hint="eastAsia" w:ascii="Times New Roman" w:hAnsi="Times New Roman" w:eastAsia="宋体" w:cs="Times New Roman"/>
                      <w:color w:val="auto"/>
                      <w:szCs w:val="21"/>
                      <w:highlight w:val="none"/>
                      <w:lang w:val="en-US" w:eastAsia="zh-CN"/>
                    </w:rPr>
                    <w:t>棉纱、手套</w:t>
                  </w:r>
                </w:p>
              </w:tc>
              <w:tc>
                <w:tcPr>
                  <w:tcW w:w="781"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部件更换、日常保养</w:t>
                  </w:r>
                </w:p>
              </w:tc>
              <w:tc>
                <w:tcPr>
                  <w:tcW w:w="1021"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HW49</w:t>
                  </w:r>
                </w:p>
              </w:tc>
              <w:tc>
                <w:tcPr>
                  <w:tcW w:w="1034"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900-041-49</w:t>
                  </w:r>
                </w:p>
              </w:tc>
              <w:tc>
                <w:tcPr>
                  <w:tcW w:w="1303"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0.005t/a</w:t>
                  </w:r>
                </w:p>
              </w:tc>
              <w:tc>
                <w:tcPr>
                  <w:tcW w:w="852" w:type="dxa"/>
                  <w:noWrap w:val="0"/>
                  <w:vAlign w:val="center"/>
                </w:tcPr>
                <w:p>
                  <w:pPr>
                    <w:keepNext w:val="0"/>
                    <w:keepLines w:val="0"/>
                    <w:widowControl/>
                    <w:suppressLineNumbers w:val="0"/>
                    <w:jc w:val="left"/>
                    <w:rPr>
                      <w:rFonts w:hint="default" w:ascii="Times New Roman" w:hAnsi="Times New Roman" w:cs="Times New Roman"/>
                      <w:color w:val="auto"/>
                      <w:szCs w:val="21"/>
                      <w:highlight w:val="none"/>
                    </w:rPr>
                  </w:pPr>
                  <w:r>
                    <w:rPr>
                      <w:rFonts w:hint="eastAsia" w:ascii="宋体" w:hAnsi="宋体" w:eastAsia="宋体" w:cs="宋体"/>
                      <w:color w:val="auto"/>
                      <w:kern w:val="0"/>
                      <w:sz w:val="20"/>
                      <w:szCs w:val="20"/>
                      <w:lang w:val="en-US" w:eastAsia="zh-CN" w:bidi="ar"/>
                    </w:rPr>
                    <w:t>汽油，柴油</w:t>
                  </w:r>
                </w:p>
              </w:tc>
              <w:tc>
                <w:tcPr>
                  <w:tcW w:w="1651" w:type="dxa"/>
                  <w:vMerge w:val="restart"/>
                  <w:noWrap w:val="0"/>
                  <w:vAlign w:val="center"/>
                </w:tcPr>
                <w:p>
                  <w:pPr>
                    <w:jc w:val="center"/>
                    <w:rPr>
                      <w:rFonts w:hint="default" w:ascii="Times New Roman" w:hAnsi="Times New Roman" w:cs="Times New Roman"/>
                      <w:color w:val="auto"/>
                      <w:szCs w:val="21"/>
                      <w:highlight w:val="none"/>
                    </w:rPr>
                  </w:pPr>
                  <w:r>
                    <w:rPr>
                      <w:rFonts w:hint="default" w:ascii="宋体" w:hAnsi="宋体" w:eastAsia="宋体" w:cs="宋体"/>
                      <w:color w:val="auto"/>
                      <w:kern w:val="0"/>
                      <w:sz w:val="21"/>
                      <w:szCs w:val="21"/>
                      <w:lang w:val="en-US" w:eastAsia="zh-CN" w:bidi="ar"/>
                    </w:rPr>
                    <w:t>暂存于</w:t>
                  </w:r>
                  <w:r>
                    <w:rPr>
                      <w:rFonts w:hint="eastAsia" w:ascii="宋体" w:hAnsi="宋体" w:eastAsia="宋体" w:cs="宋体"/>
                      <w:color w:val="auto"/>
                      <w:kern w:val="0"/>
                      <w:sz w:val="21"/>
                      <w:szCs w:val="21"/>
                      <w:lang w:val="en-US" w:eastAsia="zh-CN" w:bidi="ar"/>
                    </w:rPr>
                    <w:t>危险废物贮存点</w:t>
                  </w:r>
                  <w:r>
                    <w:rPr>
                      <w:rFonts w:hint="default" w:ascii="Times New Roman" w:hAnsi="Times New Roman" w:cs="Times New Roman"/>
                      <w:color w:val="auto"/>
                      <w:szCs w:val="21"/>
                      <w:highlight w:val="none"/>
                    </w:rPr>
                    <w:t>，交由</w:t>
                  </w:r>
                  <w:r>
                    <w:rPr>
                      <w:rFonts w:hint="eastAsia" w:ascii="Times New Roman" w:hAnsi="Times New Roman" w:cs="Times New Roman"/>
                      <w:color w:val="auto"/>
                      <w:szCs w:val="21"/>
                      <w:highlight w:val="none"/>
                      <w:lang w:val="en-US" w:eastAsia="zh-CN"/>
                    </w:rPr>
                    <w:t>陕西新天地固体废物综合处置有限公司</w:t>
                  </w:r>
                  <w:r>
                    <w:rPr>
                      <w:rFonts w:hint="default" w:ascii="Times New Roman" w:hAnsi="Times New Roman" w:cs="Times New Roman"/>
                      <w:color w:val="auto"/>
                      <w:szCs w:val="21"/>
                      <w:highlight w:val="none"/>
                    </w:rPr>
                    <w:t>统一处理。</w:t>
                  </w:r>
                </w:p>
              </w:tc>
              <w:tc>
                <w:tcPr>
                  <w:tcW w:w="621" w:type="dxa"/>
                  <w:noWrap w:val="0"/>
                  <w:vAlign w:val="center"/>
                </w:tcPr>
                <w:p>
                  <w:pPr>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490"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669"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w:t>
                  </w:r>
                  <w:r>
                    <w:rPr>
                      <w:rFonts w:hint="eastAsia" w:ascii="Times New Roman" w:hAnsi="Times New Roman" w:eastAsia="宋体" w:cs="Times New Roman"/>
                      <w:color w:val="auto"/>
                      <w:szCs w:val="21"/>
                      <w:highlight w:val="none"/>
                      <w:lang w:val="en-US" w:eastAsia="zh-CN"/>
                    </w:rPr>
                    <w:t>高分子膜</w:t>
                  </w:r>
                </w:p>
              </w:tc>
              <w:tc>
                <w:tcPr>
                  <w:tcW w:w="781" w:type="dxa"/>
                  <w:noWrap w:val="0"/>
                  <w:vAlign w:val="center"/>
                </w:tcPr>
                <w:p>
                  <w:pPr>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油气回收装置</w:t>
                  </w:r>
                </w:p>
              </w:tc>
              <w:tc>
                <w:tcPr>
                  <w:tcW w:w="1021"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HW49</w:t>
                  </w:r>
                </w:p>
              </w:tc>
              <w:tc>
                <w:tcPr>
                  <w:tcW w:w="1034" w:type="dxa"/>
                  <w:noWrap w:val="0"/>
                  <w:vAlign w:val="center"/>
                </w:tcPr>
                <w:p>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900-0</w:t>
                  </w:r>
                  <w:r>
                    <w:rPr>
                      <w:rFonts w:hint="eastAsia" w:ascii="Times New Roman" w:hAnsi="Times New Roman" w:cs="Times New Roman"/>
                      <w:color w:val="auto"/>
                      <w:szCs w:val="21"/>
                      <w:highlight w:val="none"/>
                      <w:lang w:val="en-US" w:eastAsia="zh-CN"/>
                    </w:rPr>
                    <w:t>41</w:t>
                  </w:r>
                  <w:r>
                    <w:rPr>
                      <w:rFonts w:hint="default" w:ascii="Times New Roman" w:hAnsi="Times New Roman" w:cs="Times New Roman"/>
                      <w:color w:val="auto"/>
                      <w:szCs w:val="21"/>
                      <w:highlight w:val="none"/>
                    </w:rPr>
                    <w:t>-49</w:t>
                  </w:r>
                </w:p>
              </w:tc>
              <w:tc>
                <w:tcPr>
                  <w:tcW w:w="1303" w:type="dxa"/>
                  <w:noWrap w:val="0"/>
                  <w:vAlign w:val="center"/>
                </w:tcPr>
                <w:p>
                  <w:pPr>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0.01</w:t>
                  </w:r>
                  <w:r>
                    <w:rPr>
                      <w:rFonts w:hint="default" w:ascii="Times New Roman" w:hAnsi="Times New Roman" w:cs="Times New Roman"/>
                      <w:color w:val="auto"/>
                      <w:szCs w:val="21"/>
                      <w:highlight w:val="none"/>
                    </w:rPr>
                    <w:t>t/a</w:t>
                  </w:r>
                </w:p>
              </w:tc>
              <w:tc>
                <w:tcPr>
                  <w:tcW w:w="852" w:type="dxa"/>
                  <w:noWrap w:val="0"/>
                  <w:vAlign w:val="center"/>
                </w:tcPr>
                <w:p>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高分子膜</w:t>
                  </w:r>
                </w:p>
              </w:tc>
              <w:tc>
                <w:tcPr>
                  <w:tcW w:w="1651" w:type="dxa"/>
                  <w:vMerge w:val="continue"/>
                  <w:noWrap w:val="0"/>
                  <w:vAlign w:val="center"/>
                </w:tcPr>
                <w:p>
                  <w:pPr>
                    <w:jc w:val="center"/>
                    <w:rPr>
                      <w:rFonts w:hint="default" w:ascii="Times New Roman" w:hAnsi="Times New Roman" w:cs="Times New Roman"/>
                      <w:color w:val="auto"/>
                      <w:szCs w:val="21"/>
                      <w:highlight w:val="none"/>
                    </w:rPr>
                  </w:pPr>
                </w:p>
              </w:tc>
              <w:tc>
                <w:tcPr>
                  <w:tcW w:w="621" w:type="dxa"/>
                  <w:noWrap w:val="0"/>
                  <w:vAlign w:val="center"/>
                </w:tcPr>
                <w:p>
                  <w:pPr>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490" w:type="dxa"/>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w:t>
                  </w:r>
                </w:p>
              </w:tc>
              <w:tc>
                <w:tcPr>
                  <w:tcW w:w="669" w:type="dxa"/>
                  <w:noWrap w:val="0"/>
                  <w:vAlign w:val="center"/>
                </w:tcPr>
                <w:p>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污泥</w:t>
                  </w:r>
                </w:p>
              </w:tc>
              <w:tc>
                <w:tcPr>
                  <w:tcW w:w="781" w:type="dxa"/>
                  <w:noWrap w:val="0"/>
                  <w:vAlign w:val="center"/>
                </w:tcPr>
                <w:p>
                  <w:pPr>
                    <w:jc w:val="center"/>
                    <w:rPr>
                      <w:rFonts w:hint="default" w:ascii="Times New Roman" w:hAnsi="Times New Roman" w:eastAsia="宋体" w:cs="Times New Roman"/>
                      <w:color w:val="auto"/>
                      <w:kern w:val="0"/>
                      <w:szCs w:val="21"/>
                      <w:highlight w:val="none"/>
                      <w:lang w:val="en-US" w:eastAsia="zh-CN"/>
                    </w:rPr>
                  </w:pPr>
                  <w:r>
                    <w:rPr>
                      <w:rFonts w:hint="eastAsia" w:ascii="Times New Roman" w:hAnsi="Times New Roman" w:cs="Times New Roman"/>
                      <w:color w:val="auto"/>
                      <w:kern w:val="0"/>
                      <w:szCs w:val="21"/>
                      <w:highlight w:val="none"/>
                      <w:lang w:val="en-US" w:eastAsia="zh-CN"/>
                    </w:rPr>
                    <w:t>洗车</w:t>
                  </w:r>
                </w:p>
              </w:tc>
              <w:tc>
                <w:tcPr>
                  <w:tcW w:w="1021" w:type="dxa"/>
                  <w:noWrap w:val="0"/>
                  <w:vAlign w:val="center"/>
                </w:tcPr>
                <w:p>
                  <w:pPr>
                    <w:jc w:val="center"/>
                    <w:rPr>
                      <w:rFonts w:hint="default" w:ascii="Times New Roman" w:hAnsi="Times New Roman" w:cs="Times New Roman"/>
                      <w:color w:val="auto"/>
                      <w:szCs w:val="21"/>
                      <w:highlight w:val="none"/>
                    </w:rPr>
                  </w:pPr>
                  <w:r>
                    <w:rPr>
                      <w:color w:val="auto"/>
                      <w:szCs w:val="21"/>
                    </w:rPr>
                    <w:t>HW0</w:t>
                  </w:r>
                  <w:r>
                    <w:rPr>
                      <w:rFonts w:hint="eastAsia"/>
                      <w:color w:val="auto"/>
                      <w:szCs w:val="21"/>
                      <w:lang w:val="en-US" w:eastAsia="zh-CN"/>
                    </w:rPr>
                    <w:t>8</w:t>
                  </w:r>
                </w:p>
              </w:tc>
              <w:tc>
                <w:tcPr>
                  <w:tcW w:w="1034" w:type="dxa"/>
                  <w:noWrap w:val="0"/>
                  <w:vAlign w:val="center"/>
                </w:tcPr>
                <w:p>
                  <w:pPr>
                    <w:jc w:val="center"/>
                    <w:rPr>
                      <w:rFonts w:hint="default" w:ascii="Times New Roman" w:hAnsi="Times New Roman" w:cs="Times New Roman"/>
                      <w:color w:val="auto"/>
                      <w:szCs w:val="21"/>
                      <w:highlight w:val="none"/>
                    </w:rPr>
                  </w:pPr>
                  <w:r>
                    <w:rPr>
                      <w:rFonts w:hint="eastAsia"/>
                      <w:color w:val="auto"/>
                      <w:szCs w:val="21"/>
                      <w:lang w:val="en-US" w:eastAsia="zh-CN"/>
                    </w:rPr>
                    <w:t>900</w:t>
                  </w:r>
                  <w:r>
                    <w:rPr>
                      <w:color w:val="auto"/>
                      <w:szCs w:val="21"/>
                    </w:rPr>
                    <w:t>-</w:t>
                  </w:r>
                  <w:r>
                    <w:rPr>
                      <w:rFonts w:hint="eastAsia"/>
                      <w:color w:val="auto"/>
                      <w:szCs w:val="21"/>
                      <w:lang w:val="en-US" w:eastAsia="zh-CN"/>
                    </w:rPr>
                    <w:t>210</w:t>
                  </w:r>
                  <w:r>
                    <w:rPr>
                      <w:color w:val="auto"/>
                      <w:szCs w:val="21"/>
                    </w:rPr>
                    <w:t>-0</w:t>
                  </w:r>
                  <w:r>
                    <w:rPr>
                      <w:rFonts w:hint="eastAsia"/>
                      <w:color w:val="auto"/>
                      <w:szCs w:val="21"/>
                      <w:lang w:val="en-US" w:eastAsia="zh-CN"/>
                    </w:rPr>
                    <w:t>8</w:t>
                  </w:r>
                </w:p>
              </w:tc>
              <w:tc>
                <w:tcPr>
                  <w:tcW w:w="1303" w:type="dxa"/>
                  <w:noWrap w:val="0"/>
                  <w:vAlign w:val="center"/>
                </w:tcPr>
                <w:p>
                  <w:pPr>
                    <w:jc w:val="center"/>
                    <w:rPr>
                      <w:rFonts w:hint="eastAsia" w:ascii="Times New Roman" w:hAnsi="Times New Roman" w:cs="Times New Roman"/>
                      <w:color w:val="auto"/>
                      <w:szCs w:val="21"/>
                      <w:highlight w:val="none"/>
                      <w:lang w:val="en-US" w:eastAsia="zh-CN"/>
                    </w:rPr>
                  </w:pPr>
                  <w:r>
                    <w:rPr>
                      <w:color w:val="auto"/>
                      <w:szCs w:val="21"/>
                    </w:rPr>
                    <w:t>0.</w:t>
                  </w:r>
                  <w:r>
                    <w:rPr>
                      <w:rFonts w:hint="eastAsia"/>
                      <w:color w:val="auto"/>
                      <w:szCs w:val="21"/>
                      <w:lang w:val="en-US" w:eastAsia="zh-CN"/>
                    </w:rPr>
                    <w:t>7</w:t>
                  </w:r>
                  <w:r>
                    <w:rPr>
                      <w:color w:val="auto"/>
                      <w:szCs w:val="21"/>
                    </w:rPr>
                    <w:t>t/a</w:t>
                  </w:r>
                </w:p>
              </w:tc>
              <w:tc>
                <w:tcPr>
                  <w:tcW w:w="852" w:type="dxa"/>
                  <w:noWrap w:val="0"/>
                  <w:vAlign w:val="center"/>
                </w:tcPr>
                <w:p>
                  <w:pPr>
                    <w:jc w:val="center"/>
                    <w:rPr>
                      <w:rFonts w:hint="eastAsia" w:ascii="Times New Roman" w:hAnsi="Times New Roman" w:cs="Times New Roman"/>
                      <w:color w:val="auto"/>
                      <w:szCs w:val="21"/>
                      <w:highlight w:val="none"/>
                      <w:lang w:val="en-US" w:eastAsia="zh-CN"/>
                    </w:rPr>
                  </w:pPr>
                  <w:r>
                    <w:rPr>
                      <w:rFonts w:hint="eastAsia"/>
                      <w:color w:val="auto"/>
                      <w:szCs w:val="21"/>
                      <w:lang w:val="en-US" w:eastAsia="zh-CN"/>
                    </w:rPr>
                    <w:t>浮油、油渣</w:t>
                  </w:r>
                  <w:r>
                    <w:rPr>
                      <w:rFonts w:hint="default" w:ascii="Times New Roman" w:hAnsi="Times New Roman" w:cs="Times New Roman"/>
                      <w:color w:val="auto"/>
                      <w:szCs w:val="21"/>
                      <w:highlight w:val="none"/>
                    </w:rPr>
                    <w:t>、SS</w:t>
                  </w:r>
                </w:p>
              </w:tc>
              <w:tc>
                <w:tcPr>
                  <w:tcW w:w="1651" w:type="dxa"/>
                  <w:noWrap w:val="0"/>
                  <w:vAlign w:val="center"/>
                </w:tcPr>
                <w:p>
                  <w:pPr>
                    <w:jc w:val="center"/>
                    <w:rPr>
                      <w:rFonts w:hint="default" w:ascii="Times New Roman" w:hAnsi="Times New Roman" w:cs="Times New Roman"/>
                      <w:color w:val="auto"/>
                      <w:szCs w:val="21"/>
                      <w:highlight w:val="none"/>
                    </w:rPr>
                  </w:pPr>
                  <w:r>
                    <w:rPr>
                      <w:rFonts w:hint="eastAsia"/>
                      <w:color w:val="auto"/>
                      <w:szCs w:val="21"/>
                      <w:lang w:val="en-US" w:eastAsia="zh-CN"/>
                    </w:rPr>
                    <w:t>由</w:t>
                  </w:r>
                  <w:r>
                    <w:rPr>
                      <w:rFonts w:hint="eastAsia" w:ascii="Times New Roman" w:hAnsi="Times New Roman" w:eastAsia="宋体" w:cs="Times New Roman"/>
                      <w:color w:val="auto"/>
                      <w:szCs w:val="21"/>
                      <w:lang w:val="en-US" w:eastAsia="zh-CN"/>
                    </w:rPr>
                    <w:t>西安穿山甲管道疏通有限公司定</w:t>
                  </w:r>
                  <w:r>
                    <w:rPr>
                      <w:rFonts w:hint="eastAsia"/>
                      <w:color w:val="auto"/>
                      <w:szCs w:val="21"/>
                      <w:lang w:val="en-US" w:eastAsia="zh-CN"/>
                    </w:rPr>
                    <w:t>期清掏外运处置。</w:t>
                  </w:r>
                </w:p>
              </w:tc>
              <w:tc>
                <w:tcPr>
                  <w:tcW w:w="621" w:type="dxa"/>
                  <w:noWrap w:val="0"/>
                  <w:vAlign w:val="center"/>
                </w:tcPr>
                <w:p>
                  <w:pPr>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T，I</w:t>
                  </w:r>
                </w:p>
              </w:tc>
            </w:tr>
          </w:tbl>
          <w:p>
            <w:pPr>
              <w:spacing w:line="360" w:lineRule="auto"/>
              <w:ind w:firstLine="422" w:firstLineChars="200"/>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危险废物管理要求：</w:t>
            </w:r>
          </w:p>
          <w:p>
            <w:pPr>
              <w:spacing w:line="360" w:lineRule="auto"/>
              <w:ind w:firstLine="420" w:firstLineChars="20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①危险废物存入贮存设施前应对危险废物类别和特性与危险废物标签等危险废物识别标志的一致性进行核验，不一致的或类别、特性不明的不应存入。</w:t>
            </w:r>
          </w:p>
          <w:p>
            <w:pPr>
              <w:spacing w:line="360" w:lineRule="auto"/>
              <w:ind w:firstLine="420" w:firstLineChars="20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②应定期检查危险废物的贮存状况，及时清理贮存设施地面，更换破损泄漏的危险废物贮存容器和包装物，保证堆存危险废物的防雨、防风、防扬尘等设施功能完好。</w:t>
            </w:r>
          </w:p>
          <w:p>
            <w:pPr>
              <w:spacing w:line="360" w:lineRule="auto"/>
              <w:ind w:firstLine="420" w:firstLineChars="20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③作业设备及车辆等结束作业离开贮存设施时，应对其残留的危险废物进行清理，清理的废物或清洗废水应收集处理。</w:t>
            </w:r>
          </w:p>
          <w:p>
            <w:pPr>
              <w:spacing w:line="360" w:lineRule="auto"/>
              <w:ind w:firstLine="420" w:firstLineChars="20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④贮存设施运行期间，应按国家有关标准和规定建立危险废物管理台账并保存。</w:t>
            </w:r>
          </w:p>
          <w:p>
            <w:pPr>
              <w:spacing w:line="360" w:lineRule="auto"/>
              <w:ind w:firstLine="420" w:firstLineChars="20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⑤贮存设施所有者或运营者应建立贮存设施环境管理制度、管理人员岗位职责制度、设施运行操作制度、人员岗位培训制度等。</w:t>
            </w:r>
          </w:p>
          <w:p>
            <w:pPr>
              <w:spacing w:line="360" w:lineRule="auto"/>
              <w:ind w:firstLine="420" w:firstLineChars="20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⑥贮存设施所有者或运营者应依据国家土壤和地下水污染防治的有关规定，结合贮存设施特点建立土壤和地下水污染隐患排查制度，并定期开展隐患排查；发现隐患应及时采取措施消除隐患，并建立档案。</w:t>
            </w:r>
          </w:p>
          <w:p>
            <w:pPr>
              <w:spacing w:line="360" w:lineRule="auto"/>
              <w:ind w:firstLine="420" w:firstLineChars="20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⑦贮存设施所有者或运营者应建立贮存设施全部档案，包括设计、施工、验收、运行、监测和环境应急等，应按国家有关档案管理的法律法规进行整理和归档。</w:t>
            </w:r>
          </w:p>
          <w:p>
            <w:pPr>
              <w:spacing w:line="360" w:lineRule="auto"/>
              <w:ind w:firstLine="422" w:firstLineChars="200"/>
              <w:rPr>
                <w:rFonts w:hint="default" w:ascii="Times New Roman" w:hAnsi="Times New Roman" w:eastAsia="宋体" w:cs="Times New Roman"/>
                <w:b/>
                <w:bCs/>
                <w:color w:val="auto"/>
                <w:szCs w:val="21"/>
                <w:highlight w:val="none"/>
                <w:lang w:val="en-US" w:eastAsia="zh-CN"/>
              </w:rPr>
            </w:pPr>
            <w:r>
              <w:rPr>
                <w:rFonts w:hint="eastAsia" w:ascii="Times New Roman" w:hAnsi="Times New Roman" w:eastAsia="宋体" w:cs="Times New Roman"/>
                <w:b/>
                <w:bCs/>
                <w:color w:val="auto"/>
                <w:szCs w:val="21"/>
                <w:highlight w:val="none"/>
                <w:lang w:val="en-US" w:eastAsia="zh-CN"/>
              </w:rPr>
              <w:t>贮存点环境管理要求：</w:t>
            </w:r>
          </w:p>
          <w:p>
            <w:pPr>
              <w:spacing w:line="360" w:lineRule="auto"/>
              <w:ind w:firstLine="420" w:firstLineChars="20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①贮存点应具有固定的区域边界，并应采取与其他区域进行隔离的措施。</w:t>
            </w:r>
          </w:p>
          <w:p>
            <w:pPr>
              <w:spacing w:line="360" w:lineRule="auto"/>
              <w:ind w:firstLine="420" w:firstLineChars="20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②贮存点应采取防风、防雨、防晒和防止危险废物流失、扬散等措施。</w:t>
            </w:r>
          </w:p>
          <w:p>
            <w:pPr>
              <w:spacing w:line="360" w:lineRule="auto"/>
              <w:ind w:firstLine="420" w:firstLineChars="20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③贮存点贮存的危险废物应置于容器或包装物中，不应直接散堆。</w:t>
            </w:r>
          </w:p>
          <w:p>
            <w:pPr>
              <w:spacing w:line="360" w:lineRule="auto"/>
              <w:ind w:firstLine="420" w:firstLineChars="200"/>
              <w:rPr>
                <w:rFonts w:hint="eastAsia"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④贮存点应根据危险废物的形态、物理化学性质、包装形式等，采取防渗、防漏等污染防治措施或采用具有相应功能的装置。</w:t>
            </w:r>
          </w:p>
          <w:p>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⑤贮存点应及时清运贮存的危险废物，实时贮存量不应超过3吨。</w:t>
            </w:r>
          </w:p>
          <w:p>
            <w:pPr>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5、地下水、土壤</w:t>
            </w:r>
          </w:p>
          <w:p>
            <w:pPr>
              <w:spacing w:line="360" w:lineRule="auto"/>
              <w:ind w:firstLine="420" w:firstLineChars="200"/>
              <w:rPr>
                <w:rFonts w:hint="default" w:ascii="Times New Roman" w:hAnsi="Times New Roman" w:cs="Times New Roman"/>
                <w:b/>
                <w:bCs/>
                <w:color w:val="auto"/>
                <w:szCs w:val="21"/>
                <w:highlight w:val="none"/>
              </w:rPr>
            </w:pPr>
            <w:r>
              <w:rPr>
                <w:rFonts w:hint="default" w:ascii="Times New Roman" w:hAnsi="Times New Roman" w:cs="Times New Roman"/>
                <w:color w:val="auto"/>
                <w:szCs w:val="21"/>
                <w:highlight w:val="none"/>
              </w:rPr>
              <w:t>（1）污染源、污染物类型和污染途径</w:t>
            </w:r>
          </w:p>
          <w:p>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本项目运营期对地下水、土壤的污染源主要是输油管道、储罐发生破裂而导致的油品</w:t>
            </w:r>
            <w:r>
              <w:rPr>
                <w:rFonts w:hint="default" w:ascii="Times New Roman" w:hAnsi="Times New Roman" w:cs="Times New Roman"/>
                <w:color w:val="auto"/>
                <w:highlight w:val="none"/>
              </w:rPr>
              <w:t>泄漏</w:t>
            </w:r>
            <w:r>
              <w:rPr>
                <w:rFonts w:hint="default" w:ascii="Times New Roman" w:hAnsi="Times New Roman" w:cs="Times New Roman"/>
                <w:bCs/>
                <w:color w:val="auto"/>
                <w:szCs w:val="21"/>
                <w:highlight w:val="none"/>
              </w:rPr>
              <w:t>，污染物为油品，主要成分为石油类。污染物经土层运移至含水层进而下渗污染地下水，</w:t>
            </w:r>
            <w:r>
              <w:rPr>
                <w:rFonts w:hint="default" w:ascii="Times New Roman" w:hAnsi="Times New Roman" w:cs="Times New Roman"/>
                <w:color w:val="auto"/>
                <w:szCs w:val="21"/>
                <w:highlight w:val="none"/>
              </w:rPr>
              <w:t>会对区域土壤及地下水造成影响。</w:t>
            </w:r>
          </w:p>
          <w:p>
            <w:pPr>
              <w:widowControl/>
              <w:spacing w:line="360" w:lineRule="auto"/>
              <w:ind w:firstLine="420" w:firstLineChars="20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（2）地下水、土壤环境影响分析</w:t>
            </w:r>
          </w:p>
          <w:p>
            <w:pPr>
              <w:pStyle w:val="5"/>
              <w:numPr>
                <w:ilvl w:val="0"/>
                <w:numId w:val="0"/>
              </w:numPr>
              <w:spacing w:before="0" w:after="0"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 w:val="0"/>
                <w:color w:val="auto"/>
                <w:sz w:val="21"/>
                <w:szCs w:val="21"/>
                <w:highlight w:val="none"/>
              </w:rPr>
              <w:t>①正常工况对地下水环境影响分析</w:t>
            </w:r>
          </w:p>
          <w:p>
            <w:pPr>
              <w:spacing w:line="360" w:lineRule="auto"/>
              <w:ind w:firstLine="420" w:firstLineChars="200"/>
              <w:outlineLvl w:val="3"/>
              <w:rPr>
                <w:rFonts w:hint="default" w:ascii="Times New Roman" w:hAnsi="Times New Roman" w:cs="Times New Roman"/>
                <w:bCs/>
                <w:szCs w:val="21"/>
                <w:highlight w:val="none"/>
              </w:rPr>
            </w:pPr>
            <w:r>
              <w:rPr>
                <w:rFonts w:hint="default" w:ascii="Times New Roman" w:hAnsi="Times New Roman" w:cs="Times New Roman"/>
                <w:bCs/>
                <w:color w:val="auto"/>
                <w:szCs w:val="21"/>
                <w:highlight w:val="none"/>
              </w:rPr>
              <w:t>本项目污染物对地下水的影响主要是主要为输油管道、储罐发生破裂</w:t>
            </w:r>
            <w:r>
              <w:rPr>
                <w:rFonts w:hint="default" w:ascii="Times New Roman" w:hAnsi="Times New Roman" w:cs="Times New Roman"/>
                <w:bCs/>
                <w:szCs w:val="21"/>
                <w:highlight w:val="none"/>
              </w:rPr>
              <w:t>、油品泄漏，污染物经土层运移至含水层进而污染地下水和土壤。储油罐和输油管道泄漏或渗漏会对地下水及土壤环境产生较大的影响。油品泄漏或渗漏产生的主要污染物为石油类，若污染物进入含水层，会使地下水水体受到污染，水质变差，进入水体的污染物浓度较低，通过地下水水体自净能力，污染物会在较短时间内被降解。因此正常工况下，污染物不会对区域地下水及土壤环境产生影响。</w:t>
            </w:r>
          </w:p>
          <w:p>
            <w:pPr>
              <w:spacing w:line="360" w:lineRule="auto"/>
              <w:ind w:firstLine="420" w:firstLineChars="200"/>
              <w:outlineLvl w:val="3"/>
              <w:rPr>
                <w:rFonts w:hint="default" w:ascii="Times New Roman" w:hAnsi="Times New Roman" w:cs="Times New Roman"/>
                <w:bCs/>
                <w:szCs w:val="21"/>
                <w:highlight w:val="none"/>
              </w:rPr>
            </w:pPr>
            <w:r>
              <w:rPr>
                <w:rFonts w:hint="default" w:ascii="Times New Roman" w:hAnsi="Times New Roman" w:cs="Times New Roman"/>
                <w:bCs/>
                <w:szCs w:val="21"/>
                <w:highlight w:val="none"/>
              </w:rPr>
              <w:t>该项目污染源主要为储罐区及输油管道。本项目主要地下水环境影响为输油管道、储罐发生破裂，油品泄漏时经土层渗透污染地下水。储油罐和输油管线泄漏或渗漏会对地下水产生严重污染，会使地下水产生严重异味，无法饮用，并具有较强的致畸、致癌性，且由于这种渗漏必然穿过较厚的土壤层，使土壤层中吸附了大量的燃料油，土壤层吸附的燃料油不仅会造成植物生物的死亡，而且土壤层吸附的燃料油还会随着地表水的下渗对土壤层的冲刷作用补充到地下水，这样尽管污染源得到及时控制，由于含水层的自净降解是一个长期的过程，达到地下水的完全恢复需要几十年甚至上百年的时间。</w:t>
            </w:r>
          </w:p>
          <w:p>
            <w:pPr>
              <w:spacing w:line="360" w:lineRule="auto"/>
              <w:ind w:firstLine="420" w:firstLineChars="200"/>
              <w:outlineLvl w:val="3"/>
              <w:rPr>
                <w:rFonts w:hint="default" w:ascii="Times New Roman" w:hAnsi="Times New Roman" w:cs="Times New Roman"/>
                <w:bCs/>
                <w:szCs w:val="21"/>
                <w:highlight w:val="none"/>
              </w:rPr>
            </w:pPr>
            <w:r>
              <w:rPr>
                <w:rFonts w:hint="default" w:ascii="Times New Roman" w:hAnsi="Times New Roman" w:cs="Times New Roman"/>
                <w:bCs/>
                <w:szCs w:val="21"/>
                <w:highlight w:val="none"/>
              </w:rPr>
              <w:t>项目可能影响地下水的主要途径是：通过泄漏污染地下水，污染对象主要为浅部含水层，污染程度除受废水污染物化学成分、浓度及当地的降水、径流和入渗等条件影响外，还受地质结构、岩土成分、厚度、饱和和非饱和渗透性能以及对污染物的吸附滞留能力的影响。从污染源对地下水可能造成污染的方式方面考虑，上述可能的地下水影响区可分为两种，其一是短时的污染物外泄，其二是持续的污染物外泄。</w:t>
            </w:r>
          </w:p>
          <w:p>
            <w:pPr>
              <w:spacing w:line="360" w:lineRule="auto"/>
              <w:ind w:firstLine="420" w:firstLineChars="200"/>
              <w:outlineLvl w:val="3"/>
              <w:rPr>
                <w:rFonts w:hint="default" w:ascii="Times New Roman" w:hAnsi="Times New Roman" w:cs="Times New Roman"/>
                <w:bCs/>
                <w:szCs w:val="21"/>
                <w:highlight w:val="none"/>
              </w:rPr>
            </w:pPr>
            <w:r>
              <w:rPr>
                <w:rFonts w:hint="default" w:ascii="Times New Roman" w:hAnsi="Times New Roman" w:cs="Times New Roman"/>
                <w:bCs/>
                <w:szCs w:val="21"/>
                <w:highlight w:val="none"/>
              </w:rPr>
              <w:t>a.短时污染物外泄：指工艺装置发生故障或检修时，短时间内出现污染物的跑、冒、滴、漏情况，这种情况一般可以及时发现，污染结果可控，在积极预防及处理情况下，不会对地下水环境产生严重影响。</w:t>
            </w:r>
          </w:p>
          <w:p>
            <w:pPr>
              <w:spacing w:line="360" w:lineRule="auto"/>
              <w:ind w:firstLine="420" w:firstLineChars="200"/>
              <w:outlineLvl w:val="3"/>
              <w:rPr>
                <w:rFonts w:hint="default" w:ascii="Times New Roman" w:hAnsi="Times New Roman" w:cs="Times New Roman"/>
                <w:bCs/>
                <w:szCs w:val="21"/>
                <w:highlight w:val="none"/>
              </w:rPr>
            </w:pPr>
            <w:r>
              <w:rPr>
                <w:rFonts w:hint="default" w:ascii="Times New Roman" w:hAnsi="Times New Roman" w:cs="Times New Roman"/>
                <w:bCs/>
                <w:szCs w:val="21"/>
                <w:highlight w:val="none"/>
              </w:rPr>
              <w:t>b.持续污染物外泄：指污染物外泄时并不为人所知，污染物持续外泄渗漏（如储油罐底部出现破损，防渗措施也同时失效，造成污染物外渗到含水层），这种事故状态出现，一般较难直观发现或只有通过监测才能发现，外渗污染物会对地下水环境造成污染。由于项目储罐采用SF双层油罐，储油区采用水泥硬化等防渗措施，阻碍污染物进入含水层，不会对浅层地下水产生影响，更不会影响深部承压水。项目不直接取用地下水，通过采取合理的地下水防渗措施后，项目建设对项目区域地下水的影响很小。</w:t>
            </w:r>
          </w:p>
          <w:p>
            <w:pPr>
              <w:spacing w:line="360" w:lineRule="auto"/>
              <w:ind w:firstLine="420" w:firstLineChars="200"/>
              <w:outlineLvl w:val="3"/>
              <w:rPr>
                <w:rFonts w:hint="default" w:ascii="Times New Roman" w:hAnsi="Times New Roman" w:cs="Times New Roman"/>
                <w:bCs/>
                <w:szCs w:val="21"/>
                <w:highlight w:val="none"/>
              </w:rPr>
            </w:pPr>
            <w:r>
              <w:rPr>
                <w:rFonts w:hint="default" w:ascii="Times New Roman" w:hAnsi="Times New Roman" w:cs="Times New Roman"/>
                <w:bCs/>
                <w:szCs w:val="21"/>
                <w:highlight w:val="none"/>
              </w:rPr>
              <w:t>②非正常工况对地下水环境影响分析</w:t>
            </w:r>
          </w:p>
          <w:p>
            <w:pPr>
              <w:widowControl/>
              <w:spacing w:line="360" w:lineRule="auto"/>
              <w:ind w:firstLine="420" w:firstLineChars="200"/>
              <w:jc w:val="left"/>
              <w:rPr>
                <w:rFonts w:hint="default" w:ascii="Times New Roman" w:hAnsi="Times New Roman" w:cs="Times New Roman"/>
                <w:szCs w:val="21"/>
                <w:highlight w:val="none"/>
              </w:rPr>
            </w:pPr>
            <w:r>
              <w:rPr>
                <w:rFonts w:hint="default" w:ascii="Times New Roman" w:hAnsi="Times New Roman" w:cs="Times New Roman"/>
                <w:szCs w:val="21"/>
                <w:highlight w:val="none"/>
              </w:rPr>
              <w:t>非正常工况下，</w:t>
            </w:r>
            <w:r>
              <w:rPr>
                <w:rFonts w:hint="default" w:ascii="Times New Roman" w:hAnsi="Times New Roman" w:cs="Times New Roman"/>
                <w:bCs/>
                <w:szCs w:val="21"/>
                <w:highlight w:val="none"/>
              </w:rPr>
              <w:t>渗漏或泄漏的污染物进入地下水环境必须通过土壤层的传输，这就会导致土壤层中吸附大量的污染物，若地面径流下渗，就会加快土壤层中污染物迁移至含水层的速率，进一步加强了地下水的污染程度。其次由于降雨、输油管道、储罐防渗措施不足或非正常工况下，废油通过垂直渗透进入包气带，进入包气带的污染物在物理、化学和生物作用下，经吸附、转化、迁移和分解后输入地下水。因此，包气带是连接地面污染物与地下含水层的主要通道和过渡带，既是污染物媒介体，又是污染物的净化场所和防护层。</w:t>
            </w:r>
            <w:r>
              <w:rPr>
                <w:rFonts w:hint="default" w:ascii="Times New Roman" w:hAnsi="Times New Roman" w:cs="Times New Roman"/>
                <w:szCs w:val="21"/>
                <w:highlight w:val="none"/>
              </w:rPr>
              <w:t>如果石油类</w:t>
            </w:r>
            <w:r>
              <w:rPr>
                <w:rFonts w:hint="default" w:ascii="Times New Roman" w:hAnsi="Times New Roman" w:cs="Times New Roman"/>
                <w:bCs/>
                <w:szCs w:val="21"/>
                <w:highlight w:val="none"/>
              </w:rPr>
              <w:t>浓度较高，则地下水水质及土壤受到严重污染，水体自净能力土壤降解能力会被限制，需要通过很长时间来完成污染物的降解。油罐</w:t>
            </w:r>
            <w:r>
              <w:rPr>
                <w:rFonts w:hint="default" w:ascii="Times New Roman" w:hAnsi="Times New Roman" w:cs="Times New Roman"/>
                <w:szCs w:val="21"/>
                <w:highlight w:val="none"/>
              </w:rPr>
              <w:t>泄漏量较大会被及时发现并采取相应措施，对地下水和土壤环境造成的影响较小。</w:t>
            </w:r>
          </w:p>
          <w:p>
            <w:pPr>
              <w:spacing w:line="360" w:lineRule="auto"/>
              <w:ind w:firstLine="420" w:firstLineChars="200"/>
              <w:outlineLvl w:val="3"/>
              <w:rPr>
                <w:rFonts w:hint="default" w:ascii="Times New Roman" w:hAnsi="Times New Roman" w:eastAsia="宋体" w:cs="Times New Roman"/>
                <w:bCs/>
                <w:color w:val="auto"/>
                <w:szCs w:val="21"/>
                <w:highlight w:val="none"/>
              </w:rPr>
            </w:pPr>
            <w:r>
              <w:rPr>
                <w:rFonts w:hint="default" w:ascii="Times New Roman" w:hAnsi="Times New Roman" w:cs="Times New Roman"/>
                <w:color w:val="auto"/>
                <w:szCs w:val="21"/>
                <w:highlight w:val="none"/>
              </w:rPr>
              <w:t>（</w:t>
            </w:r>
            <w:r>
              <w:rPr>
                <w:rFonts w:hint="default" w:ascii="Times New Roman" w:hAnsi="Times New Roman" w:eastAsia="宋体" w:cs="Times New Roman"/>
                <w:bCs/>
                <w:color w:val="auto"/>
                <w:szCs w:val="21"/>
                <w:highlight w:val="none"/>
              </w:rPr>
              <w:t>3）</w:t>
            </w:r>
            <w:r>
              <w:rPr>
                <w:rFonts w:hint="eastAsia" w:ascii="Times New Roman" w:hAnsi="Times New Roman" w:eastAsia="宋体" w:cs="Times New Roman"/>
                <w:bCs/>
                <w:color w:val="auto"/>
                <w:szCs w:val="21"/>
                <w:highlight w:val="none"/>
                <w:lang w:val="en-US" w:eastAsia="zh-CN"/>
              </w:rPr>
              <w:t>污染防控措施</w:t>
            </w:r>
          </w:p>
          <w:p>
            <w:pPr>
              <w:spacing w:line="360" w:lineRule="auto"/>
              <w:ind w:firstLine="420" w:firstLineChars="200"/>
              <w:outlineLvl w:val="3"/>
              <w:rPr>
                <w:rFonts w:hint="default"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lang w:val="en-US" w:eastAsia="zh-CN"/>
              </w:rPr>
              <w:t>本项目加油站已进行了双层埋地油罐改造，罐底设砂垫层，顶部设钢筋混凝土地面，且油罐做加强级的防腐层，储油罐内、外壁间隙设渗漏检测立管，可人工检测和在线监测，保证油罐内、外壁任何部</w:t>
            </w:r>
            <w:r>
              <w:rPr>
                <w:rFonts w:hint="eastAsia" w:ascii="Times New Roman" w:hAnsi="Times New Roman" w:eastAsia="宋体" w:cs="Times New Roman"/>
                <w:bCs/>
                <w:color w:val="auto"/>
                <w:szCs w:val="21"/>
                <w:highlight w:val="none"/>
                <w:lang w:val="en-US" w:eastAsia="zh-CN"/>
              </w:rPr>
              <w:t>位岀现</w:t>
            </w:r>
            <w:r>
              <w:rPr>
                <w:rFonts w:hint="eastAsia" w:ascii="Times New Roman" w:hAnsi="Times New Roman" w:eastAsia="宋体" w:cs="Times New Roman"/>
                <w:bCs/>
                <w:color w:val="auto"/>
                <w:szCs w:val="21"/>
                <w:highlight w:val="none"/>
                <w:lang w:val="en-US" w:eastAsia="zh-CN"/>
              </w:rPr>
              <w:t>渗漏均能被发现。另外油罐设带有高液位报警功能的液位监测系统，可有效避免事故排放污染区域地下水和土壤。</w:t>
            </w:r>
          </w:p>
          <w:p>
            <w:pPr>
              <w:spacing w:line="360" w:lineRule="auto"/>
              <w:ind w:firstLine="420" w:firstLineChars="200"/>
              <w:outlineLvl w:val="3"/>
              <w:rPr>
                <w:rFonts w:hint="default"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lang w:val="en-US" w:eastAsia="zh-CN"/>
              </w:rPr>
              <w:t>油路管线采用双层管路，外层进行加强级防腐处理，并设立防泄漏检测立管和油气浓度报警器。由于同时采取防渗漏检查孔等渗漏溢出检测设施，可及时发现储油罐渗漏，即使发生泄漏，也在储罐和管线夹层中，不会对地下水、土壤造成污染现象，所以本项目对地下水、土壤环境影响较小。</w:t>
            </w:r>
          </w:p>
          <w:p>
            <w:pPr>
              <w:spacing w:line="360" w:lineRule="auto"/>
              <w:ind w:firstLine="420" w:firstLineChars="200"/>
              <w:outlineLvl w:val="3"/>
              <w:rPr>
                <w:rFonts w:hint="default"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lang w:val="en-US" w:eastAsia="zh-CN"/>
              </w:rPr>
              <w:t>为有效降低地下水、土壤环境污染的风险，做好地下水、土壤污染预防措施，应按照</w:t>
            </w:r>
            <w:r>
              <w:rPr>
                <w:rFonts w:hint="default" w:ascii="Times New Roman" w:hAnsi="Times New Roman" w:eastAsia="宋体" w:cs="Times New Roman"/>
                <w:bCs/>
                <w:color w:val="auto"/>
                <w:szCs w:val="21"/>
                <w:highlight w:val="none"/>
                <w:lang w:val="en-US" w:eastAsia="zh-CN"/>
              </w:rPr>
              <w:t>“</w:t>
            </w:r>
            <w:r>
              <w:rPr>
                <w:rFonts w:hint="eastAsia" w:ascii="Times New Roman" w:hAnsi="Times New Roman" w:eastAsia="宋体" w:cs="Times New Roman"/>
                <w:bCs/>
                <w:color w:val="auto"/>
                <w:szCs w:val="21"/>
                <w:highlight w:val="none"/>
                <w:lang w:val="en-US" w:eastAsia="zh-CN"/>
              </w:rPr>
              <w:t>源头控制、分区控制、污染监控、应急响应</w:t>
            </w:r>
            <w:r>
              <w:rPr>
                <w:rFonts w:hint="default" w:ascii="Times New Roman" w:hAnsi="Times New Roman" w:eastAsia="宋体" w:cs="Times New Roman"/>
                <w:bCs/>
                <w:color w:val="auto"/>
                <w:szCs w:val="21"/>
                <w:highlight w:val="none"/>
                <w:lang w:val="en-US" w:eastAsia="zh-CN"/>
              </w:rPr>
              <w:t>”</w:t>
            </w:r>
            <w:r>
              <w:rPr>
                <w:rFonts w:hint="eastAsia" w:ascii="Times New Roman" w:hAnsi="Times New Roman" w:eastAsia="宋体" w:cs="Times New Roman"/>
                <w:bCs/>
                <w:color w:val="auto"/>
                <w:szCs w:val="21"/>
                <w:highlight w:val="none"/>
                <w:lang w:val="en-US" w:eastAsia="zh-CN"/>
              </w:rPr>
              <w:t>的主动与被动防渗相结合的防渗原则。本项目采取的防治措施如下所述：</w:t>
            </w:r>
          </w:p>
          <w:p>
            <w:pPr>
              <w:spacing w:line="360" w:lineRule="auto"/>
              <w:ind w:firstLine="420" w:firstLineChars="200"/>
              <w:outlineLvl w:val="3"/>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①</w:t>
            </w:r>
            <w:r>
              <w:rPr>
                <w:rFonts w:hint="eastAsia" w:ascii="Times New Roman" w:hAnsi="Times New Roman" w:eastAsia="宋体" w:cs="Times New Roman"/>
                <w:bCs/>
                <w:color w:val="auto"/>
                <w:szCs w:val="21"/>
                <w:highlight w:val="none"/>
                <w:lang w:val="en-US" w:eastAsia="zh-CN"/>
              </w:rPr>
              <w:t>源头控制措施</w:t>
            </w:r>
          </w:p>
          <w:p>
            <w:pPr>
              <w:spacing w:line="360" w:lineRule="auto"/>
              <w:ind w:firstLine="420" w:firstLineChars="200"/>
              <w:outlineLvl w:val="3"/>
              <w:rPr>
                <w:rFonts w:hint="default"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lang w:val="en-US" w:eastAsia="zh-CN"/>
              </w:rPr>
              <w:t>项目根据国家现行相关规范加强环境管理，采取防止和降低污染物跑、冒、滴、漏的措施。正常运营过程中加强控制及处理机修过程中污染物跑、冒、滴、漏，同时应加强对防渗工程的检查，若发现防渗密封材料老化或损坏，应及时维修更换。</w:t>
            </w:r>
          </w:p>
          <w:p>
            <w:pPr>
              <w:spacing w:line="360" w:lineRule="auto"/>
              <w:ind w:firstLine="420" w:firstLineChars="200"/>
              <w:outlineLvl w:val="3"/>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②</w:t>
            </w:r>
            <w:r>
              <w:rPr>
                <w:rFonts w:hint="eastAsia" w:ascii="Times New Roman" w:hAnsi="Times New Roman" w:eastAsia="宋体" w:cs="Times New Roman"/>
                <w:bCs/>
                <w:color w:val="auto"/>
                <w:szCs w:val="21"/>
                <w:highlight w:val="none"/>
                <w:lang w:val="en-US" w:eastAsia="zh-CN"/>
              </w:rPr>
              <w:t>分区防渗措施</w:t>
            </w:r>
          </w:p>
          <w:p>
            <w:pPr>
              <w:spacing w:line="360" w:lineRule="auto"/>
              <w:ind w:firstLine="420" w:firstLineChars="200"/>
              <w:outlineLvl w:val="3"/>
              <w:rPr>
                <w:rFonts w:hint="default" w:ascii="Times New Roman" w:hAnsi="Times New Roman" w:eastAsia="宋体" w:cs="Times New Roman"/>
                <w:bCs/>
                <w:color w:val="auto"/>
                <w:szCs w:val="21"/>
                <w:highlight w:val="none"/>
              </w:rPr>
            </w:pPr>
            <w:r>
              <w:rPr>
                <w:rFonts w:hint="eastAsia" w:ascii="Times New Roman" w:hAnsi="Times New Roman" w:eastAsia="宋体" w:cs="Times New Roman"/>
                <w:bCs/>
                <w:color w:val="auto"/>
                <w:szCs w:val="21"/>
                <w:highlight w:val="none"/>
                <w:lang w:val="en-US" w:eastAsia="zh-CN"/>
              </w:rPr>
              <w:t>本项目已经根据要求进行分区防渗，防渗措施见下表。</w:t>
            </w:r>
          </w:p>
          <w:p>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表4-1</w:t>
            </w:r>
            <w:r>
              <w:rPr>
                <w:rFonts w:hint="eastAsia" w:ascii="Times New Roman" w:hAnsi="Times New Roman" w:cs="Times New Roman"/>
                <w:b/>
                <w:color w:val="auto"/>
                <w:szCs w:val="21"/>
                <w:highlight w:val="none"/>
                <w:lang w:val="en-US" w:eastAsia="zh-CN"/>
              </w:rPr>
              <w:t>4</w:t>
            </w:r>
            <w:r>
              <w:rPr>
                <w:rFonts w:hint="default" w:ascii="Times New Roman" w:hAnsi="Times New Roman" w:cs="Times New Roman"/>
                <w:b/>
                <w:color w:val="auto"/>
                <w:szCs w:val="21"/>
                <w:highlight w:val="none"/>
              </w:rPr>
              <w:t>项目防渗分区及相关防渗措施</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1773"/>
              <w:gridCol w:w="5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774" w:type="pct"/>
                  <w:noWrap w:val="0"/>
                  <w:vAlign w:val="center"/>
                </w:tcPr>
                <w:p>
                  <w:pPr>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防渗级别</w:t>
                  </w:r>
                </w:p>
              </w:tc>
              <w:tc>
                <w:tcPr>
                  <w:tcW w:w="1052" w:type="pct"/>
                  <w:noWrap w:val="0"/>
                  <w:vAlign w:val="center"/>
                </w:tcPr>
                <w:p>
                  <w:pPr>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防渗分区</w:t>
                  </w:r>
                </w:p>
              </w:tc>
              <w:tc>
                <w:tcPr>
                  <w:tcW w:w="3173" w:type="pct"/>
                  <w:noWrap w:val="0"/>
                  <w:vAlign w:val="center"/>
                </w:tcPr>
                <w:p>
                  <w:pPr>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防渗措施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4" w:type="pct"/>
                  <w:vMerge w:val="restar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重点防渗区</w:t>
                  </w:r>
                </w:p>
              </w:tc>
              <w:tc>
                <w:tcPr>
                  <w:tcW w:w="1052"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油罐区</w:t>
                  </w:r>
                </w:p>
              </w:tc>
              <w:tc>
                <w:tcPr>
                  <w:tcW w:w="3173" w:type="pct"/>
                  <w:noWrap w:val="0"/>
                  <w:vAlign w:val="center"/>
                </w:tcPr>
                <w:p>
                  <w:pPr>
                    <w:snapToGrid w:val="0"/>
                    <w:jc w:val="left"/>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highlight w:val="none"/>
                    </w:rPr>
                    <w:t>油罐均为SF双层油罐，双层油罐自带渗漏检测立管</w:t>
                  </w:r>
                  <w:r>
                    <w:rPr>
                      <w:rFonts w:hint="eastAsia" w:ascii="Times New Roman" w:hAnsi="Times New Roman" w:cs="Times New Roman"/>
                      <w:color w:val="auto"/>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4" w:type="pct"/>
                  <w:vMerge w:val="continue"/>
                  <w:noWrap w:val="0"/>
                  <w:vAlign w:val="center"/>
                </w:tcPr>
                <w:p>
                  <w:pPr>
                    <w:snapToGrid w:val="0"/>
                    <w:jc w:val="center"/>
                    <w:rPr>
                      <w:rFonts w:hint="default" w:ascii="Times New Roman" w:hAnsi="Times New Roman" w:cs="Times New Roman"/>
                      <w:color w:val="auto"/>
                      <w:szCs w:val="21"/>
                      <w:highlight w:val="none"/>
                    </w:rPr>
                  </w:pPr>
                </w:p>
              </w:tc>
              <w:tc>
                <w:tcPr>
                  <w:tcW w:w="1052"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卸油区、加油区</w:t>
                  </w:r>
                </w:p>
              </w:tc>
              <w:tc>
                <w:tcPr>
                  <w:tcW w:w="3173" w:type="pct"/>
                  <w:noWrap w:val="0"/>
                  <w:vAlign w:val="center"/>
                </w:tcPr>
                <w:p>
                  <w:pPr>
                    <w:snapToGrid w:val="0"/>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地面硬化，地面采取防渗措施</w:t>
                  </w:r>
                  <w:r>
                    <w:rPr>
                      <w:rFonts w:hint="eastAsia" w:ascii="Times New Roman" w:hAnsi="Times New Roman" w:cs="Times New Roman"/>
                      <w:color w:val="auto"/>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774" w:type="pct"/>
                  <w:vMerge w:val="continue"/>
                  <w:noWrap w:val="0"/>
                  <w:vAlign w:val="center"/>
                </w:tcPr>
                <w:p>
                  <w:pPr>
                    <w:snapToGrid w:val="0"/>
                    <w:jc w:val="center"/>
                    <w:rPr>
                      <w:rFonts w:hint="default" w:ascii="Times New Roman" w:hAnsi="Times New Roman" w:cs="Times New Roman"/>
                      <w:color w:val="auto"/>
                      <w:szCs w:val="21"/>
                      <w:highlight w:val="none"/>
                    </w:rPr>
                  </w:pPr>
                </w:p>
              </w:tc>
              <w:tc>
                <w:tcPr>
                  <w:tcW w:w="1052"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管道</w:t>
                  </w:r>
                </w:p>
              </w:tc>
              <w:tc>
                <w:tcPr>
                  <w:tcW w:w="3173" w:type="pct"/>
                  <w:noWrap w:val="0"/>
                  <w:vAlign w:val="center"/>
                </w:tcPr>
                <w:p>
                  <w:pPr>
                    <w:snapToGrid w:val="0"/>
                    <w:jc w:val="left"/>
                    <w:rPr>
                      <w:rFonts w:hint="eastAsia"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管道接缝要严实、结合牢固，不渗漏，管件、止水带和填缝板安装牢固，位置准确，管道材料</w:t>
                  </w:r>
                  <w:r>
                    <w:rPr>
                      <w:rFonts w:hint="default" w:ascii="Times New Roman" w:hAnsi="Times New Roman" w:cs="Times New Roman"/>
                      <w:color w:val="auto"/>
                      <w:szCs w:val="21"/>
                      <w:highlight w:val="none"/>
                      <w:lang w:val="en-US" w:eastAsia="zh-CN"/>
                    </w:rPr>
                    <w:t>做</w:t>
                  </w:r>
                  <w:r>
                    <w:rPr>
                      <w:rFonts w:hint="default" w:ascii="Times New Roman" w:hAnsi="Times New Roman" w:cs="Times New Roman"/>
                      <w:color w:val="auto"/>
                      <w:szCs w:val="21"/>
                      <w:highlight w:val="none"/>
                    </w:rPr>
                    <w:t>表面防腐、防锈蚀处理，减轻管道腐蚀造成的渗漏，并定期检查，确保消除跑冒滴漏现象</w:t>
                  </w:r>
                  <w:r>
                    <w:rPr>
                      <w:rFonts w:hint="eastAsia" w:ascii="Times New Roman" w:hAnsi="Times New Roman" w:cs="Times New Roman"/>
                      <w:color w:val="auto"/>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74" w:type="pct"/>
                  <w:vMerge w:val="continue"/>
                  <w:noWrap w:val="0"/>
                  <w:vAlign w:val="center"/>
                </w:tcPr>
                <w:p>
                  <w:pPr>
                    <w:snapToGrid w:val="0"/>
                    <w:jc w:val="center"/>
                    <w:rPr>
                      <w:rFonts w:hint="default" w:ascii="Times New Roman" w:hAnsi="Times New Roman" w:cs="Times New Roman"/>
                      <w:color w:val="auto"/>
                      <w:szCs w:val="21"/>
                      <w:highlight w:val="none"/>
                    </w:rPr>
                  </w:pPr>
                </w:p>
              </w:tc>
              <w:tc>
                <w:tcPr>
                  <w:tcW w:w="4225" w:type="pct"/>
                  <w:gridSpan w:val="2"/>
                  <w:noWrap w:val="0"/>
                  <w:vAlign w:val="center"/>
                </w:tcPr>
                <w:p>
                  <w:pPr>
                    <w:snapToGrid w:val="0"/>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重点防渗区：等效黏土防渗层Mb≥6.0m，渗透系数K≤1×10</w:t>
                  </w:r>
                  <w:r>
                    <w:rPr>
                      <w:rFonts w:hint="default" w:ascii="Times New Roman" w:hAnsi="Times New Roman" w:cs="Times New Roman"/>
                      <w:color w:val="auto"/>
                      <w:szCs w:val="21"/>
                      <w:highlight w:val="none"/>
                      <w:vertAlign w:val="superscript"/>
                    </w:rPr>
                    <w:t>-7</w:t>
                  </w:r>
                  <w:r>
                    <w:rPr>
                      <w:rFonts w:hint="default" w:ascii="Times New Roman" w:hAnsi="Times New Roman" w:cs="Times New Roman"/>
                      <w:color w:val="auto"/>
                      <w:szCs w:val="21"/>
                      <w:highlight w:val="none"/>
                    </w:rPr>
                    <w:t>cm/s</w:t>
                  </w:r>
                  <w:r>
                    <w:rPr>
                      <w:rFonts w:hint="eastAsia" w:ascii="Times New Roman" w:hAnsi="Times New Roman" w:cs="Times New Roman"/>
                      <w:color w:val="auto"/>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774" w:type="pct"/>
                  <w:vMerge w:val="restar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一般防渗区</w:t>
                  </w:r>
                </w:p>
              </w:tc>
              <w:tc>
                <w:tcPr>
                  <w:tcW w:w="1052"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化粪池</w:t>
                  </w:r>
                </w:p>
              </w:tc>
              <w:tc>
                <w:tcPr>
                  <w:tcW w:w="3173" w:type="pct"/>
                  <w:noWrap w:val="0"/>
                  <w:vAlign w:val="center"/>
                </w:tcPr>
                <w:p>
                  <w:pPr>
                    <w:snapToGrid w:val="0"/>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化粪池底部、侧面均采用防渗、防腐处理</w:t>
                  </w:r>
                  <w:r>
                    <w:rPr>
                      <w:rFonts w:hint="eastAsia" w:ascii="Times New Roman" w:hAnsi="Times New Roman" w:cs="Times New Roman"/>
                      <w:color w:val="auto"/>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774" w:type="pct"/>
                  <w:vMerge w:val="continue"/>
                  <w:noWrap w:val="0"/>
                  <w:vAlign w:val="center"/>
                </w:tcPr>
                <w:p>
                  <w:pPr>
                    <w:snapToGrid w:val="0"/>
                    <w:jc w:val="center"/>
                    <w:rPr>
                      <w:rFonts w:hint="default" w:ascii="Times New Roman" w:hAnsi="Times New Roman" w:cs="Times New Roman"/>
                      <w:color w:val="auto"/>
                      <w:szCs w:val="21"/>
                      <w:highlight w:val="none"/>
                    </w:rPr>
                  </w:pPr>
                </w:p>
              </w:tc>
              <w:tc>
                <w:tcPr>
                  <w:tcW w:w="4225" w:type="pct"/>
                  <w:gridSpan w:val="2"/>
                  <w:noWrap w:val="0"/>
                  <w:vAlign w:val="center"/>
                </w:tcPr>
                <w:p>
                  <w:pPr>
                    <w:snapToGrid w:val="0"/>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一般防渗区：等效黏土防渗层Mb≥1.5m，渗透系数K≤1×10</w:t>
                  </w:r>
                  <w:r>
                    <w:rPr>
                      <w:rFonts w:hint="default" w:ascii="Times New Roman" w:hAnsi="Times New Roman" w:cs="Times New Roman"/>
                      <w:color w:val="auto"/>
                      <w:szCs w:val="21"/>
                      <w:highlight w:val="none"/>
                      <w:vertAlign w:val="superscript"/>
                    </w:rPr>
                    <w:t>-7</w:t>
                  </w:r>
                  <w:r>
                    <w:rPr>
                      <w:rFonts w:hint="default" w:ascii="Times New Roman" w:hAnsi="Times New Roman" w:cs="Times New Roman"/>
                      <w:color w:val="auto"/>
                      <w:szCs w:val="21"/>
                      <w:highlight w:val="none"/>
                    </w:rPr>
                    <w:t>cm/s</w:t>
                  </w:r>
                  <w:r>
                    <w:rPr>
                      <w:rFonts w:hint="eastAsia" w:ascii="Times New Roman" w:hAnsi="Times New Roman" w:cs="Times New Roman"/>
                      <w:color w:val="auto"/>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774"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简单防渗区</w:t>
                  </w:r>
                </w:p>
              </w:tc>
              <w:tc>
                <w:tcPr>
                  <w:tcW w:w="1052"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站房</w:t>
                  </w:r>
                </w:p>
              </w:tc>
              <w:tc>
                <w:tcPr>
                  <w:tcW w:w="3173" w:type="pct"/>
                  <w:noWrap w:val="0"/>
                  <w:vAlign w:val="center"/>
                </w:tcPr>
                <w:p>
                  <w:pPr>
                    <w:snapToGrid w:val="0"/>
                    <w:jc w:val="center"/>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一般地面硬化</w:t>
                  </w:r>
                  <w:r>
                    <w:rPr>
                      <w:rFonts w:hint="eastAsia" w:ascii="Times New Roman" w:hAnsi="Times New Roman" w:cs="Times New Roman"/>
                      <w:color w:val="auto"/>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774"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非防渗区</w:t>
                  </w:r>
                </w:p>
              </w:tc>
              <w:tc>
                <w:tcPr>
                  <w:tcW w:w="1052"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绿化带</w:t>
                  </w:r>
                </w:p>
              </w:tc>
              <w:tc>
                <w:tcPr>
                  <w:tcW w:w="3173" w:type="pct"/>
                  <w:noWrap w:val="0"/>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r>
          </w:tbl>
          <w:p>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（4）监测要求</w:t>
            </w:r>
          </w:p>
          <w:p>
            <w:pPr>
              <w:spacing w:line="360" w:lineRule="auto"/>
              <w:ind w:firstLine="420" w:firstLineChars="200"/>
              <w:rPr>
                <w:rFonts w:hint="default" w:ascii="Times New Roman" w:hAnsi="Times New Roman" w:eastAsia="宋体" w:cs="Times New Roman"/>
                <w:b w:val="0"/>
                <w:bCs w:val="0"/>
                <w:snapToGrid w:val="0"/>
                <w:color w:val="auto"/>
                <w:szCs w:val="21"/>
                <w:highlight w:val="none"/>
                <w:lang w:val="en-US" w:eastAsia="zh-CN"/>
              </w:rPr>
            </w:pPr>
            <w:r>
              <w:rPr>
                <w:rFonts w:hint="default" w:ascii="Times New Roman" w:hAnsi="Times New Roman" w:cs="Times New Roman"/>
                <w:b w:val="0"/>
                <w:bCs w:val="0"/>
                <w:snapToGrid w:val="0"/>
                <w:color w:val="auto"/>
                <w:szCs w:val="21"/>
                <w:highlight w:val="none"/>
                <w:lang w:val="en-US" w:eastAsia="zh-CN"/>
              </w:rPr>
              <w:t>本项目采取混凝土罐池及双层油罐的防渗措施。罐池采用防渗钢筋混凝土整体浇筑，并采用中性沙对防渗池进行回填，油罐均为SF双层油罐，自带渗漏检测立管，管道表面做防腐、防锈蚀处理，因此项目发生油品泄漏的可能性较低，若有油品泄漏的情况发生也能立即采取措施以降低对地下水、土壤环境的影响。</w:t>
            </w:r>
            <w:r>
              <w:rPr>
                <w:rFonts w:hint="default" w:ascii="Times New Roman" w:hAnsi="Times New Roman" w:cs="Times New Roman"/>
                <w:b w:val="0"/>
                <w:bCs w:val="0"/>
                <w:snapToGrid w:val="0"/>
                <w:color w:val="auto"/>
                <w:szCs w:val="21"/>
                <w:highlight w:val="none"/>
                <w:lang w:val="en-US" w:eastAsia="zh-CN"/>
              </w:rPr>
              <w:t>根据</w:t>
            </w:r>
            <w:r>
              <w:rPr>
                <w:rFonts w:hint="default" w:ascii="Times New Roman" w:hAnsi="Times New Roman" w:cs="Times New Roman"/>
                <w:color w:val="auto"/>
                <w:kern w:val="0"/>
                <w:szCs w:val="21"/>
                <w:highlight w:val="none"/>
                <w:lang w:val="zh-CN"/>
              </w:rPr>
              <w:t>《</w:t>
            </w:r>
            <w:r>
              <w:rPr>
                <w:rFonts w:hint="default" w:ascii="Times New Roman" w:hAnsi="Times New Roman" w:cs="Times New Roman"/>
                <w:color w:val="auto"/>
                <w:kern w:val="0"/>
                <w:szCs w:val="21"/>
                <w:highlight w:val="none"/>
                <w:lang w:val="en-US" w:eastAsia="zh-CN"/>
              </w:rPr>
              <w:t>排污单位自行监测技术指南储油库、加油站</w:t>
            </w:r>
            <w:r>
              <w:rPr>
                <w:rFonts w:hint="default" w:ascii="Times New Roman" w:hAnsi="Times New Roman" w:cs="Times New Roman"/>
                <w:color w:val="auto"/>
                <w:kern w:val="0"/>
                <w:szCs w:val="21"/>
                <w:highlight w:val="none"/>
                <w:lang w:val="zh-CN"/>
              </w:rPr>
              <w:t>》（</w:t>
            </w:r>
            <w:r>
              <w:rPr>
                <w:rFonts w:hint="default" w:ascii="Times New Roman" w:hAnsi="Times New Roman" w:cs="Times New Roman"/>
                <w:color w:val="auto"/>
                <w:kern w:val="0"/>
                <w:szCs w:val="21"/>
                <w:highlight w:val="none"/>
                <w:lang w:val="en-US" w:eastAsia="zh-CN"/>
              </w:rPr>
              <w:t>HJ1249-2022</w:t>
            </w:r>
            <w:r>
              <w:rPr>
                <w:rFonts w:hint="default" w:ascii="Times New Roman" w:hAnsi="Times New Roman" w:cs="Times New Roman"/>
                <w:color w:val="auto"/>
                <w:kern w:val="0"/>
                <w:szCs w:val="21"/>
                <w:highlight w:val="none"/>
                <w:lang w:val="zh-CN"/>
              </w:rPr>
              <w:t>）</w:t>
            </w:r>
            <w:r>
              <w:rPr>
                <w:rFonts w:hint="default" w:ascii="Times New Roman" w:hAnsi="Times New Roman" w:cs="Times New Roman"/>
                <w:color w:val="auto"/>
                <w:kern w:val="0"/>
                <w:szCs w:val="21"/>
                <w:highlight w:val="none"/>
                <w:lang w:val="en-US" w:eastAsia="zh-CN"/>
              </w:rPr>
              <w:t>中规定，项目可不进行地下水、土壤环境质量监测。</w:t>
            </w:r>
            <w:r>
              <w:rPr>
                <w:rFonts w:hint="default" w:ascii="Times New Roman" w:hAnsi="Times New Roman" w:cs="Times New Roman"/>
                <w:b w:val="0"/>
                <w:bCs w:val="0"/>
                <w:snapToGrid w:val="0"/>
                <w:color w:val="auto"/>
                <w:szCs w:val="21"/>
                <w:highlight w:val="none"/>
                <w:lang w:val="en-US" w:eastAsia="zh-CN"/>
              </w:rPr>
              <w:t>根据</w:t>
            </w:r>
            <w:r>
              <w:rPr>
                <w:rFonts w:hint="default" w:ascii="Times New Roman" w:hAnsi="Times New Roman" w:cs="Times New Roman"/>
                <w:color w:val="auto"/>
                <w:kern w:val="0"/>
                <w:szCs w:val="21"/>
                <w:highlight w:val="none"/>
                <w:lang w:val="zh-CN"/>
              </w:rPr>
              <w:t>《</w:t>
            </w:r>
            <w:r>
              <w:rPr>
                <w:rFonts w:hint="eastAsia" w:ascii="Times New Roman" w:hAnsi="Times New Roman" w:cs="Times New Roman"/>
                <w:color w:val="auto"/>
                <w:kern w:val="0"/>
                <w:szCs w:val="21"/>
                <w:highlight w:val="none"/>
                <w:lang w:val="en-US" w:eastAsia="zh-CN"/>
              </w:rPr>
              <w:t>加油站地下水污染防治技术指南</w:t>
            </w:r>
            <w:r>
              <w:rPr>
                <w:rFonts w:hint="default" w:ascii="Times New Roman" w:hAnsi="Times New Roman" w:cs="Times New Roman"/>
                <w:color w:val="auto"/>
                <w:kern w:val="0"/>
                <w:szCs w:val="21"/>
                <w:highlight w:val="none"/>
                <w:lang w:val="zh-CN"/>
              </w:rPr>
              <w:t>》</w:t>
            </w:r>
            <w:r>
              <w:rPr>
                <w:rFonts w:hint="default" w:ascii="Times New Roman" w:hAnsi="Times New Roman" w:cs="Times New Roman"/>
                <w:color w:val="auto"/>
                <w:kern w:val="0"/>
                <w:szCs w:val="21"/>
                <w:highlight w:val="none"/>
                <w:lang w:val="en-US" w:eastAsia="zh-CN"/>
              </w:rPr>
              <w:t>中规定，</w:t>
            </w:r>
            <w:r>
              <w:rPr>
                <w:rFonts w:hint="eastAsia" w:ascii="Times New Roman" w:hAnsi="Times New Roman" w:cs="Times New Roman"/>
                <w:color w:val="auto"/>
                <w:kern w:val="0"/>
                <w:szCs w:val="21"/>
                <w:highlight w:val="none"/>
                <w:lang w:val="en-US" w:eastAsia="zh-CN"/>
              </w:rPr>
              <w:t>处于地下水饮用水水源保护区和补给径流区外的加油站，可设一个地下水监测井；地下水监测井尽量设置在加油站内</w:t>
            </w:r>
            <w:r>
              <w:rPr>
                <w:rFonts w:hint="eastAsia" w:ascii="Times New Roman" w:hAnsi="Times New Roman" w:eastAsia="宋体" w:cs="Times New Roman"/>
                <w:b w:val="0"/>
                <w:bCs w:val="0"/>
                <w:snapToGrid w:val="0"/>
                <w:color w:val="auto"/>
                <w:szCs w:val="21"/>
                <w:highlight w:val="none"/>
                <w:lang w:val="en-US" w:eastAsia="zh-CN"/>
              </w:rPr>
              <w:t>。</w:t>
            </w:r>
          </w:p>
          <w:p>
            <w:pPr>
              <w:spacing w:line="360" w:lineRule="auto"/>
              <w:ind w:firstLine="422" w:firstLineChars="200"/>
              <w:rPr>
                <w:rFonts w:hint="default" w:ascii="Times New Roman" w:hAnsi="Times New Roman" w:cs="Times New Roman"/>
                <w:b/>
                <w:bCs/>
                <w:snapToGrid w:val="0"/>
                <w:color w:val="auto"/>
                <w:szCs w:val="21"/>
                <w:highlight w:val="none"/>
              </w:rPr>
            </w:pPr>
            <w:r>
              <w:rPr>
                <w:rFonts w:hint="default" w:ascii="Times New Roman" w:hAnsi="Times New Roman" w:cs="Times New Roman"/>
                <w:b/>
                <w:bCs/>
                <w:snapToGrid w:val="0"/>
                <w:color w:val="auto"/>
                <w:szCs w:val="21"/>
                <w:highlight w:val="none"/>
              </w:rPr>
              <w:t>6、风险</w:t>
            </w:r>
          </w:p>
          <w:p>
            <w:pPr>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bCs w:val="0"/>
                <w:snapToGrid w:val="0"/>
                <w:color w:val="auto"/>
                <w:szCs w:val="21"/>
                <w:highlight w:val="none"/>
                <w:lang w:val="en-US" w:eastAsia="zh-CN"/>
              </w:rPr>
              <w:t>（1）</w:t>
            </w:r>
            <w:r>
              <w:rPr>
                <w:rFonts w:hint="eastAsia" w:ascii="Times New Roman" w:hAnsi="Times New Roman" w:eastAsia="宋体" w:cs="Times New Roman"/>
                <w:b w:val="0"/>
                <w:bCs w:val="0"/>
                <w:snapToGrid w:val="0"/>
                <w:color w:val="auto"/>
                <w:szCs w:val="21"/>
                <w:highlight w:val="none"/>
                <w:lang w:val="en-US" w:eastAsia="zh-CN"/>
              </w:rPr>
              <w:t>危险物质和风险源分布</w:t>
            </w:r>
          </w:p>
          <w:p>
            <w:pPr>
              <w:spacing w:line="360" w:lineRule="auto"/>
              <w:ind w:firstLine="420" w:firstLineChars="200"/>
              <w:rPr>
                <w:rFonts w:hint="default" w:ascii="Times New Roman" w:hAnsi="Times New Roman" w:cs="Times New Roman"/>
                <w:color w:val="auto"/>
                <w:kern w:val="0"/>
                <w:szCs w:val="21"/>
                <w:highlight w:val="none"/>
                <w:lang w:val="zh-CN"/>
              </w:rPr>
            </w:pPr>
            <w:r>
              <w:rPr>
                <w:rFonts w:hint="default" w:ascii="Times New Roman" w:hAnsi="Times New Roman" w:cs="Times New Roman"/>
                <w:bCs/>
                <w:color w:val="auto"/>
                <w:szCs w:val="21"/>
                <w:highlight w:val="none"/>
              </w:rPr>
              <w:t>①</w:t>
            </w:r>
            <w:r>
              <w:rPr>
                <w:rFonts w:hint="default" w:ascii="Times New Roman" w:hAnsi="Times New Roman" w:cs="Times New Roman"/>
                <w:color w:val="auto"/>
                <w:kern w:val="0"/>
                <w:szCs w:val="21"/>
                <w:highlight w:val="none"/>
                <w:lang w:val="zh-CN"/>
              </w:rPr>
              <w:t>风险调查</w:t>
            </w:r>
          </w:p>
          <w:p>
            <w:pPr>
              <w:spacing w:line="360" w:lineRule="auto"/>
              <w:ind w:firstLine="420" w:firstLineChars="200"/>
              <w:rPr>
                <w:rFonts w:hint="eastAsia"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项目主要风险物质为汽油</w:t>
            </w:r>
            <w:r>
              <w:rPr>
                <w:rFonts w:hint="eastAsia" w:ascii="Times New Roman" w:hAnsi="Times New Roman" w:cs="Times New Roman"/>
                <w:color w:val="auto"/>
                <w:kern w:val="0"/>
                <w:szCs w:val="21"/>
                <w:highlight w:val="none"/>
                <w:lang w:val="en-US" w:eastAsia="zh-CN"/>
              </w:rPr>
              <w:t>和柴油</w:t>
            </w:r>
            <w:r>
              <w:rPr>
                <w:rFonts w:hint="default" w:ascii="Times New Roman" w:hAnsi="Times New Roman" w:cs="Times New Roman"/>
                <w:color w:val="auto"/>
                <w:kern w:val="0"/>
                <w:szCs w:val="21"/>
                <w:highlight w:val="none"/>
                <w:lang w:val="zh-CN"/>
              </w:rPr>
              <w:t>，其主要分布于储罐区和加油区。项目设备中的管道、连接器、过滤器、阀门和储罐等一旦出现损坏裂口，引起汽油的释放，将会导致火灾、爆炸、泄漏事故。项目主要环境风险源为储罐区</w:t>
            </w:r>
            <w:r>
              <w:rPr>
                <w:rFonts w:hint="eastAsia" w:ascii="Times New Roman" w:hAnsi="Times New Roman" w:cs="Times New Roman"/>
                <w:color w:val="auto"/>
                <w:kern w:val="0"/>
                <w:szCs w:val="21"/>
                <w:highlight w:val="none"/>
                <w:lang w:val="zh-CN"/>
              </w:rPr>
              <w:t>。</w:t>
            </w:r>
          </w:p>
          <w:p>
            <w:pPr>
              <w:spacing w:line="360" w:lineRule="auto"/>
              <w:ind w:firstLine="420" w:firstLineChars="200"/>
              <w:rPr>
                <w:rFonts w:hint="default" w:ascii="Times New Roman" w:hAnsi="Times New Roman" w:cs="Times New Roman"/>
                <w:color w:val="auto"/>
                <w:kern w:val="0"/>
                <w:szCs w:val="21"/>
                <w:highlight w:val="none"/>
                <w:lang w:val="zh-CN"/>
              </w:rPr>
            </w:pPr>
            <w:r>
              <w:rPr>
                <w:rFonts w:hint="default" w:ascii="Times New Roman" w:hAnsi="Times New Roman" w:eastAsia="宋体" w:cs="Times New Roman"/>
                <w:color w:val="auto"/>
                <w:kern w:val="0"/>
                <w:sz w:val="21"/>
                <w:szCs w:val="21"/>
                <w:lang w:val="en-US" w:eastAsia="zh-CN" w:bidi="ar"/>
              </w:rPr>
              <w:t>②</w:t>
            </w:r>
            <w:r>
              <w:rPr>
                <w:rFonts w:hint="default" w:ascii="Times New Roman" w:hAnsi="Times New Roman" w:cs="Times New Roman"/>
                <w:color w:val="auto"/>
                <w:kern w:val="0"/>
                <w:szCs w:val="21"/>
                <w:highlight w:val="none"/>
                <w:lang w:val="zh-CN"/>
              </w:rPr>
              <w:t>风险潜势初判</w:t>
            </w:r>
          </w:p>
          <w:p>
            <w:pPr>
              <w:spacing w:line="360" w:lineRule="auto"/>
              <w:ind w:firstLine="420" w:firstLineChars="200"/>
              <w:rPr>
                <w:rFonts w:hint="default" w:ascii="Times New Roman" w:hAnsi="Times New Roman" w:cs="Times New Roman"/>
                <w:color w:val="auto"/>
                <w:kern w:val="0"/>
                <w:szCs w:val="21"/>
                <w:highlight w:val="none"/>
                <w:lang w:val="zh-CN"/>
              </w:rPr>
            </w:pPr>
            <w:r>
              <w:rPr>
                <w:rFonts w:hint="default" w:ascii="Times New Roman" w:hAnsi="Times New Roman" w:cs="Times New Roman"/>
                <w:color w:val="auto"/>
                <w:kern w:val="0"/>
                <w:szCs w:val="21"/>
                <w:highlight w:val="none"/>
                <w:lang w:val="zh-CN"/>
              </w:rPr>
              <w:t>根据《建设项目环境风险评价技术导则》HJ169-2018附录C，根据以下公式计算并判断项目风险潜势。</w:t>
            </w:r>
          </w:p>
          <w:p>
            <w:pPr>
              <w:adjustRightInd w:val="0"/>
              <w:spacing w:line="360" w:lineRule="auto"/>
              <w:jc w:val="center"/>
              <w:rPr>
                <w:rFonts w:hint="default" w:ascii="Times New Roman" w:hAnsi="Times New Roman" w:cs="Times New Roman"/>
                <w:kern w:val="0"/>
                <w:szCs w:val="21"/>
                <w:highlight w:val="none"/>
                <w:lang w:val="zh-CN"/>
              </w:rPr>
            </w:pPr>
            <w:r>
              <w:rPr>
                <w:rFonts w:hint="default" w:ascii="Times New Roman" w:hAnsi="Times New Roman" w:cs="Times New Roman"/>
                <w:szCs w:val="21"/>
                <w:highlight w:val="none"/>
              </w:rPr>
              <w:drawing>
                <wp:inline distT="0" distB="0" distL="114300" distR="114300">
                  <wp:extent cx="1517650" cy="438150"/>
                  <wp:effectExtent l="0" t="0" r="6350" b="6350"/>
                  <wp:docPr id="2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1"/>
                          <pic:cNvPicPr>
                            <a:picLocks noChangeAspect="1"/>
                          </pic:cNvPicPr>
                        </pic:nvPicPr>
                        <pic:blipFill>
                          <a:blip r:embed="rId29"/>
                          <a:stretch>
                            <a:fillRect/>
                          </a:stretch>
                        </pic:blipFill>
                        <pic:spPr>
                          <a:xfrm>
                            <a:off x="0" y="0"/>
                            <a:ext cx="1517650" cy="438150"/>
                          </a:xfrm>
                          <a:prstGeom prst="rect">
                            <a:avLst/>
                          </a:prstGeom>
                          <a:noFill/>
                          <a:ln>
                            <a:noFill/>
                          </a:ln>
                        </pic:spPr>
                      </pic:pic>
                    </a:graphicData>
                  </a:graphic>
                </wp:inline>
              </w:drawing>
            </w:r>
          </w:p>
          <w:p>
            <w:pPr>
              <w:spacing w:line="360" w:lineRule="auto"/>
              <w:ind w:firstLine="420" w:firstLineChars="200"/>
              <w:rPr>
                <w:rFonts w:hint="default" w:ascii="Times New Roman" w:hAnsi="Times New Roman" w:cs="Times New Roman"/>
                <w:kern w:val="0"/>
                <w:szCs w:val="21"/>
                <w:highlight w:val="none"/>
                <w:lang w:val="zh-CN"/>
              </w:rPr>
            </w:pPr>
            <w:r>
              <w:rPr>
                <w:rFonts w:hint="default" w:ascii="Times New Roman" w:hAnsi="Times New Roman" w:cs="Times New Roman"/>
                <w:kern w:val="0"/>
                <w:szCs w:val="21"/>
                <w:highlight w:val="none"/>
                <w:lang w:val="zh-CN"/>
              </w:rPr>
              <w:t>式中：q</w:t>
            </w:r>
            <w:r>
              <w:rPr>
                <w:rFonts w:hint="default" w:ascii="Times New Roman" w:hAnsi="Times New Roman" w:cs="Times New Roman"/>
                <w:kern w:val="0"/>
                <w:szCs w:val="21"/>
                <w:highlight w:val="none"/>
                <w:vertAlign w:val="subscript"/>
                <w:lang w:val="zh-CN"/>
              </w:rPr>
              <w:t>1</w:t>
            </w:r>
            <w:r>
              <w:rPr>
                <w:rFonts w:hint="default" w:ascii="Times New Roman" w:hAnsi="Times New Roman" w:cs="Times New Roman"/>
                <w:kern w:val="0"/>
                <w:szCs w:val="21"/>
                <w:highlight w:val="none"/>
                <w:lang w:val="zh-CN"/>
              </w:rPr>
              <w:t>，q</w:t>
            </w:r>
            <w:r>
              <w:rPr>
                <w:rFonts w:hint="default" w:ascii="Times New Roman" w:hAnsi="Times New Roman" w:cs="Times New Roman"/>
                <w:kern w:val="0"/>
                <w:szCs w:val="21"/>
                <w:highlight w:val="none"/>
                <w:vertAlign w:val="subscript"/>
                <w:lang w:val="zh-CN"/>
              </w:rPr>
              <w:t>2</w:t>
            </w:r>
            <w:r>
              <w:rPr>
                <w:rFonts w:hint="default" w:ascii="Times New Roman" w:hAnsi="Times New Roman" w:cs="Times New Roman"/>
                <w:kern w:val="0"/>
                <w:szCs w:val="21"/>
                <w:highlight w:val="none"/>
                <w:lang w:val="zh-CN"/>
              </w:rPr>
              <w:t>，……，q</w:t>
            </w:r>
            <w:r>
              <w:rPr>
                <w:rFonts w:hint="default" w:ascii="Times New Roman" w:hAnsi="Times New Roman" w:cs="Times New Roman"/>
                <w:kern w:val="0"/>
                <w:szCs w:val="21"/>
                <w:highlight w:val="none"/>
                <w:vertAlign w:val="subscript"/>
                <w:lang w:val="zh-CN"/>
              </w:rPr>
              <w:t>n</w:t>
            </w:r>
            <w:r>
              <w:rPr>
                <w:rFonts w:hint="default" w:ascii="Times New Roman" w:hAnsi="Times New Roman" w:cs="Times New Roman"/>
                <w:kern w:val="0"/>
                <w:szCs w:val="21"/>
                <w:highlight w:val="none"/>
                <w:lang w:val="zh-CN"/>
              </w:rPr>
              <w:t>—每种危险物质的最大存在总量，t；</w:t>
            </w:r>
          </w:p>
          <w:p>
            <w:pPr>
              <w:spacing w:line="360" w:lineRule="auto"/>
              <w:ind w:firstLine="420" w:firstLineChars="200"/>
              <w:rPr>
                <w:rFonts w:hint="default" w:ascii="Times New Roman" w:hAnsi="Times New Roman" w:cs="Times New Roman"/>
                <w:kern w:val="0"/>
                <w:szCs w:val="21"/>
                <w:highlight w:val="none"/>
                <w:lang w:val="zh-CN"/>
              </w:rPr>
            </w:pPr>
            <w:r>
              <w:rPr>
                <w:rFonts w:hint="default" w:ascii="Times New Roman" w:hAnsi="Times New Roman" w:cs="Times New Roman"/>
                <w:kern w:val="0"/>
                <w:szCs w:val="21"/>
                <w:highlight w:val="none"/>
                <w:lang w:val="zh-CN"/>
              </w:rPr>
              <w:t>Q1，Q2，……，Qn—每种危险物质的临界量，t。</w:t>
            </w:r>
          </w:p>
          <w:p>
            <w:pPr>
              <w:spacing w:line="360" w:lineRule="auto"/>
              <w:ind w:firstLine="420" w:firstLineChars="200"/>
              <w:rPr>
                <w:rFonts w:hint="default" w:ascii="Times New Roman" w:hAnsi="Times New Roman" w:cs="Times New Roman"/>
                <w:kern w:val="0"/>
                <w:szCs w:val="21"/>
                <w:highlight w:val="none"/>
                <w:lang w:val="zh-CN"/>
              </w:rPr>
            </w:pPr>
            <w:r>
              <w:rPr>
                <w:rFonts w:hint="default" w:ascii="Times New Roman" w:hAnsi="Times New Roman" w:cs="Times New Roman"/>
                <w:kern w:val="0"/>
                <w:szCs w:val="21"/>
                <w:highlight w:val="none"/>
                <w:lang w:val="zh-CN"/>
              </w:rPr>
              <w:t>当Q＜1时，该项目环境风险潜势为</w:t>
            </w:r>
            <w:r>
              <w:rPr>
                <w:rFonts w:hint="default" w:ascii="Times New Roman" w:hAnsi="Times New Roman" w:cs="Times New Roman"/>
                <w:kern w:val="0"/>
                <w:szCs w:val="21"/>
                <w:highlight w:val="none"/>
                <w:lang w:val="zh-CN"/>
              </w:rPr>
              <w:fldChar w:fldCharType="begin"/>
            </w:r>
            <w:r>
              <w:rPr>
                <w:rFonts w:hint="default" w:ascii="Times New Roman" w:hAnsi="Times New Roman" w:cs="Times New Roman"/>
                <w:kern w:val="0"/>
                <w:szCs w:val="21"/>
                <w:highlight w:val="none"/>
                <w:lang w:val="zh-CN"/>
              </w:rPr>
              <w:instrText xml:space="preserve"> = 1 \* ROMAN </w:instrText>
            </w:r>
            <w:r>
              <w:rPr>
                <w:rFonts w:hint="default" w:ascii="Times New Roman" w:hAnsi="Times New Roman" w:cs="Times New Roman"/>
                <w:kern w:val="0"/>
                <w:szCs w:val="21"/>
                <w:highlight w:val="none"/>
                <w:lang w:val="zh-CN"/>
              </w:rPr>
              <w:fldChar w:fldCharType="separate"/>
            </w:r>
            <w:r>
              <w:rPr>
                <w:rFonts w:hint="default" w:ascii="Times New Roman" w:hAnsi="Times New Roman" w:cs="Times New Roman"/>
                <w:kern w:val="0"/>
                <w:szCs w:val="21"/>
                <w:highlight w:val="none"/>
                <w:lang w:val="zh-CN"/>
              </w:rPr>
              <w:t>I</w:t>
            </w:r>
            <w:r>
              <w:rPr>
                <w:rFonts w:hint="default" w:ascii="Times New Roman" w:hAnsi="Times New Roman" w:cs="Times New Roman"/>
                <w:kern w:val="0"/>
                <w:szCs w:val="21"/>
                <w:highlight w:val="none"/>
                <w:lang w:val="zh-CN"/>
              </w:rPr>
              <w:fldChar w:fldCharType="end"/>
            </w:r>
            <w:r>
              <w:rPr>
                <w:rFonts w:hint="default" w:ascii="Times New Roman" w:hAnsi="Times New Roman" w:cs="Times New Roman"/>
                <w:kern w:val="0"/>
                <w:szCs w:val="21"/>
                <w:highlight w:val="none"/>
                <w:lang w:val="zh-CN"/>
              </w:rPr>
              <w:t>。</w:t>
            </w:r>
          </w:p>
          <w:p>
            <w:pPr>
              <w:spacing w:line="360" w:lineRule="auto"/>
              <w:ind w:firstLine="420" w:firstLineChars="200"/>
              <w:rPr>
                <w:rFonts w:hint="default" w:ascii="Times New Roman" w:hAnsi="Times New Roman" w:cs="Times New Roman"/>
                <w:kern w:val="0"/>
                <w:szCs w:val="21"/>
                <w:highlight w:val="none"/>
                <w:lang w:val="zh-CN"/>
              </w:rPr>
            </w:pPr>
            <w:r>
              <w:rPr>
                <w:rFonts w:hint="default" w:ascii="Times New Roman" w:hAnsi="Times New Roman" w:cs="Times New Roman"/>
                <w:kern w:val="0"/>
                <w:szCs w:val="21"/>
                <w:highlight w:val="none"/>
                <w:lang w:val="zh-CN"/>
              </w:rPr>
              <w:t>当Q≥1时，将Q值划分为：（1）1≤Q＜10；（2）10≤Q＜100；（3）Q≥100。</w:t>
            </w:r>
          </w:p>
          <w:p>
            <w:pPr>
              <w:spacing w:line="360" w:lineRule="auto"/>
              <w:ind w:firstLine="420" w:firstLineChars="200"/>
              <w:rPr>
                <w:rFonts w:hint="eastAsia"/>
                <w:color w:val="auto"/>
                <w:sz w:val="21"/>
                <w:szCs w:val="21"/>
                <w:lang w:val="en-US" w:eastAsia="zh-CN"/>
              </w:rPr>
            </w:pPr>
            <w:r>
              <w:rPr>
                <w:rFonts w:hint="default" w:ascii="Times New Roman" w:hAnsi="Times New Roman" w:cs="Times New Roman"/>
                <w:kern w:val="0"/>
                <w:szCs w:val="21"/>
                <w:highlight w:val="none"/>
                <w:lang w:val="zh-CN"/>
              </w:rPr>
              <w:t>根据《建设项目环境风险评价技术导则》HJ169-2018附录B，油类物质（矿物油类，如石油、汽油、柴油等；生物柴油等）临界量为2500t，</w:t>
            </w:r>
            <w:r>
              <w:rPr>
                <w:rFonts w:hint="eastAsia"/>
                <w:color w:val="auto"/>
                <w:sz w:val="21"/>
                <w:szCs w:val="21"/>
                <w:lang w:val="en-US" w:eastAsia="zh-CN"/>
              </w:rPr>
              <w:t>项目Q值确定见表4-15。</w:t>
            </w:r>
          </w:p>
          <w:p>
            <w:pPr>
              <w:adjustRightInd w:val="0"/>
              <w:ind w:firstLine="482"/>
              <w:jc w:val="center"/>
              <w:rPr>
                <w:rFonts w:hint="default" w:ascii="Times New Roman" w:hAnsi="Times New Roman" w:cs="Times New Roman"/>
                <w:b/>
                <w:bCs/>
                <w:szCs w:val="21"/>
                <w:highlight w:val="none"/>
                <w:lang w:val="zh-CN"/>
              </w:rPr>
            </w:pPr>
            <w:r>
              <w:rPr>
                <w:rFonts w:hint="default" w:ascii="Times New Roman" w:hAnsi="Times New Roman" w:cs="Times New Roman"/>
                <w:b/>
                <w:bCs/>
                <w:szCs w:val="21"/>
                <w:highlight w:val="none"/>
                <w:lang w:val="zh-CN"/>
              </w:rPr>
              <w:t>表</w:t>
            </w:r>
            <w:r>
              <w:rPr>
                <w:rFonts w:hint="default" w:ascii="Times New Roman" w:hAnsi="Times New Roman" w:cs="Times New Roman"/>
                <w:b/>
                <w:bCs/>
                <w:szCs w:val="21"/>
                <w:highlight w:val="none"/>
              </w:rPr>
              <w:t>4-15</w:t>
            </w:r>
            <w:r>
              <w:rPr>
                <w:rFonts w:hint="default" w:ascii="Times New Roman" w:hAnsi="Times New Roman" w:cs="Times New Roman"/>
                <w:b/>
                <w:bCs/>
                <w:szCs w:val="21"/>
                <w:highlight w:val="none"/>
                <w:lang w:val="zh-CN"/>
              </w:rPr>
              <w:t>储罐区油品最大储存量一览表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4"/>
              <w:gridCol w:w="1084"/>
              <w:gridCol w:w="655"/>
              <w:gridCol w:w="946"/>
              <w:gridCol w:w="1197"/>
              <w:gridCol w:w="1109"/>
              <w:gridCol w:w="1223"/>
              <w:gridCol w:w="10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trPr>
              <w:tc>
                <w:tcPr>
                  <w:tcW w:w="702" w:type="pct"/>
                  <w:noWrap w:val="0"/>
                  <w:vAlign w:val="center"/>
                </w:tcPr>
                <w:p>
                  <w:pPr>
                    <w:adjustRightInd w:val="0"/>
                    <w:jc w:val="center"/>
                    <w:rPr>
                      <w:rFonts w:hint="default" w:ascii="Times New Roman" w:hAnsi="Times New Roman" w:cs="Times New Roman"/>
                      <w:b/>
                      <w:bCs/>
                      <w:szCs w:val="21"/>
                      <w:highlight w:val="none"/>
                    </w:rPr>
                  </w:pPr>
                  <w:r>
                    <w:rPr>
                      <w:rFonts w:hint="eastAsia"/>
                      <w:b/>
                      <w:bCs/>
                      <w:color w:val="auto"/>
                      <w:lang w:val="en-US" w:eastAsia="zh-CN"/>
                    </w:rPr>
                    <w:t>涉及风险的物质</w:t>
                  </w:r>
                </w:p>
              </w:tc>
              <w:tc>
                <w:tcPr>
                  <w:tcW w:w="643" w:type="pct"/>
                  <w:noWrap w:val="0"/>
                  <w:vAlign w:val="center"/>
                </w:tcPr>
                <w:p>
                  <w:pPr>
                    <w:adjustRightInd w:val="0"/>
                    <w:jc w:val="center"/>
                    <w:rPr>
                      <w:rFonts w:hint="default" w:ascii="Times New Roman" w:hAnsi="Times New Roman" w:cs="Times New Roman"/>
                      <w:b/>
                      <w:bCs/>
                      <w:szCs w:val="21"/>
                      <w:highlight w:val="none"/>
                    </w:rPr>
                  </w:pPr>
                  <w:r>
                    <w:rPr>
                      <w:rFonts w:hint="eastAsia"/>
                      <w:b/>
                      <w:bCs/>
                      <w:color w:val="auto"/>
                      <w:lang w:val="en-US" w:eastAsia="zh-CN"/>
                    </w:rPr>
                    <w:t>存放位置</w:t>
                  </w:r>
                </w:p>
              </w:tc>
              <w:tc>
                <w:tcPr>
                  <w:tcW w:w="388" w:type="pct"/>
                  <w:noWrap w:val="0"/>
                  <w:vAlign w:val="center"/>
                </w:tcPr>
                <w:p>
                  <w:pPr>
                    <w:adjustRightInd w:val="0"/>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数量</w:t>
                  </w:r>
                </w:p>
              </w:tc>
              <w:tc>
                <w:tcPr>
                  <w:tcW w:w="561" w:type="pct"/>
                  <w:noWrap w:val="0"/>
                  <w:vAlign w:val="center"/>
                </w:tcPr>
                <w:p>
                  <w:pPr>
                    <w:adjustRightInd w:val="0"/>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总容量</w:t>
                  </w:r>
                </w:p>
              </w:tc>
              <w:tc>
                <w:tcPr>
                  <w:tcW w:w="710" w:type="pct"/>
                  <w:noWrap w:val="0"/>
                  <w:vAlign w:val="center"/>
                </w:tcPr>
                <w:p>
                  <w:pPr>
                    <w:adjustRightInd w:val="0"/>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最大储量</w:t>
                  </w:r>
                </w:p>
              </w:tc>
              <w:tc>
                <w:tcPr>
                  <w:tcW w:w="658" w:type="pct"/>
                  <w:noWrap w:val="0"/>
                  <w:vAlign w:val="center"/>
                </w:tcPr>
                <w:p>
                  <w:pPr>
                    <w:adjustRightInd w:val="0"/>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最大密度</w:t>
                  </w:r>
                </w:p>
              </w:tc>
              <w:tc>
                <w:tcPr>
                  <w:tcW w:w="725" w:type="pct"/>
                  <w:noWrap w:val="0"/>
                  <w:vAlign w:val="center"/>
                </w:tcPr>
                <w:p>
                  <w:pPr>
                    <w:adjustRightInd w:val="0"/>
                    <w:jc w:val="center"/>
                    <w:rPr>
                      <w:rFonts w:hint="default" w:ascii="Times New Roman" w:hAnsi="Times New Roman" w:cs="Times New Roman"/>
                      <w:b/>
                      <w:bCs/>
                      <w:szCs w:val="21"/>
                      <w:highlight w:val="none"/>
                    </w:rPr>
                  </w:pPr>
                  <w:r>
                    <w:rPr>
                      <w:rFonts w:hint="default" w:ascii="Times New Roman" w:hAnsi="Times New Roman" w:cs="Times New Roman"/>
                      <w:b/>
                      <w:bCs/>
                      <w:szCs w:val="21"/>
                      <w:highlight w:val="none"/>
                    </w:rPr>
                    <w:t>临界量</w:t>
                  </w:r>
                </w:p>
              </w:tc>
              <w:tc>
                <w:tcPr>
                  <w:tcW w:w="609" w:type="pct"/>
                  <w:noWrap w:val="0"/>
                  <w:vAlign w:val="center"/>
                </w:tcPr>
                <w:p>
                  <w:pPr>
                    <w:adjustRightInd w:val="0"/>
                    <w:jc w:val="center"/>
                    <w:rPr>
                      <w:rFonts w:hint="default" w:ascii="Times New Roman" w:hAnsi="Times New Roman" w:cs="Times New Roman"/>
                      <w:b/>
                      <w:bCs/>
                      <w:szCs w:val="21"/>
                      <w:highlight w:val="none"/>
                    </w:rPr>
                  </w:pPr>
                  <w:r>
                    <w:rPr>
                      <w:rFonts w:hint="eastAsia"/>
                      <w:color w:val="auto"/>
                      <w:lang w:val="en-US" w:eastAsia="zh-CN"/>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702"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汽油</w:t>
                  </w:r>
                </w:p>
              </w:tc>
              <w:tc>
                <w:tcPr>
                  <w:tcW w:w="643"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汽油储罐</w:t>
                  </w:r>
                </w:p>
              </w:tc>
              <w:tc>
                <w:tcPr>
                  <w:tcW w:w="388"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3个</w:t>
                  </w:r>
                </w:p>
              </w:tc>
              <w:tc>
                <w:tcPr>
                  <w:tcW w:w="561" w:type="pct"/>
                  <w:noWrap w:val="0"/>
                  <w:vAlign w:val="center"/>
                </w:tcPr>
                <w:p>
                  <w:pPr>
                    <w:adjustRightInd w:val="0"/>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val="en-US" w:eastAsia="zh-CN"/>
                    </w:rPr>
                    <w:t>11</w:t>
                  </w:r>
                  <w:r>
                    <w:rPr>
                      <w:rFonts w:hint="default" w:ascii="Times New Roman" w:hAnsi="Times New Roman" w:cs="Times New Roman"/>
                      <w:szCs w:val="21"/>
                      <w:highlight w:val="none"/>
                    </w:rPr>
                    <w:t>0m</w:t>
                  </w:r>
                  <w:r>
                    <w:rPr>
                      <w:rFonts w:hint="default" w:ascii="Times New Roman" w:hAnsi="Times New Roman" w:cs="Times New Roman"/>
                      <w:szCs w:val="21"/>
                      <w:highlight w:val="none"/>
                      <w:vertAlign w:val="superscript"/>
                    </w:rPr>
                    <w:t>3</w:t>
                  </w:r>
                </w:p>
              </w:tc>
              <w:tc>
                <w:tcPr>
                  <w:tcW w:w="710" w:type="pct"/>
                  <w:noWrap w:val="0"/>
                  <w:vAlign w:val="center"/>
                </w:tcPr>
                <w:p>
                  <w:pPr>
                    <w:adjustRightInd w:val="0"/>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val="en-US" w:eastAsia="zh-CN"/>
                    </w:rPr>
                    <w:t>78.21</w:t>
                  </w:r>
                  <w:r>
                    <w:rPr>
                      <w:rFonts w:hint="default" w:ascii="Times New Roman" w:hAnsi="Times New Roman" w:cs="Times New Roman"/>
                      <w:szCs w:val="21"/>
                      <w:highlight w:val="none"/>
                    </w:rPr>
                    <w:t>t</w:t>
                  </w:r>
                </w:p>
              </w:tc>
              <w:tc>
                <w:tcPr>
                  <w:tcW w:w="658" w:type="pct"/>
                  <w:noWrap w:val="0"/>
                  <w:vAlign w:val="center"/>
                </w:tcPr>
                <w:p>
                  <w:pPr>
                    <w:adjustRightInd w:val="0"/>
                    <w:jc w:val="center"/>
                    <w:rPr>
                      <w:rFonts w:hint="default" w:ascii="Times New Roman" w:hAnsi="Times New Roman" w:cs="Times New Roman"/>
                      <w:szCs w:val="21"/>
                      <w:highlight w:val="none"/>
                      <w:vertAlign w:val="superscript"/>
                    </w:rPr>
                  </w:pPr>
                  <w:r>
                    <w:rPr>
                      <w:rFonts w:hint="default" w:ascii="Times New Roman" w:hAnsi="Times New Roman" w:cs="Times New Roman"/>
                      <w:szCs w:val="21"/>
                      <w:highlight w:val="none"/>
                    </w:rPr>
                    <w:t>790kg/m</w:t>
                  </w:r>
                  <w:r>
                    <w:rPr>
                      <w:rFonts w:hint="default" w:ascii="Times New Roman" w:hAnsi="Times New Roman" w:cs="Times New Roman"/>
                      <w:szCs w:val="21"/>
                      <w:highlight w:val="none"/>
                      <w:vertAlign w:val="superscript"/>
                    </w:rPr>
                    <w:t>3</w:t>
                  </w:r>
                </w:p>
              </w:tc>
              <w:tc>
                <w:tcPr>
                  <w:tcW w:w="725"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2500t</w:t>
                  </w:r>
                </w:p>
              </w:tc>
              <w:tc>
                <w:tcPr>
                  <w:tcW w:w="609" w:type="pct"/>
                  <w:noWrap w:val="0"/>
                  <w:vAlign w:val="center"/>
                </w:tcPr>
                <w:p>
                  <w:pPr>
                    <w:adjustRightInd w:val="0"/>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0.0313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702" w:type="pct"/>
                  <w:noWrap w:val="0"/>
                  <w:vAlign w:val="center"/>
                </w:tcPr>
                <w:p>
                  <w:pPr>
                    <w:adjustRightInd w:val="0"/>
                    <w:jc w:val="center"/>
                    <w:rPr>
                      <w:rFonts w:hint="eastAsia"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柴</w:t>
                  </w:r>
                  <w:r>
                    <w:rPr>
                      <w:rFonts w:hint="default" w:ascii="Times New Roman" w:hAnsi="Times New Roman" w:cs="Times New Roman"/>
                      <w:szCs w:val="21"/>
                      <w:highlight w:val="none"/>
                    </w:rPr>
                    <w:t>油</w:t>
                  </w:r>
                </w:p>
              </w:tc>
              <w:tc>
                <w:tcPr>
                  <w:tcW w:w="643" w:type="pct"/>
                  <w:noWrap w:val="0"/>
                  <w:vAlign w:val="center"/>
                </w:tcPr>
                <w:p>
                  <w:pPr>
                    <w:adjustRightInd w:val="0"/>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val="en-US" w:eastAsia="zh-CN"/>
                    </w:rPr>
                    <w:t>柴</w:t>
                  </w:r>
                  <w:r>
                    <w:rPr>
                      <w:rFonts w:hint="default" w:ascii="Times New Roman" w:hAnsi="Times New Roman" w:cs="Times New Roman"/>
                      <w:szCs w:val="21"/>
                      <w:highlight w:val="none"/>
                    </w:rPr>
                    <w:t>油储罐</w:t>
                  </w:r>
                </w:p>
              </w:tc>
              <w:tc>
                <w:tcPr>
                  <w:tcW w:w="388" w:type="pct"/>
                  <w:noWrap w:val="0"/>
                  <w:vAlign w:val="center"/>
                </w:tcPr>
                <w:p>
                  <w:pPr>
                    <w:adjustRightInd w:val="0"/>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val="en-US" w:eastAsia="zh-CN"/>
                    </w:rPr>
                    <w:t>2</w:t>
                  </w:r>
                  <w:r>
                    <w:rPr>
                      <w:rFonts w:hint="default" w:ascii="Times New Roman" w:hAnsi="Times New Roman" w:cs="Times New Roman"/>
                      <w:szCs w:val="21"/>
                      <w:highlight w:val="none"/>
                    </w:rPr>
                    <w:t>个</w:t>
                  </w:r>
                </w:p>
              </w:tc>
              <w:tc>
                <w:tcPr>
                  <w:tcW w:w="561" w:type="pct"/>
                  <w:noWrap w:val="0"/>
                  <w:vAlign w:val="center"/>
                </w:tcPr>
                <w:p>
                  <w:pPr>
                    <w:adjustRightInd w:val="0"/>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val="en-US" w:eastAsia="zh-CN"/>
                    </w:rPr>
                    <w:t>8</w:t>
                  </w:r>
                  <w:r>
                    <w:rPr>
                      <w:rFonts w:hint="default" w:ascii="Times New Roman" w:hAnsi="Times New Roman" w:cs="Times New Roman"/>
                      <w:szCs w:val="21"/>
                      <w:highlight w:val="none"/>
                    </w:rPr>
                    <w:t>0m</w:t>
                  </w:r>
                  <w:r>
                    <w:rPr>
                      <w:rFonts w:hint="default" w:ascii="Times New Roman" w:hAnsi="Times New Roman" w:cs="Times New Roman"/>
                      <w:szCs w:val="21"/>
                      <w:highlight w:val="none"/>
                      <w:vertAlign w:val="superscript"/>
                    </w:rPr>
                    <w:t>3</w:t>
                  </w:r>
                </w:p>
              </w:tc>
              <w:tc>
                <w:tcPr>
                  <w:tcW w:w="710" w:type="pct"/>
                  <w:noWrap w:val="0"/>
                  <w:vAlign w:val="center"/>
                </w:tcPr>
                <w:p>
                  <w:pPr>
                    <w:adjustRightInd w:val="0"/>
                    <w:jc w:val="center"/>
                    <w:rPr>
                      <w:rFonts w:hint="default" w:ascii="Times New Roman" w:hAnsi="Times New Roman" w:cs="Times New Roman"/>
                      <w:szCs w:val="21"/>
                      <w:highlight w:val="none"/>
                    </w:rPr>
                  </w:pPr>
                  <w:r>
                    <w:rPr>
                      <w:rFonts w:hint="eastAsia" w:ascii="Times New Roman" w:hAnsi="Times New Roman" w:cs="Times New Roman"/>
                      <w:szCs w:val="21"/>
                      <w:highlight w:val="none"/>
                      <w:lang w:val="en-US" w:eastAsia="zh-CN"/>
                    </w:rPr>
                    <w:t>56.88</w:t>
                  </w:r>
                  <w:r>
                    <w:rPr>
                      <w:rFonts w:hint="default" w:ascii="Times New Roman" w:hAnsi="Times New Roman" w:cs="Times New Roman"/>
                      <w:szCs w:val="21"/>
                      <w:highlight w:val="none"/>
                    </w:rPr>
                    <w:t>t</w:t>
                  </w:r>
                </w:p>
              </w:tc>
              <w:tc>
                <w:tcPr>
                  <w:tcW w:w="658"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790kg/m</w:t>
                  </w:r>
                  <w:r>
                    <w:rPr>
                      <w:rFonts w:hint="default" w:ascii="Times New Roman" w:hAnsi="Times New Roman" w:cs="Times New Roman"/>
                      <w:szCs w:val="21"/>
                      <w:highlight w:val="none"/>
                      <w:vertAlign w:val="superscript"/>
                    </w:rPr>
                    <w:t>3</w:t>
                  </w:r>
                </w:p>
              </w:tc>
              <w:tc>
                <w:tcPr>
                  <w:tcW w:w="725" w:type="pct"/>
                  <w:noWrap w:val="0"/>
                  <w:vAlign w:val="center"/>
                </w:tcPr>
                <w:p>
                  <w:pPr>
                    <w:adjustRightInd w:val="0"/>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2500t</w:t>
                  </w:r>
                </w:p>
              </w:tc>
              <w:tc>
                <w:tcPr>
                  <w:tcW w:w="609" w:type="pct"/>
                  <w:noWrap w:val="0"/>
                  <w:vAlign w:val="center"/>
                </w:tcPr>
                <w:p>
                  <w:pPr>
                    <w:adjustRightInd w:val="0"/>
                    <w:jc w:val="center"/>
                    <w:rPr>
                      <w:rFonts w:hint="default"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0.0228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trPr>
              <w:tc>
                <w:tcPr>
                  <w:tcW w:w="4390" w:type="pct"/>
                  <w:gridSpan w:val="7"/>
                  <w:noWrap w:val="0"/>
                  <w:vAlign w:val="center"/>
                </w:tcPr>
                <w:p>
                  <w:pPr>
                    <w:adjustRightInd w:val="0"/>
                    <w:jc w:val="center"/>
                    <w:rPr>
                      <w:rFonts w:hint="eastAsia"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合计</w:t>
                  </w:r>
                </w:p>
              </w:tc>
              <w:tc>
                <w:tcPr>
                  <w:tcW w:w="609" w:type="pct"/>
                  <w:noWrap w:val="0"/>
                  <w:vAlign w:val="center"/>
                </w:tcPr>
                <w:p>
                  <w:pPr>
                    <w:adjustRightInd w:val="0"/>
                    <w:jc w:val="center"/>
                    <w:rPr>
                      <w:rFonts w:hint="default" w:ascii="Times New Roman" w:hAnsi="Times New Roman" w:cs="Times New Roman"/>
                      <w:szCs w:val="21"/>
                      <w:highlight w:val="none"/>
                    </w:rPr>
                  </w:pPr>
                  <w:r>
                    <w:rPr>
                      <w:rFonts w:hint="eastAsia" w:ascii="Times New Roman" w:hAnsi="Times New Roman" w:eastAsia="宋体" w:cs="Times New Roman"/>
                      <w:b w:val="0"/>
                      <w:bCs w:val="0"/>
                      <w:color w:val="auto"/>
                      <w:lang w:val="en-US" w:eastAsia="zh-CN"/>
                    </w:rPr>
                    <w:t>0.0541</w:t>
                  </w:r>
                </w:p>
              </w:tc>
            </w:tr>
          </w:tbl>
          <w:p>
            <w:pPr>
              <w:spacing w:line="360" w:lineRule="auto"/>
              <w:ind w:firstLine="420" w:firstLineChars="200"/>
              <w:rPr>
                <w:rFonts w:hint="eastAsia"/>
                <w:color w:val="auto"/>
                <w:sz w:val="21"/>
                <w:szCs w:val="21"/>
                <w:lang w:val="en-US" w:eastAsia="zh-CN"/>
              </w:rPr>
            </w:pPr>
            <w:r>
              <w:rPr>
                <w:rFonts w:hint="default" w:ascii="Times New Roman" w:hAnsi="Times New Roman" w:cs="Times New Roman"/>
                <w:kern w:val="0"/>
                <w:szCs w:val="21"/>
                <w:highlight w:val="none"/>
              </w:rPr>
              <w:t>注：油罐充装系数取0.9计算。</w:t>
            </w:r>
          </w:p>
          <w:p>
            <w:pPr>
              <w:bidi w:val="0"/>
              <w:spacing w:line="360" w:lineRule="auto"/>
              <w:ind w:firstLine="420" w:firstLineChars="200"/>
              <w:rPr>
                <w:rFonts w:hint="eastAsia"/>
                <w:color w:val="auto"/>
                <w:sz w:val="21"/>
                <w:szCs w:val="21"/>
                <w:lang w:val="en-US" w:eastAsia="zh-CN"/>
              </w:rPr>
            </w:pPr>
            <w:r>
              <w:rPr>
                <w:rFonts w:hint="eastAsia"/>
                <w:color w:val="auto"/>
                <w:sz w:val="21"/>
                <w:szCs w:val="21"/>
                <w:lang w:val="en-US" w:eastAsia="zh-CN"/>
              </w:rPr>
              <w:t>由上表可知，本项目Q=</w:t>
            </w:r>
            <w:r>
              <w:rPr>
                <w:rFonts w:hint="eastAsia" w:ascii="Times New Roman" w:hAnsi="Times New Roman" w:eastAsia="宋体" w:cs="Times New Roman"/>
                <w:b w:val="0"/>
                <w:bCs w:val="0"/>
                <w:color w:val="auto"/>
                <w:lang w:val="en-US" w:eastAsia="zh-CN"/>
              </w:rPr>
              <w:t>0.0541</w:t>
            </w:r>
            <w:r>
              <w:rPr>
                <w:rFonts w:hint="eastAsia"/>
                <w:color w:val="auto"/>
                <w:sz w:val="21"/>
                <w:szCs w:val="21"/>
                <w:lang w:val="en-US" w:eastAsia="zh-CN"/>
              </w:rPr>
              <w:t>＜1，故该项目环境风险潜势为I。</w:t>
            </w:r>
          </w:p>
          <w:p>
            <w:pPr>
              <w:spacing w:line="360" w:lineRule="auto"/>
              <w:ind w:firstLine="420" w:firstLineChars="200"/>
              <w:rPr>
                <w:rFonts w:hint="default" w:ascii="Times New Roman" w:hAnsi="Times New Roman" w:cs="Times New Roman"/>
                <w:kern w:val="0"/>
                <w:szCs w:val="21"/>
                <w:highlight w:val="none"/>
                <w:lang w:val="zh-CN"/>
              </w:rPr>
            </w:pPr>
            <w:r>
              <w:rPr>
                <w:rFonts w:hint="default" w:ascii="Times New Roman" w:hAnsi="Times New Roman" w:eastAsia="宋体" w:cs="Times New Roman"/>
                <w:color w:val="000000"/>
                <w:kern w:val="0"/>
                <w:sz w:val="21"/>
                <w:szCs w:val="21"/>
                <w:lang w:val="en-US" w:eastAsia="zh-CN" w:bidi="ar"/>
              </w:rPr>
              <w:t>③</w:t>
            </w:r>
            <w:r>
              <w:rPr>
                <w:rFonts w:hint="default" w:ascii="Times New Roman" w:hAnsi="Times New Roman" w:cs="Times New Roman"/>
                <w:kern w:val="0"/>
                <w:szCs w:val="21"/>
                <w:highlight w:val="none"/>
                <w:lang w:val="zh-CN"/>
              </w:rPr>
              <w:t>评价等级</w:t>
            </w:r>
          </w:p>
          <w:p>
            <w:pPr>
              <w:spacing w:line="360" w:lineRule="auto"/>
              <w:ind w:firstLine="420" w:firstLineChars="200"/>
              <w:rPr>
                <w:rFonts w:hint="default" w:ascii="Times New Roman" w:hAnsi="Times New Roman" w:cs="Times New Roman"/>
                <w:kern w:val="0"/>
                <w:szCs w:val="21"/>
                <w:highlight w:val="none"/>
                <w:lang w:val="zh-CN"/>
              </w:rPr>
            </w:pPr>
            <w:r>
              <w:rPr>
                <w:rFonts w:hint="default" w:ascii="Times New Roman" w:hAnsi="Times New Roman" w:cs="Times New Roman"/>
                <w:kern w:val="0"/>
                <w:szCs w:val="21"/>
                <w:highlight w:val="none"/>
                <w:lang w:val="zh-CN"/>
              </w:rPr>
              <w:t>根据《建设项目环境风险评价技术导则》（HJ169-2018），环境风险评价工作等级划分见下表。</w:t>
            </w:r>
          </w:p>
          <w:p>
            <w:pPr>
              <w:adjustRightInd w:val="0"/>
              <w:ind w:firstLine="482"/>
              <w:jc w:val="center"/>
              <w:rPr>
                <w:rFonts w:hint="default" w:ascii="Times New Roman" w:hAnsi="Times New Roman" w:cs="Times New Roman"/>
                <w:b/>
                <w:bCs/>
                <w:szCs w:val="21"/>
                <w:highlight w:val="none"/>
                <w:lang w:val="zh-CN"/>
              </w:rPr>
            </w:pPr>
            <w:r>
              <w:rPr>
                <w:rFonts w:hint="default" w:ascii="Times New Roman" w:hAnsi="Times New Roman" w:cs="Times New Roman"/>
                <w:b/>
                <w:bCs/>
                <w:szCs w:val="21"/>
                <w:highlight w:val="none"/>
                <w:lang w:val="zh-CN"/>
              </w:rPr>
              <w:t>表</w:t>
            </w:r>
            <w:r>
              <w:rPr>
                <w:rFonts w:hint="default" w:ascii="Times New Roman" w:hAnsi="Times New Roman" w:cs="Times New Roman"/>
                <w:b/>
                <w:bCs/>
                <w:szCs w:val="21"/>
                <w:highlight w:val="none"/>
              </w:rPr>
              <w:t>4-16</w:t>
            </w:r>
            <w:r>
              <w:rPr>
                <w:rFonts w:hint="default" w:ascii="Times New Roman" w:hAnsi="Times New Roman" w:cs="Times New Roman"/>
                <w:b/>
                <w:bCs/>
                <w:szCs w:val="21"/>
                <w:highlight w:val="none"/>
                <w:lang w:val="zh-CN"/>
              </w:rPr>
              <w:t>评价工作等级划分表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5"/>
              <w:gridCol w:w="1685"/>
              <w:gridCol w:w="1685"/>
              <w:gridCol w:w="1685"/>
              <w:gridCol w:w="1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0" w:type="pct"/>
                  <w:noWrap w:val="0"/>
                  <w:vAlign w:val="center"/>
                </w:tcPr>
                <w:p>
                  <w:pPr>
                    <w:adjustRightInd w:val="0"/>
                    <w:snapToGrid w:val="0"/>
                    <w:jc w:val="center"/>
                    <w:rPr>
                      <w:rFonts w:hint="default" w:ascii="Times New Roman" w:hAnsi="Times New Roman" w:cs="Times New Roman"/>
                      <w:b/>
                      <w:bCs/>
                      <w:kern w:val="0"/>
                      <w:szCs w:val="21"/>
                      <w:highlight w:val="none"/>
                      <w:lang w:val="zh-CN"/>
                    </w:rPr>
                  </w:pPr>
                  <w:r>
                    <w:rPr>
                      <w:rFonts w:hint="default" w:ascii="Times New Roman" w:hAnsi="Times New Roman" w:cs="Times New Roman"/>
                      <w:b/>
                      <w:bCs/>
                      <w:kern w:val="0"/>
                      <w:szCs w:val="21"/>
                      <w:highlight w:val="none"/>
                      <w:lang w:val="zh-CN"/>
                    </w:rPr>
                    <w:t>环境风险潜势</w:t>
                  </w:r>
                </w:p>
              </w:tc>
              <w:tc>
                <w:tcPr>
                  <w:tcW w:w="1000" w:type="pct"/>
                  <w:noWrap w:val="0"/>
                  <w:vAlign w:val="center"/>
                </w:tcPr>
                <w:p>
                  <w:pPr>
                    <w:adjustRightInd w:val="0"/>
                    <w:snapToGrid w:val="0"/>
                    <w:jc w:val="center"/>
                    <w:rPr>
                      <w:rFonts w:hint="default" w:ascii="Times New Roman" w:hAnsi="Times New Roman" w:cs="Times New Roman"/>
                      <w:b/>
                      <w:bCs/>
                      <w:kern w:val="0"/>
                      <w:szCs w:val="21"/>
                      <w:highlight w:val="none"/>
                      <w:lang w:val="zh-CN"/>
                    </w:rPr>
                  </w:pPr>
                  <w:r>
                    <w:rPr>
                      <w:rFonts w:hint="default" w:ascii="Times New Roman" w:hAnsi="Times New Roman" w:cs="Times New Roman"/>
                      <w:b/>
                      <w:bCs/>
                      <w:kern w:val="0"/>
                      <w:szCs w:val="21"/>
                      <w:highlight w:val="none"/>
                      <w:lang w:val="zh-CN"/>
                    </w:rPr>
                    <w:fldChar w:fldCharType="begin"/>
                  </w:r>
                  <w:r>
                    <w:rPr>
                      <w:rFonts w:hint="default" w:ascii="Times New Roman" w:hAnsi="Times New Roman" w:cs="Times New Roman"/>
                      <w:b/>
                      <w:bCs/>
                      <w:kern w:val="0"/>
                      <w:szCs w:val="21"/>
                      <w:highlight w:val="none"/>
                      <w:lang w:val="zh-CN"/>
                    </w:rPr>
                    <w:instrText xml:space="preserve"> = 4 \* ROMAN </w:instrText>
                  </w:r>
                  <w:r>
                    <w:rPr>
                      <w:rFonts w:hint="default" w:ascii="Times New Roman" w:hAnsi="Times New Roman" w:cs="Times New Roman"/>
                      <w:b/>
                      <w:bCs/>
                      <w:kern w:val="0"/>
                      <w:szCs w:val="21"/>
                      <w:highlight w:val="none"/>
                      <w:lang w:val="zh-CN"/>
                    </w:rPr>
                    <w:fldChar w:fldCharType="separate"/>
                  </w:r>
                  <w:r>
                    <w:rPr>
                      <w:rFonts w:hint="default" w:ascii="Times New Roman" w:hAnsi="Times New Roman" w:cs="Times New Roman"/>
                      <w:b/>
                      <w:bCs/>
                      <w:kern w:val="0"/>
                      <w:szCs w:val="21"/>
                      <w:highlight w:val="none"/>
                      <w:lang w:val="zh-CN"/>
                    </w:rPr>
                    <w:t>IV</w:t>
                  </w:r>
                  <w:r>
                    <w:rPr>
                      <w:rFonts w:hint="default" w:ascii="Times New Roman" w:hAnsi="Times New Roman" w:cs="Times New Roman"/>
                      <w:b/>
                      <w:bCs/>
                      <w:kern w:val="0"/>
                      <w:szCs w:val="21"/>
                      <w:highlight w:val="none"/>
                      <w:lang w:val="zh-CN"/>
                    </w:rPr>
                    <w:fldChar w:fldCharType="end"/>
                  </w:r>
                  <w:r>
                    <w:rPr>
                      <w:rFonts w:hint="default" w:ascii="Times New Roman" w:hAnsi="Times New Roman" w:cs="Times New Roman"/>
                      <w:b/>
                      <w:bCs/>
                      <w:kern w:val="0"/>
                      <w:szCs w:val="21"/>
                      <w:highlight w:val="none"/>
                      <w:lang w:val="zh-CN"/>
                    </w:rPr>
                    <w:t>、</w:t>
                  </w:r>
                  <w:r>
                    <w:rPr>
                      <w:rFonts w:hint="default" w:ascii="Times New Roman" w:hAnsi="Times New Roman" w:cs="Times New Roman"/>
                      <w:b/>
                      <w:bCs/>
                      <w:kern w:val="0"/>
                      <w:szCs w:val="21"/>
                      <w:highlight w:val="none"/>
                      <w:lang w:val="zh-CN"/>
                    </w:rPr>
                    <w:fldChar w:fldCharType="begin"/>
                  </w:r>
                  <w:r>
                    <w:rPr>
                      <w:rFonts w:hint="default" w:ascii="Times New Roman" w:hAnsi="Times New Roman" w:cs="Times New Roman"/>
                      <w:b/>
                      <w:bCs/>
                      <w:kern w:val="0"/>
                      <w:szCs w:val="21"/>
                      <w:highlight w:val="none"/>
                      <w:lang w:val="zh-CN"/>
                    </w:rPr>
                    <w:instrText xml:space="preserve"> = 4 \* ROMAN </w:instrText>
                  </w:r>
                  <w:r>
                    <w:rPr>
                      <w:rFonts w:hint="default" w:ascii="Times New Roman" w:hAnsi="Times New Roman" w:cs="Times New Roman"/>
                      <w:b/>
                      <w:bCs/>
                      <w:kern w:val="0"/>
                      <w:szCs w:val="21"/>
                      <w:highlight w:val="none"/>
                      <w:lang w:val="zh-CN"/>
                    </w:rPr>
                    <w:fldChar w:fldCharType="separate"/>
                  </w:r>
                  <w:r>
                    <w:rPr>
                      <w:rFonts w:hint="default" w:ascii="Times New Roman" w:hAnsi="Times New Roman" w:cs="Times New Roman"/>
                      <w:b/>
                      <w:bCs/>
                      <w:kern w:val="0"/>
                      <w:szCs w:val="21"/>
                      <w:highlight w:val="none"/>
                      <w:lang w:val="zh-CN"/>
                    </w:rPr>
                    <w:t>IV</w:t>
                  </w:r>
                  <w:r>
                    <w:rPr>
                      <w:rFonts w:hint="default" w:ascii="Times New Roman" w:hAnsi="Times New Roman" w:cs="Times New Roman"/>
                      <w:b/>
                      <w:bCs/>
                      <w:kern w:val="0"/>
                      <w:szCs w:val="21"/>
                      <w:highlight w:val="none"/>
                      <w:lang w:val="zh-CN"/>
                    </w:rPr>
                    <w:fldChar w:fldCharType="end"/>
                  </w:r>
                  <w:r>
                    <w:rPr>
                      <w:rFonts w:hint="default" w:ascii="Times New Roman" w:hAnsi="Times New Roman" w:cs="Times New Roman"/>
                      <w:b/>
                      <w:bCs/>
                      <w:kern w:val="0"/>
                      <w:szCs w:val="21"/>
                      <w:highlight w:val="none"/>
                      <w:vertAlign w:val="superscript"/>
                      <w:lang w:val="zh-CN"/>
                    </w:rPr>
                    <w:t>+</w:t>
                  </w:r>
                </w:p>
              </w:tc>
              <w:tc>
                <w:tcPr>
                  <w:tcW w:w="1000" w:type="pct"/>
                  <w:noWrap w:val="0"/>
                  <w:vAlign w:val="center"/>
                </w:tcPr>
                <w:p>
                  <w:pPr>
                    <w:adjustRightInd w:val="0"/>
                    <w:snapToGrid w:val="0"/>
                    <w:jc w:val="center"/>
                    <w:rPr>
                      <w:rFonts w:hint="default" w:ascii="Times New Roman" w:hAnsi="Times New Roman" w:cs="Times New Roman"/>
                      <w:b/>
                      <w:bCs/>
                      <w:kern w:val="0"/>
                      <w:szCs w:val="21"/>
                      <w:highlight w:val="none"/>
                      <w:lang w:val="zh-CN"/>
                    </w:rPr>
                  </w:pPr>
                  <w:r>
                    <w:rPr>
                      <w:rFonts w:hint="default" w:ascii="Times New Roman" w:hAnsi="Times New Roman" w:cs="Times New Roman"/>
                      <w:b/>
                      <w:bCs/>
                      <w:kern w:val="0"/>
                      <w:szCs w:val="21"/>
                      <w:highlight w:val="none"/>
                      <w:lang w:val="zh-CN"/>
                    </w:rPr>
                    <w:fldChar w:fldCharType="begin"/>
                  </w:r>
                  <w:r>
                    <w:rPr>
                      <w:rFonts w:hint="default" w:ascii="Times New Roman" w:hAnsi="Times New Roman" w:cs="Times New Roman"/>
                      <w:b/>
                      <w:bCs/>
                      <w:kern w:val="0"/>
                      <w:szCs w:val="21"/>
                      <w:highlight w:val="none"/>
                      <w:lang w:val="zh-CN"/>
                    </w:rPr>
                    <w:instrText xml:space="preserve"> = 3 \* ROMAN </w:instrText>
                  </w:r>
                  <w:r>
                    <w:rPr>
                      <w:rFonts w:hint="default" w:ascii="Times New Roman" w:hAnsi="Times New Roman" w:cs="Times New Roman"/>
                      <w:b/>
                      <w:bCs/>
                      <w:kern w:val="0"/>
                      <w:szCs w:val="21"/>
                      <w:highlight w:val="none"/>
                      <w:lang w:val="zh-CN"/>
                    </w:rPr>
                    <w:fldChar w:fldCharType="separate"/>
                  </w:r>
                  <w:r>
                    <w:rPr>
                      <w:rFonts w:hint="default" w:ascii="Times New Roman" w:hAnsi="Times New Roman" w:cs="Times New Roman"/>
                      <w:b/>
                      <w:bCs/>
                      <w:kern w:val="0"/>
                      <w:szCs w:val="21"/>
                      <w:highlight w:val="none"/>
                      <w:lang w:val="zh-CN"/>
                    </w:rPr>
                    <w:t>III</w:t>
                  </w:r>
                  <w:r>
                    <w:rPr>
                      <w:rFonts w:hint="default" w:ascii="Times New Roman" w:hAnsi="Times New Roman" w:cs="Times New Roman"/>
                      <w:b/>
                      <w:bCs/>
                      <w:kern w:val="0"/>
                      <w:szCs w:val="21"/>
                      <w:highlight w:val="none"/>
                      <w:lang w:val="zh-CN"/>
                    </w:rPr>
                    <w:fldChar w:fldCharType="end"/>
                  </w:r>
                </w:p>
              </w:tc>
              <w:tc>
                <w:tcPr>
                  <w:tcW w:w="1000" w:type="pct"/>
                  <w:noWrap w:val="0"/>
                  <w:vAlign w:val="center"/>
                </w:tcPr>
                <w:p>
                  <w:pPr>
                    <w:adjustRightInd w:val="0"/>
                    <w:snapToGrid w:val="0"/>
                    <w:jc w:val="center"/>
                    <w:rPr>
                      <w:rFonts w:hint="default" w:ascii="Times New Roman" w:hAnsi="Times New Roman" w:cs="Times New Roman"/>
                      <w:b/>
                      <w:bCs/>
                      <w:kern w:val="0"/>
                      <w:szCs w:val="21"/>
                      <w:highlight w:val="none"/>
                      <w:lang w:val="zh-CN"/>
                    </w:rPr>
                  </w:pPr>
                  <w:r>
                    <w:rPr>
                      <w:rFonts w:hint="default" w:ascii="Times New Roman" w:hAnsi="Times New Roman" w:cs="Times New Roman"/>
                      <w:b/>
                      <w:bCs/>
                      <w:kern w:val="0"/>
                      <w:szCs w:val="21"/>
                      <w:highlight w:val="none"/>
                      <w:lang w:val="zh-CN"/>
                    </w:rPr>
                    <w:fldChar w:fldCharType="begin"/>
                  </w:r>
                  <w:r>
                    <w:rPr>
                      <w:rFonts w:hint="default" w:ascii="Times New Roman" w:hAnsi="Times New Roman" w:cs="Times New Roman"/>
                      <w:b/>
                      <w:bCs/>
                      <w:kern w:val="0"/>
                      <w:szCs w:val="21"/>
                      <w:highlight w:val="none"/>
                      <w:lang w:val="zh-CN"/>
                    </w:rPr>
                    <w:instrText xml:space="preserve"> = 2 \* ROMAN </w:instrText>
                  </w:r>
                  <w:r>
                    <w:rPr>
                      <w:rFonts w:hint="default" w:ascii="Times New Roman" w:hAnsi="Times New Roman" w:cs="Times New Roman"/>
                      <w:b/>
                      <w:bCs/>
                      <w:kern w:val="0"/>
                      <w:szCs w:val="21"/>
                      <w:highlight w:val="none"/>
                      <w:lang w:val="zh-CN"/>
                    </w:rPr>
                    <w:fldChar w:fldCharType="separate"/>
                  </w:r>
                  <w:r>
                    <w:rPr>
                      <w:rFonts w:hint="default" w:ascii="Times New Roman" w:hAnsi="Times New Roman" w:cs="Times New Roman"/>
                      <w:b/>
                      <w:bCs/>
                      <w:kern w:val="0"/>
                      <w:szCs w:val="21"/>
                      <w:highlight w:val="none"/>
                      <w:lang w:val="zh-CN"/>
                    </w:rPr>
                    <w:t>II</w:t>
                  </w:r>
                  <w:r>
                    <w:rPr>
                      <w:rFonts w:hint="default" w:ascii="Times New Roman" w:hAnsi="Times New Roman" w:cs="Times New Roman"/>
                      <w:b/>
                      <w:bCs/>
                      <w:kern w:val="0"/>
                      <w:szCs w:val="21"/>
                      <w:highlight w:val="none"/>
                      <w:lang w:val="zh-CN"/>
                    </w:rPr>
                    <w:fldChar w:fldCharType="end"/>
                  </w:r>
                </w:p>
              </w:tc>
              <w:tc>
                <w:tcPr>
                  <w:tcW w:w="1000" w:type="pct"/>
                  <w:noWrap w:val="0"/>
                  <w:vAlign w:val="center"/>
                </w:tcPr>
                <w:p>
                  <w:pPr>
                    <w:adjustRightInd w:val="0"/>
                    <w:snapToGrid w:val="0"/>
                    <w:jc w:val="center"/>
                    <w:rPr>
                      <w:rFonts w:hint="default" w:ascii="Times New Roman" w:hAnsi="Times New Roman" w:cs="Times New Roman"/>
                      <w:b/>
                      <w:bCs/>
                      <w:kern w:val="0"/>
                      <w:szCs w:val="21"/>
                      <w:highlight w:val="none"/>
                      <w:lang w:val="zh-CN"/>
                    </w:rPr>
                  </w:pPr>
                  <w:r>
                    <w:rPr>
                      <w:rFonts w:hint="default" w:ascii="Times New Roman" w:hAnsi="Times New Roman" w:cs="Times New Roman"/>
                      <w:b/>
                      <w:bCs/>
                      <w:kern w:val="0"/>
                      <w:szCs w:val="21"/>
                      <w:highlight w:val="none"/>
                      <w:lang w:val="zh-CN"/>
                    </w:rPr>
                    <w:fldChar w:fldCharType="begin"/>
                  </w:r>
                  <w:r>
                    <w:rPr>
                      <w:rFonts w:hint="default" w:ascii="Times New Roman" w:hAnsi="Times New Roman" w:cs="Times New Roman"/>
                      <w:b/>
                      <w:bCs/>
                      <w:kern w:val="0"/>
                      <w:szCs w:val="21"/>
                      <w:highlight w:val="none"/>
                      <w:lang w:val="zh-CN"/>
                    </w:rPr>
                    <w:instrText xml:space="preserve"> = 1 \* ROMAN </w:instrText>
                  </w:r>
                  <w:r>
                    <w:rPr>
                      <w:rFonts w:hint="default" w:ascii="Times New Roman" w:hAnsi="Times New Roman" w:cs="Times New Roman"/>
                      <w:b/>
                      <w:bCs/>
                      <w:kern w:val="0"/>
                      <w:szCs w:val="21"/>
                      <w:highlight w:val="none"/>
                      <w:lang w:val="zh-CN"/>
                    </w:rPr>
                    <w:fldChar w:fldCharType="separate"/>
                  </w:r>
                  <w:r>
                    <w:rPr>
                      <w:rFonts w:hint="default" w:ascii="Times New Roman" w:hAnsi="Times New Roman" w:cs="Times New Roman"/>
                      <w:b/>
                      <w:bCs/>
                      <w:kern w:val="0"/>
                      <w:szCs w:val="21"/>
                      <w:highlight w:val="none"/>
                      <w:lang w:val="zh-CN"/>
                    </w:rPr>
                    <w:t>I</w:t>
                  </w:r>
                  <w:r>
                    <w:rPr>
                      <w:rFonts w:hint="default" w:ascii="Times New Roman" w:hAnsi="Times New Roman" w:cs="Times New Roman"/>
                      <w:b/>
                      <w:bCs/>
                      <w:kern w:val="0"/>
                      <w:szCs w:val="21"/>
                      <w:highlight w:val="none"/>
                      <w:lang w:val="zh-CN"/>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00" w:type="pct"/>
                  <w:noWrap w:val="0"/>
                  <w:vAlign w:val="center"/>
                </w:tcPr>
                <w:p>
                  <w:pPr>
                    <w:adjustRightInd w:val="0"/>
                    <w:snapToGrid w:val="0"/>
                    <w:jc w:val="center"/>
                    <w:rPr>
                      <w:rFonts w:hint="default" w:ascii="Times New Roman" w:hAnsi="Times New Roman" w:cs="Times New Roman"/>
                      <w:kern w:val="0"/>
                      <w:szCs w:val="21"/>
                      <w:highlight w:val="none"/>
                      <w:lang w:val="zh-CN"/>
                    </w:rPr>
                  </w:pPr>
                  <w:r>
                    <w:rPr>
                      <w:rFonts w:hint="default" w:ascii="Times New Roman" w:hAnsi="Times New Roman" w:cs="Times New Roman"/>
                      <w:kern w:val="0"/>
                      <w:szCs w:val="21"/>
                      <w:highlight w:val="none"/>
                      <w:lang w:val="zh-CN"/>
                    </w:rPr>
                    <w:t>评价工作等级</w:t>
                  </w:r>
                </w:p>
              </w:tc>
              <w:tc>
                <w:tcPr>
                  <w:tcW w:w="1000" w:type="pct"/>
                  <w:noWrap w:val="0"/>
                  <w:vAlign w:val="center"/>
                </w:tcPr>
                <w:p>
                  <w:pPr>
                    <w:adjustRightInd w:val="0"/>
                    <w:snapToGrid w:val="0"/>
                    <w:jc w:val="center"/>
                    <w:rPr>
                      <w:rFonts w:hint="default" w:ascii="Times New Roman" w:hAnsi="Times New Roman" w:cs="Times New Roman"/>
                      <w:kern w:val="0"/>
                      <w:szCs w:val="21"/>
                      <w:highlight w:val="none"/>
                      <w:lang w:val="zh-CN"/>
                    </w:rPr>
                  </w:pPr>
                  <w:r>
                    <w:rPr>
                      <w:rFonts w:hint="default" w:ascii="Times New Roman" w:hAnsi="Times New Roman" w:cs="Times New Roman"/>
                      <w:kern w:val="0"/>
                      <w:szCs w:val="21"/>
                      <w:highlight w:val="none"/>
                      <w:lang w:val="zh-CN"/>
                    </w:rPr>
                    <w:t>一</w:t>
                  </w:r>
                </w:p>
              </w:tc>
              <w:tc>
                <w:tcPr>
                  <w:tcW w:w="1000" w:type="pct"/>
                  <w:noWrap w:val="0"/>
                  <w:vAlign w:val="center"/>
                </w:tcPr>
                <w:p>
                  <w:pPr>
                    <w:adjustRightInd w:val="0"/>
                    <w:snapToGrid w:val="0"/>
                    <w:jc w:val="center"/>
                    <w:rPr>
                      <w:rFonts w:hint="default" w:ascii="Times New Roman" w:hAnsi="Times New Roman" w:cs="Times New Roman"/>
                      <w:kern w:val="0"/>
                      <w:szCs w:val="21"/>
                      <w:highlight w:val="none"/>
                      <w:lang w:val="zh-CN"/>
                    </w:rPr>
                  </w:pPr>
                  <w:r>
                    <w:rPr>
                      <w:rFonts w:hint="default" w:ascii="Times New Roman" w:hAnsi="Times New Roman" w:cs="Times New Roman"/>
                      <w:kern w:val="0"/>
                      <w:szCs w:val="21"/>
                      <w:highlight w:val="none"/>
                      <w:lang w:val="zh-CN"/>
                    </w:rPr>
                    <w:t>二</w:t>
                  </w:r>
                </w:p>
              </w:tc>
              <w:tc>
                <w:tcPr>
                  <w:tcW w:w="1000" w:type="pct"/>
                  <w:noWrap w:val="0"/>
                  <w:vAlign w:val="center"/>
                </w:tcPr>
                <w:p>
                  <w:pPr>
                    <w:adjustRightInd w:val="0"/>
                    <w:snapToGrid w:val="0"/>
                    <w:jc w:val="center"/>
                    <w:rPr>
                      <w:rFonts w:hint="default" w:ascii="Times New Roman" w:hAnsi="Times New Roman" w:cs="Times New Roman"/>
                      <w:kern w:val="0"/>
                      <w:szCs w:val="21"/>
                      <w:highlight w:val="none"/>
                      <w:lang w:val="zh-CN"/>
                    </w:rPr>
                  </w:pPr>
                  <w:r>
                    <w:rPr>
                      <w:rFonts w:hint="default" w:ascii="Times New Roman" w:hAnsi="Times New Roman" w:cs="Times New Roman"/>
                      <w:kern w:val="0"/>
                      <w:szCs w:val="21"/>
                      <w:highlight w:val="none"/>
                      <w:lang w:val="zh-CN"/>
                    </w:rPr>
                    <w:t>三</w:t>
                  </w:r>
                </w:p>
              </w:tc>
              <w:tc>
                <w:tcPr>
                  <w:tcW w:w="1000" w:type="pct"/>
                  <w:noWrap w:val="0"/>
                  <w:vAlign w:val="center"/>
                </w:tcPr>
                <w:p>
                  <w:pPr>
                    <w:adjustRightInd w:val="0"/>
                    <w:snapToGrid w:val="0"/>
                    <w:jc w:val="center"/>
                    <w:rPr>
                      <w:rFonts w:hint="default" w:ascii="Times New Roman" w:hAnsi="Times New Roman" w:cs="Times New Roman"/>
                      <w:kern w:val="0"/>
                      <w:szCs w:val="21"/>
                      <w:highlight w:val="none"/>
                      <w:lang w:val="zh-CN"/>
                    </w:rPr>
                  </w:pPr>
                  <w:r>
                    <w:rPr>
                      <w:rFonts w:hint="default" w:ascii="Times New Roman" w:hAnsi="Times New Roman" w:cs="Times New Roman"/>
                      <w:kern w:val="0"/>
                      <w:szCs w:val="21"/>
                      <w:highlight w:val="none"/>
                      <w:lang w:val="zh-CN"/>
                    </w:rPr>
                    <w:t>简单分析</w:t>
                  </w:r>
                </w:p>
              </w:tc>
            </w:tr>
          </w:tbl>
          <w:p>
            <w:pPr>
              <w:spacing w:line="360" w:lineRule="auto"/>
              <w:ind w:firstLine="420" w:firstLineChars="200"/>
              <w:rPr>
                <w:rFonts w:hint="default" w:ascii="Times New Roman" w:hAnsi="Times New Roman" w:cs="Times New Roman"/>
                <w:kern w:val="0"/>
                <w:szCs w:val="21"/>
                <w:highlight w:val="none"/>
                <w:lang w:val="zh-CN"/>
              </w:rPr>
            </w:pPr>
            <w:r>
              <w:rPr>
                <w:rFonts w:hint="default" w:ascii="Times New Roman" w:hAnsi="Times New Roman" w:cs="Times New Roman"/>
                <w:kern w:val="0"/>
                <w:szCs w:val="21"/>
                <w:highlight w:val="none"/>
                <w:lang w:val="zh-CN"/>
              </w:rPr>
              <w:t>项目风险潜势为</w:t>
            </w:r>
            <w:r>
              <w:rPr>
                <w:rFonts w:hint="default" w:ascii="Times New Roman" w:hAnsi="Times New Roman" w:cs="Times New Roman"/>
                <w:kern w:val="0"/>
                <w:szCs w:val="21"/>
                <w:highlight w:val="none"/>
                <w:lang w:val="zh-CN"/>
              </w:rPr>
              <w:fldChar w:fldCharType="begin"/>
            </w:r>
            <w:r>
              <w:rPr>
                <w:rFonts w:hint="default" w:ascii="Times New Roman" w:hAnsi="Times New Roman" w:cs="Times New Roman"/>
                <w:kern w:val="0"/>
                <w:szCs w:val="21"/>
                <w:highlight w:val="none"/>
                <w:lang w:val="zh-CN"/>
              </w:rPr>
              <w:instrText xml:space="preserve"> = 1 \* ROMAN </w:instrText>
            </w:r>
            <w:r>
              <w:rPr>
                <w:rFonts w:hint="default" w:ascii="Times New Roman" w:hAnsi="Times New Roman" w:cs="Times New Roman"/>
                <w:kern w:val="0"/>
                <w:szCs w:val="21"/>
                <w:highlight w:val="none"/>
                <w:lang w:val="zh-CN"/>
              </w:rPr>
              <w:fldChar w:fldCharType="separate"/>
            </w:r>
            <w:r>
              <w:rPr>
                <w:rFonts w:hint="default" w:ascii="Times New Roman" w:hAnsi="Times New Roman" w:cs="Times New Roman"/>
                <w:kern w:val="0"/>
                <w:szCs w:val="21"/>
                <w:highlight w:val="none"/>
                <w:lang w:val="zh-CN"/>
              </w:rPr>
              <w:t>I</w:t>
            </w:r>
            <w:r>
              <w:rPr>
                <w:rFonts w:hint="default" w:ascii="Times New Roman" w:hAnsi="Times New Roman" w:cs="Times New Roman"/>
                <w:kern w:val="0"/>
                <w:szCs w:val="21"/>
                <w:highlight w:val="none"/>
                <w:lang w:val="zh-CN"/>
              </w:rPr>
              <w:fldChar w:fldCharType="end"/>
            </w:r>
            <w:r>
              <w:rPr>
                <w:rFonts w:hint="default" w:ascii="Times New Roman" w:hAnsi="Times New Roman" w:cs="Times New Roman"/>
                <w:kern w:val="0"/>
                <w:szCs w:val="21"/>
                <w:highlight w:val="none"/>
                <w:lang w:val="zh-CN"/>
              </w:rPr>
              <w:t>，故环境风险评价工作等级为简单分析。</w:t>
            </w:r>
          </w:p>
          <w:p>
            <w:pPr>
              <w:keepNext w:val="0"/>
              <w:keepLines w:val="0"/>
              <w:widowControl/>
              <w:suppressLineNumbers w:val="0"/>
              <w:spacing w:line="360" w:lineRule="auto"/>
              <w:ind w:firstLine="210" w:firstLineChars="100"/>
              <w:jc w:val="left"/>
              <w:rPr>
                <w:rFonts w:hint="default" w:ascii="Times New Roman" w:hAnsi="Times New Roman" w:eastAsia="宋体" w:cs="Times New Roman"/>
                <w:bCs/>
                <w:sz w:val="21"/>
                <w:szCs w:val="21"/>
                <w:highlight w:val="none"/>
              </w:rPr>
            </w:pPr>
            <w:r>
              <w:rPr>
                <w:rFonts w:hint="default" w:ascii="Times New Roman" w:hAnsi="Times New Roman" w:eastAsia="宋体" w:cs="Times New Roman"/>
                <w:bCs/>
                <w:sz w:val="21"/>
                <w:szCs w:val="21"/>
                <w:highlight w:val="none"/>
              </w:rPr>
              <w:t>（2）</w:t>
            </w:r>
            <w:r>
              <w:rPr>
                <w:rFonts w:hint="default" w:ascii="Times New Roman" w:hAnsi="Times New Roman" w:eastAsia="宋体" w:cs="Times New Roman"/>
                <w:color w:val="000000"/>
                <w:kern w:val="0"/>
                <w:sz w:val="21"/>
                <w:szCs w:val="21"/>
                <w:lang w:val="en-US" w:eastAsia="zh-CN" w:bidi="ar"/>
              </w:rPr>
              <w:t>影响途径</w:t>
            </w:r>
          </w:p>
          <w:p>
            <w:pPr>
              <w:keepNext w:val="0"/>
              <w:keepLines w:val="0"/>
              <w:widowControl/>
              <w:suppressLineNumbers w:val="0"/>
              <w:spacing w:line="360" w:lineRule="auto"/>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本项目存在的环境风险主要是储油罐的事故泄漏，以及在物料的运输、仓储和生产过程中，如管理、操作不当或意外事故，都有可能造成火灾、爆炸等环境事故风险。泄漏扩散途径：成品油在储存和经营过程中，由于设备原因、管理原因，以及人为失误等造成管道、储罐、加油机、法兰、阀门等发生泄漏，泄漏物成品油经雨水管网、污水管网及地面渗漏的方式等流出加油站，对区域环境造成污染，对周围土壤、地下水、大气环境产生影响。地下水和土壤：储油罐和输油管线的泄漏或渗漏对地下水和土壤的污染较为严重。一旦地下水遭到成品油的污染，将使地下水产生严重异味，并具有较强的致畸癌性。同时由于这种渗透必然穿过较厚的土壤层，使土壤层中吸附大量的成品油，土壤层吸附的成品油不仅对土壤造成污染还会随着地表水的下渗对土壤层的冲刷补充到地下水，这样即使污染源得到及时控制，地下水的恢复需要几十年甚至上百年的时间。火灾、爆炸扩散途径：罐体发生火灾、爆炸，主要产生二氧化碳、一氧化碳和水，没有其他复杂的污染物，随着大气扩散，对周围大气环境产生影响。</w:t>
            </w:r>
          </w:p>
          <w:p>
            <w:pPr>
              <w:keepNext w:val="0"/>
              <w:keepLines w:val="0"/>
              <w:widowControl/>
              <w:numPr>
                <w:ilvl w:val="0"/>
                <w:numId w:val="5"/>
              </w:numPr>
              <w:suppressLineNumbers w:val="0"/>
              <w:spacing w:line="360" w:lineRule="auto"/>
              <w:ind w:firstLine="210" w:firstLineChars="1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环境风险防范措施及应急要求</w:t>
            </w:r>
          </w:p>
          <w:p>
            <w:pPr>
              <w:keepNext w:val="0"/>
              <w:keepLines w:val="0"/>
              <w:widowControl/>
              <w:numPr>
                <w:ilvl w:val="0"/>
                <w:numId w:val="6"/>
              </w:numPr>
              <w:suppressLineNumbers w:val="0"/>
              <w:spacing w:line="360" w:lineRule="auto"/>
              <w:ind w:firstLine="210" w:firstLineChars="1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风险防范措施</w:t>
            </w:r>
          </w:p>
          <w:p>
            <w:pPr>
              <w:keepNext w:val="0"/>
              <w:keepLines w:val="0"/>
              <w:widowControl/>
              <w:numPr>
                <w:ilvl w:val="0"/>
                <w:numId w:val="0"/>
              </w:numPr>
              <w:suppressLineNumbers w:val="0"/>
              <w:spacing w:line="360" w:lineRule="auto"/>
              <w:ind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本项目为防止事故的发生，严格按照《汽车加油加气站设计与施工规范》（GB50156-20</w:t>
            </w:r>
            <w:r>
              <w:rPr>
                <w:rFonts w:hint="eastAsia" w:ascii="Times New Roman" w:hAnsi="Times New Roman" w:eastAsia="宋体" w:cs="Times New Roman"/>
                <w:color w:val="auto"/>
                <w:kern w:val="0"/>
                <w:sz w:val="21"/>
                <w:szCs w:val="21"/>
                <w:lang w:val="en-US" w:eastAsia="zh-CN" w:bidi="ar"/>
              </w:rPr>
              <w:t>21</w:t>
            </w:r>
            <w:r>
              <w:rPr>
                <w:rFonts w:hint="default" w:ascii="Times New Roman" w:hAnsi="Times New Roman" w:eastAsia="宋体" w:cs="Times New Roman"/>
                <w:color w:val="auto"/>
                <w:kern w:val="0"/>
                <w:sz w:val="21"/>
                <w:szCs w:val="21"/>
                <w:lang w:val="en-US" w:eastAsia="zh-CN" w:bidi="ar"/>
              </w:rPr>
              <w:t>）进行了设计与施工，采取了</w:t>
            </w:r>
            <w:r>
              <w:rPr>
                <w:rFonts w:hint="eastAsia" w:ascii="Times New Roman" w:hAnsi="Times New Roman" w:eastAsia="宋体" w:cs="Times New Roman"/>
                <w:color w:val="auto"/>
                <w:kern w:val="0"/>
                <w:sz w:val="21"/>
                <w:szCs w:val="21"/>
                <w:lang w:val="en-US" w:eastAsia="zh-CN" w:bidi="ar"/>
              </w:rPr>
              <w:t>防范</w:t>
            </w:r>
            <w:r>
              <w:rPr>
                <w:rFonts w:hint="default" w:ascii="Times New Roman" w:hAnsi="Times New Roman" w:eastAsia="宋体" w:cs="Times New Roman"/>
                <w:color w:val="auto"/>
                <w:kern w:val="0"/>
                <w:sz w:val="21"/>
                <w:szCs w:val="21"/>
                <w:lang w:val="en-US" w:eastAsia="zh-CN" w:bidi="ar"/>
              </w:rPr>
              <w:t>措施，其中主要包括：</w:t>
            </w:r>
          </w:p>
          <w:p>
            <w:pPr>
              <w:keepNext w:val="0"/>
              <w:keepLines w:val="0"/>
              <w:widowControl/>
              <w:numPr>
                <w:ilvl w:val="0"/>
                <w:numId w:val="0"/>
              </w:numPr>
              <w:suppressLineNumbers w:val="0"/>
              <w:spacing w:line="360" w:lineRule="auto"/>
              <w:ind w:firstLine="210" w:firstLineChars="1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①本项目加油站</w:t>
            </w:r>
            <w:r>
              <w:rPr>
                <w:rFonts w:hint="eastAsia" w:ascii="Times New Roman" w:hAnsi="Times New Roman" w:eastAsia="宋体" w:cs="Times New Roman"/>
                <w:color w:val="auto"/>
                <w:kern w:val="0"/>
                <w:sz w:val="21"/>
                <w:szCs w:val="21"/>
                <w:lang w:val="en-US" w:eastAsia="zh-CN" w:bidi="ar"/>
              </w:rPr>
              <w:t>已</w:t>
            </w:r>
            <w:r>
              <w:rPr>
                <w:rFonts w:hint="default" w:ascii="Times New Roman" w:hAnsi="Times New Roman" w:eastAsia="宋体" w:cs="Times New Roman"/>
                <w:color w:val="auto"/>
                <w:kern w:val="0"/>
                <w:sz w:val="21"/>
                <w:szCs w:val="21"/>
                <w:lang w:val="en-US" w:eastAsia="zh-CN" w:bidi="ar"/>
              </w:rPr>
              <w:t>编制了安全现状评价报告，结论为加油站符合相关法律法规、标准规范要求，具备安全生产条件；本项目加油站</w:t>
            </w:r>
            <w:r>
              <w:rPr>
                <w:rFonts w:hint="eastAsia" w:ascii="Times New Roman" w:hAnsi="Times New Roman" w:eastAsia="宋体" w:cs="Times New Roman"/>
                <w:color w:val="auto"/>
                <w:kern w:val="0"/>
                <w:sz w:val="21"/>
                <w:szCs w:val="21"/>
                <w:lang w:val="en-US" w:eastAsia="zh-CN" w:bidi="ar"/>
              </w:rPr>
              <w:t>已</w:t>
            </w:r>
            <w:r>
              <w:rPr>
                <w:rFonts w:hint="default" w:ascii="Times New Roman" w:hAnsi="Times New Roman" w:eastAsia="宋体" w:cs="Times New Roman"/>
                <w:color w:val="auto"/>
                <w:kern w:val="0"/>
                <w:sz w:val="21"/>
                <w:szCs w:val="21"/>
                <w:lang w:val="en-US" w:eastAsia="zh-CN" w:bidi="ar"/>
              </w:rPr>
              <w:t>编制了</w:t>
            </w:r>
            <w:r>
              <w:rPr>
                <w:rFonts w:hint="eastAsia" w:ascii="Times New Roman" w:hAnsi="Times New Roman" w:eastAsia="宋体" w:cs="Times New Roman"/>
                <w:color w:val="auto"/>
                <w:kern w:val="0"/>
                <w:sz w:val="21"/>
                <w:szCs w:val="21"/>
                <w:lang w:val="en-US" w:eastAsia="zh-CN" w:bidi="ar-SA"/>
              </w:rPr>
              <w:t>安全事故应急预案，并已取得备案表</w:t>
            </w:r>
            <w:r>
              <w:rPr>
                <w:rFonts w:hint="default" w:ascii="Times New Roman" w:hAnsi="Times New Roman" w:eastAsia="宋体" w:cs="Times New Roman"/>
                <w:color w:val="auto"/>
                <w:kern w:val="0"/>
                <w:sz w:val="21"/>
                <w:szCs w:val="21"/>
                <w:lang w:val="en-US" w:eastAsia="zh-CN" w:bidi="ar"/>
              </w:rPr>
              <w:t>。</w:t>
            </w:r>
          </w:p>
          <w:p>
            <w:pPr>
              <w:keepNext w:val="0"/>
              <w:keepLines w:val="0"/>
              <w:widowControl/>
              <w:numPr>
                <w:ilvl w:val="0"/>
                <w:numId w:val="0"/>
              </w:numPr>
              <w:suppressLineNumbers w:val="0"/>
              <w:spacing w:line="360" w:lineRule="auto"/>
              <w:ind w:firstLine="210" w:firstLineChars="1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②</w:t>
            </w:r>
            <w:r>
              <w:rPr>
                <w:rFonts w:hint="default" w:ascii="Times New Roman" w:hAnsi="Times New Roman" w:eastAsia="宋体" w:cs="Times New Roman"/>
                <w:color w:val="auto"/>
                <w:kern w:val="0"/>
                <w:sz w:val="21"/>
                <w:szCs w:val="21"/>
                <w:lang w:val="en-US" w:eastAsia="zh-CN" w:bidi="ar"/>
              </w:rPr>
              <w:t>本项目加油站</w:t>
            </w:r>
            <w:r>
              <w:rPr>
                <w:rFonts w:hint="eastAsia" w:ascii="Times New Roman" w:hAnsi="Times New Roman" w:eastAsia="宋体" w:cs="Times New Roman"/>
                <w:color w:val="auto"/>
                <w:kern w:val="0"/>
                <w:sz w:val="21"/>
                <w:szCs w:val="21"/>
                <w:lang w:val="en-US" w:eastAsia="zh-CN" w:bidi="ar"/>
              </w:rPr>
              <w:t>已</w:t>
            </w:r>
            <w:r>
              <w:rPr>
                <w:rFonts w:hint="default" w:ascii="Times New Roman" w:hAnsi="Times New Roman" w:eastAsia="宋体" w:cs="Times New Roman"/>
                <w:color w:val="auto"/>
                <w:kern w:val="0"/>
                <w:sz w:val="21"/>
                <w:szCs w:val="21"/>
                <w:lang w:val="en-US" w:eastAsia="zh-CN" w:bidi="ar"/>
              </w:rPr>
              <w:t>按有关规范设计设置了有效的消防系统，配套了相应的消防器材及应急设施，设专人管理；</w:t>
            </w:r>
          </w:p>
          <w:p>
            <w:pPr>
              <w:keepNext w:val="0"/>
              <w:keepLines w:val="0"/>
              <w:widowControl/>
              <w:numPr>
                <w:ilvl w:val="0"/>
                <w:numId w:val="0"/>
              </w:numPr>
              <w:suppressLineNumbers w:val="0"/>
              <w:spacing w:line="360" w:lineRule="auto"/>
              <w:ind w:firstLine="210" w:firstLineChars="1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③本项目加油站防爆区电气设备、器材的选型、设计安装及维护均符合GB50058-2014《爆炸危险环境电力装置设计规范》的规定，根据安评报告主要包括以下内容：油罐车卸油采用密闭方式；加油机不得设置在室内；汽油罐与柴油罐通气管分开设置，管口高出地面4m，通气管直径大于50mm，且通气管应安装阻火器；油罐均地埋；油罐顶部覆土大于0.5m，油罐周围沙土填实，厚度大于0.5m；油罐采取防渗扩散保护措施、防满溢措施等。</w:t>
            </w:r>
          </w:p>
          <w:p>
            <w:pPr>
              <w:keepNext w:val="0"/>
              <w:keepLines w:val="0"/>
              <w:widowControl/>
              <w:numPr>
                <w:ilvl w:val="0"/>
                <w:numId w:val="0"/>
              </w:numPr>
              <w:suppressLineNumbers w:val="0"/>
              <w:spacing w:line="360" w:lineRule="auto"/>
              <w:ind w:firstLine="210" w:firstLineChars="1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④油罐区卸油口设置静电接地报警装置；</w:t>
            </w:r>
          </w:p>
          <w:p>
            <w:pPr>
              <w:keepNext w:val="0"/>
              <w:keepLines w:val="0"/>
              <w:widowControl/>
              <w:numPr>
                <w:ilvl w:val="0"/>
                <w:numId w:val="0"/>
              </w:numPr>
              <w:suppressLineNumbers w:val="0"/>
              <w:spacing w:line="360" w:lineRule="auto"/>
              <w:ind w:left="210" w:leftChars="100" w:firstLine="0" w:firstLineChars="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⑤在管沟敷设油品管道的始端、末端和分支处，设置防静电和防雷感应的联合接地装置；⑥本项目的土建结构设计单位在进行结构设计时，采取较大的抗震结构保险系数，增加了加油站的抗震能力；</w:t>
            </w:r>
          </w:p>
          <w:p>
            <w:pPr>
              <w:keepNext w:val="0"/>
              <w:keepLines w:val="0"/>
              <w:widowControl/>
              <w:numPr>
                <w:ilvl w:val="0"/>
                <w:numId w:val="0"/>
              </w:numPr>
              <w:suppressLineNumbers w:val="0"/>
              <w:spacing w:line="360" w:lineRule="auto"/>
              <w:ind w:firstLine="210" w:firstLineChars="1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⑦减少管线接口，油罐的进出口管道采用金属软管连接等。</w:t>
            </w:r>
          </w:p>
          <w:p>
            <w:pPr>
              <w:keepNext w:val="0"/>
              <w:keepLines w:val="0"/>
              <w:widowControl/>
              <w:numPr>
                <w:ilvl w:val="0"/>
                <w:numId w:val="0"/>
              </w:numPr>
              <w:suppressLineNumbers w:val="0"/>
              <w:spacing w:line="360" w:lineRule="auto"/>
              <w:ind w:firstLine="210" w:firstLineChars="1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⑧油罐采用双层储罐，输油管线采用双层管线，且设有漏油检测仪。</w:t>
            </w:r>
          </w:p>
          <w:p>
            <w:pPr>
              <w:keepNext w:val="0"/>
              <w:keepLines w:val="0"/>
              <w:widowControl/>
              <w:numPr>
                <w:ilvl w:val="0"/>
                <w:numId w:val="6"/>
              </w:numPr>
              <w:suppressLineNumbers w:val="0"/>
              <w:spacing w:line="360" w:lineRule="auto"/>
              <w:ind w:left="0" w:leftChars="0" w:firstLine="210" w:firstLineChars="1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事故应急处理措施</w:t>
            </w:r>
          </w:p>
          <w:p>
            <w:pPr>
              <w:keepNext w:val="0"/>
              <w:keepLines w:val="0"/>
              <w:widowControl/>
              <w:numPr>
                <w:ilvl w:val="0"/>
                <w:numId w:val="0"/>
              </w:numPr>
              <w:suppressLineNumbers w:val="0"/>
              <w:spacing w:line="360" w:lineRule="auto"/>
              <w:ind w:leftChars="100"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本项目事故类型主要为泄漏引起的石油烃在大气中扩散以及火灾，为降低事故持续时间和事故危害，其事故应急处置措施如下：</w:t>
            </w:r>
          </w:p>
          <w:p>
            <w:pPr>
              <w:keepNext w:val="0"/>
              <w:keepLines w:val="0"/>
              <w:widowControl/>
              <w:numPr>
                <w:ilvl w:val="0"/>
                <w:numId w:val="7"/>
              </w:numPr>
              <w:suppressLineNumbers w:val="0"/>
              <w:spacing w:line="360" w:lineRule="auto"/>
              <w:ind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油品泄漏应急处理措施</w:t>
            </w:r>
          </w:p>
          <w:p>
            <w:pPr>
              <w:keepNext w:val="0"/>
              <w:keepLines w:val="0"/>
              <w:widowControl/>
              <w:numPr>
                <w:ilvl w:val="0"/>
                <w:numId w:val="0"/>
              </w:numPr>
              <w:suppressLineNumbers w:val="0"/>
              <w:spacing w:line="360" w:lineRule="auto"/>
              <w:ind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对发生泄漏的储罐，尽量将发生泄漏的储罐内的物料转移，在此基础上堵漏。若泵发生泄漏，可采取关闭进料阀门、停止作业、改变流程、局部循环、转移物料等方式，在切断物料来源后堵漏。同时需要迅速撤离泄漏污染区人员至安全区，并进行隔离，严格限制出入。切断火源。建议应急处理人员戴自给正压式呼吸器，需穿防静电工作服，戴防苯耐油手套。若小量泄漏则用砂土或其它惰性材料吸收。若大量泄漏，用防爆泵转移至槽车或专用收集器内回收。</w:t>
            </w:r>
          </w:p>
          <w:p>
            <w:pPr>
              <w:keepNext w:val="0"/>
              <w:keepLines w:val="0"/>
              <w:widowControl/>
              <w:numPr>
                <w:ilvl w:val="0"/>
                <w:numId w:val="0"/>
              </w:numPr>
              <w:suppressLineNumbers w:val="0"/>
              <w:spacing w:line="360" w:lineRule="auto"/>
              <w:ind w:leftChars="200"/>
              <w:jc w:val="left"/>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B、</w:t>
            </w:r>
            <w:r>
              <w:rPr>
                <w:rFonts w:hint="default" w:ascii="Times New Roman" w:hAnsi="Times New Roman" w:eastAsia="宋体" w:cs="Times New Roman"/>
                <w:color w:val="auto"/>
                <w:kern w:val="0"/>
                <w:sz w:val="21"/>
                <w:szCs w:val="21"/>
                <w:lang w:val="en-US" w:eastAsia="zh-CN" w:bidi="ar"/>
              </w:rPr>
              <w:t>火灾应急处理措施</w:t>
            </w:r>
          </w:p>
          <w:p>
            <w:pPr>
              <w:keepNext w:val="0"/>
              <w:keepLines w:val="0"/>
              <w:widowControl/>
              <w:numPr>
                <w:ilvl w:val="0"/>
                <w:numId w:val="0"/>
              </w:numPr>
              <w:suppressLineNumbers w:val="0"/>
              <w:spacing w:line="360" w:lineRule="auto"/>
              <w:ind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①首先应切断火势蔓延的途径，冷却和疏散受火势威胁的密闭容器和可燃物，控制燃烧范围，并积极抢救受伤和被困人员。</w:t>
            </w:r>
          </w:p>
          <w:p>
            <w:pPr>
              <w:keepNext w:val="0"/>
              <w:keepLines w:val="0"/>
              <w:widowControl/>
              <w:numPr>
                <w:ilvl w:val="0"/>
                <w:numId w:val="0"/>
              </w:numPr>
              <w:suppressLineNumbers w:val="0"/>
              <w:spacing w:line="360" w:lineRule="auto"/>
              <w:ind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②灭火剂可采用泡沫、干粉、二氧化碳，用水灭火无效。</w:t>
            </w:r>
          </w:p>
          <w:p>
            <w:pPr>
              <w:keepNext w:val="0"/>
              <w:keepLines w:val="0"/>
              <w:widowControl/>
              <w:numPr>
                <w:ilvl w:val="0"/>
                <w:numId w:val="0"/>
              </w:numPr>
              <w:suppressLineNumbers w:val="0"/>
              <w:spacing w:line="360" w:lineRule="auto"/>
              <w:ind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③喷水冷却容器，可能的话将容器从火场移至空旷处。</w:t>
            </w:r>
          </w:p>
          <w:p>
            <w:pPr>
              <w:keepNext w:val="0"/>
              <w:keepLines w:val="0"/>
              <w:widowControl/>
              <w:numPr>
                <w:ilvl w:val="0"/>
                <w:numId w:val="0"/>
              </w:numPr>
              <w:suppressLineNumbers w:val="0"/>
              <w:spacing w:line="360" w:lineRule="auto"/>
              <w:ind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④必须注意油品是否有沸溢、喷溅的征兆。一旦现场指挥发现危险征兆时应迅即作出准确判断，及时下达撤退命令，避免造成人员伤亡和装备损失。扑救人员看到或听到统一撤退信号后，应立即撤至安全地带。</w:t>
            </w:r>
          </w:p>
          <w:p>
            <w:pPr>
              <w:keepNext w:val="0"/>
              <w:keepLines w:val="0"/>
              <w:widowControl/>
              <w:numPr>
                <w:ilvl w:val="0"/>
                <w:numId w:val="0"/>
              </w:numPr>
              <w:suppressLineNumbers w:val="0"/>
              <w:spacing w:line="360" w:lineRule="auto"/>
              <w:ind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⑤迅速准备好堵漏材料，然后先用泡沫、干粉、二氧化碳或雾状水等扑灭地</w:t>
            </w:r>
            <w:r>
              <w:rPr>
                <w:rFonts w:hint="default" w:ascii="Times New Roman" w:hAnsi="Times New Roman" w:eastAsia="宋体" w:cs="Times New Roman"/>
                <w:color w:val="auto"/>
                <w:kern w:val="0"/>
                <w:sz w:val="21"/>
                <w:szCs w:val="21"/>
                <w:lang w:val="en-US" w:eastAsia="zh-CN" w:bidi="ar"/>
              </w:rPr>
              <w:t>上的流淌火焰，为堵漏扫清障碍，其次再扑灭泄漏口的火焰，并迅速采取堵漏措施，堵住液体流淌和控制好周围着火源。</w:t>
            </w:r>
          </w:p>
          <w:p>
            <w:pPr>
              <w:keepNext w:val="0"/>
              <w:keepLines w:val="0"/>
              <w:widowControl/>
              <w:numPr>
                <w:ilvl w:val="0"/>
                <w:numId w:val="0"/>
              </w:numPr>
              <w:suppressLineNumbers w:val="0"/>
              <w:spacing w:line="360" w:lineRule="auto"/>
              <w:ind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⑥泄漏、火灾和爆炸等事故发生后，应立即向有关环境管理部门汇报情况，请求环境管理部门应急监测工作组进行应急监测；环境管理部门应急监测工作组应根据污染物的扩散速度和事件发生地的气象和地域特点，确定污染物扩散范围。根据监测结果，综合分析突发环境事件污染变化趋势，预测并报告突发污染事故的发展情况和污染物的变化情况，作为突发环境事件应急决策的依据。</w:t>
            </w:r>
          </w:p>
          <w:p>
            <w:pPr>
              <w:keepNext w:val="0"/>
              <w:keepLines w:val="0"/>
              <w:widowControl/>
              <w:numPr>
                <w:ilvl w:val="0"/>
                <w:numId w:val="5"/>
              </w:numPr>
              <w:suppressLineNumbers w:val="0"/>
              <w:spacing w:line="360" w:lineRule="auto"/>
              <w:ind w:left="0" w:leftChars="0" w:firstLine="210" w:firstLineChars="1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风险管理</w:t>
            </w:r>
          </w:p>
          <w:p>
            <w:pPr>
              <w:keepNext w:val="0"/>
              <w:keepLines w:val="0"/>
              <w:widowControl/>
              <w:numPr>
                <w:ilvl w:val="0"/>
                <w:numId w:val="0"/>
              </w:numPr>
              <w:suppressLineNumbers w:val="0"/>
              <w:spacing w:line="360" w:lineRule="auto"/>
              <w:ind w:leftChars="100"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加油站建立了健全严格的管理制度。管理制度分为以下几个方面：</w:t>
            </w:r>
          </w:p>
          <w:p>
            <w:pPr>
              <w:keepNext w:val="0"/>
              <w:keepLines w:val="0"/>
              <w:widowControl/>
              <w:numPr>
                <w:ilvl w:val="0"/>
                <w:numId w:val="0"/>
              </w:numPr>
              <w:suppressLineNumbers w:val="0"/>
              <w:spacing w:line="360" w:lineRule="auto"/>
              <w:ind w:leftChars="100"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①安排工作人员每日进行巡检，对处置装置运行状态、有无系统报警、进口压力、运行时间、加油现场及三次油气回收设施进行重点巡检。</w:t>
            </w:r>
          </w:p>
          <w:p>
            <w:pPr>
              <w:keepNext w:val="0"/>
              <w:keepLines w:val="0"/>
              <w:widowControl/>
              <w:numPr>
                <w:ilvl w:val="0"/>
                <w:numId w:val="0"/>
              </w:numPr>
              <w:suppressLineNumbers w:val="0"/>
              <w:spacing w:line="360" w:lineRule="auto"/>
              <w:ind w:leftChars="100"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②加强油罐与管道系统的管理与维修，使整个油品储存系统处于密闭化，严格防止跑、冒、滴、漏现象发生。</w:t>
            </w:r>
          </w:p>
          <w:p>
            <w:pPr>
              <w:keepNext w:val="0"/>
              <w:keepLines w:val="0"/>
              <w:widowControl/>
              <w:numPr>
                <w:ilvl w:val="0"/>
                <w:numId w:val="0"/>
              </w:numPr>
              <w:suppressLineNumbers w:val="0"/>
              <w:spacing w:line="360" w:lineRule="auto"/>
              <w:ind w:leftChars="100"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③明确每个工作人员在业务上、工作上与消防安全管理上的职责、责任。</w:t>
            </w:r>
          </w:p>
          <w:p>
            <w:pPr>
              <w:keepNext w:val="0"/>
              <w:keepLines w:val="0"/>
              <w:widowControl/>
              <w:numPr>
                <w:ilvl w:val="0"/>
                <w:numId w:val="0"/>
              </w:numPr>
              <w:suppressLineNumbers w:val="0"/>
              <w:spacing w:line="360" w:lineRule="auto"/>
              <w:ind w:leftChars="100"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④对各类贮存容器、机电装置、安全设施、消防器材等，进行各种日常的、定期的、专业的防火安全检查，并将发现的问题落实到人、限期落实整改。</w:t>
            </w:r>
          </w:p>
          <w:p>
            <w:pPr>
              <w:keepNext w:val="0"/>
              <w:keepLines w:val="0"/>
              <w:widowControl/>
              <w:numPr>
                <w:ilvl w:val="0"/>
                <w:numId w:val="0"/>
              </w:numPr>
              <w:suppressLineNumbers w:val="0"/>
              <w:spacing w:line="360" w:lineRule="auto"/>
              <w:ind w:leftChars="100" w:firstLine="420" w:firstLineChars="20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⑤本项目区域内禁止吸烟和使用手机等无线电设施。</w:t>
            </w:r>
          </w:p>
          <w:p>
            <w:pPr>
              <w:keepNext w:val="0"/>
              <w:keepLines w:val="0"/>
              <w:widowControl/>
              <w:numPr>
                <w:ilvl w:val="0"/>
                <w:numId w:val="5"/>
              </w:numPr>
              <w:suppressLineNumbers w:val="0"/>
              <w:spacing w:line="360" w:lineRule="auto"/>
              <w:ind w:left="0" w:leftChars="0" w:firstLine="210" w:firstLineChars="10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环境风险评价结论</w:t>
            </w:r>
          </w:p>
          <w:p>
            <w:pPr>
              <w:keepNext w:val="0"/>
              <w:keepLines w:val="0"/>
              <w:widowControl/>
              <w:numPr>
                <w:ilvl w:val="0"/>
                <w:numId w:val="0"/>
              </w:numPr>
              <w:suppressLineNumbers w:val="0"/>
              <w:spacing w:line="360" w:lineRule="auto"/>
              <w:ind w:leftChars="100" w:firstLine="420" w:firstLineChars="200"/>
              <w:jc w:val="both"/>
              <w:rPr>
                <w:rFonts w:hint="default" w:ascii="Times New Roman" w:hAnsi="Times New Roman" w:cs="Times New Roman"/>
                <w:bCs/>
                <w:spacing w:val="-10"/>
                <w:szCs w:val="21"/>
                <w:highlight w:val="none"/>
              </w:rPr>
            </w:pPr>
            <w:r>
              <w:rPr>
                <w:rFonts w:hint="default" w:ascii="Times New Roman" w:hAnsi="Times New Roman" w:eastAsia="宋体" w:cs="Times New Roman"/>
                <w:color w:val="000000"/>
                <w:kern w:val="0"/>
                <w:sz w:val="21"/>
                <w:szCs w:val="21"/>
                <w:lang w:val="en-US" w:eastAsia="zh-CN" w:bidi="ar"/>
              </w:rPr>
              <w:t>根据加油站现有的风险防范措施、应急处理措施和风险管理制度，本项目加油站现有的防范措施可以满足要求。加油站在严格遵守安全评价和</w:t>
            </w:r>
            <w:r>
              <w:rPr>
                <w:rFonts w:hint="eastAsia" w:ascii="Times New Roman" w:hAnsi="Times New Roman" w:eastAsia="宋体" w:cs="Times New Roman"/>
                <w:color w:val="000000"/>
                <w:kern w:val="0"/>
                <w:sz w:val="21"/>
                <w:szCs w:val="21"/>
                <w:lang w:val="en-US" w:eastAsia="zh-CN" w:bidi="ar"/>
              </w:rPr>
              <w:t>安全</w:t>
            </w:r>
            <w:r>
              <w:rPr>
                <w:rFonts w:hint="default" w:ascii="Times New Roman" w:hAnsi="Times New Roman" w:eastAsia="宋体" w:cs="Times New Roman"/>
                <w:color w:val="000000"/>
                <w:kern w:val="0"/>
                <w:sz w:val="21"/>
                <w:szCs w:val="21"/>
                <w:lang w:val="en-US" w:eastAsia="zh-CN" w:bidi="ar"/>
              </w:rPr>
              <w:t>事故应急预案，以及现有的环境风险防范管理措施的前提下，发生事故的可能将进一步降低，项目环境风险是可以接受的。</w:t>
            </w:r>
          </w:p>
        </w:tc>
      </w:tr>
    </w:tbl>
    <w:p>
      <w:pPr>
        <w:adjustRightInd w:val="0"/>
        <w:snapToGrid w:val="0"/>
        <w:spacing w:line="360" w:lineRule="auto"/>
        <w:rPr>
          <w:b/>
          <w:kern w:val="0"/>
          <w:sz w:val="28"/>
          <w:szCs w:val="28"/>
        </w:rPr>
        <w:sectPr>
          <w:pgSz w:w="11907" w:h="16840"/>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p>
    <w:p>
      <w:pPr>
        <w:pStyle w:val="20"/>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五、</w:t>
      </w:r>
      <w:bookmarkStart w:id="2" w:name="_Hlk54167917"/>
      <w:r>
        <w:rPr>
          <w:rFonts w:ascii="Times New Roman" w:hAnsi="Times New Roman" w:eastAsia="黑体"/>
          <w:snapToGrid w:val="0"/>
          <w:sz w:val="30"/>
          <w:szCs w:val="30"/>
        </w:rPr>
        <w:t>环境保护措施监督检查清单</w:t>
      </w:r>
      <w:bookmarkEnd w:id="2"/>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26"/>
        <w:gridCol w:w="1778"/>
        <w:gridCol w:w="1902"/>
        <w:gridCol w:w="2057"/>
        <w:gridCol w:w="192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26" w:type="dxa"/>
            <w:tcBorders>
              <w:tl2br w:val="single" w:color="auto" w:sz="4" w:space="0"/>
            </w:tcBorders>
            <w:noWrap w:val="0"/>
            <w:vAlign w:val="top"/>
          </w:tcPr>
          <w:p>
            <w:pPr>
              <w:adjustRightInd w:val="0"/>
              <w:snapToGrid w:val="0"/>
              <w:ind w:firstLine="840"/>
              <w:rPr>
                <w:szCs w:val="21"/>
              </w:rPr>
            </w:pPr>
            <w:r>
              <w:rPr>
                <w:szCs w:val="21"/>
              </w:rPr>
              <w:t>内容</w:t>
            </w:r>
          </w:p>
          <w:p>
            <w:pPr>
              <w:adjustRightInd w:val="0"/>
              <w:snapToGrid w:val="0"/>
              <w:rPr>
                <w:szCs w:val="21"/>
              </w:rPr>
            </w:pPr>
            <w:r>
              <w:rPr>
                <w:szCs w:val="21"/>
              </w:rPr>
              <w:t>要素</w:t>
            </w:r>
          </w:p>
        </w:tc>
        <w:tc>
          <w:tcPr>
            <w:tcW w:w="1778" w:type="dxa"/>
            <w:noWrap w:val="0"/>
            <w:vAlign w:val="center"/>
          </w:tcPr>
          <w:p>
            <w:pPr>
              <w:adjustRightInd w:val="0"/>
              <w:snapToGrid w:val="0"/>
              <w:jc w:val="center"/>
              <w:rPr>
                <w:szCs w:val="21"/>
              </w:rPr>
            </w:pPr>
            <w:r>
              <w:rPr>
                <w:szCs w:val="21"/>
              </w:rPr>
              <w:t>排放口</w:t>
            </w:r>
            <w:r>
              <w:rPr>
                <w:rFonts w:hint="eastAsia"/>
                <w:szCs w:val="21"/>
              </w:rPr>
              <w:t>（</w:t>
            </w:r>
            <w:r>
              <w:rPr>
                <w:szCs w:val="21"/>
              </w:rPr>
              <w:t>编号、</w:t>
            </w:r>
          </w:p>
          <w:p>
            <w:pPr>
              <w:adjustRightInd w:val="0"/>
              <w:snapToGrid w:val="0"/>
              <w:jc w:val="center"/>
              <w:rPr>
                <w:szCs w:val="21"/>
              </w:rPr>
            </w:pPr>
            <w:r>
              <w:rPr>
                <w:szCs w:val="21"/>
              </w:rPr>
              <w:t>名称</w:t>
            </w:r>
            <w:r>
              <w:rPr>
                <w:rFonts w:hint="eastAsia"/>
                <w:szCs w:val="21"/>
              </w:rPr>
              <w:t>）</w:t>
            </w:r>
            <w:r>
              <w:rPr>
                <w:szCs w:val="21"/>
              </w:rPr>
              <w:t>/污染源</w:t>
            </w:r>
          </w:p>
        </w:tc>
        <w:tc>
          <w:tcPr>
            <w:tcW w:w="1902" w:type="dxa"/>
            <w:noWrap w:val="0"/>
            <w:vAlign w:val="center"/>
          </w:tcPr>
          <w:p>
            <w:pPr>
              <w:adjustRightInd w:val="0"/>
              <w:snapToGrid w:val="0"/>
              <w:jc w:val="center"/>
              <w:rPr>
                <w:szCs w:val="21"/>
              </w:rPr>
            </w:pPr>
            <w:r>
              <w:rPr>
                <w:szCs w:val="21"/>
              </w:rPr>
              <w:t>污染物项目</w:t>
            </w:r>
          </w:p>
        </w:tc>
        <w:tc>
          <w:tcPr>
            <w:tcW w:w="2057" w:type="dxa"/>
            <w:noWrap w:val="0"/>
            <w:vAlign w:val="center"/>
          </w:tcPr>
          <w:p>
            <w:pPr>
              <w:adjustRightInd w:val="0"/>
              <w:snapToGrid w:val="0"/>
              <w:jc w:val="center"/>
              <w:rPr>
                <w:szCs w:val="21"/>
              </w:rPr>
            </w:pPr>
            <w:r>
              <w:rPr>
                <w:szCs w:val="21"/>
              </w:rPr>
              <w:t>环境保护措施</w:t>
            </w:r>
          </w:p>
        </w:tc>
        <w:tc>
          <w:tcPr>
            <w:tcW w:w="1925" w:type="dxa"/>
            <w:noWrap w:val="0"/>
            <w:vAlign w:val="center"/>
          </w:tcPr>
          <w:p>
            <w:pPr>
              <w:adjustRightInd w:val="0"/>
              <w:snapToGrid w:val="0"/>
              <w:jc w:val="center"/>
              <w:rPr>
                <w:szCs w:val="21"/>
              </w:rPr>
            </w:pPr>
            <w:r>
              <w:rPr>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626" w:type="dxa"/>
            <w:vMerge w:val="restart"/>
            <w:noWrap w:val="0"/>
            <w:vAlign w:val="center"/>
          </w:tcPr>
          <w:p>
            <w:pPr>
              <w:adjustRightInd w:val="0"/>
              <w:snapToGrid w:val="0"/>
              <w:jc w:val="center"/>
              <w:rPr>
                <w:szCs w:val="21"/>
              </w:rPr>
            </w:pPr>
            <w:r>
              <w:rPr>
                <w:szCs w:val="21"/>
              </w:rPr>
              <w:t>大气环境</w:t>
            </w:r>
          </w:p>
        </w:tc>
        <w:tc>
          <w:tcPr>
            <w:tcW w:w="1778" w:type="dxa"/>
            <w:noWrap w:val="0"/>
            <w:vAlign w:val="center"/>
          </w:tcPr>
          <w:p>
            <w:pPr>
              <w:tabs>
                <w:tab w:val="left" w:pos="5184"/>
              </w:tabs>
              <w:jc w:val="center"/>
              <w:rPr>
                <w:szCs w:val="21"/>
              </w:rPr>
            </w:pPr>
            <w:r>
              <w:rPr>
                <w:szCs w:val="21"/>
              </w:rPr>
              <w:t>储罐小呼吸损失</w:t>
            </w:r>
          </w:p>
        </w:tc>
        <w:tc>
          <w:tcPr>
            <w:tcW w:w="1902" w:type="dxa"/>
            <w:noWrap w:val="0"/>
            <w:vAlign w:val="center"/>
          </w:tcPr>
          <w:p>
            <w:pPr>
              <w:adjustRightInd w:val="0"/>
              <w:snapToGrid w:val="0"/>
              <w:jc w:val="center"/>
              <w:rPr>
                <w:szCs w:val="21"/>
              </w:rPr>
            </w:pPr>
            <w:r>
              <w:rPr>
                <w:szCs w:val="21"/>
              </w:rPr>
              <w:t>非甲烷总烃</w:t>
            </w:r>
          </w:p>
        </w:tc>
        <w:tc>
          <w:tcPr>
            <w:tcW w:w="2057" w:type="dxa"/>
            <w:vMerge w:val="restart"/>
            <w:noWrap w:val="0"/>
            <w:vAlign w:val="center"/>
          </w:tcPr>
          <w:p>
            <w:pPr>
              <w:adjustRightInd w:val="0"/>
              <w:snapToGrid w:val="0"/>
              <w:jc w:val="center"/>
              <w:rPr>
                <w:bCs/>
                <w:kern w:val="0"/>
                <w:szCs w:val="21"/>
              </w:rPr>
            </w:pPr>
            <w:r>
              <w:rPr>
                <w:bCs/>
                <w:kern w:val="0"/>
                <w:szCs w:val="21"/>
              </w:rPr>
              <w:t>油气回收系统</w:t>
            </w:r>
          </w:p>
          <w:p>
            <w:pPr>
              <w:adjustRightInd w:val="0"/>
              <w:snapToGrid w:val="0"/>
              <w:jc w:val="center"/>
              <w:rPr>
                <w:szCs w:val="21"/>
              </w:rPr>
            </w:pPr>
            <w:r>
              <w:rPr>
                <w:bCs/>
                <w:kern w:val="0"/>
                <w:szCs w:val="21"/>
              </w:rPr>
              <w:t>（</w:t>
            </w:r>
            <w:r>
              <w:rPr>
                <w:rFonts w:hint="eastAsia"/>
                <w:bCs/>
                <w:kern w:val="0"/>
                <w:szCs w:val="21"/>
              </w:rPr>
              <w:t>三级油气回收系统</w:t>
            </w:r>
            <w:r>
              <w:rPr>
                <w:bCs/>
                <w:kern w:val="0"/>
                <w:szCs w:val="21"/>
              </w:rPr>
              <w:t>）</w:t>
            </w:r>
          </w:p>
        </w:tc>
        <w:tc>
          <w:tcPr>
            <w:tcW w:w="1925" w:type="dxa"/>
            <w:vMerge w:val="restart"/>
            <w:noWrap w:val="0"/>
            <w:vAlign w:val="center"/>
          </w:tcPr>
          <w:p>
            <w:pPr>
              <w:adjustRightInd w:val="0"/>
              <w:snapToGrid w:val="0"/>
              <w:jc w:val="center"/>
              <w:rPr>
                <w:szCs w:val="21"/>
              </w:rPr>
            </w:pPr>
            <w:r>
              <w:rPr>
                <w:bCs/>
                <w:szCs w:val="21"/>
              </w:rPr>
              <w:t>《大气污染物综合排放标准》（GB16297-1996）中二级标准和《加油站大气污染物排放标准》（GB20952-2020）标准要求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626" w:type="dxa"/>
            <w:vMerge w:val="continue"/>
            <w:noWrap w:val="0"/>
            <w:vAlign w:val="center"/>
          </w:tcPr>
          <w:p>
            <w:pPr>
              <w:adjustRightInd w:val="0"/>
              <w:snapToGrid w:val="0"/>
              <w:jc w:val="center"/>
              <w:rPr>
                <w:szCs w:val="21"/>
              </w:rPr>
            </w:pPr>
          </w:p>
        </w:tc>
        <w:tc>
          <w:tcPr>
            <w:tcW w:w="1778" w:type="dxa"/>
            <w:noWrap w:val="0"/>
            <w:vAlign w:val="center"/>
          </w:tcPr>
          <w:p>
            <w:pPr>
              <w:tabs>
                <w:tab w:val="left" w:pos="5184"/>
              </w:tabs>
              <w:jc w:val="center"/>
              <w:rPr>
                <w:szCs w:val="21"/>
              </w:rPr>
            </w:pPr>
            <w:r>
              <w:rPr>
                <w:szCs w:val="21"/>
              </w:rPr>
              <w:t>卸油作业损失</w:t>
            </w:r>
          </w:p>
        </w:tc>
        <w:tc>
          <w:tcPr>
            <w:tcW w:w="1902" w:type="dxa"/>
            <w:noWrap w:val="0"/>
            <w:vAlign w:val="center"/>
          </w:tcPr>
          <w:p>
            <w:pPr>
              <w:adjustRightInd w:val="0"/>
              <w:snapToGrid w:val="0"/>
              <w:jc w:val="center"/>
              <w:rPr>
                <w:szCs w:val="21"/>
              </w:rPr>
            </w:pPr>
            <w:r>
              <w:rPr>
                <w:szCs w:val="21"/>
              </w:rPr>
              <w:t>非甲烷总烃</w:t>
            </w:r>
          </w:p>
        </w:tc>
        <w:tc>
          <w:tcPr>
            <w:tcW w:w="2057" w:type="dxa"/>
            <w:vMerge w:val="continue"/>
            <w:noWrap w:val="0"/>
            <w:vAlign w:val="center"/>
          </w:tcPr>
          <w:p>
            <w:pPr>
              <w:adjustRightInd w:val="0"/>
              <w:snapToGrid w:val="0"/>
              <w:jc w:val="center"/>
              <w:rPr>
                <w:szCs w:val="21"/>
              </w:rPr>
            </w:pPr>
          </w:p>
        </w:tc>
        <w:tc>
          <w:tcPr>
            <w:tcW w:w="1925" w:type="dxa"/>
            <w:vMerge w:val="continue"/>
            <w:noWrap w:val="0"/>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626" w:type="dxa"/>
            <w:vMerge w:val="continue"/>
            <w:noWrap w:val="0"/>
            <w:vAlign w:val="center"/>
          </w:tcPr>
          <w:p>
            <w:pPr>
              <w:adjustRightInd w:val="0"/>
              <w:snapToGrid w:val="0"/>
              <w:jc w:val="center"/>
              <w:rPr>
                <w:szCs w:val="21"/>
              </w:rPr>
            </w:pPr>
          </w:p>
        </w:tc>
        <w:tc>
          <w:tcPr>
            <w:tcW w:w="1778" w:type="dxa"/>
            <w:noWrap w:val="0"/>
            <w:vAlign w:val="center"/>
          </w:tcPr>
          <w:p>
            <w:pPr>
              <w:tabs>
                <w:tab w:val="left" w:pos="5184"/>
              </w:tabs>
              <w:jc w:val="center"/>
              <w:rPr>
                <w:szCs w:val="21"/>
              </w:rPr>
            </w:pPr>
            <w:r>
              <w:rPr>
                <w:szCs w:val="21"/>
              </w:rPr>
              <w:t>加油作业损失</w:t>
            </w:r>
          </w:p>
        </w:tc>
        <w:tc>
          <w:tcPr>
            <w:tcW w:w="1902" w:type="dxa"/>
            <w:noWrap w:val="0"/>
            <w:vAlign w:val="center"/>
          </w:tcPr>
          <w:p>
            <w:pPr>
              <w:adjustRightInd w:val="0"/>
              <w:snapToGrid w:val="0"/>
              <w:jc w:val="center"/>
              <w:rPr>
                <w:szCs w:val="21"/>
              </w:rPr>
            </w:pPr>
            <w:r>
              <w:rPr>
                <w:szCs w:val="21"/>
              </w:rPr>
              <w:t>非甲烷总烃</w:t>
            </w:r>
          </w:p>
        </w:tc>
        <w:tc>
          <w:tcPr>
            <w:tcW w:w="2057" w:type="dxa"/>
            <w:vMerge w:val="continue"/>
            <w:noWrap w:val="0"/>
            <w:vAlign w:val="center"/>
          </w:tcPr>
          <w:p>
            <w:pPr>
              <w:adjustRightInd w:val="0"/>
              <w:snapToGrid w:val="0"/>
              <w:jc w:val="center"/>
              <w:rPr>
                <w:szCs w:val="21"/>
              </w:rPr>
            </w:pPr>
          </w:p>
        </w:tc>
        <w:tc>
          <w:tcPr>
            <w:tcW w:w="1925" w:type="dxa"/>
            <w:vMerge w:val="continue"/>
            <w:noWrap w:val="0"/>
            <w:vAlign w:val="center"/>
          </w:tcPr>
          <w:p>
            <w:pPr>
              <w:adjustRightInd w:val="0"/>
              <w:snapToGrid w:val="0"/>
              <w:jc w:val="center"/>
              <w:rPr>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1626" w:type="dxa"/>
            <w:vMerge w:val="continue"/>
            <w:noWrap w:val="0"/>
            <w:vAlign w:val="center"/>
          </w:tcPr>
          <w:p>
            <w:pPr>
              <w:adjustRightInd w:val="0"/>
              <w:snapToGrid w:val="0"/>
              <w:jc w:val="center"/>
              <w:rPr>
                <w:szCs w:val="21"/>
              </w:rPr>
            </w:pPr>
          </w:p>
        </w:tc>
        <w:tc>
          <w:tcPr>
            <w:tcW w:w="1778" w:type="dxa"/>
            <w:noWrap w:val="0"/>
            <w:vAlign w:val="center"/>
          </w:tcPr>
          <w:p>
            <w:pPr>
              <w:tabs>
                <w:tab w:val="left" w:pos="2395"/>
              </w:tabs>
              <w:jc w:val="center"/>
              <w:outlineLvl w:val="0"/>
              <w:rPr>
                <w:szCs w:val="21"/>
              </w:rPr>
            </w:pPr>
            <w:r>
              <w:rPr>
                <w:bCs/>
                <w:szCs w:val="21"/>
              </w:rPr>
              <w:t>汽车尾气</w:t>
            </w:r>
          </w:p>
        </w:tc>
        <w:tc>
          <w:tcPr>
            <w:tcW w:w="1902" w:type="dxa"/>
            <w:noWrap w:val="0"/>
            <w:vAlign w:val="center"/>
          </w:tcPr>
          <w:p>
            <w:pPr>
              <w:tabs>
                <w:tab w:val="left" w:pos="2395"/>
              </w:tabs>
              <w:jc w:val="center"/>
              <w:outlineLvl w:val="0"/>
              <w:rPr>
                <w:szCs w:val="21"/>
              </w:rPr>
            </w:pPr>
            <w:r>
              <w:rPr>
                <w:bCs/>
                <w:szCs w:val="21"/>
              </w:rPr>
              <w:t>CO、HC、NOx</w:t>
            </w:r>
          </w:p>
        </w:tc>
        <w:tc>
          <w:tcPr>
            <w:tcW w:w="2057" w:type="dxa"/>
            <w:noWrap w:val="0"/>
            <w:vAlign w:val="center"/>
          </w:tcPr>
          <w:p>
            <w:pPr>
              <w:adjustRightInd w:val="0"/>
              <w:snapToGrid w:val="0"/>
              <w:jc w:val="center"/>
              <w:rPr>
                <w:szCs w:val="21"/>
              </w:rPr>
            </w:pPr>
            <w:r>
              <w:rPr>
                <w:szCs w:val="21"/>
              </w:rPr>
              <w:t>加强管理</w:t>
            </w:r>
          </w:p>
        </w:tc>
        <w:tc>
          <w:tcPr>
            <w:tcW w:w="1925" w:type="dxa"/>
            <w:noWrap w:val="0"/>
            <w:vAlign w:val="center"/>
          </w:tcPr>
          <w:p>
            <w:pPr>
              <w:adjustRightInd w:val="0"/>
              <w:snapToGrid w:val="0"/>
              <w:jc w:val="center"/>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1626" w:type="dxa"/>
            <w:noWrap w:val="0"/>
            <w:vAlign w:val="center"/>
          </w:tcPr>
          <w:p>
            <w:pPr>
              <w:adjustRightInd w:val="0"/>
              <w:snapToGrid w:val="0"/>
              <w:jc w:val="center"/>
              <w:rPr>
                <w:szCs w:val="21"/>
              </w:rPr>
            </w:pPr>
            <w:r>
              <w:rPr>
                <w:szCs w:val="21"/>
              </w:rPr>
              <w:t>地表水环境</w:t>
            </w:r>
          </w:p>
        </w:tc>
        <w:tc>
          <w:tcPr>
            <w:tcW w:w="1778" w:type="dxa"/>
            <w:noWrap w:val="0"/>
            <w:vAlign w:val="center"/>
          </w:tcPr>
          <w:p>
            <w:pPr>
              <w:adjustRightInd w:val="0"/>
              <w:snapToGrid w:val="0"/>
              <w:jc w:val="center"/>
              <w:rPr>
                <w:szCs w:val="21"/>
              </w:rPr>
            </w:pPr>
            <w:r>
              <w:rPr>
                <w:szCs w:val="21"/>
              </w:rPr>
              <w:t>生活污水</w:t>
            </w:r>
          </w:p>
        </w:tc>
        <w:tc>
          <w:tcPr>
            <w:tcW w:w="1902" w:type="dxa"/>
            <w:noWrap w:val="0"/>
            <w:vAlign w:val="center"/>
          </w:tcPr>
          <w:p>
            <w:pPr>
              <w:adjustRightInd w:val="0"/>
              <w:snapToGrid w:val="0"/>
              <w:jc w:val="center"/>
              <w:rPr>
                <w:bCs/>
                <w:kern w:val="0"/>
                <w:szCs w:val="21"/>
              </w:rPr>
            </w:pPr>
            <w:r>
              <w:rPr>
                <w:bCs/>
                <w:kern w:val="0"/>
                <w:szCs w:val="21"/>
              </w:rPr>
              <w:t>COD、BOD</w:t>
            </w:r>
            <w:r>
              <w:rPr>
                <w:bCs/>
                <w:kern w:val="0"/>
                <w:szCs w:val="21"/>
                <w:vertAlign w:val="subscript"/>
              </w:rPr>
              <w:t>5</w:t>
            </w:r>
            <w:r>
              <w:rPr>
                <w:bCs/>
                <w:kern w:val="0"/>
                <w:szCs w:val="21"/>
              </w:rPr>
              <w:t>、SS、NH</w:t>
            </w:r>
            <w:r>
              <w:rPr>
                <w:bCs/>
                <w:kern w:val="0"/>
                <w:szCs w:val="21"/>
                <w:vertAlign w:val="subscript"/>
              </w:rPr>
              <w:t>3</w:t>
            </w:r>
            <w:r>
              <w:rPr>
                <w:bCs/>
                <w:kern w:val="0"/>
                <w:szCs w:val="21"/>
              </w:rPr>
              <w:t>-N、总磷、</w:t>
            </w:r>
          </w:p>
          <w:p>
            <w:pPr>
              <w:adjustRightInd w:val="0"/>
              <w:snapToGrid w:val="0"/>
              <w:jc w:val="center"/>
              <w:rPr>
                <w:szCs w:val="21"/>
              </w:rPr>
            </w:pPr>
            <w:r>
              <w:rPr>
                <w:bCs/>
                <w:kern w:val="0"/>
                <w:szCs w:val="21"/>
              </w:rPr>
              <w:t>总氮</w:t>
            </w:r>
          </w:p>
        </w:tc>
        <w:tc>
          <w:tcPr>
            <w:tcW w:w="2057" w:type="dxa"/>
            <w:noWrap w:val="0"/>
            <w:vAlign w:val="center"/>
          </w:tcPr>
          <w:p>
            <w:pPr>
              <w:tabs>
                <w:tab w:val="left" w:pos="2395"/>
              </w:tabs>
              <w:jc w:val="center"/>
              <w:outlineLvl w:val="0"/>
              <w:rPr>
                <w:szCs w:val="21"/>
              </w:rPr>
            </w:pPr>
            <w:r>
              <w:rPr>
                <w:bCs/>
                <w:kern w:val="0"/>
                <w:szCs w:val="21"/>
              </w:rPr>
              <w:t>经化粪池处理后</w:t>
            </w:r>
            <w:r>
              <w:rPr>
                <w:rFonts w:hint="eastAsia"/>
                <w:bCs/>
                <w:kern w:val="0"/>
                <w:szCs w:val="21"/>
              </w:rPr>
              <w:t>排入西安市第</w:t>
            </w:r>
            <w:r>
              <w:rPr>
                <w:rFonts w:hint="eastAsia"/>
                <w:bCs/>
                <w:kern w:val="0"/>
                <w:szCs w:val="21"/>
                <w:lang w:val="en-US" w:eastAsia="zh-CN"/>
              </w:rPr>
              <w:t>三</w:t>
            </w:r>
            <w:r>
              <w:rPr>
                <w:rFonts w:hint="eastAsia"/>
                <w:bCs/>
                <w:kern w:val="0"/>
                <w:szCs w:val="21"/>
              </w:rPr>
              <w:t>污水处理厂进行处理</w:t>
            </w:r>
          </w:p>
        </w:tc>
        <w:tc>
          <w:tcPr>
            <w:tcW w:w="1925" w:type="dxa"/>
            <w:noWrap w:val="0"/>
            <w:vAlign w:val="center"/>
          </w:tcPr>
          <w:p>
            <w:pPr>
              <w:adjustRightInd w:val="0"/>
              <w:snapToGrid w:val="0"/>
              <w:jc w:val="center"/>
              <w:rPr>
                <w:rFonts w:hint="eastAsia"/>
                <w:szCs w:val="21"/>
              </w:rPr>
            </w:pPr>
            <w:r>
              <w:rPr>
                <w:szCs w:val="21"/>
              </w:rPr>
              <w:t>《污水综合排放标准》（GB8978</w:t>
            </w:r>
            <w:r>
              <w:rPr>
                <w:rFonts w:hint="eastAsia"/>
                <w:szCs w:val="21"/>
              </w:rPr>
              <w:t>-</w:t>
            </w:r>
          </w:p>
          <w:p>
            <w:pPr>
              <w:adjustRightInd w:val="0"/>
              <w:snapToGrid w:val="0"/>
              <w:jc w:val="center"/>
              <w:rPr>
                <w:rFonts w:hint="eastAsia"/>
                <w:szCs w:val="21"/>
              </w:rPr>
            </w:pPr>
            <w:r>
              <w:rPr>
                <w:szCs w:val="21"/>
              </w:rPr>
              <w:t>1996）三级标准</w:t>
            </w:r>
            <w:r>
              <w:rPr>
                <w:rFonts w:hint="eastAsia"/>
                <w:szCs w:val="21"/>
                <w:lang w:val="en-US" w:eastAsia="zh-CN"/>
              </w:rPr>
              <w:t>及</w:t>
            </w:r>
            <w:r>
              <w:rPr>
                <w:rFonts w:hint="eastAsia"/>
                <w:bCs/>
                <w:kern w:val="28"/>
                <w:szCs w:val="21"/>
              </w:rPr>
              <w:t>《污水排入城镇下水道水质标准》（GB/T31962-2015）A等级标准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5" w:hRule="atLeast"/>
          <w:jc w:val="center"/>
        </w:trPr>
        <w:tc>
          <w:tcPr>
            <w:tcW w:w="1626" w:type="dxa"/>
            <w:noWrap w:val="0"/>
            <w:vAlign w:val="center"/>
          </w:tcPr>
          <w:p>
            <w:pPr>
              <w:adjustRightInd w:val="0"/>
              <w:snapToGrid w:val="0"/>
              <w:jc w:val="center"/>
              <w:rPr>
                <w:szCs w:val="21"/>
              </w:rPr>
            </w:pPr>
            <w:r>
              <w:rPr>
                <w:szCs w:val="21"/>
              </w:rPr>
              <w:t>声环境</w:t>
            </w:r>
          </w:p>
        </w:tc>
        <w:tc>
          <w:tcPr>
            <w:tcW w:w="1778" w:type="dxa"/>
            <w:noWrap w:val="0"/>
            <w:vAlign w:val="center"/>
          </w:tcPr>
          <w:p>
            <w:pPr>
              <w:adjustRightInd w:val="0"/>
              <w:snapToGrid w:val="0"/>
              <w:jc w:val="center"/>
              <w:rPr>
                <w:szCs w:val="21"/>
              </w:rPr>
            </w:pPr>
            <w:r>
              <w:rPr>
                <w:rFonts w:hint="eastAsia"/>
                <w:szCs w:val="21"/>
              </w:rPr>
              <w:t>加油机</w:t>
            </w:r>
            <w:r>
              <w:rPr>
                <w:szCs w:val="21"/>
              </w:rPr>
              <w:t>等</w:t>
            </w:r>
          </w:p>
        </w:tc>
        <w:tc>
          <w:tcPr>
            <w:tcW w:w="1902" w:type="dxa"/>
            <w:noWrap w:val="0"/>
            <w:vAlign w:val="center"/>
          </w:tcPr>
          <w:p>
            <w:pPr>
              <w:adjustRightInd w:val="0"/>
              <w:snapToGrid w:val="0"/>
              <w:jc w:val="center"/>
              <w:rPr>
                <w:szCs w:val="21"/>
              </w:rPr>
            </w:pPr>
            <w:r>
              <w:rPr>
                <w:szCs w:val="21"/>
              </w:rPr>
              <w:t>设备噪声</w:t>
            </w:r>
          </w:p>
        </w:tc>
        <w:tc>
          <w:tcPr>
            <w:tcW w:w="2057" w:type="dxa"/>
            <w:noWrap w:val="0"/>
            <w:vAlign w:val="center"/>
          </w:tcPr>
          <w:p>
            <w:pPr>
              <w:adjustRightInd w:val="0"/>
              <w:snapToGrid w:val="0"/>
              <w:jc w:val="center"/>
              <w:rPr>
                <w:szCs w:val="21"/>
              </w:rPr>
            </w:pPr>
            <w:r>
              <w:rPr>
                <w:szCs w:val="21"/>
              </w:rPr>
              <w:t>设备减振、隔声处理</w:t>
            </w:r>
          </w:p>
        </w:tc>
        <w:tc>
          <w:tcPr>
            <w:tcW w:w="1925" w:type="dxa"/>
            <w:noWrap w:val="0"/>
            <w:vAlign w:val="center"/>
          </w:tcPr>
          <w:p>
            <w:pPr>
              <w:adjustRightInd w:val="0"/>
              <w:snapToGrid w:val="0"/>
              <w:jc w:val="center"/>
              <w:rPr>
                <w:szCs w:val="21"/>
              </w:rPr>
            </w:pPr>
            <w:r>
              <w:rPr>
                <w:szCs w:val="21"/>
              </w:rPr>
              <w:t>《工业企业厂界环境噪声排放标准》（GB12348-2008）</w:t>
            </w:r>
            <w:r>
              <w:rPr>
                <w:rFonts w:hint="eastAsia"/>
                <w:szCs w:val="21"/>
                <w:lang w:val="en-US" w:eastAsia="zh-CN"/>
              </w:rPr>
              <w:t>2</w:t>
            </w:r>
            <w:r>
              <w:rPr>
                <w:szCs w:val="21"/>
              </w:rPr>
              <w:t>类和4类排放限值标准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26" w:type="dxa"/>
            <w:noWrap w:val="0"/>
            <w:vAlign w:val="center"/>
          </w:tcPr>
          <w:p>
            <w:pPr>
              <w:adjustRightInd w:val="0"/>
              <w:snapToGrid w:val="0"/>
              <w:jc w:val="center"/>
              <w:rPr>
                <w:szCs w:val="21"/>
              </w:rPr>
            </w:pPr>
            <w:r>
              <w:rPr>
                <w:szCs w:val="21"/>
              </w:rPr>
              <w:t>电磁辐射</w:t>
            </w:r>
          </w:p>
        </w:tc>
        <w:tc>
          <w:tcPr>
            <w:tcW w:w="1778" w:type="dxa"/>
            <w:noWrap w:val="0"/>
            <w:vAlign w:val="center"/>
          </w:tcPr>
          <w:p>
            <w:pPr>
              <w:adjustRightInd w:val="0"/>
              <w:snapToGrid w:val="0"/>
              <w:jc w:val="center"/>
              <w:rPr>
                <w:szCs w:val="21"/>
              </w:rPr>
            </w:pPr>
            <w:r>
              <w:rPr>
                <w:szCs w:val="21"/>
              </w:rPr>
              <w:t>/</w:t>
            </w:r>
          </w:p>
        </w:tc>
        <w:tc>
          <w:tcPr>
            <w:tcW w:w="1902" w:type="dxa"/>
            <w:noWrap w:val="0"/>
            <w:vAlign w:val="center"/>
          </w:tcPr>
          <w:p>
            <w:pPr>
              <w:adjustRightInd w:val="0"/>
              <w:snapToGrid w:val="0"/>
              <w:jc w:val="center"/>
              <w:rPr>
                <w:szCs w:val="21"/>
              </w:rPr>
            </w:pPr>
            <w:r>
              <w:rPr>
                <w:szCs w:val="21"/>
              </w:rPr>
              <w:t>/</w:t>
            </w:r>
          </w:p>
        </w:tc>
        <w:tc>
          <w:tcPr>
            <w:tcW w:w="2057" w:type="dxa"/>
            <w:noWrap w:val="0"/>
            <w:vAlign w:val="center"/>
          </w:tcPr>
          <w:p>
            <w:pPr>
              <w:adjustRightInd w:val="0"/>
              <w:snapToGrid w:val="0"/>
              <w:jc w:val="center"/>
              <w:rPr>
                <w:szCs w:val="21"/>
              </w:rPr>
            </w:pPr>
            <w:r>
              <w:rPr>
                <w:szCs w:val="21"/>
              </w:rPr>
              <w:t>/</w:t>
            </w:r>
          </w:p>
        </w:tc>
        <w:tc>
          <w:tcPr>
            <w:tcW w:w="1925" w:type="dxa"/>
            <w:noWrap w:val="0"/>
            <w:vAlign w:val="center"/>
          </w:tcPr>
          <w:p>
            <w:pPr>
              <w:adjustRightInd w:val="0"/>
              <w:snapToGrid w:val="0"/>
              <w:jc w:val="center"/>
              <w:rPr>
                <w:szCs w:val="21"/>
              </w:rPr>
            </w:pPr>
            <w:r>
              <w:rPr>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626" w:type="dxa"/>
            <w:noWrap w:val="0"/>
            <w:vAlign w:val="center"/>
          </w:tcPr>
          <w:p>
            <w:pPr>
              <w:adjustRightInd w:val="0"/>
              <w:snapToGrid w:val="0"/>
              <w:jc w:val="center"/>
              <w:rPr>
                <w:szCs w:val="21"/>
              </w:rPr>
            </w:pPr>
            <w:r>
              <w:rPr>
                <w:szCs w:val="21"/>
              </w:rPr>
              <w:t>固体废物</w:t>
            </w:r>
          </w:p>
        </w:tc>
        <w:tc>
          <w:tcPr>
            <w:tcW w:w="7662" w:type="dxa"/>
            <w:gridSpan w:val="4"/>
            <w:noWrap w:val="0"/>
            <w:vAlign w:val="center"/>
          </w:tcPr>
          <w:p>
            <w:pPr>
              <w:spacing w:line="400" w:lineRule="exact"/>
              <w:rPr>
                <w:rFonts w:hint="eastAsia"/>
                <w:szCs w:val="21"/>
              </w:rPr>
            </w:pPr>
            <w:r>
              <w:rPr>
                <w:rFonts w:hint="default" w:ascii="Calibri" w:hAnsi="Calibri" w:cs="Calibri"/>
                <w:szCs w:val="21"/>
              </w:rPr>
              <w:t>①</w:t>
            </w:r>
            <w:r>
              <w:rPr>
                <w:szCs w:val="21"/>
              </w:rPr>
              <w:t>储油罐清洗</w:t>
            </w:r>
            <w:r>
              <w:rPr>
                <w:rFonts w:hint="eastAsia"/>
                <w:szCs w:val="21"/>
              </w:rPr>
              <w:t>施工委托资质单位实施，</w:t>
            </w:r>
            <w:r>
              <w:rPr>
                <w:szCs w:val="21"/>
              </w:rPr>
              <w:t>清洗后的含油废渣</w:t>
            </w:r>
            <w:r>
              <w:rPr>
                <w:rFonts w:hint="eastAsia"/>
                <w:szCs w:val="21"/>
              </w:rPr>
              <w:t>交由资质单位统</w:t>
            </w:r>
            <w:r>
              <w:rPr>
                <w:szCs w:val="21"/>
              </w:rPr>
              <w:t>一处理，站内不暂存</w:t>
            </w:r>
            <w:r>
              <w:rPr>
                <w:rFonts w:hint="eastAsia"/>
                <w:szCs w:val="21"/>
              </w:rPr>
              <w:t>；</w:t>
            </w:r>
          </w:p>
          <w:p>
            <w:pPr>
              <w:spacing w:line="400" w:lineRule="exact"/>
              <w:rPr>
                <w:szCs w:val="21"/>
              </w:rPr>
            </w:pPr>
            <w:r>
              <w:rPr>
                <w:rFonts w:hint="default" w:ascii="Calibri" w:hAnsi="Calibri" w:cs="Calibri"/>
                <w:szCs w:val="21"/>
              </w:rPr>
              <w:t>②</w:t>
            </w:r>
            <w:r>
              <w:rPr>
                <w:rFonts w:hint="default" w:ascii="Times New Roman" w:hAnsi="Times New Roman" w:eastAsia="宋体" w:cs="Times New Roman"/>
                <w:szCs w:val="21"/>
                <w:highlight w:val="none"/>
              </w:rPr>
              <w:t>含油</w:t>
            </w:r>
            <w:r>
              <w:rPr>
                <w:rFonts w:hint="eastAsia" w:ascii="Times New Roman" w:hAnsi="Times New Roman" w:eastAsia="宋体" w:cs="Times New Roman"/>
                <w:szCs w:val="21"/>
                <w:highlight w:val="none"/>
                <w:lang w:val="en-US" w:eastAsia="zh-CN"/>
              </w:rPr>
              <w:t>棉纱、手套</w:t>
            </w:r>
            <w:r>
              <w:rPr>
                <w:rFonts w:hint="eastAsia"/>
                <w:szCs w:val="21"/>
              </w:rPr>
              <w:t>及</w:t>
            </w:r>
            <w:r>
              <w:rPr>
                <w:rFonts w:hint="default" w:ascii="Times New Roman" w:hAnsi="Times New Roman" w:cs="Times New Roman"/>
                <w:szCs w:val="21"/>
                <w:highlight w:val="none"/>
              </w:rPr>
              <w:t>废</w:t>
            </w:r>
            <w:r>
              <w:rPr>
                <w:rFonts w:hint="eastAsia" w:ascii="Times New Roman" w:hAnsi="Times New Roman" w:eastAsia="宋体" w:cs="Times New Roman"/>
                <w:szCs w:val="21"/>
                <w:highlight w:val="none"/>
                <w:lang w:val="en-US" w:eastAsia="zh-CN"/>
              </w:rPr>
              <w:t>高分子膜</w:t>
            </w:r>
            <w:r>
              <w:rPr>
                <w:szCs w:val="21"/>
              </w:rPr>
              <w:t>：</w:t>
            </w:r>
            <w:r>
              <w:rPr>
                <w:rFonts w:hint="eastAsia"/>
                <w:szCs w:val="21"/>
              </w:rPr>
              <w:t>暂存于危废暂存</w:t>
            </w:r>
            <w:r>
              <w:rPr>
                <w:rFonts w:hint="eastAsia"/>
                <w:szCs w:val="21"/>
                <w:lang w:val="en-US" w:eastAsia="zh-CN"/>
              </w:rPr>
              <w:t>柜</w:t>
            </w:r>
            <w:r>
              <w:rPr>
                <w:rFonts w:hint="eastAsia"/>
                <w:szCs w:val="21"/>
              </w:rPr>
              <w:t>，交由</w:t>
            </w:r>
            <w:r>
              <w:rPr>
                <w:rFonts w:hint="eastAsia" w:ascii="Times New Roman" w:hAnsi="Times New Roman" w:cs="Times New Roman"/>
                <w:szCs w:val="21"/>
                <w:highlight w:val="none"/>
                <w:lang w:val="en-US" w:eastAsia="zh-CN"/>
              </w:rPr>
              <w:t>陕西新天地固体废物综合处置有限公司</w:t>
            </w:r>
            <w:r>
              <w:rPr>
                <w:rFonts w:hint="default" w:ascii="Times New Roman" w:hAnsi="Times New Roman" w:cs="Times New Roman"/>
                <w:szCs w:val="21"/>
                <w:highlight w:val="none"/>
              </w:rPr>
              <w:t>统一处理</w:t>
            </w:r>
            <w:r>
              <w:rPr>
                <w:rFonts w:hint="eastAsia"/>
                <w:szCs w:val="21"/>
              </w:rPr>
              <w:t>；</w:t>
            </w:r>
          </w:p>
          <w:p>
            <w:pPr>
              <w:spacing w:line="400" w:lineRule="exact"/>
              <w:rPr>
                <w:rFonts w:hint="default"/>
                <w:szCs w:val="21"/>
                <w:lang w:val="en-US"/>
              </w:rPr>
            </w:pPr>
            <w:r>
              <w:rPr>
                <w:rFonts w:hint="eastAsia" w:ascii="Times New Roman" w:hAnsi="Times New Roman" w:eastAsia="宋体" w:cs="Times New Roman"/>
                <w:szCs w:val="21"/>
                <w:highlight w:val="none"/>
                <w:lang w:val="en-US" w:eastAsia="zh-CN"/>
              </w:rPr>
              <w:t>③污泥：</w:t>
            </w:r>
            <w:r>
              <w:rPr>
                <w:rFonts w:hint="eastAsia"/>
                <w:szCs w:val="21"/>
                <w:lang w:val="en-US" w:eastAsia="zh-CN"/>
              </w:rPr>
              <w:t>由有资质单位定期清掏外运处置；</w:t>
            </w:r>
          </w:p>
          <w:p>
            <w:pPr>
              <w:spacing w:line="400" w:lineRule="exact"/>
              <w:rPr>
                <w:szCs w:val="21"/>
              </w:rPr>
            </w:pPr>
            <w:r>
              <w:rPr>
                <w:rFonts w:hint="eastAsia" w:ascii="Times New Roman" w:hAnsi="Times New Roman" w:eastAsia="宋体" w:cs="Times New Roman"/>
                <w:szCs w:val="21"/>
                <w:highlight w:val="none"/>
                <w:lang w:val="en-US" w:eastAsia="zh-CN"/>
              </w:rPr>
              <w:t>④</w:t>
            </w:r>
            <w:r>
              <w:rPr>
                <w:rFonts w:hint="eastAsia"/>
                <w:szCs w:val="21"/>
                <w:highlight w:val="none"/>
                <w:lang w:val="en-US" w:eastAsia="zh-CN"/>
              </w:rPr>
              <w:t>生活垃圾：</w:t>
            </w:r>
            <w:r>
              <w:rPr>
                <w:rFonts w:ascii="Times New Roman" w:hAnsi="Times New Roman" w:eastAsia="宋体" w:cs="Times New Roman"/>
                <w:szCs w:val="21"/>
              </w:rPr>
              <w:t>采取分类垃圾桶收集，由环卫部门每日清运</w:t>
            </w:r>
            <w:r>
              <w:rPr>
                <w:rFonts w:hint="eastAsia" w:ascii="Times New Roman" w:hAnsi="Times New Roman" w:eastAsia="宋体" w:cs="Times New Roman"/>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26" w:type="dxa"/>
            <w:noWrap w:val="0"/>
            <w:vAlign w:val="center"/>
          </w:tcPr>
          <w:p>
            <w:pPr>
              <w:adjustRightInd w:val="0"/>
              <w:snapToGrid w:val="0"/>
              <w:jc w:val="center"/>
              <w:rPr>
                <w:szCs w:val="21"/>
              </w:rPr>
            </w:pPr>
            <w:r>
              <w:rPr>
                <w:szCs w:val="21"/>
              </w:rPr>
              <w:t>土壤及地下水</w:t>
            </w:r>
          </w:p>
          <w:p>
            <w:pPr>
              <w:adjustRightInd w:val="0"/>
              <w:snapToGrid w:val="0"/>
              <w:jc w:val="center"/>
              <w:rPr>
                <w:szCs w:val="21"/>
              </w:rPr>
            </w:pPr>
            <w:r>
              <w:rPr>
                <w:szCs w:val="21"/>
              </w:rPr>
              <w:t>污染防治措施</w:t>
            </w:r>
          </w:p>
        </w:tc>
        <w:tc>
          <w:tcPr>
            <w:tcW w:w="7662" w:type="dxa"/>
            <w:gridSpan w:val="4"/>
            <w:noWrap w:val="0"/>
            <w:vAlign w:val="center"/>
          </w:tcPr>
          <w:p>
            <w:pPr>
              <w:spacing w:line="400" w:lineRule="exact"/>
              <w:rPr>
                <w:rFonts w:ascii="Times New Roman" w:hAnsi="Times New Roman" w:eastAsia="宋体" w:cs="Times New Roman"/>
                <w:szCs w:val="21"/>
              </w:rPr>
            </w:pPr>
            <w:r>
              <w:rPr>
                <w:rFonts w:hint="eastAsia" w:ascii="Times New Roman" w:hAnsi="Times New Roman" w:eastAsia="宋体" w:cs="Times New Roman"/>
                <w:szCs w:val="21"/>
                <w:lang w:val="en-US" w:eastAsia="zh-CN"/>
              </w:rPr>
              <w:t>采取地面硬化，采用双层油罐，设置在线监测渗漏检测仪和高液位报警液位计，按照分区防渗措施进行防渗。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1626" w:type="dxa"/>
            <w:noWrap w:val="0"/>
            <w:vAlign w:val="center"/>
          </w:tcPr>
          <w:p>
            <w:pPr>
              <w:adjustRightInd w:val="0"/>
              <w:snapToGrid w:val="0"/>
              <w:jc w:val="center"/>
              <w:rPr>
                <w:spacing w:val="-8"/>
                <w:szCs w:val="21"/>
              </w:rPr>
            </w:pPr>
            <w:r>
              <w:rPr>
                <w:spacing w:val="-8"/>
                <w:szCs w:val="21"/>
              </w:rPr>
              <w:t>环境风险</w:t>
            </w:r>
          </w:p>
          <w:p>
            <w:pPr>
              <w:adjustRightInd w:val="0"/>
              <w:snapToGrid w:val="0"/>
              <w:jc w:val="center"/>
              <w:rPr>
                <w:spacing w:val="-8"/>
                <w:szCs w:val="21"/>
              </w:rPr>
            </w:pPr>
            <w:r>
              <w:rPr>
                <w:spacing w:val="-8"/>
                <w:szCs w:val="21"/>
              </w:rPr>
              <w:t>防范措施</w:t>
            </w:r>
          </w:p>
        </w:tc>
        <w:tc>
          <w:tcPr>
            <w:tcW w:w="7662" w:type="dxa"/>
            <w:gridSpan w:val="4"/>
            <w:noWrap w:val="0"/>
            <w:vAlign w:val="center"/>
          </w:tcPr>
          <w:p>
            <w:pPr>
              <w:spacing w:line="400" w:lineRule="exact"/>
              <w:rPr>
                <w:rFonts w:hint="eastAsia" w:ascii="Times New Roman" w:hAnsi="Times New Roman" w:eastAsia="宋体" w:cs="Times New Roman"/>
                <w:szCs w:val="21"/>
              </w:rPr>
            </w:pPr>
            <w:r>
              <w:rPr>
                <w:rFonts w:hint="eastAsia" w:ascii="Times New Roman" w:hAnsi="Times New Roman" w:eastAsia="宋体" w:cs="Times New Roman"/>
                <w:szCs w:val="21"/>
                <w:lang w:val="en-US" w:eastAsia="zh-CN"/>
              </w:rPr>
              <w:t>设置灭火器、消防沙、灭火毯等消防设施；油罐进行防雷接地；设置消防及火灾报警系统；加油站设立严禁打手机和明火的警告牌。柴油与汽油储罐区进行防渗、储罐采用双层罐体；油罐周围沙土填实，油罐采取防渗扩散保护措施、防满溢措施；油罐车卸油采用密闭方式；已在可能发生成品油挥发及泄漏积聚的场所，设置可燃气体报警装置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49" w:hRule="atLeast"/>
          <w:jc w:val="center"/>
        </w:trPr>
        <w:tc>
          <w:tcPr>
            <w:tcW w:w="1626" w:type="dxa"/>
            <w:noWrap w:val="0"/>
            <w:vAlign w:val="center"/>
          </w:tcPr>
          <w:p>
            <w:pPr>
              <w:adjustRightInd w:val="0"/>
              <w:snapToGrid w:val="0"/>
              <w:jc w:val="center"/>
              <w:rPr>
                <w:spacing w:val="-8"/>
                <w:szCs w:val="21"/>
              </w:rPr>
            </w:pPr>
            <w:r>
              <w:rPr>
                <w:spacing w:val="-8"/>
                <w:szCs w:val="21"/>
              </w:rPr>
              <w:t>其他环境</w:t>
            </w:r>
          </w:p>
          <w:p>
            <w:pPr>
              <w:adjustRightInd w:val="0"/>
              <w:snapToGrid w:val="0"/>
              <w:jc w:val="center"/>
              <w:rPr>
                <w:spacing w:val="-8"/>
                <w:szCs w:val="21"/>
              </w:rPr>
            </w:pPr>
            <w:r>
              <w:rPr>
                <w:spacing w:val="-8"/>
                <w:szCs w:val="21"/>
              </w:rPr>
              <w:t>管理要求</w:t>
            </w:r>
          </w:p>
        </w:tc>
        <w:tc>
          <w:tcPr>
            <w:tcW w:w="7662" w:type="dxa"/>
            <w:gridSpan w:val="4"/>
            <w:noWrap w:val="0"/>
            <w:vAlign w:val="top"/>
          </w:tcPr>
          <w:p>
            <w:pPr>
              <w:keepNext w:val="0"/>
              <w:keepLines w:val="0"/>
              <w:widowControl/>
              <w:suppressLineNumbers w:val="0"/>
              <w:spacing w:line="360" w:lineRule="auto"/>
              <w:jc w:val="left"/>
              <w:rPr>
                <w:rFonts w:hint="eastAsia" w:ascii="宋体" w:hAnsi="宋体" w:eastAsia="宋体" w:cs="宋体"/>
                <w:color w:val="000000"/>
                <w:kern w:val="0"/>
                <w:sz w:val="20"/>
                <w:szCs w:val="20"/>
                <w:lang w:val="en-US" w:eastAsia="zh-CN" w:bidi="ar"/>
              </w:rPr>
            </w:pPr>
            <w:r>
              <w:rPr>
                <w:rFonts w:hint="eastAsia" w:ascii="宋体" w:hAnsi="宋体" w:eastAsia="宋体" w:cs="宋体"/>
                <w:color w:val="000000"/>
                <w:kern w:val="0"/>
                <w:sz w:val="20"/>
                <w:szCs w:val="20"/>
                <w:lang w:val="en-US" w:eastAsia="zh-CN" w:bidi="ar"/>
              </w:rPr>
              <w:t>项目由加油站经理主管环境保护工作，对项目的各项环保设施的运行情况进行管理检查，及时发现、解决问题，保证环保设备运转正常，对各种环保设施进行定期维护和维修，并建立相应的管理监督制度。</w:t>
            </w:r>
          </w:p>
          <w:p>
            <w:pPr>
              <w:keepNext w:val="0"/>
              <w:keepLines w:val="0"/>
              <w:widowControl/>
              <w:suppressLineNumbers w:val="0"/>
              <w:spacing w:line="360" w:lineRule="auto"/>
              <w:jc w:val="left"/>
              <w:rPr>
                <w:rFonts w:hint="eastAsia" w:ascii="宋体" w:hAnsi="宋体" w:eastAsia="宋体" w:cs="宋体"/>
                <w:color w:val="000000"/>
                <w:kern w:val="0"/>
                <w:sz w:val="20"/>
                <w:szCs w:val="20"/>
                <w:lang w:val="en-US" w:eastAsia="zh-CN" w:bidi="ar"/>
              </w:rPr>
            </w:pPr>
            <w:r>
              <w:rPr>
                <w:rFonts w:hint="eastAsia" w:ascii="宋体" w:hAnsi="宋体" w:eastAsia="宋体" w:cs="宋体"/>
                <w:color w:val="000000"/>
                <w:kern w:val="0"/>
                <w:sz w:val="20"/>
                <w:szCs w:val="20"/>
                <w:lang w:val="en-US" w:eastAsia="zh-CN" w:bidi="ar"/>
              </w:rPr>
              <w:t>管理职责：</w:t>
            </w:r>
          </w:p>
          <w:p>
            <w:pPr>
              <w:keepNext w:val="0"/>
              <w:keepLines w:val="0"/>
              <w:widowControl/>
              <w:suppressLineNumbers w:val="0"/>
              <w:spacing w:line="360" w:lineRule="auto"/>
              <w:jc w:val="left"/>
            </w:pPr>
            <w:r>
              <w:rPr>
                <w:rFonts w:hint="eastAsia" w:ascii="宋体" w:hAnsi="宋体" w:eastAsia="宋体" w:cs="宋体"/>
                <w:color w:val="000000"/>
                <w:kern w:val="0"/>
                <w:sz w:val="20"/>
                <w:szCs w:val="20"/>
                <w:lang w:val="en-US" w:eastAsia="zh-CN" w:bidi="ar"/>
              </w:rPr>
              <w:t>①贯彻执行国家、省级、地方各项环保政策、法规、标准，根据加油站的实际情况，</w:t>
            </w:r>
          </w:p>
          <w:p>
            <w:pPr>
              <w:keepNext w:val="0"/>
              <w:keepLines w:val="0"/>
              <w:widowControl/>
              <w:suppressLineNumbers w:val="0"/>
              <w:spacing w:line="360" w:lineRule="auto"/>
              <w:jc w:val="left"/>
            </w:pPr>
            <w:r>
              <w:rPr>
                <w:rFonts w:hint="eastAsia" w:ascii="宋体" w:hAnsi="宋体" w:eastAsia="宋体" w:cs="宋体"/>
                <w:color w:val="000000"/>
                <w:kern w:val="0"/>
                <w:sz w:val="20"/>
                <w:szCs w:val="20"/>
                <w:lang w:val="en-US" w:eastAsia="zh-CN" w:bidi="ar"/>
              </w:rPr>
              <w:t>编制环境保护规则和实施细则，组织实施，监督执行。</w:t>
            </w:r>
          </w:p>
          <w:p>
            <w:pPr>
              <w:keepNext w:val="0"/>
              <w:keepLines w:val="0"/>
              <w:widowControl/>
              <w:suppressLineNumbers w:val="0"/>
              <w:spacing w:line="360" w:lineRule="auto"/>
              <w:jc w:val="left"/>
            </w:pPr>
            <w:r>
              <w:rPr>
                <w:rFonts w:hint="eastAsia" w:ascii="宋体" w:hAnsi="宋体" w:eastAsia="宋体" w:cs="宋体"/>
                <w:color w:val="000000"/>
                <w:kern w:val="0"/>
                <w:sz w:val="20"/>
                <w:szCs w:val="20"/>
                <w:lang w:val="en-US" w:eastAsia="zh-CN" w:bidi="ar"/>
              </w:rPr>
              <w:t>②建立企业污染档案，定期委托监测部门进行项目废气和噪声和地下水的监测，掌握项目污染动态，严格按照排污许可自行监测要求进行监测，为环境管理和污染防治提供科学依据。</w:t>
            </w:r>
          </w:p>
          <w:p>
            <w:pPr>
              <w:keepNext w:val="0"/>
              <w:keepLines w:val="0"/>
              <w:widowControl/>
              <w:suppressLineNumbers w:val="0"/>
              <w:spacing w:line="360" w:lineRule="auto"/>
              <w:jc w:val="left"/>
            </w:pPr>
            <w:r>
              <w:rPr>
                <w:rFonts w:hint="eastAsia" w:ascii="宋体" w:hAnsi="宋体" w:eastAsia="宋体" w:cs="宋体"/>
                <w:color w:val="000000"/>
                <w:kern w:val="0"/>
                <w:sz w:val="20"/>
                <w:szCs w:val="20"/>
                <w:lang w:val="en-US" w:eastAsia="zh-CN" w:bidi="ar"/>
              </w:rPr>
              <w:t>③定期进行环境管理人员的环保知识培训，定期进行安全环保宣传教育工作。按照突发环境应急预案要求组织员工认真学习、培训和演练。对所有员工定期进行应急演练，掌握事故后处置的知识，并能在事故发生后，按照预案要求及时、有序、高效地组织应急救援工作，紧急疏散人员，采取措施防止污染扩展影响到周围环境，将事故损失和社会区域危害减少到最低程度，维护社会稳定，保障公众生命健康和财产安全，保护当地环境，促进社会全面、协调、可持续发展。</w:t>
            </w:r>
          </w:p>
          <w:p>
            <w:pPr>
              <w:keepNext w:val="0"/>
              <w:keepLines w:val="0"/>
              <w:widowControl/>
              <w:suppressLineNumbers w:val="0"/>
              <w:spacing w:line="360" w:lineRule="auto"/>
              <w:jc w:val="left"/>
            </w:pPr>
            <w:r>
              <w:rPr>
                <w:rFonts w:hint="eastAsia" w:ascii="宋体" w:hAnsi="宋体" w:eastAsia="宋体" w:cs="宋体"/>
                <w:color w:val="000000"/>
                <w:kern w:val="0"/>
                <w:sz w:val="20"/>
                <w:szCs w:val="20"/>
                <w:lang w:val="en-US" w:eastAsia="zh-CN" w:bidi="ar"/>
              </w:rPr>
              <w:t>④对固体废物必须制定严格的管理制度，注意保持各垃圾堆放点的环境卫生。</w:t>
            </w:r>
          </w:p>
          <w:p>
            <w:pPr>
              <w:keepNext w:val="0"/>
              <w:keepLines w:val="0"/>
              <w:widowControl/>
              <w:suppressLineNumbers w:val="0"/>
              <w:spacing w:line="360" w:lineRule="auto"/>
              <w:jc w:val="left"/>
            </w:pPr>
            <w:r>
              <w:rPr>
                <w:rFonts w:hint="eastAsia" w:ascii="宋体" w:hAnsi="宋体" w:eastAsia="宋体" w:cs="宋体"/>
                <w:color w:val="000000"/>
                <w:kern w:val="0"/>
                <w:sz w:val="20"/>
                <w:szCs w:val="20"/>
                <w:lang w:val="en-US" w:eastAsia="zh-CN" w:bidi="ar"/>
              </w:rPr>
              <w:t>⑤做好常规环境统计工作，掌握各项治理设施的运行状况。</w:t>
            </w:r>
          </w:p>
          <w:p>
            <w:pPr>
              <w:keepNext w:val="0"/>
              <w:keepLines w:val="0"/>
              <w:widowControl/>
              <w:suppressLineNumbers w:val="0"/>
              <w:spacing w:line="360" w:lineRule="auto"/>
              <w:jc w:val="left"/>
            </w:pPr>
            <w:r>
              <w:rPr>
                <w:rFonts w:hint="eastAsia" w:ascii="宋体" w:hAnsi="宋体" w:eastAsia="宋体" w:cs="宋体"/>
                <w:color w:val="000000"/>
                <w:kern w:val="0"/>
                <w:sz w:val="20"/>
                <w:szCs w:val="20"/>
                <w:lang w:val="en-US" w:eastAsia="zh-CN" w:bidi="ar"/>
              </w:rPr>
              <w:t>⑥环评完成后，应按照国家规定的标准与程序，对配套建设的环境保护设施进行验收，编制报告并依法向社会公开。</w:t>
            </w:r>
          </w:p>
          <w:p>
            <w:pPr>
              <w:keepNext w:val="0"/>
              <w:keepLines w:val="0"/>
              <w:widowControl/>
              <w:suppressLineNumbers w:val="0"/>
              <w:spacing w:line="360" w:lineRule="auto"/>
              <w:jc w:val="left"/>
            </w:pPr>
            <w:r>
              <w:rPr>
                <w:rFonts w:hint="eastAsia" w:ascii="宋体" w:hAnsi="宋体" w:eastAsia="宋体" w:cs="宋体"/>
                <w:color w:val="000000"/>
                <w:kern w:val="0"/>
                <w:sz w:val="20"/>
                <w:szCs w:val="20"/>
                <w:lang w:val="en-US" w:eastAsia="zh-CN" w:bidi="ar"/>
              </w:rPr>
              <w:t>⑦项目环评完成后，应按照国家规定的标准与程序，进行验收工作。</w:t>
            </w:r>
          </w:p>
          <w:p>
            <w:pPr>
              <w:spacing w:line="360" w:lineRule="auto"/>
              <w:ind w:firstLine="420" w:firstLineChars="200"/>
              <w:rPr>
                <w:rFonts w:hint="eastAsia"/>
              </w:rPr>
            </w:pPr>
          </w:p>
        </w:tc>
      </w:tr>
    </w:tbl>
    <w:p>
      <w:pPr>
        <w:pStyle w:val="20"/>
        <w:jc w:val="center"/>
        <w:outlineLvl w:val="0"/>
        <w:rPr>
          <w:rFonts w:ascii="Times New Roman" w:hAnsi="Times New Roman" w:eastAsia="黑体"/>
          <w:snapToGrid w:val="0"/>
          <w:sz w:val="30"/>
          <w:szCs w:val="30"/>
        </w:rPr>
      </w:pPr>
      <w:r>
        <w:rPr>
          <w:rFonts w:ascii="Times New Roman" w:hAnsi="Times New Roman"/>
          <w:snapToGrid w:val="0"/>
        </w:rPr>
        <w:br w:type="page"/>
      </w:r>
      <w:r>
        <w:rPr>
          <w:rFonts w:ascii="Times New Roman" w:hAnsi="Times New Roman" w:eastAsia="黑体"/>
          <w:snapToGrid w:val="0"/>
          <w:sz w:val="30"/>
          <w:szCs w:val="30"/>
        </w:rPr>
        <w:t>六、结论</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dxa"/>
          <w:trHeight w:val="12983" w:hRule="atLeast"/>
          <w:jc w:val="center"/>
        </w:trPr>
        <w:tc>
          <w:tcPr>
            <w:tcW w:w="8865" w:type="dxa"/>
            <w:noWrap w:val="0"/>
            <w:vAlign w:val="top"/>
          </w:tcPr>
          <w:p>
            <w:pPr>
              <w:spacing w:before="120" w:beforeLines="50" w:line="360" w:lineRule="auto"/>
              <w:ind w:firstLine="420" w:firstLineChars="200"/>
              <w:rPr>
                <w:sz w:val="24"/>
              </w:rPr>
            </w:pPr>
            <w:r>
              <w:rPr>
                <w:szCs w:val="21"/>
              </w:rPr>
              <w:t>从环境影响角度分析，该项目</w:t>
            </w:r>
            <w:r>
              <w:rPr>
                <w:rFonts w:hint="eastAsia"/>
                <w:szCs w:val="21"/>
                <w:lang w:val="en-US" w:eastAsia="zh-CN"/>
              </w:rPr>
              <w:t>环境影响</w:t>
            </w:r>
            <w:r>
              <w:rPr>
                <w:szCs w:val="21"/>
              </w:rPr>
              <w:t>可行。</w:t>
            </w:r>
          </w:p>
        </w:tc>
      </w:tr>
    </w:tbl>
    <w:p>
      <w:pPr>
        <w:sectPr>
          <w:pgSz w:w="11906" w:h="16838"/>
          <w:pgMar w:top="1417" w:right="1417" w:bottom="1417" w:left="1417" w:header="851" w:footer="851" w:gutter="0"/>
          <w:pgBorders>
            <w:top w:val="none" w:sz="0" w:space="0"/>
            <w:left w:val="none" w:sz="0" w:space="0"/>
            <w:bottom w:val="none" w:sz="0" w:space="0"/>
            <w:right w:val="none" w:sz="0" w:space="0"/>
          </w:pgBorders>
          <w:cols w:space="720" w:num="1"/>
          <w:docGrid w:linePitch="312" w:charSpace="0"/>
        </w:sectPr>
      </w:pPr>
    </w:p>
    <w:p>
      <w:pPr>
        <w:pStyle w:val="20"/>
        <w:adjustRightInd w:val="0"/>
        <w:snapToGrid w:val="0"/>
        <w:spacing w:before="0" w:beforeAutospacing="0" w:after="0" w:afterAutospacing="0" w:line="648" w:lineRule="auto"/>
        <w:outlineLvl w:val="0"/>
        <w:rPr>
          <w:rFonts w:ascii="Times New Roman" w:hAnsi="Times New Roman" w:eastAsia="黑体"/>
          <w:snapToGrid w:val="0"/>
          <w:sz w:val="32"/>
          <w:szCs w:val="32"/>
        </w:rPr>
      </w:pPr>
      <w:r>
        <w:rPr>
          <w:rFonts w:ascii="Times New Roman" w:hAnsi="Times New Roman" w:eastAsia="黑体"/>
          <w:snapToGrid w:val="0"/>
          <w:sz w:val="32"/>
          <w:szCs w:val="32"/>
        </w:rPr>
        <w:t>附表</w:t>
      </w:r>
    </w:p>
    <w:p>
      <w:pPr>
        <w:pStyle w:val="20"/>
        <w:adjustRightInd w:val="0"/>
        <w:snapToGrid w:val="0"/>
        <w:spacing w:before="0" w:beforeAutospacing="0" w:after="0" w:afterAutospacing="0" w:line="432" w:lineRule="auto"/>
        <w:jc w:val="center"/>
        <w:outlineLvl w:val="0"/>
        <w:rPr>
          <w:rFonts w:ascii="Times New Roman" w:hAnsi="Times New Roman" w:eastAsia="方正小标宋_GBK"/>
          <w:snapToGrid w:val="0"/>
          <w:sz w:val="38"/>
          <w:szCs w:val="38"/>
        </w:rPr>
      </w:pPr>
      <w:r>
        <w:rPr>
          <w:rFonts w:ascii="Times New Roman" w:hAnsi="Times New Roman" w:eastAsia="方正小标宋_GBK"/>
          <w:snapToGrid w:val="0"/>
          <w:sz w:val="38"/>
          <w:szCs w:val="38"/>
        </w:rPr>
        <w:t>建设项目污染物排放量汇总表</w:t>
      </w:r>
    </w:p>
    <w:tbl>
      <w:tblPr>
        <w:tblStyle w:val="24"/>
        <w:tblW w:w="493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5"/>
        <w:gridCol w:w="1317"/>
        <w:gridCol w:w="1336"/>
        <w:gridCol w:w="1316"/>
        <w:gridCol w:w="1617"/>
        <w:gridCol w:w="1617"/>
        <w:gridCol w:w="1468"/>
        <w:gridCol w:w="1731"/>
        <w:gridCol w:w="16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3" w:hRule="atLeast"/>
          <w:jc w:val="center"/>
        </w:trPr>
        <w:tc>
          <w:tcPr>
            <w:tcW w:w="1306" w:type="dxa"/>
            <w:tcBorders>
              <w:tl2br w:val="single" w:color="auto" w:sz="4" w:space="0"/>
            </w:tcBorders>
            <w:noWrap w:val="0"/>
            <w:tcMar>
              <w:left w:w="28" w:type="dxa"/>
              <w:right w:w="28" w:type="dxa"/>
            </w:tcMar>
            <w:vAlign w:val="center"/>
          </w:tcPr>
          <w:p>
            <w:pPr>
              <w:pStyle w:val="41"/>
              <w:spacing w:beforeLines="0" w:afterLines="0" w:line="240" w:lineRule="auto"/>
              <w:jc w:val="right"/>
              <w:rPr>
                <w:rFonts w:ascii="Times New Roman" w:eastAsia="黑体"/>
                <w:snapToGrid w:val="0"/>
                <w:spacing w:val="-6"/>
                <w:kern w:val="21"/>
                <w:szCs w:val="21"/>
              </w:rPr>
            </w:pPr>
            <w:r>
              <w:rPr>
                <w:rFonts w:ascii="Times New Roman" w:eastAsia="黑体"/>
                <w:snapToGrid w:val="0"/>
                <w:spacing w:val="-6"/>
                <w:kern w:val="21"/>
                <w:szCs w:val="21"/>
              </w:rPr>
              <w:t>项目</w:t>
            </w:r>
          </w:p>
          <w:p>
            <w:pPr>
              <w:pStyle w:val="41"/>
              <w:spacing w:beforeLines="0" w:afterLines="0" w:line="240" w:lineRule="auto"/>
              <w:jc w:val="left"/>
              <w:rPr>
                <w:rFonts w:ascii="Times New Roman" w:eastAsia="黑体"/>
                <w:snapToGrid w:val="0"/>
                <w:spacing w:val="-6"/>
                <w:kern w:val="21"/>
                <w:szCs w:val="21"/>
              </w:rPr>
            </w:pPr>
            <w:r>
              <w:rPr>
                <w:rFonts w:ascii="Times New Roman" w:eastAsia="黑体"/>
                <w:snapToGrid w:val="0"/>
                <w:spacing w:val="-6"/>
                <w:kern w:val="21"/>
                <w:szCs w:val="21"/>
              </w:rPr>
              <w:t>分类</w:t>
            </w:r>
          </w:p>
        </w:tc>
        <w:tc>
          <w:tcPr>
            <w:tcW w:w="1317" w:type="dxa"/>
            <w:noWrap w:val="0"/>
            <w:tcMar>
              <w:left w:w="28" w:type="dxa"/>
              <w:right w:w="28" w:type="dxa"/>
            </w:tcMar>
            <w:vAlign w:val="center"/>
          </w:tcPr>
          <w:p>
            <w:pPr>
              <w:pStyle w:val="41"/>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污染物名称</w:t>
            </w:r>
          </w:p>
        </w:tc>
        <w:tc>
          <w:tcPr>
            <w:tcW w:w="1336" w:type="dxa"/>
            <w:noWrap w:val="0"/>
            <w:tcMar>
              <w:left w:w="28" w:type="dxa"/>
              <w:right w:w="28" w:type="dxa"/>
            </w:tcMar>
            <w:vAlign w:val="center"/>
          </w:tcPr>
          <w:p>
            <w:pPr>
              <w:pStyle w:val="41"/>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41"/>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1 \* GB3 \* MERGEFORMAT </w:instrText>
            </w:r>
            <w:r>
              <w:rPr>
                <w:rFonts w:ascii="Times New Roman" w:eastAsia="黑体"/>
                <w:snapToGrid w:val="0"/>
                <w:spacing w:val="-6"/>
                <w:kern w:val="21"/>
                <w:szCs w:val="21"/>
              </w:rPr>
              <w:fldChar w:fldCharType="separate"/>
            </w:r>
            <w:r>
              <w:rPr>
                <w:rFonts w:ascii="Times New Roman" w:eastAsia="黑体"/>
                <w:kern w:val="2"/>
                <w:szCs w:val="21"/>
              </w:rPr>
              <w:t>①</w:t>
            </w:r>
            <w:r>
              <w:rPr>
                <w:rFonts w:ascii="Times New Roman" w:eastAsia="黑体"/>
                <w:snapToGrid w:val="0"/>
                <w:spacing w:val="-6"/>
                <w:kern w:val="21"/>
                <w:szCs w:val="21"/>
              </w:rPr>
              <w:fldChar w:fldCharType="end"/>
            </w:r>
          </w:p>
        </w:tc>
        <w:tc>
          <w:tcPr>
            <w:tcW w:w="1316" w:type="dxa"/>
            <w:noWrap w:val="0"/>
            <w:tcMar>
              <w:left w:w="28" w:type="dxa"/>
              <w:right w:w="28" w:type="dxa"/>
            </w:tcMar>
            <w:vAlign w:val="center"/>
          </w:tcPr>
          <w:p>
            <w:pPr>
              <w:pStyle w:val="41"/>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现有工程</w:t>
            </w:r>
          </w:p>
          <w:p>
            <w:pPr>
              <w:pStyle w:val="41"/>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许可排放量</w:t>
            </w:r>
          </w:p>
          <w:p>
            <w:pPr>
              <w:pStyle w:val="41"/>
              <w:spacing w:beforeLines="0" w:afterLines="0"/>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2 \* GB3 \* MERGEFORMAT </w:instrText>
            </w:r>
            <w:r>
              <w:rPr>
                <w:rFonts w:ascii="Times New Roman" w:eastAsia="黑体"/>
                <w:snapToGrid w:val="0"/>
                <w:spacing w:val="-6"/>
                <w:kern w:val="21"/>
                <w:szCs w:val="21"/>
              </w:rPr>
              <w:fldChar w:fldCharType="separate"/>
            </w:r>
            <w:r>
              <w:rPr>
                <w:rFonts w:ascii="Times New Roman" w:eastAsia="黑体"/>
                <w:snapToGrid w:val="0"/>
                <w:spacing w:val="-6"/>
                <w:kern w:val="21"/>
                <w:szCs w:val="21"/>
              </w:rPr>
              <w:t>②</w:t>
            </w:r>
            <w:r>
              <w:rPr>
                <w:rFonts w:ascii="Times New Roman" w:eastAsia="黑体"/>
                <w:snapToGrid w:val="0"/>
                <w:spacing w:val="-6"/>
                <w:kern w:val="21"/>
                <w:szCs w:val="21"/>
              </w:rPr>
              <w:fldChar w:fldCharType="end"/>
            </w:r>
          </w:p>
        </w:tc>
        <w:tc>
          <w:tcPr>
            <w:tcW w:w="1617" w:type="dxa"/>
            <w:noWrap w:val="0"/>
            <w:tcMar>
              <w:left w:w="28" w:type="dxa"/>
              <w:right w:w="28" w:type="dxa"/>
            </w:tcMar>
            <w:vAlign w:val="center"/>
          </w:tcPr>
          <w:p>
            <w:pPr>
              <w:pStyle w:val="41"/>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在建工程</w:t>
            </w:r>
          </w:p>
          <w:p>
            <w:pPr>
              <w:pStyle w:val="41"/>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3 \* GB3 \* MERGEFORMAT </w:instrText>
            </w:r>
            <w:r>
              <w:rPr>
                <w:rFonts w:ascii="Times New Roman" w:eastAsia="黑体"/>
                <w:snapToGrid w:val="0"/>
                <w:spacing w:val="-6"/>
                <w:kern w:val="21"/>
                <w:szCs w:val="21"/>
              </w:rPr>
              <w:fldChar w:fldCharType="separate"/>
            </w:r>
            <w:r>
              <w:rPr>
                <w:rFonts w:ascii="Times New Roman" w:eastAsia="黑体"/>
                <w:kern w:val="2"/>
                <w:szCs w:val="21"/>
              </w:rPr>
              <w:t>③</w:t>
            </w:r>
            <w:r>
              <w:rPr>
                <w:rFonts w:ascii="Times New Roman" w:eastAsia="黑体"/>
                <w:snapToGrid w:val="0"/>
                <w:spacing w:val="-6"/>
                <w:kern w:val="21"/>
                <w:szCs w:val="21"/>
              </w:rPr>
              <w:fldChar w:fldCharType="end"/>
            </w:r>
          </w:p>
        </w:tc>
        <w:tc>
          <w:tcPr>
            <w:tcW w:w="1617" w:type="dxa"/>
            <w:noWrap w:val="0"/>
            <w:tcMar>
              <w:left w:w="28" w:type="dxa"/>
              <w:right w:w="28" w:type="dxa"/>
            </w:tcMar>
            <w:vAlign w:val="center"/>
          </w:tcPr>
          <w:p>
            <w:pPr>
              <w:pStyle w:val="41"/>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本项目</w:t>
            </w:r>
          </w:p>
          <w:p>
            <w:pPr>
              <w:pStyle w:val="41"/>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4 \* GB3 \* MERGEFORMAT </w:instrText>
            </w:r>
            <w:r>
              <w:rPr>
                <w:rFonts w:ascii="Times New Roman" w:eastAsia="黑体"/>
                <w:snapToGrid w:val="0"/>
                <w:spacing w:val="-6"/>
                <w:kern w:val="21"/>
                <w:szCs w:val="21"/>
              </w:rPr>
              <w:fldChar w:fldCharType="separate"/>
            </w:r>
            <w:r>
              <w:rPr>
                <w:rFonts w:ascii="Times New Roman" w:eastAsia="黑体"/>
                <w:kern w:val="2"/>
                <w:szCs w:val="21"/>
              </w:rPr>
              <w:t>④</w:t>
            </w:r>
            <w:r>
              <w:rPr>
                <w:rFonts w:ascii="Times New Roman" w:eastAsia="黑体"/>
                <w:snapToGrid w:val="0"/>
                <w:spacing w:val="-6"/>
                <w:kern w:val="21"/>
                <w:szCs w:val="21"/>
              </w:rPr>
              <w:fldChar w:fldCharType="end"/>
            </w:r>
          </w:p>
        </w:tc>
        <w:tc>
          <w:tcPr>
            <w:tcW w:w="1468" w:type="dxa"/>
            <w:noWrap w:val="0"/>
            <w:tcMar>
              <w:left w:w="28" w:type="dxa"/>
              <w:right w:w="28" w:type="dxa"/>
            </w:tcMar>
            <w:vAlign w:val="center"/>
          </w:tcPr>
          <w:p>
            <w:pPr>
              <w:pStyle w:val="41"/>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以新带老削减量</w:t>
            </w:r>
          </w:p>
          <w:p>
            <w:pPr>
              <w:pStyle w:val="41"/>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（新建项目不填）</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5 \* GB3 \* MERGEFORMAT </w:instrText>
            </w:r>
            <w:r>
              <w:rPr>
                <w:rFonts w:ascii="Times New Roman" w:eastAsia="黑体"/>
                <w:snapToGrid w:val="0"/>
                <w:spacing w:val="-16"/>
                <w:kern w:val="21"/>
                <w:szCs w:val="21"/>
              </w:rPr>
              <w:fldChar w:fldCharType="separate"/>
            </w:r>
            <w:r>
              <w:rPr>
                <w:rFonts w:ascii="Times New Roman" w:eastAsia="黑体"/>
                <w:kern w:val="2"/>
                <w:szCs w:val="21"/>
              </w:rPr>
              <w:t>⑤</w:t>
            </w:r>
            <w:r>
              <w:rPr>
                <w:rFonts w:ascii="Times New Roman" w:eastAsia="黑体"/>
                <w:snapToGrid w:val="0"/>
                <w:spacing w:val="-16"/>
                <w:kern w:val="21"/>
                <w:szCs w:val="21"/>
              </w:rPr>
              <w:fldChar w:fldCharType="end"/>
            </w:r>
          </w:p>
        </w:tc>
        <w:tc>
          <w:tcPr>
            <w:tcW w:w="1731" w:type="dxa"/>
            <w:noWrap w:val="0"/>
            <w:tcMar>
              <w:left w:w="28" w:type="dxa"/>
              <w:right w:w="28" w:type="dxa"/>
            </w:tcMar>
            <w:vAlign w:val="center"/>
          </w:tcPr>
          <w:p>
            <w:pPr>
              <w:pStyle w:val="41"/>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本项目建成后</w:t>
            </w:r>
          </w:p>
          <w:p>
            <w:pPr>
              <w:pStyle w:val="41"/>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全厂排放量（固体废物产生量）</w:t>
            </w:r>
            <w:r>
              <w:rPr>
                <w:rFonts w:ascii="Times New Roman" w:eastAsia="黑体"/>
                <w:snapToGrid w:val="0"/>
                <w:spacing w:val="-16"/>
                <w:kern w:val="21"/>
                <w:szCs w:val="21"/>
              </w:rPr>
              <w:fldChar w:fldCharType="begin"/>
            </w:r>
            <w:r>
              <w:rPr>
                <w:rFonts w:ascii="Times New Roman" w:eastAsia="黑体"/>
                <w:snapToGrid w:val="0"/>
                <w:spacing w:val="-16"/>
                <w:kern w:val="21"/>
                <w:szCs w:val="21"/>
              </w:rPr>
              <w:instrText xml:space="preserve"> = 6 \* GB3 \* MERGEFORMAT </w:instrText>
            </w:r>
            <w:r>
              <w:rPr>
                <w:rFonts w:ascii="Times New Roman" w:eastAsia="黑体"/>
                <w:snapToGrid w:val="0"/>
                <w:spacing w:val="-16"/>
                <w:kern w:val="21"/>
                <w:szCs w:val="21"/>
              </w:rPr>
              <w:fldChar w:fldCharType="separate"/>
            </w:r>
            <w:r>
              <w:rPr>
                <w:rFonts w:ascii="Times New Roman" w:eastAsia="黑体"/>
                <w:kern w:val="2"/>
                <w:szCs w:val="21"/>
              </w:rPr>
              <w:t>⑥</w:t>
            </w:r>
            <w:r>
              <w:rPr>
                <w:rFonts w:ascii="Times New Roman" w:eastAsia="黑体"/>
                <w:snapToGrid w:val="0"/>
                <w:spacing w:val="-16"/>
                <w:kern w:val="21"/>
                <w:szCs w:val="21"/>
              </w:rPr>
              <w:fldChar w:fldCharType="end"/>
            </w:r>
          </w:p>
        </w:tc>
        <w:tc>
          <w:tcPr>
            <w:tcW w:w="1607" w:type="dxa"/>
            <w:noWrap w:val="0"/>
            <w:tcMar>
              <w:left w:w="28" w:type="dxa"/>
              <w:right w:w="28" w:type="dxa"/>
            </w:tcMar>
            <w:vAlign w:val="center"/>
          </w:tcPr>
          <w:p>
            <w:pPr>
              <w:pStyle w:val="41"/>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变化量</w:t>
            </w:r>
          </w:p>
          <w:p>
            <w:pPr>
              <w:pStyle w:val="41"/>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fldChar w:fldCharType="begin"/>
            </w:r>
            <w:r>
              <w:rPr>
                <w:rFonts w:ascii="Times New Roman" w:eastAsia="黑体"/>
                <w:snapToGrid w:val="0"/>
                <w:spacing w:val="-6"/>
                <w:kern w:val="21"/>
                <w:szCs w:val="21"/>
              </w:rPr>
              <w:instrText xml:space="preserve"> = 7 \* GB3 \* MERGEFORMAT </w:instrText>
            </w:r>
            <w:r>
              <w:rPr>
                <w:rFonts w:ascii="Times New Roman" w:eastAsia="黑体"/>
                <w:snapToGrid w:val="0"/>
                <w:spacing w:val="-6"/>
                <w:kern w:val="21"/>
                <w:szCs w:val="21"/>
              </w:rPr>
              <w:fldChar w:fldCharType="separate"/>
            </w:r>
            <w:r>
              <w:rPr>
                <w:rFonts w:ascii="Times New Roman" w:eastAsia="黑体"/>
                <w:kern w:val="2"/>
                <w:szCs w:val="21"/>
              </w:rPr>
              <w:t>⑦</w:t>
            </w:r>
            <w:r>
              <w:rPr>
                <w:rFonts w:ascii="Times New Roman" w:eastAsia="黑体"/>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306" w:type="dxa"/>
            <w:noWrap w:val="0"/>
            <w:vAlign w:val="center"/>
          </w:tcPr>
          <w:p>
            <w:pPr>
              <w:pStyle w:val="41"/>
              <w:spacing w:beforeLines="0" w:afterLines="0" w:line="240" w:lineRule="auto"/>
              <w:rPr>
                <w:rFonts w:ascii="Times New Roman"/>
                <w:snapToGrid w:val="0"/>
                <w:kern w:val="21"/>
                <w:szCs w:val="21"/>
              </w:rPr>
            </w:pPr>
            <w:r>
              <w:rPr>
                <w:rFonts w:ascii="Times New Roman"/>
                <w:snapToGrid w:val="0"/>
                <w:kern w:val="21"/>
                <w:szCs w:val="21"/>
              </w:rPr>
              <w:t>废气</w:t>
            </w:r>
          </w:p>
        </w:tc>
        <w:tc>
          <w:tcPr>
            <w:tcW w:w="1317" w:type="dxa"/>
            <w:noWrap w:val="0"/>
            <w:vAlign w:val="center"/>
          </w:tcPr>
          <w:p>
            <w:pPr>
              <w:pStyle w:val="41"/>
              <w:spacing w:beforeLines="0" w:afterLines="0" w:line="240" w:lineRule="auto"/>
              <w:rPr>
                <w:rFonts w:ascii="Times New Roman"/>
                <w:snapToGrid w:val="0"/>
                <w:kern w:val="21"/>
                <w:szCs w:val="21"/>
              </w:rPr>
            </w:pPr>
            <w:r>
              <w:rPr>
                <w:rFonts w:ascii="Times New Roman"/>
                <w:snapToGrid w:val="0"/>
                <w:kern w:val="21"/>
                <w:szCs w:val="21"/>
              </w:rPr>
              <w:t>非甲烷总烃</w:t>
            </w:r>
          </w:p>
        </w:tc>
        <w:tc>
          <w:tcPr>
            <w:tcW w:w="1336" w:type="dxa"/>
            <w:noWrap w:val="0"/>
            <w:vAlign w:val="center"/>
          </w:tcPr>
          <w:p>
            <w:pPr>
              <w:pStyle w:val="41"/>
              <w:spacing w:beforeLines="0" w:afterLines="0" w:line="240" w:lineRule="auto"/>
              <w:rPr>
                <w:rFonts w:ascii="Times New Roman"/>
                <w:snapToGrid w:val="0"/>
                <w:kern w:val="21"/>
                <w:szCs w:val="21"/>
              </w:rPr>
            </w:pPr>
            <w:r>
              <w:rPr>
                <w:rFonts w:hint="eastAsia" w:ascii="Times New Roman"/>
                <w:snapToGrid w:val="0"/>
                <w:kern w:val="21"/>
                <w:szCs w:val="21"/>
              </w:rPr>
              <w:t>/</w:t>
            </w:r>
          </w:p>
        </w:tc>
        <w:tc>
          <w:tcPr>
            <w:tcW w:w="1316"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pStyle w:val="41"/>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2.713</w:t>
            </w:r>
            <w:r>
              <w:rPr>
                <w:rFonts w:ascii="Times New Roman"/>
                <w:snapToGrid w:val="0"/>
                <w:kern w:val="21"/>
                <w:szCs w:val="21"/>
              </w:rPr>
              <w:t>t/a</w:t>
            </w:r>
          </w:p>
        </w:tc>
        <w:tc>
          <w:tcPr>
            <w:tcW w:w="1468" w:type="dxa"/>
            <w:noWrap w:val="0"/>
            <w:vAlign w:val="center"/>
          </w:tcPr>
          <w:p>
            <w:pPr>
              <w:jc w:val="center"/>
              <w:rPr>
                <w:snapToGrid w:val="0"/>
                <w:kern w:val="21"/>
                <w:szCs w:val="21"/>
              </w:rPr>
            </w:pPr>
            <w:r>
              <w:rPr>
                <w:snapToGrid w:val="0"/>
                <w:kern w:val="21"/>
                <w:szCs w:val="21"/>
              </w:rPr>
              <w:t>/</w:t>
            </w:r>
          </w:p>
        </w:tc>
        <w:tc>
          <w:tcPr>
            <w:tcW w:w="1731" w:type="dxa"/>
            <w:noWrap w:val="0"/>
            <w:vAlign w:val="center"/>
          </w:tcPr>
          <w:p>
            <w:pPr>
              <w:pStyle w:val="41"/>
              <w:spacing w:beforeLines="0" w:afterLines="0" w:line="240" w:lineRule="auto"/>
              <w:rPr>
                <w:rFonts w:ascii="Times New Roman"/>
                <w:snapToGrid w:val="0"/>
                <w:kern w:val="21"/>
                <w:szCs w:val="21"/>
              </w:rPr>
            </w:pPr>
            <w:r>
              <w:rPr>
                <w:rFonts w:hint="eastAsia" w:ascii="Times New Roman"/>
                <w:snapToGrid w:val="0"/>
                <w:kern w:val="21"/>
                <w:szCs w:val="21"/>
                <w:lang w:val="en-US" w:eastAsia="zh-CN"/>
              </w:rPr>
              <w:t>2.713</w:t>
            </w:r>
            <w:r>
              <w:rPr>
                <w:rFonts w:ascii="Times New Roman"/>
                <w:snapToGrid w:val="0"/>
                <w:kern w:val="21"/>
                <w:szCs w:val="21"/>
              </w:rPr>
              <w:t>t/a</w:t>
            </w:r>
          </w:p>
        </w:tc>
        <w:tc>
          <w:tcPr>
            <w:tcW w:w="1607" w:type="dxa"/>
            <w:noWrap w:val="0"/>
            <w:vAlign w:val="center"/>
          </w:tcPr>
          <w:p>
            <w:pPr>
              <w:pStyle w:val="41"/>
              <w:tabs>
                <w:tab w:val="left" w:pos="204"/>
                <w:tab w:val="center" w:pos="686"/>
              </w:tabs>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lang w:val="en-US" w:eastAsia="zh-CN"/>
              </w:rPr>
              <w:t>+</w:t>
            </w:r>
            <w:r>
              <w:rPr>
                <w:rFonts w:hint="eastAsia" w:ascii="Times New Roman"/>
                <w:snapToGrid w:val="0"/>
                <w:kern w:val="21"/>
                <w:szCs w:val="21"/>
                <w:lang w:val="en-US" w:eastAsia="zh-CN"/>
              </w:rPr>
              <w:t>2.713</w:t>
            </w:r>
            <w:r>
              <w:rPr>
                <w:rFonts w:ascii="Times New Roman"/>
                <w:snapToGrid w:val="0"/>
                <w:kern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306" w:type="dxa"/>
            <w:vMerge w:val="restart"/>
            <w:noWrap w:val="0"/>
            <w:vAlign w:val="center"/>
          </w:tcPr>
          <w:p>
            <w:pPr>
              <w:pStyle w:val="41"/>
              <w:spacing w:beforeLines="0" w:afterLines="0" w:line="240" w:lineRule="auto"/>
              <w:rPr>
                <w:rFonts w:ascii="Times New Roman"/>
                <w:snapToGrid w:val="0"/>
                <w:kern w:val="21"/>
                <w:szCs w:val="21"/>
              </w:rPr>
            </w:pPr>
            <w:r>
              <w:rPr>
                <w:rFonts w:ascii="Times New Roman"/>
                <w:snapToGrid w:val="0"/>
                <w:kern w:val="21"/>
                <w:szCs w:val="21"/>
              </w:rPr>
              <w:t>废水</w:t>
            </w:r>
          </w:p>
        </w:tc>
        <w:tc>
          <w:tcPr>
            <w:tcW w:w="1317" w:type="dxa"/>
            <w:noWrap w:val="0"/>
            <w:vAlign w:val="center"/>
          </w:tcPr>
          <w:p>
            <w:pPr>
              <w:pStyle w:val="41"/>
              <w:spacing w:beforeLines="0" w:afterLines="0" w:line="240" w:lineRule="auto"/>
              <w:rPr>
                <w:rFonts w:hint="eastAsia" w:ascii="Times New Roman"/>
                <w:snapToGrid w:val="0"/>
                <w:kern w:val="21"/>
                <w:szCs w:val="21"/>
              </w:rPr>
            </w:pPr>
            <w:r>
              <w:rPr>
                <w:rFonts w:hint="eastAsia" w:ascii="Times New Roman"/>
                <w:szCs w:val="21"/>
              </w:rPr>
              <w:t>COD</w:t>
            </w:r>
          </w:p>
        </w:tc>
        <w:tc>
          <w:tcPr>
            <w:tcW w:w="1336" w:type="dxa"/>
            <w:noWrap w:val="0"/>
            <w:vAlign w:val="center"/>
          </w:tcPr>
          <w:p>
            <w:pPr>
              <w:pStyle w:val="41"/>
              <w:spacing w:beforeLines="0" w:afterLines="0" w:line="240" w:lineRule="auto"/>
              <w:rPr>
                <w:rFonts w:hint="eastAsia" w:ascii="Times New Roman"/>
                <w:snapToGrid w:val="0"/>
                <w:kern w:val="21"/>
                <w:szCs w:val="21"/>
              </w:rPr>
            </w:pPr>
            <w:r>
              <w:rPr>
                <w:rFonts w:hint="eastAsia" w:ascii="Times New Roman"/>
                <w:bCs/>
                <w:szCs w:val="21"/>
              </w:rPr>
              <w:t>/</w:t>
            </w:r>
          </w:p>
        </w:tc>
        <w:tc>
          <w:tcPr>
            <w:tcW w:w="1316"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pStyle w:val="41"/>
              <w:spacing w:beforeLines="0" w:afterLines="0" w:line="240" w:lineRule="auto"/>
              <w:rPr>
                <w:rFonts w:ascii="Times New Roman"/>
                <w:snapToGrid w:val="0"/>
                <w:kern w:val="21"/>
                <w:szCs w:val="21"/>
              </w:rPr>
            </w:pPr>
            <w:r>
              <w:rPr>
                <w:rFonts w:hint="eastAsia" w:ascii="Times New Roman"/>
                <w:bCs/>
                <w:szCs w:val="21"/>
              </w:rPr>
              <w:t>0.</w:t>
            </w:r>
            <w:r>
              <w:rPr>
                <w:rFonts w:hint="eastAsia" w:ascii="Times New Roman"/>
                <w:bCs/>
                <w:szCs w:val="21"/>
                <w:lang w:val="en-US" w:eastAsia="zh-CN"/>
              </w:rPr>
              <w:t>1</w:t>
            </w:r>
            <w:r>
              <w:rPr>
                <w:rFonts w:hint="eastAsia" w:ascii="Times New Roman"/>
                <w:bCs/>
                <w:szCs w:val="21"/>
                <w:lang w:val="en-US" w:eastAsia="zh-CN"/>
              </w:rPr>
              <w:t>52</w:t>
            </w:r>
            <w:r>
              <w:rPr>
                <w:rFonts w:ascii="Times New Roman"/>
                <w:szCs w:val="21"/>
              </w:rPr>
              <w:t>t/a</w:t>
            </w:r>
          </w:p>
        </w:tc>
        <w:tc>
          <w:tcPr>
            <w:tcW w:w="1468" w:type="dxa"/>
            <w:noWrap w:val="0"/>
            <w:vAlign w:val="center"/>
          </w:tcPr>
          <w:p>
            <w:pPr>
              <w:jc w:val="center"/>
              <w:rPr>
                <w:snapToGrid w:val="0"/>
                <w:kern w:val="21"/>
                <w:szCs w:val="21"/>
              </w:rPr>
            </w:pPr>
            <w:r>
              <w:rPr>
                <w:snapToGrid w:val="0"/>
                <w:kern w:val="21"/>
                <w:szCs w:val="21"/>
              </w:rPr>
              <w:t>/</w:t>
            </w:r>
          </w:p>
        </w:tc>
        <w:tc>
          <w:tcPr>
            <w:tcW w:w="1731" w:type="dxa"/>
            <w:noWrap w:val="0"/>
            <w:vAlign w:val="center"/>
          </w:tcPr>
          <w:p>
            <w:pPr>
              <w:pStyle w:val="41"/>
              <w:spacing w:beforeLines="0" w:afterLines="0" w:line="240" w:lineRule="auto"/>
              <w:rPr>
                <w:rFonts w:ascii="Times New Roman"/>
                <w:snapToGrid w:val="0"/>
                <w:kern w:val="21"/>
                <w:szCs w:val="21"/>
              </w:rPr>
            </w:pPr>
            <w:r>
              <w:rPr>
                <w:rFonts w:hint="eastAsia" w:ascii="Times New Roman"/>
                <w:bCs/>
                <w:szCs w:val="21"/>
              </w:rPr>
              <w:t>0.</w:t>
            </w:r>
            <w:r>
              <w:rPr>
                <w:rFonts w:hint="eastAsia" w:ascii="Times New Roman"/>
                <w:bCs/>
                <w:szCs w:val="21"/>
                <w:lang w:val="en-US" w:eastAsia="zh-CN"/>
              </w:rPr>
              <w:t>152</w:t>
            </w:r>
            <w:r>
              <w:rPr>
                <w:rFonts w:ascii="Times New Roman"/>
                <w:szCs w:val="21"/>
              </w:rPr>
              <w:t>t/a</w:t>
            </w:r>
          </w:p>
        </w:tc>
        <w:tc>
          <w:tcPr>
            <w:tcW w:w="1607" w:type="dxa"/>
            <w:noWrap w:val="0"/>
            <w:vAlign w:val="center"/>
          </w:tcPr>
          <w:p>
            <w:pPr>
              <w:pStyle w:val="41"/>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lang w:val="en-US" w:eastAsia="zh-CN"/>
              </w:rPr>
              <w:t>+</w:t>
            </w:r>
            <w:r>
              <w:rPr>
                <w:rFonts w:hint="eastAsia" w:ascii="Times New Roman"/>
                <w:bCs/>
                <w:szCs w:val="21"/>
              </w:rPr>
              <w:t>0.</w:t>
            </w:r>
            <w:r>
              <w:rPr>
                <w:rFonts w:hint="eastAsia" w:ascii="Times New Roman"/>
                <w:bCs/>
                <w:szCs w:val="21"/>
                <w:lang w:val="en-US" w:eastAsia="zh-CN"/>
              </w:rPr>
              <w:t>152</w:t>
            </w:r>
            <w:r>
              <w:rPr>
                <w:rFonts w:ascii="Times New Roman"/>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306" w:type="dxa"/>
            <w:vMerge w:val="continue"/>
            <w:noWrap w:val="0"/>
            <w:vAlign w:val="center"/>
          </w:tcPr>
          <w:p>
            <w:pPr>
              <w:pStyle w:val="41"/>
              <w:spacing w:beforeLines="0" w:afterLines="0" w:line="240" w:lineRule="auto"/>
              <w:rPr>
                <w:rFonts w:ascii="Times New Roman"/>
                <w:snapToGrid w:val="0"/>
                <w:kern w:val="21"/>
                <w:szCs w:val="21"/>
              </w:rPr>
            </w:pPr>
          </w:p>
        </w:tc>
        <w:tc>
          <w:tcPr>
            <w:tcW w:w="1317" w:type="dxa"/>
            <w:noWrap w:val="0"/>
            <w:vAlign w:val="center"/>
          </w:tcPr>
          <w:p>
            <w:pPr>
              <w:pStyle w:val="41"/>
              <w:spacing w:beforeLines="0" w:afterLines="0" w:line="240" w:lineRule="auto"/>
              <w:rPr>
                <w:rFonts w:ascii="Times New Roman"/>
                <w:szCs w:val="21"/>
              </w:rPr>
            </w:pPr>
            <w:r>
              <w:rPr>
                <w:rFonts w:hint="eastAsia" w:ascii="Times New Roman"/>
                <w:szCs w:val="21"/>
              </w:rPr>
              <w:t>B</w:t>
            </w:r>
            <w:r>
              <w:rPr>
                <w:rFonts w:ascii="Times New Roman"/>
                <w:szCs w:val="21"/>
              </w:rPr>
              <w:t>OD</w:t>
            </w:r>
            <w:r>
              <w:rPr>
                <w:rFonts w:hint="eastAsia" w:ascii="Times New Roman"/>
                <w:szCs w:val="21"/>
                <w:vertAlign w:val="subscript"/>
              </w:rPr>
              <w:t>5</w:t>
            </w:r>
          </w:p>
        </w:tc>
        <w:tc>
          <w:tcPr>
            <w:tcW w:w="1336" w:type="dxa"/>
            <w:noWrap w:val="0"/>
            <w:vAlign w:val="center"/>
          </w:tcPr>
          <w:p>
            <w:pPr>
              <w:pStyle w:val="41"/>
              <w:spacing w:beforeLines="0" w:afterLines="0" w:line="240" w:lineRule="auto"/>
              <w:rPr>
                <w:rFonts w:hint="eastAsia" w:ascii="Times New Roman"/>
                <w:bCs/>
                <w:szCs w:val="21"/>
              </w:rPr>
            </w:pPr>
            <w:r>
              <w:rPr>
                <w:rFonts w:hint="eastAsia" w:ascii="Times New Roman"/>
                <w:bCs/>
                <w:szCs w:val="21"/>
              </w:rPr>
              <w:t>/</w:t>
            </w:r>
          </w:p>
        </w:tc>
        <w:tc>
          <w:tcPr>
            <w:tcW w:w="1316"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pStyle w:val="41"/>
              <w:spacing w:beforeLines="0" w:afterLines="0" w:line="240" w:lineRule="auto"/>
              <w:rPr>
                <w:rFonts w:ascii="Times New Roman"/>
                <w:bCs/>
                <w:szCs w:val="21"/>
              </w:rPr>
            </w:pPr>
            <w:r>
              <w:rPr>
                <w:rFonts w:hint="eastAsia" w:ascii="Times New Roman"/>
                <w:bCs/>
                <w:szCs w:val="21"/>
              </w:rPr>
              <w:t>0.0</w:t>
            </w:r>
            <w:r>
              <w:rPr>
                <w:rFonts w:hint="eastAsia" w:ascii="Times New Roman"/>
                <w:bCs/>
                <w:szCs w:val="21"/>
                <w:lang w:val="en-US" w:eastAsia="zh-CN"/>
              </w:rPr>
              <w:t>8</w:t>
            </w:r>
            <w:r>
              <w:rPr>
                <w:rFonts w:hint="eastAsia" w:ascii="Times New Roman"/>
                <w:bCs/>
                <w:szCs w:val="21"/>
              </w:rPr>
              <w:t>t/a</w:t>
            </w:r>
          </w:p>
        </w:tc>
        <w:tc>
          <w:tcPr>
            <w:tcW w:w="1468" w:type="dxa"/>
            <w:noWrap w:val="0"/>
            <w:vAlign w:val="center"/>
          </w:tcPr>
          <w:p>
            <w:pPr>
              <w:jc w:val="center"/>
              <w:rPr>
                <w:rFonts w:hint="eastAsia"/>
                <w:snapToGrid w:val="0"/>
                <w:kern w:val="21"/>
                <w:szCs w:val="21"/>
              </w:rPr>
            </w:pPr>
            <w:r>
              <w:rPr>
                <w:rFonts w:hint="eastAsia"/>
                <w:snapToGrid w:val="0"/>
                <w:kern w:val="21"/>
                <w:szCs w:val="21"/>
              </w:rPr>
              <w:t>/</w:t>
            </w:r>
          </w:p>
        </w:tc>
        <w:tc>
          <w:tcPr>
            <w:tcW w:w="1731" w:type="dxa"/>
            <w:noWrap w:val="0"/>
            <w:vAlign w:val="center"/>
          </w:tcPr>
          <w:p>
            <w:pPr>
              <w:pStyle w:val="41"/>
              <w:spacing w:beforeLines="0" w:afterLines="0" w:line="240" w:lineRule="auto"/>
              <w:rPr>
                <w:rFonts w:hint="eastAsia" w:ascii="Times New Roman"/>
                <w:bCs/>
                <w:szCs w:val="21"/>
              </w:rPr>
            </w:pPr>
            <w:r>
              <w:rPr>
                <w:rFonts w:hint="eastAsia" w:ascii="Times New Roman"/>
                <w:bCs/>
                <w:szCs w:val="21"/>
              </w:rPr>
              <w:t>0.0</w:t>
            </w:r>
            <w:r>
              <w:rPr>
                <w:rFonts w:hint="eastAsia" w:ascii="Times New Roman"/>
                <w:bCs/>
                <w:szCs w:val="21"/>
                <w:lang w:val="en-US" w:eastAsia="zh-CN"/>
              </w:rPr>
              <w:t>8</w:t>
            </w:r>
            <w:r>
              <w:rPr>
                <w:rFonts w:hint="eastAsia" w:ascii="Times New Roman"/>
                <w:bCs/>
                <w:szCs w:val="21"/>
              </w:rPr>
              <w:t>t/a</w:t>
            </w:r>
          </w:p>
        </w:tc>
        <w:tc>
          <w:tcPr>
            <w:tcW w:w="1607" w:type="dxa"/>
            <w:noWrap w:val="0"/>
            <w:vAlign w:val="center"/>
          </w:tcPr>
          <w:p>
            <w:pPr>
              <w:pStyle w:val="41"/>
              <w:spacing w:beforeLines="0" w:afterLines="0" w:line="240" w:lineRule="auto"/>
              <w:rPr>
                <w:rFonts w:hint="eastAsia" w:ascii="Times New Roman"/>
                <w:bCs/>
                <w:color w:val="auto"/>
                <w:szCs w:val="21"/>
                <w:highlight w:val="none"/>
              </w:rPr>
            </w:pPr>
            <w:r>
              <w:rPr>
                <w:rFonts w:hint="eastAsia" w:ascii="Times New Roman"/>
                <w:snapToGrid w:val="0"/>
                <w:color w:val="auto"/>
                <w:kern w:val="21"/>
                <w:szCs w:val="21"/>
                <w:highlight w:val="none"/>
                <w:lang w:val="en-US" w:eastAsia="zh-CN"/>
              </w:rPr>
              <w:t>+</w:t>
            </w:r>
            <w:r>
              <w:rPr>
                <w:rFonts w:hint="eastAsia" w:ascii="Times New Roman"/>
                <w:bCs/>
                <w:szCs w:val="21"/>
              </w:rPr>
              <w:t>0.0</w:t>
            </w:r>
            <w:r>
              <w:rPr>
                <w:rFonts w:hint="eastAsia" w:ascii="Times New Roman"/>
                <w:bCs/>
                <w:szCs w:val="21"/>
                <w:lang w:val="en-US" w:eastAsia="zh-CN"/>
              </w:rPr>
              <w:t>8</w:t>
            </w:r>
            <w:r>
              <w:rPr>
                <w:rFonts w:hint="eastAsia" w:ascii="Times New Roman"/>
                <w:bCs/>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306" w:type="dxa"/>
            <w:vMerge w:val="continue"/>
            <w:noWrap w:val="0"/>
            <w:vAlign w:val="center"/>
          </w:tcPr>
          <w:p>
            <w:pPr>
              <w:pStyle w:val="41"/>
              <w:spacing w:beforeLines="0" w:afterLines="0" w:line="240" w:lineRule="auto"/>
              <w:rPr>
                <w:rFonts w:ascii="Times New Roman"/>
                <w:snapToGrid w:val="0"/>
                <w:kern w:val="21"/>
                <w:szCs w:val="21"/>
              </w:rPr>
            </w:pPr>
          </w:p>
        </w:tc>
        <w:tc>
          <w:tcPr>
            <w:tcW w:w="1317" w:type="dxa"/>
            <w:noWrap w:val="0"/>
            <w:vAlign w:val="center"/>
          </w:tcPr>
          <w:p>
            <w:pPr>
              <w:pStyle w:val="41"/>
              <w:spacing w:beforeLines="0" w:afterLines="0" w:line="240" w:lineRule="auto"/>
              <w:rPr>
                <w:rFonts w:ascii="Times New Roman"/>
                <w:szCs w:val="21"/>
              </w:rPr>
            </w:pPr>
            <w:r>
              <w:rPr>
                <w:rFonts w:hint="eastAsia" w:ascii="Times New Roman"/>
                <w:szCs w:val="21"/>
              </w:rPr>
              <w:t>SS</w:t>
            </w:r>
          </w:p>
        </w:tc>
        <w:tc>
          <w:tcPr>
            <w:tcW w:w="1336" w:type="dxa"/>
            <w:noWrap w:val="0"/>
            <w:vAlign w:val="center"/>
          </w:tcPr>
          <w:p>
            <w:pPr>
              <w:pStyle w:val="41"/>
              <w:spacing w:beforeLines="0" w:afterLines="0" w:line="240" w:lineRule="auto"/>
              <w:rPr>
                <w:rFonts w:hint="eastAsia" w:ascii="Times New Roman"/>
                <w:bCs/>
                <w:szCs w:val="21"/>
              </w:rPr>
            </w:pPr>
            <w:r>
              <w:rPr>
                <w:rFonts w:hint="eastAsia" w:ascii="Times New Roman"/>
                <w:bCs/>
                <w:szCs w:val="21"/>
              </w:rPr>
              <w:t>/</w:t>
            </w:r>
          </w:p>
        </w:tc>
        <w:tc>
          <w:tcPr>
            <w:tcW w:w="1316"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pStyle w:val="41"/>
              <w:spacing w:beforeLines="0" w:afterLines="0" w:line="240" w:lineRule="auto"/>
              <w:rPr>
                <w:rFonts w:ascii="Times New Roman"/>
                <w:bCs/>
                <w:szCs w:val="21"/>
              </w:rPr>
            </w:pPr>
            <w:r>
              <w:rPr>
                <w:rFonts w:hint="eastAsia" w:ascii="Times New Roman"/>
                <w:bCs/>
                <w:szCs w:val="21"/>
              </w:rPr>
              <w:t>0.0</w:t>
            </w:r>
            <w:r>
              <w:rPr>
                <w:rFonts w:hint="eastAsia" w:ascii="Times New Roman"/>
                <w:bCs/>
                <w:szCs w:val="21"/>
                <w:lang w:val="en-US" w:eastAsia="zh-CN"/>
              </w:rPr>
              <w:t>9</w:t>
            </w:r>
            <w:r>
              <w:rPr>
                <w:rFonts w:hint="eastAsia" w:ascii="Times New Roman"/>
                <w:bCs/>
                <w:szCs w:val="21"/>
              </w:rPr>
              <w:t>4t/a</w:t>
            </w:r>
          </w:p>
        </w:tc>
        <w:tc>
          <w:tcPr>
            <w:tcW w:w="1468" w:type="dxa"/>
            <w:noWrap w:val="0"/>
            <w:vAlign w:val="center"/>
          </w:tcPr>
          <w:p>
            <w:pPr>
              <w:jc w:val="center"/>
              <w:rPr>
                <w:rFonts w:hint="eastAsia"/>
                <w:snapToGrid w:val="0"/>
                <w:kern w:val="21"/>
                <w:szCs w:val="21"/>
              </w:rPr>
            </w:pPr>
            <w:r>
              <w:rPr>
                <w:rFonts w:hint="eastAsia"/>
                <w:snapToGrid w:val="0"/>
                <w:kern w:val="21"/>
                <w:szCs w:val="21"/>
              </w:rPr>
              <w:t>/</w:t>
            </w:r>
          </w:p>
        </w:tc>
        <w:tc>
          <w:tcPr>
            <w:tcW w:w="1731" w:type="dxa"/>
            <w:noWrap w:val="0"/>
            <w:vAlign w:val="center"/>
          </w:tcPr>
          <w:p>
            <w:pPr>
              <w:pStyle w:val="41"/>
              <w:spacing w:beforeLines="0" w:afterLines="0" w:line="240" w:lineRule="auto"/>
              <w:rPr>
                <w:rFonts w:hint="eastAsia" w:ascii="Times New Roman"/>
                <w:bCs/>
                <w:szCs w:val="21"/>
              </w:rPr>
            </w:pPr>
            <w:r>
              <w:rPr>
                <w:rFonts w:hint="eastAsia" w:ascii="Times New Roman"/>
                <w:bCs/>
                <w:szCs w:val="21"/>
              </w:rPr>
              <w:t>0.0</w:t>
            </w:r>
            <w:r>
              <w:rPr>
                <w:rFonts w:hint="eastAsia" w:ascii="Times New Roman"/>
                <w:bCs/>
                <w:szCs w:val="21"/>
                <w:lang w:val="en-US" w:eastAsia="zh-CN"/>
              </w:rPr>
              <w:t>9</w:t>
            </w:r>
            <w:r>
              <w:rPr>
                <w:rFonts w:hint="eastAsia" w:ascii="Times New Roman"/>
                <w:bCs/>
                <w:szCs w:val="21"/>
              </w:rPr>
              <w:t>4t/a</w:t>
            </w:r>
          </w:p>
        </w:tc>
        <w:tc>
          <w:tcPr>
            <w:tcW w:w="1607" w:type="dxa"/>
            <w:noWrap w:val="0"/>
            <w:vAlign w:val="center"/>
          </w:tcPr>
          <w:p>
            <w:pPr>
              <w:pStyle w:val="41"/>
              <w:spacing w:beforeLines="0" w:afterLines="0" w:line="240" w:lineRule="auto"/>
              <w:rPr>
                <w:rFonts w:hint="eastAsia" w:ascii="Times New Roman"/>
                <w:bCs/>
                <w:color w:val="auto"/>
                <w:szCs w:val="21"/>
                <w:highlight w:val="none"/>
              </w:rPr>
            </w:pPr>
            <w:r>
              <w:rPr>
                <w:rFonts w:hint="eastAsia" w:ascii="Times New Roman"/>
                <w:snapToGrid w:val="0"/>
                <w:color w:val="auto"/>
                <w:kern w:val="21"/>
                <w:szCs w:val="21"/>
                <w:highlight w:val="none"/>
                <w:lang w:val="en-US" w:eastAsia="zh-CN"/>
              </w:rPr>
              <w:t>+</w:t>
            </w:r>
            <w:r>
              <w:rPr>
                <w:rFonts w:hint="eastAsia" w:ascii="Times New Roman"/>
                <w:bCs/>
                <w:szCs w:val="21"/>
              </w:rPr>
              <w:t>0.0</w:t>
            </w:r>
            <w:r>
              <w:rPr>
                <w:rFonts w:hint="eastAsia" w:ascii="Times New Roman"/>
                <w:bCs/>
                <w:szCs w:val="21"/>
                <w:lang w:val="en-US" w:eastAsia="zh-CN"/>
              </w:rPr>
              <w:t>9</w:t>
            </w:r>
            <w:r>
              <w:rPr>
                <w:rFonts w:hint="eastAsia" w:ascii="Times New Roman"/>
                <w:bCs/>
                <w:szCs w:val="21"/>
              </w:rPr>
              <w:t>4t/a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1306" w:type="dxa"/>
            <w:vMerge w:val="continue"/>
            <w:noWrap w:val="0"/>
            <w:vAlign w:val="center"/>
          </w:tcPr>
          <w:p>
            <w:pPr>
              <w:pStyle w:val="41"/>
              <w:spacing w:beforeLines="0" w:afterLines="0" w:line="240" w:lineRule="auto"/>
              <w:rPr>
                <w:rFonts w:ascii="Times New Roman"/>
                <w:snapToGrid w:val="0"/>
                <w:kern w:val="21"/>
                <w:szCs w:val="21"/>
              </w:rPr>
            </w:pPr>
          </w:p>
        </w:tc>
        <w:tc>
          <w:tcPr>
            <w:tcW w:w="1317" w:type="dxa"/>
            <w:noWrap w:val="0"/>
            <w:vAlign w:val="center"/>
          </w:tcPr>
          <w:p>
            <w:pPr>
              <w:pStyle w:val="41"/>
              <w:spacing w:beforeLines="0" w:afterLines="0" w:line="240" w:lineRule="auto"/>
              <w:rPr>
                <w:rFonts w:ascii="Times New Roman"/>
                <w:snapToGrid w:val="0"/>
                <w:kern w:val="21"/>
                <w:szCs w:val="21"/>
              </w:rPr>
            </w:pPr>
            <w:r>
              <w:rPr>
                <w:rFonts w:ascii="Times New Roman"/>
                <w:szCs w:val="21"/>
              </w:rPr>
              <w:t>NH</w:t>
            </w:r>
            <w:r>
              <w:rPr>
                <w:rFonts w:ascii="Times New Roman"/>
                <w:szCs w:val="21"/>
                <w:vertAlign w:val="subscript"/>
              </w:rPr>
              <w:t>3</w:t>
            </w:r>
            <w:r>
              <w:rPr>
                <w:rFonts w:ascii="Times New Roman"/>
                <w:szCs w:val="21"/>
              </w:rPr>
              <w:t>-N</w:t>
            </w:r>
          </w:p>
        </w:tc>
        <w:tc>
          <w:tcPr>
            <w:tcW w:w="1336" w:type="dxa"/>
            <w:noWrap w:val="0"/>
            <w:vAlign w:val="center"/>
          </w:tcPr>
          <w:p>
            <w:pPr>
              <w:pStyle w:val="41"/>
              <w:spacing w:beforeLines="0" w:afterLines="0" w:line="240" w:lineRule="auto"/>
              <w:rPr>
                <w:rFonts w:hint="eastAsia" w:ascii="Times New Roman"/>
                <w:snapToGrid w:val="0"/>
                <w:kern w:val="21"/>
                <w:szCs w:val="21"/>
              </w:rPr>
            </w:pPr>
            <w:r>
              <w:rPr>
                <w:rFonts w:hint="eastAsia" w:ascii="Times New Roman"/>
                <w:bCs/>
                <w:szCs w:val="21"/>
              </w:rPr>
              <w:t>/</w:t>
            </w:r>
          </w:p>
        </w:tc>
        <w:tc>
          <w:tcPr>
            <w:tcW w:w="1316"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pStyle w:val="41"/>
              <w:spacing w:beforeLines="0" w:afterLines="0" w:line="240" w:lineRule="auto"/>
              <w:rPr>
                <w:rFonts w:ascii="Times New Roman"/>
                <w:snapToGrid w:val="0"/>
                <w:kern w:val="21"/>
                <w:szCs w:val="21"/>
              </w:rPr>
            </w:pPr>
            <w:r>
              <w:rPr>
                <w:rFonts w:hint="eastAsia" w:ascii="Times New Roman"/>
                <w:bCs/>
                <w:szCs w:val="21"/>
              </w:rPr>
              <w:t>0.0</w:t>
            </w:r>
            <w:r>
              <w:rPr>
                <w:rFonts w:hint="eastAsia" w:ascii="Times New Roman"/>
                <w:bCs/>
                <w:szCs w:val="21"/>
                <w:lang w:val="en-US" w:eastAsia="zh-CN"/>
              </w:rPr>
              <w:t>1</w:t>
            </w:r>
            <w:r>
              <w:rPr>
                <w:rFonts w:hint="eastAsia" w:ascii="Times New Roman"/>
                <w:bCs/>
                <w:szCs w:val="21"/>
                <w:lang w:val="en-US" w:eastAsia="zh-CN"/>
              </w:rPr>
              <w:t>1</w:t>
            </w:r>
            <w:r>
              <w:rPr>
                <w:rFonts w:ascii="Times New Roman"/>
                <w:bCs/>
                <w:szCs w:val="21"/>
              </w:rPr>
              <w:t>t</w:t>
            </w:r>
            <w:r>
              <w:rPr>
                <w:rFonts w:ascii="Times New Roman"/>
                <w:szCs w:val="21"/>
              </w:rPr>
              <w:t>/a</w:t>
            </w:r>
          </w:p>
        </w:tc>
        <w:tc>
          <w:tcPr>
            <w:tcW w:w="1468" w:type="dxa"/>
            <w:noWrap w:val="0"/>
            <w:vAlign w:val="center"/>
          </w:tcPr>
          <w:p>
            <w:pPr>
              <w:jc w:val="center"/>
              <w:rPr>
                <w:snapToGrid w:val="0"/>
                <w:kern w:val="21"/>
                <w:szCs w:val="21"/>
              </w:rPr>
            </w:pPr>
            <w:r>
              <w:rPr>
                <w:snapToGrid w:val="0"/>
                <w:kern w:val="21"/>
                <w:szCs w:val="21"/>
              </w:rPr>
              <w:t>/</w:t>
            </w:r>
          </w:p>
        </w:tc>
        <w:tc>
          <w:tcPr>
            <w:tcW w:w="1731" w:type="dxa"/>
            <w:noWrap w:val="0"/>
            <w:vAlign w:val="center"/>
          </w:tcPr>
          <w:p>
            <w:pPr>
              <w:pStyle w:val="41"/>
              <w:spacing w:beforeLines="0" w:afterLines="0" w:line="240" w:lineRule="auto"/>
              <w:rPr>
                <w:rFonts w:ascii="Times New Roman"/>
                <w:snapToGrid w:val="0"/>
                <w:kern w:val="21"/>
                <w:szCs w:val="21"/>
              </w:rPr>
            </w:pPr>
            <w:r>
              <w:rPr>
                <w:rFonts w:hint="eastAsia" w:ascii="Times New Roman"/>
                <w:bCs/>
                <w:szCs w:val="21"/>
              </w:rPr>
              <w:t>0.0</w:t>
            </w:r>
            <w:r>
              <w:rPr>
                <w:rFonts w:hint="eastAsia" w:ascii="Times New Roman"/>
                <w:bCs/>
                <w:szCs w:val="21"/>
                <w:lang w:val="en-US" w:eastAsia="zh-CN"/>
              </w:rPr>
              <w:t>11</w:t>
            </w:r>
            <w:r>
              <w:rPr>
                <w:rFonts w:ascii="Times New Roman"/>
                <w:bCs/>
                <w:szCs w:val="21"/>
              </w:rPr>
              <w:t>t</w:t>
            </w:r>
            <w:r>
              <w:rPr>
                <w:rFonts w:ascii="Times New Roman"/>
                <w:szCs w:val="21"/>
              </w:rPr>
              <w:t>/a</w:t>
            </w:r>
          </w:p>
        </w:tc>
        <w:tc>
          <w:tcPr>
            <w:tcW w:w="1607" w:type="dxa"/>
            <w:noWrap w:val="0"/>
            <w:vAlign w:val="center"/>
          </w:tcPr>
          <w:p>
            <w:pPr>
              <w:pStyle w:val="41"/>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lang w:val="en-US" w:eastAsia="zh-CN"/>
              </w:rPr>
              <w:t>+</w:t>
            </w:r>
            <w:r>
              <w:rPr>
                <w:rFonts w:hint="eastAsia" w:ascii="Times New Roman"/>
                <w:bCs/>
                <w:szCs w:val="21"/>
              </w:rPr>
              <w:t>0.0</w:t>
            </w:r>
            <w:r>
              <w:rPr>
                <w:rFonts w:hint="eastAsia" w:ascii="Times New Roman"/>
                <w:bCs/>
                <w:szCs w:val="21"/>
                <w:lang w:val="en-US" w:eastAsia="zh-CN"/>
              </w:rPr>
              <w:t>11</w:t>
            </w:r>
            <w:r>
              <w:rPr>
                <w:rFonts w:ascii="Times New Roman"/>
                <w:bCs/>
                <w:szCs w:val="21"/>
              </w:rPr>
              <w:t>t</w:t>
            </w:r>
            <w:r>
              <w:rPr>
                <w:rFonts w:ascii="Times New Roman"/>
                <w:szCs w:val="21"/>
              </w:rPr>
              <w: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306" w:type="dxa"/>
            <w:vMerge w:val="continue"/>
            <w:noWrap w:val="0"/>
            <w:vAlign w:val="center"/>
          </w:tcPr>
          <w:p>
            <w:pPr>
              <w:pStyle w:val="41"/>
              <w:spacing w:beforeLines="0" w:afterLines="0" w:line="240" w:lineRule="auto"/>
              <w:rPr>
                <w:rFonts w:ascii="Times New Roman"/>
                <w:snapToGrid w:val="0"/>
                <w:kern w:val="21"/>
                <w:szCs w:val="21"/>
              </w:rPr>
            </w:pPr>
          </w:p>
        </w:tc>
        <w:tc>
          <w:tcPr>
            <w:tcW w:w="1317" w:type="dxa"/>
            <w:noWrap w:val="0"/>
            <w:vAlign w:val="center"/>
          </w:tcPr>
          <w:p>
            <w:pPr>
              <w:pStyle w:val="41"/>
              <w:spacing w:beforeLines="0" w:afterLines="0" w:line="240" w:lineRule="auto"/>
              <w:rPr>
                <w:rFonts w:ascii="Times New Roman"/>
                <w:szCs w:val="21"/>
              </w:rPr>
            </w:pPr>
            <w:r>
              <w:rPr>
                <w:rFonts w:hint="eastAsia" w:ascii="Times New Roman"/>
                <w:szCs w:val="21"/>
              </w:rPr>
              <w:t>总磷</w:t>
            </w:r>
          </w:p>
        </w:tc>
        <w:tc>
          <w:tcPr>
            <w:tcW w:w="1336" w:type="dxa"/>
            <w:noWrap w:val="0"/>
            <w:vAlign w:val="center"/>
          </w:tcPr>
          <w:p>
            <w:pPr>
              <w:pStyle w:val="41"/>
              <w:spacing w:beforeLines="0" w:afterLines="0" w:line="240" w:lineRule="auto"/>
              <w:rPr>
                <w:rFonts w:hint="eastAsia" w:ascii="Times New Roman"/>
                <w:bCs/>
                <w:szCs w:val="21"/>
              </w:rPr>
            </w:pPr>
            <w:r>
              <w:rPr>
                <w:rFonts w:hint="eastAsia" w:ascii="Times New Roman"/>
                <w:bCs/>
                <w:szCs w:val="21"/>
              </w:rPr>
              <w:t>/</w:t>
            </w:r>
          </w:p>
        </w:tc>
        <w:tc>
          <w:tcPr>
            <w:tcW w:w="1316"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pStyle w:val="41"/>
              <w:spacing w:beforeLines="0" w:afterLines="0" w:line="240" w:lineRule="auto"/>
              <w:rPr>
                <w:rFonts w:ascii="Times New Roman"/>
                <w:bCs/>
                <w:szCs w:val="21"/>
              </w:rPr>
            </w:pPr>
            <w:r>
              <w:rPr>
                <w:rFonts w:hint="eastAsia" w:ascii="Times New Roman"/>
                <w:bCs/>
                <w:szCs w:val="21"/>
              </w:rPr>
              <w:t>0.00</w:t>
            </w:r>
            <w:r>
              <w:rPr>
                <w:rFonts w:hint="eastAsia" w:ascii="Times New Roman"/>
                <w:bCs/>
                <w:szCs w:val="21"/>
                <w:lang w:val="en-US" w:eastAsia="zh-CN"/>
              </w:rPr>
              <w:t>2</w:t>
            </w:r>
            <w:r>
              <w:rPr>
                <w:rFonts w:hint="eastAsia" w:ascii="Times New Roman"/>
                <w:bCs/>
                <w:szCs w:val="21"/>
              </w:rPr>
              <w:t>t/a</w:t>
            </w:r>
          </w:p>
        </w:tc>
        <w:tc>
          <w:tcPr>
            <w:tcW w:w="1468" w:type="dxa"/>
            <w:noWrap w:val="0"/>
            <w:vAlign w:val="center"/>
          </w:tcPr>
          <w:p>
            <w:pPr>
              <w:jc w:val="center"/>
              <w:rPr>
                <w:rFonts w:hint="eastAsia"/>
                <w:snapToGrid w:val="0"/>
                <w:kern w:val="21"/>
                <w:szCs w:val="21"/>
              </w:rPr>
            </w:pPr>
            <w:r>
              <w:rPr>
                <w:rFonts w:hint="eastAsia"/>
                <w:snapToGrid w:val="0"/>
                <w:kern w:val="21"/>
                <w:szCs w:val="21"/>
              </w:rPr>
              <w:t>/</w:t>
            </w:r>
          </w:p>
        </w:tc>
        <w:tc>
          <w:tcPr>
            <w:tcW w:w="1731" w:type="dxa"/>
            <w:noWrap w:val="0"/>
            <w:vAlign w:val="center"/>
          </w:tcPr>
          <w:p>
            <w:pPr>
              <w:pStyle w:val="41"/>
              <w:spacing w:beforeLines="0" w:afterLines="0" w:line="240" w:lineRule="auto"/>
              <w:rPr>
                <w:rFonts w:hint="eastAsia" w:ascii="Times New Roman"/>
                <w:bCs/>
                <w:szCs w:val="21"/>
              </w:rPr>
            </w:pPr>
            <w:r>
              <w:rPr>
                <w:rFonts w:hint="eastAsia" w:ascii="Times New Roman"/>
                <w:bCs/>
                <w:szCs w:val="21"/>
              </w:rPr>
              <w:t>0.00</w:t>
            </w:r>
            <w:r>
              <w:rPr>
                <w:rFonts w:hint="eastAsia" w:ascii="Times New Roman"/>
                <w:bCs/>
                <w:szCs w:val="21"/>
                <w:lang w:val="en-US" w:eastAsia="zh-CN"/>
              </w:rPr>
              <w:t>2</w:t>
            </w:r>
            <w:r>
              <w:rPr>
                <w:rFonts w:hint="eastAsia" w:ascii="Times New Roman"/>
                <w:bCs/>
                <w:szCs w:val="21"/>
              </w:rPr>
              <w:t>t/a</w:t>
            </w:r>
          </w:p>
        </w:tc>
        <w:tc>
          <w:tcPr>
            <w:tcW w:w="1607" w:type="dxa"/>
            <w:noWrap w:val="0"/>
            <w:vAlign w:val="center"/>
          </w:tcPr>
          <w:p>
            <w:pPr>
              <w:pStyle w:val="41"/>
              <w:spacing w:beforeLines="0" w:afterLines="0" w:line="240" w:lineRule="auto"/>
              <w:rPr>
                <w:rFonts w:hint="eastAsia" w:ascii="Times New Roman"/>
                <w:bCs/>
                <w:color w:val="auto"/>
                <w:szCs w:val="21"/>
                <w:highlight w:val="none"/>
              </w:rPr>
            </w:pPr>
            <w:r>
              <w:rPr>
                <w:rFonts w:hint="eastAsia" w:ascii="Times New Roman"/>
                <w:snapToGrid w:val="0"/>
                <w:color w:val="auto"/>
                <w:kern w:val="21"/>
                <w:szCs w:val="21"/>
                <w:highlight w:val="none"/>
                <w:lang w:val="en-US" w:eastAsia="zh-CN"/>
              </w:rPr>
              <w:t>+</w:t>
            </w:r>
            <w:r>
              <w:rPr>
                <w:rFonts w:hint="eastAsia" w:ascii="Times New Roman"/>
                <w:bCs/>
                <w:szCs w:val="21"/>
              </w:rPr>
              <w:t>0.00</w:t>
            </w:r>
            <w:r>
              <w:rPr>
                <w:rFonts w:hint="eastAsia" w:ascii="Times New Roman"/>
                <w:bCs/>
                <w:szCs w:val="21"/>
                <w:lang w:val="en-US" w:eastAsia="zh-CN"/>
              </w:rPr>
              <w:t>2</w:t>
            </w:r>
            <w:r>
              <w:rPr>
                <w:rFonts w:hint="eastAsia" w:ascii="Times New Roman"/>
                <w:bCs/>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306" w:type="dxa"/>
            <w:vMerge w:val="continue"/>
            <w:noWrap w:val="0"/>
            <w:vAlign w:val="center"/>
          </w:tcPr>
          <w:p>
            <w:pPr>
              <w:pStyle w:val="41"/>
              <w:spacing w:beforeLines="0" w:afterLines="0" w:line="240" w:lineRule="auto"/>
              <w:rPr>
                <w:rFonts w:ascii="Times New Roman"/>
                <w:snapToGrid w:val="0"/>
                <w:kern w:val="21"/>
                <w:szCs w:val="21"/>
              </w:rPr>
            </w:pPr>
          </w:p>
        </w:tc>
        <w:tc>
          <w:tcPr>
            <w:tcW w:w="1317" w:type="dxa"/>
            <w:noWrap w:val="0"/>
            <w:vAlign w:val="center"/>
          </w:tcPr>
          <w:p>
            <w:pPr>
              <w:pStyle w:val="41"/>
              <w:spacing w:beforeLines="0" w:afterLines="0" w:line="240" w:lineRule="auto"/>
              <w:rPr>
                <w:rFonts w:hint="eastAsia" w:ascii="Times New Roman"/>
                <w:szCs w:val="21"/>
              </w:rPr>
            </w:pPr>
            <w:r>
              <w:rPr>
                <w:rFonts w:hint="eastAsia" w:ascii="Times New Roman"/>
                <w:szCs w:val="21"/>
              </w:rPr>
              <w:t>总氮</w:t>
            </w:r>
          </w:p>
        </w:tc>
        <w:tc>
          <w:tcPr>
            <w:tcW w:w="1336" w:type="dxa"/>
            <w:noWrap w:val="0"/>
            <w:vAlign w:val="center"/>
          </w:tcPr>
          <w:p>
            <w:pPr>
              <w:pStyle w:val="41"/>
              <w:spacing w:beforeLines="0" w:afterLines="0" w:line="240" w:lineRule="auto"/>
              <w:rPr>
                <w:rFonts w:hint="eastAsia" w:ascii="Times New Roman"/>
                <w:bCs/>
                <w:szCs w:val="21"/>
              </w:rPr>
            </w:pPr>
            <w:r>
              <w:rPr>
                <w:rFonts w:hint="eastAsia" w:ascii="Times New Roman"/>
                <w:bCs/>
                <w:szCs w:val="21"/>
              </w:rPr>
              <w:t>/</w:t>
            </w:r>
          </w:p>
        </w:tc>
        <w:tc>
          <w:tcPr>
            <w:tcW w:w="1316"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pStyle w:val="41"/>
              <w:spacing w:beforeLines="0" w:afterLines="0" w:line="240" w:lineRule="auto"/>
              <w:rPr>
                <w:rFonts w:ascii="Times New Roman"/>
                <w:bCs/>
                <w:szCs w:val="21"/>
              </w:rPr>
            </w:pPr>
            <w:r>
              <w:rPr>
                <w:rFonts w:hint="eastAsia" w:ascii="Times New Roman"/>
                <w:bCs/>
                <w:szCs w:val="21"/>
              </w:rPr>
              <w:t>0.0</w:t>
            </w:r>
            <w:r>
              <w:rPr>
                <w:rFonts w:hint="eastAsia" w:ascii="Times New Roman"/>
                <w:bCs/>
                <w:szCs w:val="21"/>
                <w:lang w:val="en-US" w:eastAsia="zh-CN"/>
              </w:rPr>
              <w:t>1</w:t>
            </w:r>
            <w:r>
              <w:rPr>
                <w:rFonts w:hint="eastAsia" w:ascii="Times New Roman"/>
                <w:bCs/>
                <w:szCs w:val="21"/>
                <w:lang w:val="en-US" w:eastAsia="zh-CN"/>
              </w:rPr>
              <w:t>8</w:t>
            </w:r>
            <w:r>
              <w:rPr>
                <w:rFonts w:hint="eastAsia" w:ascii="Times New Roman"/>
                <w:bCs/>
                <w:szCs w:val="21"/>
              </w:rPr>
              <w:t>t/a</w:t>
            </w:r>
          </w:p>
        </w:tc>
        <w:tc>
          <w:tcPr>
            <w:tcW w:w="1468" w:type="dxa"/>
            <w:noWrap w:val="0"/>
            <w:vAlign w:val="center"/>
          </w:tcPr>
          <w:p>
            <w:pPr>
              <w:jc w:val="center"/>
              <w:rPr>
                <w:rFonts w:hint="eastAsia"/>
                <w:snapToGrid w:val="0"/>
                <w:kern w:val="21"/>
                <w:szCs w:val="21"/>
              </w:rPr>
            </w:pPr>
            <w:r>
              <w:rPr>
                <w:rFonts w:hint="eastAsia"/>
                <w:snapToGrid w:val="0"/>
                <w:kern w:val="21"/>
                <w:szCs w:val="21"/>
              </w:rPr>
              <w:t>/</w:t>
            </w:r>
          </w:p>
        </w:tc>
        <w:tc>
          <w:tcPr>
            <w:tcW w:w="1731" w:type="dxa"/>
            <w:noWrap w:val="0"/>
            <w:vAlign w:val="center"/>
          </w:tcPr>
          <w:p>
            <w:pPr>
              <w:pStyle w:val="41"/>
              <w:spacing w:beforeLines="0" w:afterLines="0" w:line="240" w:lineRule="auto"/>
              <w:rPr>
                <w:rFonts w:hint="eastAsia" w:ascii="Times New Roman"/>
                <w:bCs/>
                <w:szCs w:val="21"/>
              </w:rPr>
            </w:pPr>
            <w:r>
              <w:rPr>
                <w:rFonts w:hint="eastAsia" w:ascii="Times New Roman"/>
                <w:bCs/>
                <w:szCs w:val="21"/>
              </w:rPr>
              <w:t>0.0</w:t>
            </w:r>
            <w:r>
              <w:rPr>
                <w:rFonts w:hint="eastAsia" w:ascii="Times New Roman"/>
                <w:bCs/>
                <w:szCs w:val="21"/>
                <w:lang w:val="en-US" w:eastAsia="zh-CN"/>
              </w:rPr>
              <w:t>18</w:t>
            </w:r>
            <w:r>
              <w:rPr>
                <w:rFonts w:hint="eastAsia" w:ascii="Times New Roman"/>
                <w:bCs/>
                <w:szCs w:val="21"/>
              </w:rPr>
              <w:t>t/a</w:t>
            </w:r>
          </w:p>
        </w:tc>
        <w:tc>
          <w:tcPr>
            <w:tcW w:w="1607" w:type="dxa"/>
            <w:noWrap w:val="0"/>
            <w:vAlign w:val="center"/>
          </w:tcPr>
          <w:p>
            <w:pPr>
              <w:pStyle w:val="41"/>
              <w:spacing w:beforeLines="0" w:afterLines="0" w:line="240" w:lineRule="auto"/>
              <w:rPr>
                <w:rFonts w:hint="eastAsia" w:ascii="Times New Roman"/>
                <w:bCs/>
                <w:color w:val="auto"/>
                <w:szCs w:val="21"/>
                <w:highlight w:val="none"/>
              </w:rPr>
            </w:pPr>
            <w:r>
              <w:rPr>
                <w:rFonts w:hint="eastAsia" w:ascii="Times New Roman"/>
                <w:snapToGrid w:val="0"/>
                <w:color w:val="auto"/>
                <w:kern w:val="21"/>
                <w:szCs w:val="21"/>
                <w:highlight w:val="none"/>
                <w:lang w:val="en-US" w:eastAsia="zh-CN"/>
              </w:rPr>
              <w:t>+</w:t>
            </w:r>
            <w:r>
              <w:rPr>
                <w:rFonts w:hint="eastAsia" w:ascii="Times New Roman"/>
                <w:bCs/>
                <w:szCs w:val="21"/>
              </w:rPr>
              <w:t>0.0</w:t>
            </w:r>
            <w:r>
              <w:rPr>
                <w:rFonts w:hint="eastAsia" w:ascii="Times New Roman"/>
                <w:bCs/>
                <w:szCs w:val="21"/>
                <w:lang w:val="en-US" w:eastAsia="zh-CN"/>
              </w:rPr>
              <w:t>18</w:t>
            </w:r>
            <w:r>
              <w:rPr>
                <w:rFonts w:hint="eastAsia" w:ascii="Times New Roman"/>
                <w:bCs/>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1306" w:type="dxa"/>
            <w:noWrap w:val="0"/>
            <w:vAlign w:val="center"/>
          </w:tcPr>
          <w:p>
            <w:pPr>
              <w:pStyle w:val="41"/>
              <w:spacing w:beforeLines="0" w:afterLines="0" w:line="240" w:lineRule="auto"/>
              <w:rPr>
                <w:rFonts w:ascii="Times New Roman"/>
                <w:snapToGrid w:val="0"/>
                <w:kern w:val="21"/>
                <w:szCs w:val="21"/>
              </w:rPr>
            </w:pPr>
            <w:r>
              <w:rPr>
                <w:rFonts w:ascii="Times New Roman"/>
                <w:snapToGrid w:val="0"/>
                <w:kern w:val="21"/>
                <w:szCs w:val="21"/>
              </w:rPr>
              <w:t>一般</w:t>
            </w:r>
          </w:p>
          <w:p>
            <w:pPr>
              <w:pStyle w:val="41"/>
              <w:spacing w:beforeLines="0" w:afterLines="0" w:line="240" w:lineRule="auto"/>
              <w:rPr>
                <w:rFonts w:ascii="Times New Roman"/>
                <w:snapToGrid w:val="0"/>
                <w:kern w:val="21"/>
                <w:szCs w:val="21"/>
              </w:rPr>
            </w:pPr>
            <w:r>
              <w:rPr>
                <w:rFonts w:ascii="Times New Roman"/>
                <w:snapToGrid w:val="0"/>
                <w:kern w:val="21"/>
                <w:szCs w:val="21"/>
              </w:rPr>
              <w:t>固体废物</w:t>
            </w:r>
          </w:p>
        </w:tc>
        <w:tc>
          <w:tcPr>
            <w:tcW w:w="1317" w:type="dxa"/>
            <w:noWrap w:val="0"/>
            <w:vAlign w:val="center"/>
          </w:tcPr>
          <w:p>
            <w:pPr>
              <w:pStyle w:val="41"/>
              <w:spacing w:beforeLines="0" w:afterLines="0" w:line="240" w:lineRule="auto"/>
              <w:rPr>
                <w:rFonts w:ascii="Times New Roman"/>
                <w:snapToGrid w:val="0"/>
                <w:kern w:val="21"/>
                <w:szCs w:val="21"/>
              </w:rPr>
            </w:pPr>
            <w:r>
              <w:rPr>
                <w:rFonts w:ascii="Times New Roman"/>
                <w:snapToGrid w:val="0"/>
                <w:kern w:val="21"/>
                <w:szCs w:val="21"/>
              </w:rPr>
              <w:t>生活垃圾</w:t>
            </w:r>
          </w:p>
        </w:tc>
        <w:tc>
          <w:tcPr>
            <w:tcW w:w="1336" w:type="dxa"/>
            <w:noWrap w:val="0"/>
            <w:vAlign w:val="center"/>
          </w:tcPr>
          <w:p>
            <w:pPr>
              <w:pStyle w:val="41"/>
              <w:spacing w:beforeLines="0" w:afterLines="0" w:line="240" w:lineRule="auto"/>
              <w:rPr>
                <w:rFonts w:hint="eastAsia" w:ascii="Times New Roman"/>
                <w:snapToGrid w:val="0"/>
                <w:kern w:val="21"/>
                <w:szCs w:val="21"/>
              </w:rPr>
            </w:pPr>
            <w:r>
              <w:rPr>
                <w:rFonts w:hint="eastAsia" w:ascii="Times New Roman"/>
                <w:snapToGrid w:val="0"/>
                <w:kern w:val="21"/>
                <w:szCs w:val="21"/>
              </w:rPr>
              <w:t>/</w:t>
            </w:r>
          </w:p>
        </w:tc>
        <w:tc>
          <w:tcPr>
            <w:tcW w:w="1316"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pStyle w:val="41"/>
              <w:spacing w:beforeLines="0" w:afterLines="0" w:line="240" w:lineRule="auto"/>
              <w:rPr>
                <w:rFonts w:ascii="Times New Roman"/>
                <w:snapToGrid w:val="0"/>
                <w:kern w:val="21"/>
                <w:szCs w:val="21"/>
              </w:rPr>
            </w:pPr>
            <w:r>
              <w:rPr>
                <w:rFonts w:hint="eastAsia" w:ascii="Times New Roman" w:hAnsi="Times New Roman" w:cs="Times New Roman"/>
                <w:kern w:val="0"/>
                <w:szCs w:val="21"/>
                <w:highlight w:val="none"/>
                <w:lang w:val="en-US" w:eastAsia="zh-CN"/>
              </w:rPr>
              <w:t>3.83</w:t>
            </w:r>
            <w:r>
              <w:rPr>
                <w:rFonts w:ascii="Times New Roman"/>
                <w:snapToGrid w:val="0"/>
                <w:kern w:val="21"/>
                <w:szCs w:val="21"/>
              </w:rPr>
              <w:t>t/a</w:t>
            </w:r>
          </w:p>
        </w:tc>
        <w:tc>
          <w:tcPr>
            <w:tcW w:w="1468" w:type="dxa"/>
            <w:noWrap w:val="0"/>
            <w:vAlign w:val="center"/>
          </w:tcPr>
          <w:p>
            <w:pPr>
              <w:jc w:val="center"/>
              <w:rPr>
                <w:snapToGrid w:val="0"/>
                <w:kern w:val="21"/>
                <w:szCs w:val="21"/>
              </w:rPr>
            </w:pPr>
            <w:r>
              <w:rPr>
                <w:snapToGrid w:val="0"/>
                <w:kern w:val="21"/>
                <w:szCs w:val="21"/>
              </w:rPr>
              <w:t>/</w:t>
            </w:r>
          </w:p>
        </w:tc>
        <w:tc>
          <w:tcPr>
            <w:tcW w:w="1731" w:type="dxa"/>
            <w:noWrap w:val="0"/>
            <w:vAlign w:val="center"/>
          </w:tcPr>
          <w:p>
            <w:pPr>
              <w:pStyle w:val="41"/>
              <w:spacing w:beforeLines="0" w:afterLines="0" w:line="240" w:lineRule="auto"/>
              <w:rPr>
                <w:rFonts w:ascii="Times New Roman"/>
                <w:snapToGrid w:val="0"/>
                <w:kern w:val="21"/>
                <w:szCs w:val="21"/>
              </w:rPr>
            </w:pPr>
            <w:r>
              <w:rPr>
                <w:rFonts w:hint="eastAsia" w:ascii="Times New Roman" w:hAnsi="Times New Roman" w:cs="Times New Roman"/>
                <w:kern w:val="0"/>
                <w:szCs w:val="21"/>
                <w:highlight w:val="none"/>
                <w:lang w:val="en-US" w:eastAsia="zh-CN"/>
              </w:rPr>
              <w:t>3.83</w:t>
            </w:r>
            <w:r>
              <w:rPr>
                <w:rFonts w:ascii="Times New Roman"/>
                <w:snapToGrid w:val="0"/>
                <w:kern w:val="21"/>
                <w:szCs w:val="21"/>
              </w:rPr>
              <w:t>t/a</w:t>
            </w:r>
          </w:p>
        </w:tc>
        <w:tc>
          <w:tcPr>
            <w:tcW w:w="1607" w:type="dxa"/>
            <w:noWrap w:val="0"/>
            <w:vAlign w:val="center"/>
          </w:tcPr>
          <w:p>
            <w:pPr>
              <w:pStyle w:val="41"/>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lang w:val="en-US" w:eastAsia="zh-CN"/>
              </w:rPr>
              <w:t>+</w:t>
            </w:r>
            <w:r>
              <w:rPr>
                <w:rFonts w:hint="eastAsia" w:ascii="Times New Roman" w:hAnsi="Times New Roman" w:cs="Times New Roman"/>
                <w:kern w:val="0"/>
                <w:szCs w:val="21"/>
                <w:highlight w:val="none"/>
                <w:lang w:val="en-US" w:eastAsia="zh-CN"/>
              </w:rPr>
              <w:t>3.83</w:t>
            </w:r>
            <w:r>
              <w:rPr>
                <w:rFonts w:ascii="Times New Roman"/>
                <w:snapToGrid w:val="0"/>
                <w:kern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306" w:type="dxa"/>
            <w:vMerge w:val="restart"/>
            <w:noWrap w:val="0"/>
            <w:vAlign w:val="center"/>
          </w:tcPr>
          <w:p>
            <w:pPr>
              <w:pStyle w:val="41"/>
              <w:spacing w:beforeLines="0" w:afterLines="0" w:line="240" w:lineRule="auto"/>
              <w:rPr>
                <w:rFonts w:ascii="Times New Roman"/>
                <w:snapToGrid w:val="0"/>
                <w:kern w:val="21"/>
                <w:szCs w:val="21"/>
              </w:rPr>
            </w:pPr>
            <w:r>
              <w:rPr>
                <w:rFonts w:ascii="Times New Roman"/>
                <w:snapToGrid w:val="0"/>
                <w:kern w:val="21"/>
                <w:szCs w:val="21"/>
              </w:rPr>
              <w:t>危险废物</w:t>
            </w:r>
          </w:p>
        </w:tc>
        <w:tc>
          <w:tcPr>
            <w:tcW w:w="1317" w:type="dxa"/>
            <w:noWrap w:val="0"/>
            <w:vAlign w:val="center"/>
          </w:tcPr>
          <w:p>
            <w:pPr>
              <w:pStyle w:val="41"/>
              <w:spacing w:beforeLines="0" w:afterLines="0" w:line="240" w:lineRule="auto"/>
              <w:rPr>
                <w:rFonts w:ascii="Times New Roman"/>
                <w:snapToGrid w:val="0"/>
                <w:kern w:val="21"/>
                <w:szCs w:val="21"/>
              </w:rPr>
            </w:pPr>
            <w:r>
              <w:rPr>
                <w:rFonts w:hint="eastAsia" w:ascii="Times New Roman" w:hAnsi="Times New Roman" w:eastAsia="宋体" w:cs="Times New Roman"/>
                <w:szCs w:val="21"/>
                <w:highlight w:val="none"/>
                <w:lang w:val="en-US" w:eastAsia="zh-CN"/>
              </w:rPr>
              <w:t>油罐残渣</w:t>
            </w:r>
          </w:p>
        </w:tc>
        <w:tc>
          <w:tcPr>
            <w:tcW w:w="1336" w:type="dxa"/>
            <w:noWrap w:val="0"/>
            <w:vAlign w:val="center"/>
          </w:tcPr>
          <w:p>
            <w:pPr>
              <w:pStyle w:val="41"/>
              <w:spacing w:beforeLines="0" w:afterLines="0" w:line="240" w:lineRule="auto"/>
              <w:rPr>
                <w:rFonts w:hint="eastAsia" w:ascii="Times New Roman"/>
                <w:snapToGrid w:val="0"/>
                <w:kern w:val="21"/>
                <w:szCs w:val="21"/>
              </w:rPr>
            </w:pPr>
            <w:r>
              <w:rPr>
                <w:rFonts w:hint="eastAsia" w:ascii="Times New Roman"/>
                <w:szCs w:val="21"/>
              </w:rPr>
              <w:t>/</w:t>
            </w:r>
          </w:p>
        </w:tc>
        <w:tc>
          <w:tcPr>
            <w:tcW w:w="1316"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pStyle w:val="41"/>
              <w:spacing w:beforeLines="0" w:afterLines="0" w:line="240" w:lineRule="auto"/>
              <w:rPr>
                <w:rFonts w:ascii="Times New Roman"/>
                <w:snapToGrid w:val="0"/>
                <w:kern w:val="21"/>
                <w:szCs w:val="21"/>
              </w:rPr>
            </w:pPr>
            <w:r>
              <w:rPr>
                <w:rFonts w:hint="default" w:ascii="Times New Roman" w:hAnsi="Times New Roman" w:eastAsia="宋体" w:cs="Times New Roman"/>
                <w:szCs w:val="21"/>
                <w:highlight w:val="none"/>
                <w:lang w:val="en-US" w:eastAsia="zh-CN"/>
              </w:rPr>
              <w:t>0.0</w:t>
            </w:r>
            <w:r>
              <w:rPr>
                <w:rFonts w:hint="eastAsia" w:ascii="Times New Roman" w:hAnsi="Times New Roman" w:eastAsia="宋体" w:cs="Times New Roman"/>
                <w:szCs w:val="21"/>
                <w:highlight w:val="none"/>
                <w:lang w:val="en-US" w:eastAsia="zh-CN"/>
              </w:rPr>
              <w:t>5</w:t>
            </w:r>
            <w:r>
              <w:rPr>
                <w:rFonts w:hint="default" w:ascii="Times New Roman" w:hAnsi="Times New Roman" w:eastAsia="宋体" w:cs="Times New Roman"/>
                <w:szCs w:val="21"/>
                <w:highlight w:val="none"/>
                <w:lang w:val="en-US" w:eastAsia="zh-CN"/>
              </w:rPr>
              <w:t>t/</w:t>
            </w:r>
            <w:r>
              <w:rPr>
                <w:rFonts w:hint="eastAsia" w:ascii="Times New Roman" w:hAnsi="Times New Roman" w:eastAsia="宋体" w:cs="Times New Roman"/>
                <w:szCs w:val="21"/>
                <w:highlight w:val="none"/>
                <w:lang w:val="en-US" w:eastAsia="zh-CN"/>
              </w:rPr>
              <w:t>10a</w:t>
            </w:r>
          </w:p>
        </w:tc>
        <w:tc>
          <w:tcPr>
            <w:tcW w:w="1468" w:type="dxa"/>
            <w:noWrap w:val="0"/>
            <w:vAlign w:val="center"/>
          </w:tcPr>
          <w:p>
            <w:pPr>
              <w:jc w:val="center"/>
              <w:rPr>
                <w:snapToGrid w:val="0"/>
                <w:kern w:val="21"/>
                <w:szCs w:val="21"/>
              </w:rPr>
            </w:pPr>
            <w:r>
              <w:rPr>
                <w:snapToGrid w:val="0"/>
                <w:kern w:val="21"/>
                <w:szCs w:val="21"/>
              </w:rPr>
              <w:t>/</w:t>
            </w:r>
          </w:p>
        </w:tc>
        <w:tc>
          <w:tcPr>
            <w:tcW w:w="1731" w:type="dxa"/>
            <w:noWrap w:val="0"/>
            <w:vAlign w:val="center"/>
          </w:tcPr>
          <w:p>
            <w:pPr>
              <w:pStyle w:val="41"/>
              <w:spacing w:beforeLines="0" w:afterLines="0" w:line="240" w:lineRule="auto"/>
              <w:rPr>
                <w:rFonts w:ascii="Times New Roman"/>
                <w:snapToGrid w:val="0"/>
                <w:kern w:val="21"/>
                <w:szCs w:val="21"/>
              </w:rPr>
            </w:pPr>
            <w:r>
              <w:rPr>
                <w:rFonts w:hint="default" w:ascii="Times New Roman" w:hAnsi="Times New Roman" w:eastAsia="宋体" w:cs="Times New Roman"/>
                <w:szCs w:val="21"/>
                <w:highlight w:val="none"/>
                <w:lang w:val="en-US" w:eastAsia="zh-CN"/>
              </w:rPr>
              <w:t>0.0</w:t>
            </w:r>
            <w:r>
              <w:rPr>
                <w:rFonts w:hint="eastAsia" w:ascii="Times New Roman" w:hAnsi="Times New Roman" w:eastAsia="宋体" w:cs="Times New Roman"/>
                <w:szCs w:val="21"/>
                <w:highlight w:val="none"/>
                <w:lang w:val="en-US" w:eastAsia="zh-CN"/>
              </w:rPr>
              <w:t>5</w:t>
            </w:r>
            <w:r>
              <w:rPr>
                <w:rFonts w:hint="default" w:ascii="Times New Roman" w:hAnsi="Times New Roman" w:eastAsia="宋体" w:cs="Times New Roman"/>
                <w:szCs w:val="21"/>
                <w:highlight w:val="none"/>
                <w:lang w:val="en-US" w:eastAsia="zh-CN"/>
              </w:rPr>
              <w:t>t/</w:t>
            </w:r>
            <w:r>
              <w:rPr>
                <w:rFonts w:hint="eastAsia" w:ascii="Times New Roman" w:hAnsi="Times New Roman" w:eastAsia="宋体" w:cs="Times New Roman"/>
                <w:szCs w:val="21"/>
                <w:highlight w:val="none"/>
                <w:lang w:val="en-US" w:eastAsia="zh-CN"/>
              </w:rPr>
              <w:t>10a</w:t>
            </w:r>
          </w:p>
        </w:tc>
        <w:tc>
          <w:tcPr>
            <w:tcW w:w="1607" w:type="dxa"/>
            <w:noWrap w:val="0"/>
            <w:vAlign w:val="center"/>
          </w:tcPr>
          <w:p>
            <w:pPr>
              <w:pStyle w:val="41"/>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lang w:val="en-US" w:eastAsia="zh-CN"/>
              </w:rPr>
              <w:t>+</w:t>
            </w:r>
            <w:r>
              <w:rPr>
                <w:rFonts w:hint="default" w:ascii="Times New Roman" w:hAnsi="Times New Roman" w:eastAsia="宋体" w:cs="Times New Roman"/>
                <w:szCs w:val="21"/>
                <w:highlight w:val="none"/>
                <w:lang w:val="en-US" w:eastAsia="zh-CN"/>
              </w:rPr>
              <w:t>0.0</w:t>
            </w:r>
            <w:r>
              <w:rPr>
                <w:rFonts w:hint="eastAsia" w:ascii="Times New Roman" w:hAnsi="Times New Roman" w:eastAsia="宋体" w:cs="Times New Roman"/>
                <w:szCs w:val="21"/>
                <w:highlight w:val="none"/>
                <w:lang w:val="en-US" w:eastAsia="zh-CN"/>
              </w:rPr>
              <w:t>5</w:t>
            </w:r>
            <w:r>
              <w:rPr>
                <w:rFonts w:hint="default" w:ascii="Times New Roman" w:hAnsi="Times New Roman" w:eastAsia="宋体" w:cs="Times New Roman"/>
                <w:szCs w:val="21"/>
                <w:highlight w:val="none"/>
                <w:lang w:val="en-US" w:eastAsia="zh-CN"/>
              </w:rPr>
              <w:t>t/</w:t>
            </w:r>
            <w:r>
              <w:rPr>
                <w:rFonts w:hint="eastAsia" w:ascii="Times New Roman" w:hAnsi="Times New Roman" w:eastAsia="宋体" w:cs="Times New Roman"/>
                <w:szCs w:val="21"/>
                <w:highlight w:val="none"/>
                <w:lang w:val="en-US" w:eastAsia="zh-CN"/>
              </w:rPr>
              <w:t>10a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06" w:type="dxa"/>
            <w:vMerge w:val="continue"/>
            <w:noWrap w:val="0"/>
            <w:vAlign w:val="center"/>
          </w:tcPr>
          <w:p>
            <w:pPr>
              <w:pStyle w:val="41"/>
              <w:spacing w:beforeLines="0" w:afterLines="0" w:line="240" w:lineRule="auto"/>
              <w:rPr>
                <w:rFonts w:ascii="Times New Roman"/>
                <w:snapToGrid w:val="0"/>
                <w:kern w:val="21"/>
                <w:szCs w:val="21"/>
              </w:rPr>
            </w:pPr>
          </w:p>
        </w:tc>
        <w:tc>
          <w:tcPr>
            <w:tcW w:w="1317" w:type="dxa"/>
            <w:noWrap w:val="0"/>
            <w:vAlign w:val="center"/>
          </w:tcPr>
          <w:p>
            <w:pPr>
              <w:pStyle w:val="41"/>
              <w:spacing w:beforeLines="0" w:afterLines="0" w:line="240" w:lineRule="auto"/>
              <w:rPr>
                <w:rFonts w:ascii="Times New Roman"/>
                <w:snapToGrid w:val="0"/>
                <w:kern w:val="21"/>
                <w:szCs w:val="21"/>
              </w:rPr>
            </w:pPr>
            <w:r>
              <w:rPr>
                <w:rFonts w:hint="default" w:ascii="Times New Roman" w:hAnsi="Times New Roman" w:eastAsia="宋体" w:cs="Times New Roman"/>
                <w:szCs w:val="21"/>
                <w:highlight w:val="none"/>
              </w:rPr>
              <w:t>含油</w:t>
            </w:r>
            <w:r>
              <w:rPr>
                <w:rFonts w:hint="eastAsia" w:ascii="Times New Roman" w:hAnsi="Times New Roman" w:eastAsia="宋体" w:cs="Times New Roman"/>
                <w:szCs w:val="21"/>
                <w:highlight w:val="none"/>
                <w:lang w:val="en-US" w:eastAsia="zh-CN"/>
              </w:rPr>
              <w:t>棉纱、手套</w:t>
            </w:r>
          </w:p>
        </w:tc>
        <w:tc>
          <w:tcPr>
            <w:tcW w:w="1336" w:type="dxa"/>
            <w:noWrap w:val="0"/>
            <w:vAlign w:val="center"/>
          </w:tcPr>
          <w:p>
            <w:pPr>
              <w:pStyle w:val="41"/>
              <w:spacing w:beforeLines="0" w:afterLines="0" w:line="240" w:lineRule="auto"/>
              <w:rPr>
                <w:rFonts w:hint="eastAsia" w:ascii="Times New Roman"/>
                <w:snapToGrid w:val="0"/>
                <w:kern w:val="21"/>
                <w:szCs w:val="21"/>
              </w:rPr>
            </w:pPr>
            <w:r>
              <w:rPr>
                <w:rFonts w:hint="eastAsia" w:ascii="Times New Roman"/>
                <w:bCs/>
                <w:szCs w:val="21"/>
              </w:rPr>
              <w:t>/</w:t>
            </w:r>
          </w:p>
        </w:tc>
        <w:tc>
          <w:tcPr>
            <w:tcW w:w="1316"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jc w:val="center"/>
              <w:rPr>
                <w:snapToGrid w:val="0"/>
                <w:kern w:val="21"/>
                <w:szCs w:val="21"/>
              </w:rPr>
            </w:pPr>
            <w:r>
              <w:rPr>
                <w:snapToGrid w:val="0"/>
                <w:kern w:val="21"/>
                <w:szCs w:val="21"/>
              </w:rPr>
              <w:t>/</w:t>
            </w:r>
          </w:p>
        </w:tc>
        <w:tc>
          <w:tcPr>
            <w:tcW w:w="1617" w:type="dxa"/>
            <w:noWrap w:val="0"/>
            <w:vAlign w:val="center"/>
          </w:tcPr>
          <w:p>
            <w:pPr>
              <w:pStyle w:val="41"/>
              <w:spacing w:beforeLines="0" w:afterLines="0" w:line="240" w:lineRule="auto"/>
              <w:rPr>
                <w:rFonts w:ascii="Times New Roman"/>
                <w:snapToGrid w:val="0"/>
                <w:kern w:val="21"/>
                <w:szCs w:val="21"/>
              </w:rPr>
            </w:pPr>
            <w:r>
              <w:rPr>
                <w:rFonts w:ascii="Times New Roman"/>
                <w:snapToGrid w:val="0"/>
                <w:kern w:val="21"/>
                <w:szCs w:val="21"/>
              </w:rPr>
              <w:t>0.005t/a</w:t>
            </w:r>
          </w:p>
        </w:tc>
        <w:tc>
          <w:tcPr>
            <w:tcW w:w="1468" w:type="dxa"/>
            <w:noWrap w:val="0"/>
            <w:vAlign w:val="center"/>
          </w:tcPr>
          <w:p>
            <w:pPr>
              <w:jc w:val="center"/>
              <w:rPr>
                <w:snapToGrid w:val="0"/>
                <w:kern w:val="21"/>
                <w:szCs w:val="21"/>
              </w:rPr>
            </w:pPr>
            <w:r>
              <w:rPr>
                <w:snapToGrid w:val="0"/>
                <w:kern w:val="21"/>
                <w:szCs w:val="21"/>
              </w:rPr>
              <w:t>/</w:t>
            </w:r>
          </w:p>
        </w:tc>
        <w:tc>
          <w:tcPr>
            <w:tcW w:w="1731" w:type="dxa"/>
            <w:noWrap w:val="0"/>
            <w:vAlign w:val="center"/>
          </w:tcPr>
          <w:p>
            <w:pPr>
              <w:pStyle w:val="41"/>
              <w:spacing w:beforeLines="0" w:afterLines="0" w:line="240" w:lineRule="auto"/>
              <w:rPr>
                <w:rFonts w:ascii="Times New Roman"/>
                <w:snapToGrid w:val="0"/>
                <w:kern w:val="21"/>
                <w:szCs w:val="21"/>
              </w:rPr>
            </w:pPr>
            <w:r>
              <w:rPr>
                <w:rFonts w:ascii="Times New Roman"/>
                <w:snapToGrid w:val="0"/>
                <w:kern w:val="21"/>
                <w:szCs w:val="21"/>
              </w:rPr>
              <w:t>0.005t/a</w:t>
            </w:r>
          </w:p>
        </w:tc>
        <w:tc>
          <w:tcPr>
            <w:tcW w:w="1607" w:type="dxa"/>
            <w:noWrap w:val="0"/>
            <w:vAlign w:val="center"/>
          </w:tcPr>
          <w:p>
            <w:pPr>
              <w:pStyle w:val="41"/>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lang w:val="en-US" w:eastAsia="zh-CN"/>
              </w:rPr>
              <w:t>+</w:t>
            </w:r>
            <w:r>
              <w:rPr>
                <w:rFonts w:ascii="Times New Roman"/>
                <w:snapToGrid w:val="0"/>
                <w:color w:val="auto"/>
                <w:kern w:val="21"/>
                <w:szCs w:val="21"/>
                <w:highlight w:val="none"/>
              </w:rPr>
              <w:t>0.005t/a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1306" w:type="dxa"/>
            <w:vMerge w:val="continue"/>
            <w:noWrap w:val="0"/>
            <w:vAlign w:val="center"/>
          </w:tcPr>
          <w:p>
            <w:pPr>
              <w:pStyle w:val="41"/>
              <w:spacing w:beforeLines="0" w:afterLines="0" w:line="240" w:lineRule="auto"/>
              <w:rPr>
                <w:rFonts w:ascii="Times New Roman"/>
                <w:snapToGrid w:val="0"/>
                <w:kern w:val="21"/>
                <w:szCs w:val="21"/>
              </w:rPr>
            </w:pPr>
          </w:p>
        </w:tc>
        <w:tc>
          <w:tcPr>
            <w:tcW w:w="1317" w:type="dxa"/>
            <w:noWrap w:val="0"/>
            <w:vAlign w:val="center"/>
          </w:tcPr>
          <w:p>
            <w:pPr>
              <w:pStyle w:val="41"/>
              <w:spacing w:beforeLines="0" w:afterLines="0" w:line="240" w:lineRule="auto"/>
              <w:rPr>
                <w:rFonts w:hint="eastAsia" w:ascii="Times New Roman"/>
                <w:szCs w:val="21"/>
              </w:rPr>
            </w:pPr>
            <w:r>
              <w:rPr>
                <w:rFonts w:hint="default" w:ascii="Times New Roman" w:hAnsi="Times New Roman" w:cs="Times New Roman"/>
                <w:szCs w:val="21"/>
                <w:highlight w:val="none"/>
              </w:rPr>
              <w:t>废</w:t>
            </w:r>
            <w:r>
              <w:rPr>
                <w:rFonts w:hint="eastAsia" w:ascii="Times New Roman" w:hAnsi="Times New Roman" w:eastAsia="宋体" w:cs="Times New Roman"/>
                <w:szCs w:val="21"/>
                <w:highlight w:val="none"/>
                <w:lang w:val="en-US" w:eastAsia="zh-CN"/>
              </w:rPr>
              <w:t>高分子膜</w:t>
            </w:r>
          </w:p>
        </w:tc>
        <w:tc>
          <w:tcPr>
            <w:tcW w:w="1336" w:type="dxa"/>
            <w:noWrap w:val="0"/>
            <w:vAlign w:val="center"/>
          </w:tcPr>
          <w:p>
            <w:pPr>
              <w:pStyle w:val="41"/>
              <w:spacing w:beforeLines="0" w:afterLines="0" w:line="240" w:lineRule="auto"/>
              <w:rPr>
                <w:rFonts w:hint="eastAsia" w:ascii="Times New Roman"/>
                <w:bCs/>
                <w:szCs w:val="21"/>
              </w:rPr>
            </w:pPr>
            <w:r>
              <w:rPr>
                <w:rFonts w:hint="eastAsia" w:ascii="Times New Roman"/>
                <w:bCs/>
                <w:szCs w:val="21"/>
              </w:rPr>
              <w:t>/</w:t>
            </w:r>
          </w:p>
        </w:tc>
        <w:tc>
          <w:tcPr>
            <w:tcW w:w="1316"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pStyle w:val="41"/>
              <w:spacing w:beforeLines="0" w:afterLines="0" w:line="240" w:lineRule="auto"/>
              <w:rPr>
                <w:rFonts w:ascii="Times New Roman"/>
                <w:snapToGrid w:val="0"/>
                <w:kern w:val="21"/>
                <w:szCs w:val="21"/>
              </w:rPr>
            </w:pPr>
            <w:r>
              <w:rPr>
                <w:rFonts w:hint="eastAsia" w:ascii="Times New Roman" w:hAnsi="Times New Roman" w:cs="Times New Roman"/>
                <w:szCs w:val="21"/>
                <w:highlight w:val="none"/>
                <w:lang w:val="en-US" w:eastAsia="zh-CN"/>
              </w:rPr>
              <w:t>0.01</w:t>
            </w:r>
            <w:r>
              <w:rPr>
                <w:rFonts w:hint="default" w:ascii="Times New Roman" w:hAnsi="Times New Roman" w:cs="Times New Roman"/>
                <w:szCs w:val="21"/>
                <w:highlight w:val="none"/>
              </w:rPr>
              <w:t>t/a</w:t>
            </w:r>
          </w:p>
        </w:tc>
        <w:tc>
          <w:tcPr>
            <w:tcW w:w="1468" w:type="dxa"/>
            <w:noWrap w:val="0"/>
            <w:vAlign w:val="center"/>
          </w:tcPr>
          <w:p>
            <w:pPr>
              <w:jc w:val="center"/>
              <w:rPr>
                <w:rFonts w:hint="eastAsia"/>
                <w:snapToGrid w:val="0"/>
                <w:kern w:val="21"/>
                <w:szCs w:val="21"/>
              </w:rPr>
            </w:pPr>
            <w:r>
              <w:rPr>
                <w:rFonts w:hint="eastAsia"/>
                <w:snapToGrid w:val="0"/>
                <w:kern w:val="21"/>
                <w:szCs w:val="21"/>
              </w:rPr>
              <w:t>/</w:t>
            </w:r>
          </w:p>
        </w:tc>
        <w:tc>
          <w:tcPr>
            <w:tcW w:w="1731" w:type="dxa"/>
            <w:noWrap w:val="0"/>
            <w:vAlign w:val="center"/>
          </w:tcPr>
          <w:p>
            <w:pPr>
              <w:pStyle w:val="41"/>
              <w:spacing w:beforeLines="0" w:afterLines="0" w:line="240" w:lineRule="auto"/>
              <w:rPr>
                <w:rFonts w:ascii="Times New Roman"/>
                <w:snapToGrid w:val="0"/>
                <w:kern w:val="21"/>
                <w:szCs w:val="21"/>
              </w:rPr>
            </w:pPr>
            <w:r>
              <w:rPr>
                <w:rFonts w:hint="eastAsia" w:ascii="Times New Roman" w:hAnsi="Times New Roman" w:cs="Times New Roman"/>
                <w:szCs w:val="21"/>
                <w:highlight w:val="none"/>
                <w:lang w:val="en-US" w:eastAsia="zh-CN"/>
              </w:rPr>
              <w:t>0.01</w:t>
            </w:r>
            <w:r>
              <w:rPr>
                <w:rFonts w:hint="default" w:ascii="Times New Roman" w:hAnsi="Times New Roman" w:cs="Times New Roman"/>
                <w:szCs w:val="21"/>
                <w:highlight w:val="none"/>
              </w:rPr>
              <w:t>t/a</w:t>
            </w:r>
          </w:p>
        </w:tc>
        <w:tc>
          <w:tcPr>
            <w:tcW w:w="1607" w:type="dxa"/>
            <w:noWrap w:val="0"/>
            <w:vAlign w:val="center"/>
          </w:tcPr>
          <w:p>
            <w:pPr>
              <w:pStyle w:val="41"/>
              <w:spacing w:beforeLines="0" w:afterLines="0" w:line="240" w:lineRule="auto"/>
              <w:rPr>
                <w:rFonts w:ascii="Times New Roman"/>
                <w:snapToGrid w:val="0"/>
                <w:color w:val="auto"/>
                <w:kern w:val="21"/>
                <w:szCs w:val="21"/>
                <w:highlight w:val="none"/>
              </w:rPr>
            </w:pPr>
            <w:r>
              <w:rPr>
                <w:rFonts w:hint="eastAsia" w:ascii="Times New Roman"/>
                <w:snapToGrid w:val="0"/>
                <w:color w:val="auto"/>
                <w:kern w:val="21"/>
                <w:szCs w:val="21"/>
                <w:highlight w:val="none"/>
                <w:lang w:val="en-US" w:eastAsia="zh-CN"/>
              </w:rPr>
              <w:t>+</w:t>
            </w:r>
            <w:r>
              <w:rPr>
                <w:rFonts w:hint="eastAsia" w:ascii="Times New Roman" w:hAnsi="Times New Roman" w:cs="Times New Roman"/>
                <w:szCs w:val="21"/>
                <w:highlight w:val="none"/>
                <w:lang w:val="en-US" w:eastAsia="zh-CN"/>
              </w:rPr>
              <w:t>0.01</w:t>
            </w:r>
            <w:r>
              <w:rPr>
                <w:rFonts w:hint="default" w:ascii="Times New Roman" w:hAnsi="Times New Roman" w:cs="Times New Roman"/>
                <w:szCs w:val="21"/>
                <w:highlight w:val="none"/>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1306" w:type="dxa"/>
            <w:vMerge w:val="continue"/>
            <w:noWrap w:val="0"/>
            <w:vAlign w:val="center"/>
          </w:tcPr>
          <w:p>
            <w:pPr>
              <w:pStyle w:val="41"/>
              <w:spacing w:beforeLines="0" w:afterLines="0" w:line="240" w:lineRule="auto"/>
              <w:rPr>
                <w:rFonts w:ascii="Times New Roman"/>
                <w:snapToGrid w:val="0"/>
                <w:kern w:val="21"/>
                <w:szCs w:val="21"/>
              </w:rPr>
            </w:pPr>
          </w:p>
        </w:tc>
        <w:tc>
          <w:tcPr>
            <w:tcW w:w="1317" w:type="dxa"/>
            <w:noWrap w:val="0"/>
            <w:vAlign w:val="center"/>
          </w:tcPr>
          <w:p>
            <w:pPr>
              <w:pStyle w:val="41"/>
              <w:spacing w:beforeLines="0" w:afterLines="0" w:line="240" w:lineRule="auto"/>
              <w:rPr>
                <w:rFonts w:hint="eastAsia" w:ascii="Times New Roman" w:hAnsi="Times New Roman" w:eastAsia="宋体" w:cs="Times New Roman"/>
                <w:szCs w:val="21"/>
                <w:highlight w:val="none"/>
                <w:lang w:val="en-US" w:eastAsia="zh-CN"/>
              </w:rPr>
            </w:pPr>
            <w:r>
              <w:rPr>
                <w:rFonts w:hint="eastAsia" w:ascii="Times New Roman" w:hAnsi="Times New Roman" w:cs="Times New Roman"/>
                <w:szCs w:val="21"/>
                <w:highlight w:val="none"/>
                <w:lang w:val="en-US" w:eastAsia="zh-CN"/>
              </w:rPr>
              <w:t>污泥</w:t>
            </w:r>
          </w:p>
        </w:tc>
        <w:tc>
          <w:tcPr>
            <w:tcW w:w="1336" w:type="dxa"/>
            <w:noWrap w:val="0"/>
            <w:vAlign w:val="center"/>
          </w:tcPr>
          <w:p>
            <w:pPr>
              <w:pStyle w:val="41"/>
              <w:spacing w:beforeLines="0" w:afterLines="0" w:line="240" w:lineRule="auto"/>
              <w:rPr>
                <w:rFonts w:hint="eastAsia" w:ascii="Times New Roman"/>
                <w:bCs/>
                <w:szCs w:val="21"/>
              </w:rPr>
            </w:pPr>
            <w:r>
              <w:rPr>
                <w:rFonts w:hint="eastAsia" w:ascii="Times New Roman"/>
                <w:bCs/>
                <w:szCs w:val="21"/>
              </w:rPr>
              <w:t>/</w:t>
            </w:r>
          </w:p>
        </w:tc>
        <w:tc>
          <w:tcPr>
            <w:tcW w:w="1316"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jc w:val="center"/>
              <w:rPr>
                <w:rFonts w:hint="eastAsia"/>
                <w:snapToGrid w:val="0"/>
                <w:kern w:val="21"/>
                <w:szCs w:val="21"/>
              </w:rPr>
            </w:pPr>
            <w:r>
              <w:rPr>
                <w:rFonts w:hint="eastAsia"/>
                <w:snapToGrid w:val="0"/>
                <w:kern w:val="21"/>
                <w:szCs w:val="21"/>
              </w:rPr>
              <w:t>/</w:t>
            </w:r>
          </w:p>
        </w:tc>
        <w:tc>
          <w:tcPr>
            <w:tcW w:w="1617" w:type="dxa"/>
            <w:noWrap w:val="0"/>
            <w:vAlign w:val="center"/>
          </w:tcPr>
          <w:p>
            <w:pPr>
              <w:pStyle w:val="41"/>
              <w:spacing w:beforeLines="0" w:afterLines="0" w:line="240" w:lineRule="auto"/>
              <w:rPr>
                <w:rFonts w:hint="eastAsia" w:ascii="Times New Roman" w:hAnsi="Times New Roman" w:cs="Times New Roman"/>
                <w:szCs w:val="21"/>
                <w:highlight w:val="none"/>
                <w:lang w:val="en-US" w:eastAsia="zh-CN"/>
              </w:rPr>
            </w:pPr>
            <w:r>
              <w:rPr>
                <w:rFonts w:hint="eastAsia" w:ascii="Times New Roman" w:hAnsi="Times New Roman" w:eastAsia="宋体" w:cs="Times New Roman"/>
                <w:szCs w:val="21"/>
                <w:highlight w:val="none"/>
                <w:lang w:val="en-US" w:eastAsia="zh-CN"/>
              </w:rPr>
              <w:t>0.7t/a</w:t>
            </w:r>
          </w:p>
        </w:tc>
        <w:tc>
          <w:tcPr>
            <w:tcW w:w="1468" w:type="dxa"/>
            <w:noWrap w:val="0"/>
            <w:vAlign w:val="center"/>
          </w:tcPr>
          <w:p>
            <w:pPr>
              <w:jc w:val="center"/>
              <w:rPr>
                <w:rFonts w:hint="eastAsia"/>
                <w:snapToGrid w:val="0"/>
                <w:kern w:val="21"/>
                <w:szCs w:val="21"/>
              </w:rPr>
            </w:pPr>
            <w:r>
              <w:rPr>
                <w:rFonts w:hint="eastAsia"/>
                <w:snapToGrid w:val="0"/>
                <w:kern w:val="21"/>
                <w:szCs w:val="21"/>
              </w:rPr>
              <w:t>/</w:t>
            </w:r>
          </w:p>
        </w:tc>
        <w:tc>
          <w:tcPr>
            <w:tcW w:w="1731" w:type="dxa"/>
            <w:noWrap w:val="0"/>
            <w:vAlign w:val="center"/>
          </w:tcPr>
          <w:p>
            <w:pPr>
              <w:pStyle w:val="41"/>
              <w:spacing w:beforeLines="0" w:afterLines="0" w:line="240" w:lineRule="auto"/>
              <w:rPr>
                <w:rFonts w:hint="eastAsia" w:ascii="Times New Roman" w:hAnsi="Times New Roman" w:cs="Times New Roman"/>
                <w:szCs w:val="21"/>
                <w:highlight w:val="none"/>
                <w:lang w:val="en-US" w:eastAsia="zh-CN"/>
              </w:rPr>
            </w:pPr>
            <w:r>
              <w:rPr>
                <w:rFonts w:hint="eastAsia" w:ascii="Times New Roman" w:hAnsi="Times New Roman" w:eastAsia="宋体" w:cs="Times New Roman"/>
                <w:szCs w:val="21"/>
                <w:highlight w:val="none"/>
                <w:lang w:val="en-US" w:eastAsia="zh-CN"/>
              </w:rPr>
              <w:t>0.7t/a</w:t>
            </w:r>
          </w:p>
        </w:tc>
        <w:tc>
          <w:tcPr>
            <w:tcW w:w="1607" w:type="dxa"/>
            <w:noWrap w:val="0"/>
            <w:vAlign w:val="center"/>
          </w:tcPr>
          <w:p>
            <w:pPr>
              <w:pStyle w:val="41"/>
              <w:spacing w:beforeLines="0" w:afterLines="0" w:line="240" w:lineRule="auto"/>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w:t>
            </w:r>
            <w:r>
              <w:rPr>
                <w:rFonts w:hint="eastAsia" w:ascii="Times New Roman" w:hAnsi="Times New Roman" w:eastAsia="宋体" w:cs="Times New Roman"/>
                <w:szCs w:val="21"/>
                <w:highlight w:val="none"/>
                <w:lang w:val="en-US" w:eastAsia="zh-CN"/>
              </w:rPr>
              <w:t>0.7t/a</w:t>
            </w:r>
          </w:p>
        </w:tc>
      </w:tr>
    </w:tbl>
    <w:p>
      <w:pPr>
        <w:pStyle w:val="41"/>
        <w:spacing w:before="192" w:beforeLines="80" w:after="24"/>
        <w:jc w:val="left"/>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ascii="Times New Roman"/>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ascii="Times New Roman"/>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ascii="Times New Roman"/>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ascii="Times New Roman"/>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ascii="Times New Roman"/>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ascii="Times New Roman"/>
          <w:szCs w:val="21"/>
        </w:rPr>
        <w:t>①</w:t>
      </w:r>
      <w:r>
        <w:rPr>
          <w:rFonts w:ascii="Times New Roman"/>
          <w:snapToGrid w:val="0"/>
          <w:spacing w:val="-6"/>
          <w:kern w:val="21"/>
          <w:szCs w:val="21"/>
        </w:rPr>
        <w:fldChar w:fldCharType="end"/>
      </w:r>
    </w:p>
    <w:sectPr>
      <w:footerReference r:id="rId4"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C93E0EE2-B719-4734-934A-EF466E7D87C7}"/>
  </w:font>
  <w:font w:name="黑体">
    <w:panose1 w:val="02010609060101010101"/>
    <w:charset w:val="86"/>
    <w:family w:val="auto"/>
    <w:pitch w:val="default"/>
    <w:sig w:usb0="800002BF" w:usb1="38CF7CFA" w:usb2="00000016" w:usb3="00000000" w:csb0="00040001" w:csb1="00000000"/>
    <w:embedRegular r:id="rId2" w:fontKey="{2F8E64D1-A61E-41DC-ADF8-8596510E294C}"/>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3" w:fontKey="{2CC4593C-C532-4D1B-A6BD-E6F4E6CE1A36}"/>
  </w:font>
  <w:font w:name="Arial">
    <w:panose1 w:val="020B0604020202020204"/>
    <w:charset w:val="00"/>
    <w:family w:val="swiss"/>
    <w:pitch w:val="default"/>
    <w:sig w:usb0="E0002EFF" w:usb1="C000785B" w:usb2="00000009" w:usb3="00000000" w:csb0="400001FF" w:csb1="FFFF0000"/>
  </w:font>
  <w:font w:name="金山简宋体">
    <w:altName w:val="黑体"/>
    <w:panose1 w:val="02010609000101010101"/>
    <w:charset w:val="86"/>
    <w:family w:val="modern"/>
    <w:pitch w:val="default"/>
    <w:sig w:usb0="00000000" w:usb1="00000000" w:usb2="00000010" w:usb3="00000000" w:csb0="0004000A" w:csb1="00000000"/>
  </w:font>
  <w:font w:name="Courier New">
    <w:panose1 w:val="02070309020205020404"/>
    <w:charset w:val="00"/>
    <w:family w:val="modern"/>
    <w:pitch w:val="default"/>
    <w:sig w:usb0="E0002EFF" w:usb1="C0007843" w:usb2="00000009" w:usb3="00000000" w:csb0="400001FF" w:csb1="FFFF0000"/>
  </w:font>
  <w:font w:name="Cambria">
    <w:panose1 w:val="02040503050406030204"/>
    <w:charset w:val="00"/>
    <w:family w:val="roman"/>
    <w:pitch w:val="default"/>
    <w:sig w:usb0="E00006FF" w:usb1="420024FF" w:usb2="02000000" w:usb3="00000000" w:csb0="2000019F" w:csb1="00000000"/>
  </w:font>
  <w:font w:name="楷体_GB2312">
    <w:altName w:val="楷体"/>
    <w:panose1 w:val="02010609030101010101"/>
    <w:charset w:val="86"/>
    <w:family w:val="modern"/>
    <w:pitch w:val="default"/>
    <w:sig w:usb0="00000001" w:usb1="080E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40001" w:csb1="00000000"/>
  </w:font>
  <w:font w:name="新宋体-18030">
    <w:altName w:val="宋体"/>
    <w:panose1 w:val="00000000000000000000"/>
    <w:charset w:val="00"/>
    <w:family w:val="auto"/>
    <w:pitch w:val="default"/>
    <w:sig w:usb0="00000000" w:usb1="00000000" w:usb2="00000000" w:usb3="00000000" w:csb0="00040001" w:csb1="00000000"/>
  </w:font>
  <w:font w:name="微软雅黑">
    <w:panose1 w:val="020B0503020204020204"/>
    <w:charset w:val="86"/>
    <w:family w:val="swiss"/>
    <w:pitch w:val="default"/>
    <w:sig w:usb0="80000287" w:usb1="2ACF3C50" w:usb2="00000016" w:usb3="00000000" w:csb0="0004001F" w:csb1="00000000"/>
  </w:font>
  <w:font w:name="Wingdings 2">
    <w:panose1 w:val="05020102010507070707"/>
    <w:charset w:val="02"/>
    <w:family w:val="roman"/>
    <w:pitch w:val="default"/>
    <w:sig w:usb0="00000000" w:usb1="00000000" w:usb2="00000000" w:usb3="00000000" w:csb0="80000000" w:csb1="00000000"/>
    <w:embedRegular r:id="rId4" w:fontKey="{A10881D1-15DA-48CB-B4DB-B2816C512F60}"/>
  </w:font>
  <w:font w:name="仿宋_GB2312">
    <w:panose1 w:val="02010609030101010101"/>
    <w:charset w:val="86"/>
    <w:family w:val="modern"/>
    <w:pitch w:val="default"/>
    <w:sig w:usb0="00000001" w:usb1="080E0000" w:usb2="00000000" w:usb3="00000000" w:csb0="00040000" w:csb1="00000000"/>
    <w:embedRegular r:id="rId5" w:fontKey="{4E92D235-A8C5-4925-B7B6-B77B40E0CE96}"/>
  </w:font>
  <w:font w:name="方正小标宋_GBK">
    <w:panose1 w:val="02000000000000000000"/>
    <w:charset w:val="86"/>
    <w:family w:val="script"/>
    <w:pitch w:val="default"/>
    <w:sig w:usb0="A00002BF" w:usb1="38CF7CFA" w:usb2="00082016" w:usb3="00000000" w:csb0="00040001" w:csb1="00000000"/>
    <w:embedRegular r:id="rId6" w:fontKey="{E6279E8D-CC5F-4D2A-B551-FC2E65E5235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jc w:val="both"/>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pPr>
                          <w:r>
                            <w:fldChar w:fldCharType="begin"/>
                          </w:r>
                          <w:r>
                            <w:instrText xml:space="preserve"> PAGE  \* MERGEFORMAT </w:instrText>
                          </w:r>
                          <w:r>
                            <w:fldChar w:fldCharType="separate"/>
                          </w:r>
                          <w:r>
                            <w:rPr>
                              <w:lang/>
                            </w:rPr>
                            <w:t>20</w:t>
                          </w:r>
                          <w:r>
                            <w:fldChar w:fldCharType="end"/>
                          </w:r>
                        </w:p>
                      </w:txbxContent>
                    </wps:txbx>
                    <wps:bodyPr wrap="none" lIns="0" tIns="0" rIns="0" bIns="0" upright="0">
                      <a:spAutoFit/>
                    </wps:bodyPr>
                  </wps:wsp>
                </a:graphicData>
              </a:graphic>
            </wp:anchor>
          </w:drawing>
        </mc:Choice>
        <mc:Fallback>
          <w:pict>
            <v:shape id="文本框 8"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O57kvXIAQAAmgMAAA4AAAAAAAAAAQAgAAAAHgEAAGRycy9lMm9Eb2Mu&#10;eG1sUEsFBgAAAAAGAAYAWQEAAFgFAAAAAA==&#10;">
              <v:fill on="f" focussize="0,0"/>
              <v:stroke on="f"/>
              <v:imagedata o:title=""/>
              <o:lock v:ext="edit" aspectratio="f"/>
              <v:textbox inset="0mm,0mm,0mm,0mm" style="mso-fit-shape-to-text:t;">
                <w:txbxContent>
                  <w:p>
                    <w:pPr>
                      <w:pStyle w:val="17"/>
                    </w:pPr>
                    <w:r>
                      <w:fldChar w:fldCharType="begin"/>
                    </w:r>
                    <w:r>
                      <w:instrText xml:space="preserve"> PAGE  \* MERGEFORMAT </w:instrText>
                    </w:r>
                    <w:r>
                      <w:fldChar w:fldCharType="separate"/>
                    </w:r>
                    <w:r>
                      <w:rPr>
                        <w:lang/>
                      </w:rPr>
                      <w:t>20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7"/>
                          </w:pPr>
                          <w:r>
                            <w:fldChar w:fldCharType="begin"/>
                          </w:r>
                          <w:r>
                            <w:instrText xml:space="preserve"> PAGE  \* MERGEFORMAT </w:instrText>
                          </w:r>
                          <w:r>
                            <w:fldChar w:fldCharType="separate"/>
                          </w:r>
                          <w:r>
                            <w:rPr>
                              <w:lang/>
                            </w:rPr>
                            <w:t>44</w:t>
                          </w:r>
                          <w:r>
                            <w:fldChar w:fldCharType="end"/>
                          </w:r>
                        </w:p>
                      </w:txbxContent>
                    </wps:txbx>
                    <wps:bodyPr wrap="none" lIns="0" tIns="0" rIns="0" bIns="0" upright="0">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Cpn6MfIAQAAmwMAAA4AAAAAAAAAAQAgAAAAHgEAAGRycy9lMm9Eb2Mu&#10;eG1sUEsFBgAAAAAGAAYAWQEAAFgFAAAAAA==&#10;">
              <v:fill on="f" focussize="0,0"/>
              <v:stroke on="f"/>
              <v:imagedata o:title=""/>
              <o:lock v:ext="edit" aspectratio="f"/>
              <v:textbox inset="0mm,0mm,0mm,0mm" style="mso-fit-shape-to-text:t;">
                <w:txbxContent>
                  <w:p>
                    <w:pPr>
                      <w:pStyle w:val="17"/>
                    </w:pPr>
                    <w:r>
                      <w:fldChar w:fldCharType="begin"/>
                    </w:r>
                    <w:r>
                      <w:instrText xml:space="preserve"> PAGE  \* MERGEFORMAT </w:instrText>
                    </w:r>
                    <w:r>
                      <w:fldChar w:fldCharType="separate"/>
                    </w:r>
                    <w:r>
                      <w:rPr>
                        <w:lang/>
                      </w:rPr>
                      <w:t>44</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2382A9"/>
    <w:multiLevelType w:val="singleLevel"/>
    <w:tmpl w:val="8A2382A9"/>
    <w:lvl w:ilvl="0" w:tentative="0">
      <w:start w:val="3"/>
      <w:numFmt w:val="decimal"/>
      <w:suff w:val="nothing"/>
      <w:lvlText w:val="（%1）"/>
      <w:lvlJc w:val="left"/>
    </w:lvl>
  </w:abstractNum>
  <w:abstractNum w:abstractNumId="1">
    <w:nsid w:val="8B85A614"/>
    <w:multiLevelType w:val="singleLevel"/>
    <w:tmpl w:val="8B85A614"/>
    <w:lvl w:ilvl="0" w:tentative="0">
      <w:start w:val="1"/>
      <w:numFmt w:val="decimal"/>
      <w:suff w:val="nothing"/>
      <w:lvlText w:val="%1）"/>
      <w:lvlJc w:val="left"/>
    </w:lvl>
  </w:abstractNum>
  <w:abstractNum w:abstractNumId="2">
    <w:nsid w:val="C7974405"/>
    <w:multiLevelType w:val="singleLevel"/>
    <w:tmpl w:val="C7974405"/>
    <w:lvl w:ilvl="0" w:tentative="0">
      <w:start w:val="1"/>
      <w:numFmt w:val="bullet"/>
      <w:pStyle w:val="9"/>
      <w:lvlText w:val=""/>
      <w:lvlJc w:val="left"/>
      <w:pPr>
        <w:tabs>
          <w:tab w:val="left" w:pos="2040"/>
        </w:tabs>
        <w:ind w:left="2040" w:hanging="360"/>
      </w:pPr>
      <w:rPr>
        <w:rFonts w:hint="default" w:ascii="Wingdings" w:hAnsi="Wingdings"/>
      </w:rPr>
    </w:lvl>
  </w:abstractNum>
  <w:abstractNum w:abstractNumId="3">
    <w:nsid w:val="D6B9C4D6"/>
    <w:multiLevelType w:val="singleLevel"/>
    <w:tmpl w:val="D6B9C4D6"/>
    <w:lvl w:ilvl="0" w:tentative="0">
      <w:start w:val="1"/>
      <w:numFmt w:val="upperLetter"/>
      <w:suff w:val="nothing"/>
      <w:lvlText w:val="%1、"/>
      <w:lvlJc w:val="left"/>
    </w:lvl>
  </w:abstractNum>
  <w:abstractNum w:abstractNumId="4">
    <w:nsid w:val="16253587"/>
    <w:multiLevelType w:val="multilevel"/>
    <w:tmpl w:val="16253587"/>
    <w:lvl w:ilvl="0" w:tentative="0">
      <w:start w:val="1"/>
      <w:numFmt w:val="decimal"/>
      <w:lvlText w:val="%1"/>
      <w:lvlJc w:val="left"/>
      <w:pPr>
        <w:tabs>
          <w:tab w:val="left" w:pos="432"/>
        </w:tabs>
        <w:ind w:left="432" w:hanging="432"/>
      </w:pPr>
    </w:lvl>
    <w:lvl w:ilvl="1" w:tentative="0">
      <w:start w:val="1"/>
      <w:numFmt w:val="decimal"/>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pStyle w:val="5"/>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5">
    <w:nsid w:val="2A882C43"/>
    <w:multiLevelType w:val="singleLevel"/>
    <w:tmpl w:val="2A882C43"/>
    <w:lvl w:ilvl="0" w:tentative="0">
      <w:start w:val="4"/>
      <w:numFmt w:val="decimal"/>
      <w:suff w:val="nothing"/>
      <w:lvlText w:val="（%1）"/>
      <w:lvlJc w:val="left"/>
    </w:lvl>
  </w:abstractNum>
  <w:abstractNum w:abstractNumId="6">
    <w:nsid w:val="57BD81F8"/>
    <w:multiLevelType w:val="singleLevel"/>
    <w:tmpl w:val="57BD81F8"/>
    <w:lvl w:ilvl="0" w:tentative="0">
      <w:start w:val="5"/>
      <w:numFmt w:val="decimal"/>
      <w:suff w:val="nothing"/>
      <w:lvlText w:val="（%1）"/>
      <w:lvlJc w:val="left"/>
    </w:lvl>
  </w:abstractNum>
  <w:num w:numId="1">
    <w:abstractNumId w:val="4"/>
  </w:num>
  <w:num w:numId="2">
    <w:abstractNumId w:val="2"/>
  </w:num>
  <w:num w:numId="3">
    <w:abstractNumId w:val="5"/>
  </w:num>
  <w:num w:numId="4">
    <w:abstractNumId w:val="6"/>
  </w:num>
  <w:num w:numId="5">
    <w:abstractNumId w:val="0"/>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1"/>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kwZjdhYzIyZjQwNjZkMTY3NzQ4ZjBjZTMyZmQ4OGIifQ=="/>
  </w:docVars>
  <w:rsids>
    <w:rsidRoot w:val="00A14947"/>
    <w:rsid w:val="000060B3"/>
    <w:rsid w:val="00030980"/>
    <w:rsid w:val="00035517"/>
    <w:rsid w:val="0004364B"/>
    <w:rsid w:val="00051498"/>
    <w:rsid w:val="00055625"/>
    <w:rsid w:val="0006168E"/>
    <w:rsid w:val="00061B1F"/>
    <w:rsid w:val="000667E3"/>
    <w:rsid w:val="000733C4"/>
    <w:rsid w:val="00074783"/>
    <w:rsid w:val="0008070B"/>
    <w:rsid w:val="000810AC"/>
    <w:rsid w:val="00081A02"/>
    <w:rsid w:val="00082231"/>
    <w:rsid w:val="00092D38"/>
    <w:rsid w:val="0009377B"/>
    <w:rsid w:val="000A20C9"/>
    <w:rsid w:val="000B02F2"/>
    <w:rsid w:val="000B058F"/>
    <w:rsid w:val="000B4467"/>
    <w:rsid w:val="000B4DB9"/>
    <w:rsid w:val="000B6281"/>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0F09"/>
    <w:rsid w:val="001B72B8"/>
    <w:rsid w:val="001C0B30"/>
    <w:rsid w:val="001C69B3"/>
    <w:rsid w:val="001D5595"/>
    <w:rsid w:val="001D7874"/>
    <w:rsid w:val="001D7F22"/>
    <w:rsid w:val="001F0F17"/>
    <w:rsid w:val="001F3347"/>
    <w:rsid w:val="001F69E4"/>
    <w:rsid w:val="002125B4"/>
    <w:rsid w:val="002155B8"/>
    <w:rsid w:val="00215A03"/>
    <w:rsid w:val="00224839"/>
    <w:rsid w:val="002249B2"/>
    <w:rsid w:val="00226574"/>
    <w:rsid w:val="002278DB"/>
    <w:rsid w:val="002278EC"/>
    <w:rsid w:val="0023280E"/>
    <w:rsid w:val="002377D1"/>
    <w:rsid w:val="002412C8"/>
    <w:rsid w:val="002506BC"/>
    <w:rsid w:val="00254345"/>
    <w:rsid w:val="0026454B"/>
    <w:rsid w:val="00264557"/>
    <w:rsid w:val="002805AB"/>
    <w:rsid w:val="0028398F"/>
    <w:rsid w:val="00284204"/>
    <w:rsid w:val="00287928"/>
    <w:rsid w:val="00291773"/>
    <w:rsid w:val="002A168C"/>
    <w:rsid w:val="002A3DC7"/>
    <w:rsid w:val="002A7BEC"/>
    <w:rsid w:val="002B49E2"/>
    <w:rsid w:val="002B7B00"/>
    <w:rsid w:val="002B7C44"/>
    <w:rsid w:val="002C2B17"/>
    <w:rsid w:val="002D09D4"/>
    <w:rsid w:val="002D3DD0"/>
    <w:rsid w:val="002D4F05"/>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32FE"/>
    <w:rsid w:val="00356653"/>
    <w:rsid w:val="0035743F"/>
    <w:rsid w:val="00357BE2"/>
    <w:rsid w:val="0036170C"/>
    <w:rsid w:val="00366E0F"/>
    <w:rsid w:val="00381A72"/>
    <w:rsid w:val="00384676"/>
    <w:rsid w:val="00390857"/>
    <w:rsid w:val="003A203D"/>
    <w:rsid w:val="003A4BF3"/>
    <w:rsid w:val="003B420D"/>
    <w:rsid w:val="003C6C16"/>
    <w:rsid w:val="003D794D"/>
    <w:rsid w:val="003E20BB"/>
    <w:rsid w:val="003E2369"/>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345C1"/>
    <w:rsid w:val="004405F8"/>
    <w:rsid w:val="00452738"/>
    <w:rsid w:val="00456091"/>
    <w:rsid w:val="00466321"/>
    <w:rsid w:val="00475DAE"/>
    <w:rsid w:val="00484B9B"/>
    <w:rsid w:val="004855F6"/>
    <w:rsid w:val="0048661E"/>
    <w:rsid w:val="00494670"/>
    <w:rsid w:val="0049497D"/>
    <w:rsid w:val="004A3823"/>
    <w:rsid w:val="004E6946"/>
    <w:rsid w:val="004F1AD8"/>
    <w:rsid w:val="005039CB"/>
    <w:rsid w:val="0050558F"/>
    <w:rsid w:val="00506286"/>
    <w:rsid w:val="00510813"/>
    <w:rsid w:val="00510E31"/>
    <w:rsid w:val="00511990"/>
    <w:rsid w:val="00511DE0"/>
    <w:rsid w:val="00514870"/>
    <w:rsid w:val="00514B9B"/>
    <w:rsid w:val="00517F02"/>
    <w:rsid w:val="00524303"/>
    <w:rsid w:val="005258A2"/>
    <w:rsid w:val="00531A21"/>
    <w:rsid w:val="005401AE"/>
    <w:rsid w:val="00542E07"/>
    <w:rsid w:val="00545424"/>
    <w:rsid w:val="00551F29"/>
    <w:rsid w:val="00554A7B"/>
    <w:rsid w:val="0055572C"/>
    <w:rsid w:val="0056106A"/>
    <w:rsid w:val="005720AE"/>
    <w:rsid w:val="0057639B"/>
    <w:rsid w:val="00583CAE"/>
    <w:rsid w:val="00594D77"/>
    <w:rsid w:val="005969E4"/>
    <w:rsid w:val="005A06B7"/>
    <w:rsid w:val="005A1759"/>
    <w:rsid w:val="005A68A7"/>
    <w:rsid w:val="005D36AB"/>
    <w:rsid w:val="005E5353"/>
    <w:rsid w:val="005F687D"/>
    <w:rsid w:val="00617CC3"/>
    <w:rsid w:val="006377A6"/>
    <w:rsid w:val="00637A3D"/>
    <w:rsid w:val="006411EF"/>
    <w:rsid w:val="00650073"/>
    <w:rsid w:val="00661709"/>
    <w:rsid w:val="006748B8"/>
    <w:rsid w:val="006775C3"/>
    <w:rsid w:val="006836D3"/>
    <w:rsid w:val="0069104F"/>
    <w:rsid w:val="0069290A"/>
    <w:rsid w:val="0069775A"/>
    <w:rsid w:val="00697813"/>
    <w:rsid w:val="006A3EE8"/>
    <w:rsid w:val="006A72BF"/>
    <w:rsid w:val="006B03F2"/>
    <w:rsid w:val="006B37DC"/>
    <w:rsid w:val="006B4F68"/>
    <w:rsid w:val="006C0592"/>
    <w:rsid w:val="006C272E"/>
    <w:rsid w:val="006C5479"/>
    <w:rsid w:val="006D13B5"/>
    <w:rsid w:val="006D6B0A"/>
    <w:rsid w:val="006E12FF"/>
    <w:rsid w:val="006E131F"/>
    <w:rsid w:val="006E607E"/>
    <w:rsid w:val="00706C5D"/>
    <w:rsid w:val="00732922"/>
    <w:rsid w:val="00735D6A"/>
    <w:rsid w:val="007402CA"/>
    <w:rsid w:val="0074035D"/>
    <w:rsid w:val="0075162E"/>
    <w:rsid w:val="00754034"/>
    <w:rsid w:val="0075506B"/>
    <w:rsid w:val="00756556"/>
    <w:rsid w:val="007618C4"/>
    <w:rsid w:val="00767980"/>
    <w:rsid w:val="00770B19"/>
    <w:rsid w:val="00773916"/>
    <w:rsid w:val="0077463F"/>
    <w:rsid w:val="007746E2"/>
    <w:rsid w:val="007836EA"/>
    <w:rsid w:val="00784339"/>
    <w:rsid w:val="00784CDA"/>
    <w:rsid w:val="00785059"/>
    <w:rsid w:val="007906C4"/>
    <w:rsid w:val="007940EA"/>
    <w:rsid w:val="007967E8"/>
    <w:rsid w:val="007A2170"/>
    <w:rsid w:val="007A22BF"/>
    <w:rsid w:val="007A3323"/>
    <w:rsid w:val="007A6F63"/>
    <w:rsid w:val="007B72B8"/>
    <w:rsid w:val="007B7A58"/>
    <w:rsid w:val="007C21B5"/>
    <w:rsid w:val="007C320B"/>
    <w:rsid w:val="007D0D61"/>
    <w:rsid w:val="007E4BD2"/>
    <w:rsid w:val="00801393"/>
    <w:rsid w:val="00802F88"/>
    <w:rsid w:val="0081293E"/>
    <w:rsid w:val="00812E5D"/>
    <w:rsid w:val="00815465"/>
    <w:rsid w:val="00817E9A"/>
    <w:rsid w:val="00821FBE"/>
    <w:rsid w:val="008306BD"/>
    <w:rsid w:val="00831A80"/>
    <w:rsid w:val="00833743"/>
    <w:rsid w:val="008340A4"/>
    <w:rsid w:val="00842BD2"/>
    <w:rsid w:val="008511AD"/>
    <w:rsid w:val="00863B59"/>
    <w:rsid w:val="0087135F"/>
    <w:rsid w:val="00872D94"/>
    <w:rsid w:val="00880364"/>
    <w:rsid w:val="008878D1"/>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0305"/>
    <w:rsid w:val="00902727"/>
    <w:rsid w:val="0090312B"/>
    <w:rsid w:val="009118EB"/>
    <w:rsid w:val="0091736D"/>
    <w:rsid w:val="0093037A"/>
    <w:rsid w:val="00934CC7"/>
    <w:rsid w:val="0094154D"/>
    <w:rsid w:val="0095155F"/>
    <w:rsid w:val="00954429"/>
    <w:rsid w:val="009563CE"/>
    <w:rsid w:val="00960173"/>
    <w:rsid w:val="00976328"/>
    <w:rsid w:val="0097680D"/>
    <w:rsid w:val="00982438"/>
    <w:rsid w:val="0098404C"/>
    <w:rsid w:val="00985283"/>
    <w:rsid w:val="0099077C"/>
    <w:rsid w:val="00995992"/>
    <w:rsid w:val="0099686E"/>
    <w:rsid w:val="009A03E5"/>
    <w:rsid w:val="009A0F3B"/>
    <w:rsid w:val="009A1BB4"/>
    <w:rsid w:val="009A2628"/>
    <w:rsid w:val="009A3200"/>
    <w:rsid w:val="009A78F6"/>
    <w:rsid w:val="009B0897"/>
    <w:rsid w:val="009B7BD9"/>
    <w:rsid w:val="009C7DD5"/>
    <w:rsid w:val="009E099D"/>
    <w:rsid w:val="009E227D"/>
    <w:rsid w:val="009E5019"/>
    <w:rsid w:val="00A04F1B"/>
    <w:rsid w:val="00A0501B"/>
    <w:rsid w:val="00A056EC"/>
    <w:rsid w:val="00A14947"/>
    <w:rsid w:val="00A15B9B"/>
    <w:rsid w:val="00A32A83"/>
    <w:rsid w:val="00A368DB"/>
    <w:rsid w:val="00A423AA"/>
    <w:rsid w:val="00A53EC6"/>
    <w:rsid w:val="00A55C0F"/>
    <w:rsid w:val="00A8713F"/>
    <w:rsid w:val="00A90BA1"/>
    <w:rsid w:val="00A918B8"/>
    <w:rsid w:val="00A95584"/>
    <w:rsid w:val="00A97A9A"/>
    <w:rsid w:val="00AA001A"/>
    <w:rsid w:val="00AA0671"/>
    <w:rsid w:val="00AA2531"/>
    <w:rsid w:val="00AB1E09"/>
    <w:rsid w:val="00AB5330"/>
    <w:rsid w:val="00AB7747"/>
    <w:rsid w:val="00AC14CE"/>
    <w:rsid w:val="00AC2A56"/>
    <w:rsid w:val="00AC5580"/>
    <w:rsid w:val="00AD055E"/>
    <w:rsid w:val="00AD2C20"/>
    <w:rsid w:val="00AD47A7"/>
    <w:rsid w:val="00AE5431"/>
    <w:rsid w:val="00AF0CBF"/>
    <w:rsid w:val="00AF257F"/>
    <w:rsid w:val="00AF2F32"/>
    <w:rsid w:val="00AF33CF"/>
    <w:rsid w:val="00AF4D50"/>
    <w:rsid w:val="00AF6179"/>
    <w:rsid w:val="00B06528"/>
    <w:rsid w:val="00B1295A"/>
    <w:rsid w:val="00B13C3D"/>
    <w:rsid w:val="00B20A45"/>
    <w:rsid w:val="00B214BE"/>
    <w:rsid w:val="00B22C5C"/>
    <w:rsid w:val="00B24F30"/>
    <w:rsid w:val="00B307A0"/>
    <w:rsid w:val="00B31ABF"/>
    <w:rsid w:val="00B33BE3"/>
    <w:rsid w:val="00B364AF"/>
    <w:rsid w:val="00B53B5D"/>
    <w:rsid w:val="00B6055E"/>
    <w:rsid w:val="00B618B0"/>
    <w:rsid w:val="00B6317D"/>
    <w:rsid w:val="00B63C2D"/>
    <w:rsid w:val="00B7723F"/>
    <w:rsid w:val="00B80534"/>
    <w:rsid w:val="00B8433C"/>
    <w:rsid w:val="00B87491"/>
    <w:rsid w:val="00B937DD"/>
    <w:rsid w:val="00BA29E9"/>
    <w:rsid w:val="00BA7142"/>
    <w:rsid w:val="00BB237C"/>
    <w:rsid w:val="00BB41A3"/>
    <w:rsid w:val="00BB7A02"/>
    <w:rsid w:val="00BC32DC"/>
    <w:rsid w:val="00BC35B6"/>
    <w:rsid w:val="00BD1B51"/>
    <w:rsid w:val="00BD4596"/>
    <w:rsid w:val="00BE1405"/>
    <w:rsid w:val="00BE312D"/>
    <w:rsid w:val="00BE773B"/>
    <w:rsid w:val="00BF1C20"/>
    <w:rsid w:val="00C0408C"/>
    <w:rsid w:val="00C10578"/>
    <w:rsid w:val="00C135BC"/>
    <w:rsid w:val="00C15C95"/>
    <w:rsid w:val="00C1612B"/>
    <w:rsid w:val="00C2596A"/>
    <w:rsid w:val="00C27537"/>
    <w:rsid w:val="00C328FE"/>
    <w:rsid w:val="00C33507"/>
    <w:rsid w:val="00C4409D"/>
    <w:rsid w:val="00C44E72"/>
    <w:rsid w:val="00C45A06"/>
    <w:rsid w:val="00C47E5B"/>
    <w:rsid w:val="00C504E6"/>
    <w:rsid w:val="00C61E4B"/>
    <w:rsid w:val="00C64BFF"/>
    <w:rsid w:val="00C70138"/>
    <w:rsid w:val="00C704E9"/>
    <w:rsid w:val="00C758A5"/>
    <w:rsid w:val="00C763C9"/>
    <w:rsid w:val="00C80057"/>
    <w:rsid w:val="00C82232"/>
    <w:rsid w:val="00C82913"/>
    <w:rsid w:val="00C84172"/>
    <w:rsid w:val="00C972B1"/>
    <w:rsid w:val="00CA2CCE"/>
    <w:rsid w:val="00CA43FD"/>
    <w:rsid w:val="00CA7EF8"/>
    <w:rsid w:val="00CC27BC"/>
    <w:rsid w:val="00CC489B"/>
    <w:rsid w:val="00CD1CD7"/>
    <w:rsid w:val="00CD2BCD"/>
    <w:rsid w:val="00CD3A4C"/>
    <w:rsid w:val="00CE10E9"/>
    <w:rsid w:val="00CE18C6"/>
    <w:rsid w:val="00CE2910"/>
    <w:rsid w:val="00CE5393"/>
    <w:rsid w:val="00CF07B0"/>
    <w:rsid w:val="00CF36BE"/>
    <w:rsid w:val="00CF6000"/>
    <w:rsid w:val="00D003F3"/>
    <w:rsid w:val="00D0364F"/>
    <w:rsid w:val="00D06834"/>
    <w:rsid w:val="00D24229"/>
    <w:rsid w:val="00D308ED"/>
    <w:rsid w:val="00D36D86"/>
    <w:rsid w:val="00D428AA"/>
    <w:rsid w:val="00D50A34"/>
    <w:rsid w:val="00D53EFA"/>
    <w:rsid w:val="00D94A7C"/>
    <w:rsid w:val="00D95896"/>
    <w:rsid w:val="00DA173F"/>
    <w:rsid w:val="00DB2983"/>
    <w:rsid w:val="00DC1257"/>
    <w:rsid w:val="00DC3DC0"/>
    <w:rsid w:val="00DC5B2B"/>
    <w:rsid w:val="00DD318D"/>
    <w:rsid w:val="00DF2E12"/>
    <w:rsid w:val="00DF514A"/>
    <w:rsid w:val="00DF57F5"/>
    <w:rsid w:val="00DF6690"/>
    <w:rsid w:val="00DF6804"/>
    <w:rsid w:val="00E0358D"/>
    <w:rsid w:val="00E04323"/>
    <w:rsid w:val="00E0439F"/>
    <w:rsid w:val="00E070A2"/>
    <w:rsid w:val="00E21837"/>
    <w:rsid w:val="00E2656A"/>
    <w:rsid w:val="00E412D0"/>
    <w:rsid w:val="00E42B8A"/>
    <w:rsid w:val="00E56322"/>
    <w:rsid w:val="00E60982"/>
    <w:rsid w:val="00E6284A"/>
    <w:rsid w:val="00E62C62"/>
    <w:rsid w:val="00E654C1"/>
    <w:rsid w:val="00E65D97"/>
    <w:rsid w:val="00E72A5A"/>
    <w:rsid w:val="00E73354"/>
    <w:rsid w:val="00E9242D"/>
    <w:rsid w:val="00EB49D9"/>
    <w:rsid w:val="00EB5255"/>
    <w:rsid w:val="00EB5C47"/>
    <w:rsid w:val="00EC1F6E"/>
    <w:rsid w:val="00ED0639"/>
    <w:rsid w:val="00EF4755"/>
    <w:rsid w:val="00EF7135"/>
    <w:rsid w:val="00F027DB"/>
    <w:rsid w:val="00F05477"/>
    <w:rsid w:val="00F1191B"/>
    <w:rsid w:val="00F11B35"/>
    <w:rsid w:val="00F14A7A"/>
    <w:rsid w:val="00F22985"/>
    <w:rsid w:val="00F264FA"/>
    <w:rsid w:val="00F3383E"/>
    <w:rsid w:val="00F465A7"/>
    <w:rsid w:val="00F50B7C"/>
    <w:rsid w:val="00F550E6"/>
    <w:rsid w:val="00F74345"/>
    <w:rsid w:val="00F80A0A"/>
    <w:rsid w:val="00F82B19"/>
    <w:rsid w:val="00F9212D"/>
    <w:rsid w:val="00F965DA"/>
    <w:rsid w:val="00FA406A"/>
    <w:rsid w:val="00FB503A"/>
    <w:rsid w:val="00FB516C"/>
    <w:rsid w:val="00FC6A71"/>
    <w:rsid w:val="00FD0236"/>
    <w:rsid w:val="00FD18F4"/>
    <w:rsid w:val="00FD54DB"/>
    <w:rsid w:val="00FD619F"/>
    <w:rsid w:val="00FF2C2F"/>
    <w:rsid w:val="01290F7E"/>
    <w:rsid w:val="013E4C28"/>
    <w:rsid w:val="014B07F6"/>
    <w:rsid w:val="014D28C9"/>
    <w:rsid w:val="015153FF"/>
    <w:rsid w:val="015D1E09"/>
    <w:rsid w:val="016814B1"/>
    <w:rsid w:val="016A5C4C"/>
    <w:rsid w:val="017460A8"/>
    <w:rsid w:val="0176006D"/>
    <w:rsid w:val="01C73EAA"/>
    <w:rsid w:val="01EF3980"/>
    <w:rsid w:val="02094A42"/>
    <w:rsid w:val="020C4532"/>
    <w:rsid w:val="021A26B9"/>
    <w:rsid w:val="021A27AB"/>
    <w:rsid w:val="0223693F"/>
    <w:rsid w:val="022D672E"/>
    <w:rsid w:val="022F6199"/>
    <w:rsid w:val="023B0973"/>
    <w:rsid w:val="0250441F"/>
    <w:rsid w:val="02532161"/>
    <w:rsid w:val="02697903"/>
    <w:rsid w:val="027619AC"/>
    <w:rsid w:val="027C0B8B"/>
    <w:rsid w:val="02813EA0"/>
    <w:rsid w:val="028247F4"/>
    <w:rsid w:val="028642E4"/>
    <w:rsid w:val="028D7421"/>
    <w:rsid w:val="02AA0A8B"/>
    <w:rsid w:val="02B02345"/>
    <w:rsid w:val="02B20C36"/>
    <w:rsid w:val="02C848FD"/>
    <w:rsid w:val="02D52B76"/>
    <w:rsid w:val="02E42DB9"/>
    <w:rsid w:val="02E47D57"/>
    <w:rsid w:val="02EB4148"/>
    <w:rsid w:val="02F12CE4"/>
    <w:rsid w:val="02F84024"/>
    <w:rsid w:val="02F96569"/>
    <w:rsid w:val="032A1114"/>
    <w:rsid w:val="032C08A5"/>
    <w:rsid w:val="03323D51"/>
    <w:rsid w:val="03394157"/>
    <w:rsid w:val="03413078"/>
    <w:rsid w:val="035B12CD"/>
    <w:rsid w:val="037B54CB"/>
    <w:rsid w:val="038A570F"/>
    <w:rsid w:val="03B67F18"/>
    <w:rsid w:val="03D354A3"/>
    <w:rsid w:val="03E56DE9"/>
    <w:rsid w:val="03EA7B21"/>
    <w:rsid w:val="03EF5EB9"/>
    <w:rsid w:val="03F139E0"/>
    <w:rsid w:val="03F21BBC"/>
    <w:rsid w:val="04073203"/>
    <w:rsid w:val="04082AD7"/>
    <w:rsid w:val="042C4A18"/>
    <w:rsid w:val="042F62B6"/>
    <w:rsid w:val="04645173"/>
    <w:rsid w:val="04874344"/>
    <w:rsid w:val="04936845"/>
    <w:rsid w:val="04A40A52"/>
    <w:rsid w:val="04A9250C"/>
    <w:rsid w:val="04DC01EC"/>
    <w:rsid w:val="04E5637F"/>
    <w:rsid w:val="04EB6681"/>
    <w:rsid w:val="050140F6"/>
    <w:rsid w:val="05027CB6"/>
    <w:rsid w:val="050952C0"/>
    <w:rsid w:val="050B6D23"/>
    <w:rsid w:val="05137986"/>
    <w:rsid w:val="053578FC"/>
    <w:rsid w:val="05423841"/>
    <w:rsid w:val="0545048F"/>
    <w:rsid w:val="05563D80"/>
    <w:rsid w:val="055C3532"/>
    <w:rsid w:val="0560706F"/>
    <w:rsid w:val="056B77C2"/>
    <w:rsid w:val="056C251A"/>
    <w:rsid w:val="056F72B2"/>
    <w:rsid w:val="057523EE"/>
    <w:rsid w:val="05834B0B"/>
    <w:rsid w:val="058F34B0"/>
    <w:rsid w:val="05A50F26"/>
    <w:rsid w:val="05C054C9"/>
    <w:rsid w:val="05DF277B"/>
    <w:rsid w:val="05E536D6"/>
    <w:rsid w:val="05ED6429"/>
    <w:rsid w:val="05F11A75"/>
    <w:rsid w:val="05F41565"/>
    <w:rsid w:val="05F83EAE"/>
    <w:rsid w:val="05FB6D97"/>
    <w:rsid w:val="060C2D53"/>
    <w:rsid w:val="06113EC5"/>
    <w:rsid w:val="061E5131"/>
    <w:rsid w:val="063E7D85"/>
    <w:rsid w:val="06691F53"/>
    <w:rsid w:val="06744775"/>
    <w:rsid w:val="0676641E"/>
    <w:rsid w:val="06787E06"/>
    <w:rsid w:val="06992C80"/>
    <w:rsid w:val="069F5975"/>
    <w:rsid w:val="06A16F89"/>
    <w:rsid w:val="06BB0913"/>
    <w:rsid w:val="06CB49BC"/>
    <w:rsid w:val="06D53145"/>
    <w:rsid w:val="06D7510F"/>
    <w:rsid w:val="06F1125E"/>
    <w:rsid w:val="07026E07"/>
    <w:rsid w:val="0717375D"/>
    <w:rsid w:val="07293586"/>
    <w:rsid w:val="07295285"/>
    <w:rsid w:val="072C44ED"/>
    <w:rsid w:val="073B2F7A"/>
    <w:rsid w:val="07414C7E"/>
    <w:rsid w:val="0748600C"/>
    <w:rsid w:val="07636392"/>
    <w:rsid w:val="07770C56"/>
    <w:rsid w:val="077A3CEC"/>
    <w:rsid w:val="079F51F3"/>
    <w:rsid w:val="07A86AAB"/>
    <w:rsid w:val="07B6089C"/>
    <w:rsid w:val="07B7530F"/>
    <w:rsid w:val="07CF7529"/>
    <w:rsid w:val="07D23B28"/>
    <w:rsid w:val="07D433FC"/>
    <w:rsid w:val="07D57174"/>
    <w:rsid w:val="07EC2E3C"/>
    <w:rsid w:val="080041F1"/>
    <w:rsid w:val="081E0B1B"/>
    <w:rsid w:val="08297BEC"/>
    <w:rsid w:val="082F2355"/>
    <w:rsid w:val="08444A26"/>
    <w:rsid w:val="08485B98"/>
    <w:rsid w:val="08502EAB"/>
    <w:rsid w:val="08512C9F"/>
    <w:rsid w:val="085E7779"/>
    <w:rsid w:val="0881443F"/>
    <w:rsid w:val="088766C0"/>
    <w:rsid w:val="088C1F29"/>
    <w:rsid w:val="089F1C5C"/>
    <w:rsid w:val="08C16076"/>
    <w:rsid w:val="08C2594B"/>
    <w:rsid w:val="08C40781"/>
    <w:rsid w:val="08D13DE0"/>
    <w:rsid w:val="08DC4C5E"/>
    <w:rsid w:val="08F411AD"/>
    <w:rsid w:val="08FA1588"/>
    <w:rsid w:val="08FA3336"/>
    <w:rsid w:val="090715AF"/>
    <w:rsid w:val="090E293E"/>
    <w:rsid w:val="091343F8"/>
    <w:rsid w:val="09151F1E"/>
    <w:rsid w:val="091C14FF"/>
    <w:rsid w:val="092217DD"/>
    <w:rsid w:val="09273A00"/>
    <w:rsid w:val="0927593C"/>
    <w:rsid w:val="0935611C"/>
    <w:rsid w:val="093A7294"/>
    <w:rsid w:val="0955056D"/>
    <w:rsid w:val="09591F2B"/>
    <w:rsid w:val="095E1B17"/>
    <w:rsid w:val="09640E51"/>
    <w:rsid w:val="096D3B08"/>
    <w:rsid w:val="098B0432"/>
    <w:rsid w:val="09B2776D"/>
    <w:rsid w:val="09C0632E"/>
    <w:rsid w:val="09EC75A4"/>
    <w:rsid w:val="09F33BD5"/>
    <w:rsid w:val="09F61D50"/>
    <w:rsid w:val="09F9539C"/>
    <w:rsid w:val="0A165F4E"/>
    <w:rsid w:val="0A263993"/>
    <w:rsid w:val="0A2D3AC2"/>
    <w:rsid w:val="0A4214B3"/>
    <w:rsid w:val="0A670558"/>
    <w:rsid w:val="0A7964DD"/>
    <w:rsid w:val="0AA417AC"/>
    <w:rsid w:val="0AA572D2"/>
    <w:rsid w:val="0AA755DF"/>
    <w:rsid w:val="0ABF65E6"/>
    <w:rsid w:val="0AC37758"/>
    <w:rsid w:val="0AC459AA"/>
    <w:rsid w:val="0AC736EC"/>
    <w:rsid w:val="0AC7549A"/>
    <w:rsid w:val="0AD6392F"/>
    <w:rsid w:val="0ADB0F46"/>
    <w:rsid w:val="0ADD2F10"/>
    <w:rsid w:val="0AF50259"/>
    <w:rsid w:val="0AFA0737"/>
    <w:rsid w:val="0B0264D2"/>
    <w:rsid w:val="0B0B1099"/>
    <w:rsid w:val="0B120D44"/>
    <w:rsid w:val="0B354AFA"/>
    <w:rsid w:val="0B415214"/>
    <w:rsid w:val="0B444D3D"/>
    <w:rsid w:val="0B5D195B"/>
    <w:rsid w:val="0B6900CF"/>
    <w:rsid w:val="0B6B4077"/>
    <w:rsid w:val="0B971310"/>
    <w:rsid w:val="0B9E269F"/>
    <w:rsid w:val="0BBF43C3"/>
    <w:rsid w:val="0BC83278"/>
    <w:rsid w:val="0BCB4B16"/>
    <w:rsid w:val="0BD27BF6"/>
    <w:rsid w:val="0BD51E39"/>
    <w:rsid w:val="0BE10AC9"/>
    <w:rsid w:val="0BEB731D"/>
    <w:rsid w:val="0BF21A3C"/>
    <w:rsid w:val="0BF279A7"/>
    <w:rsid w:val="0C0369A6"/>
    <w:rsid w:val="0C0F534B"/>
    <w:rsid w:val="0C1110C3"/>
    <w:rsid w:val="0C1464BD"/>
    <w:rsid w:val="0C1C09D0"/>
    <w:rsid w:val="0C2D3A23"/>
    <w:rsid w:val="0C3B3C7D"/>
    <w:rsid w:val="0C3C77C2"/>
    <w:rsid w:val="0C4843B9"/>
    <w:rsid w:val="0C4F74F5"/>
    <w:rsid w:val="0C5114BF"/>
    <w:rsid w:val="0C790A16"/>
    <w:rsid w:val="0C7E602C"/>
    <w:rsid w:val="0C923886"/>
    <w:rsid w:val="0CA07967"/>
    <w:rsid w:val="0CAB2EAE"/>
    <w:rsid w:val="0CC06645"/>
    <w:rsid w:val="0CEA0937"/>
    <w:rsid w:val="0CEC11E8"/>
    <w:rsid w:val="0CF50C3B"/>
    <w:rsid w:val="0CFB58CF"/>
    <w:rsid w:val="0CFF716D"/>
    <w:rsid w:val="0D0137D2"/>
    <w:rsid w:val="0D1A3FA7"/>
    <w:rsid w:val="0D21656E"/>
    <w:rsid w:val="0D2A3ABE"/>
    <w:rsid w:val="0D366907"/>
    <w:rsid w:val="0D4C612B"/>
    <w:rsid w:val="0D6214AA"/>
    <w:rsid w:val="0D621C7D"/>
    <w:rsid w:val="0D6F247B"/>
    <w:rsid w:val="0D7C6A10"/>
    <w:rsid w:val="0D814026"/>
    <w:rsid w:val="0D837D9E"/>
    <w:rsid w:val="0D8E5FAA"/>
    <w:rsid w:val="0D9543FB"/>
    <w:rsid w:val="0D9639F1"/>
    <w:rsid w:val="0D9D0734"/>
    <w:rsid w:val="0DA739B5"/>
    <w:rsid w:val="0DA87805"/>
    <w:rsid w:val="0DA976C6"/>
    <w:rsid w:val="0DAD6BC9"/>
    <w:rsid w:val="0DB8731C"/>
    <w:rsid w:val="0DBF4B4E"/>
    <w:rsid w:val="0DC932D7"/>
    <w:rsid w:val="0DD56120"/>
    <w:rsid w:val="0DDA1988"/>
    <w:rsid w:val="0DFA7935"/>
    <w:rsid w:val="0DFF319D"/>
    <w:rsid w:val="0E0407B3"/>
    <w:rsid w:val="0E0D1416"/>
    <w:rsid w:val="0E0D7668"/>
    <w:rsid w:val="0E2F5830"/>
    <w:rsid w:val="0E2F75DE"/>
    <w:rsid w:val="0E4868F2"/>
    <w:rsid w:val="0E5C414B"/>
    <w:rsid w:val="0E6A2D0C"/>
    <w:rsid w:val="0E6A4ABA"/>
    <w:rsid w:val="0E73034D"/>
    <w:rsid w:val="0E790C40"/>
    <w:rsid w:val="0E7B6CC7"/>
    <w:rsid w:val="0EAD2BF9"/>
    <w:rsid w:val="0EC63E70"/>
    <w:rsid w:val="0EC817E1"/>
    <w:rsid w:val="0ECF0DC1"/>
    <w:rsid w:val="0ED0372F"/>
    <w:rsid w:val="0ED6779A"/>
    <w:rsid w:val="0EE853A0"/>
    <w:rsid w:val="0F13775A"/>
    <w:rsid w:val="0F1A64E0"/>
    <w:rsid w:val="0F1B5DB5"/>
    <w:rsid w:val="0F274759"/>
    <w:rsid w:val="0F4847B4"/>
    <w:rsid w:val="0F507EA7"/>
    <w:rsid w:val="0F594170"/>
    <w:rsid w:val="0F5A4B2F"/>
    <w:rsid w:val="0F5F45FE"/>
    <w:rsid w:val="0F6B2442"/>
    <w:rsid w:val="0F7E5F78"/>
    <w:rsid w:val="0F873A35"/>
    <w:rsid w:val="0F9A112B"/>
    <w:rsid w:val="0FBF0E36"/>
    <w:rsid w:val="0FC1695C"/>
    <w:rsid w:val="0FC401FA"/>
    <w:rsid w:val="0FDC3418"/>
    <w:rsid w:val="0FDD306A"/>
    <w:rsid w:val="0FE707D5"/>
    <w:rsid w:val="10086339"/>
    <w:rsid w:val="10142F30"/>
    <w:rsid w:val="10183048"/>
    <w:rsid w:val="1021389E"/>
    <w:rsid w:val="10466E61"/>
    <w:rsid w:val="10482BD9"/>
    <w:rsid w:val="10505F32"/>
    <w:rsid w:val="10507CE0"/>
    <w:rsid w:val="105858FC"/>
    <w:rsid w:val="105F7F23"/>
    <w:rsid w:val="10686DD7"/>
    <w:rsid w:val="106D2F64"/>
    <w:rsid w:val="10771710"/>
    <w:rsid w:val="107735D1"/>
    <w:rsid w:val="10947BCD"/>
    <w:rsid w:val="109E2F91"/>
    <w:rsid w:val="10AD5132"/>
    <w:rsid w:val="10B22749"/>
    <w:rsid w:val="10B63710"/>
    <w:rsid w:val="10B97633"/>
    <w:rsid w:val="10C85AC8"/>
    <w:rsid w:val="10D75D0B"/>
    <w:rsid w:val="10DD5A17"/>
    <w:rsid w:val="10E36DA6"/>
    <w:rsid w:val="10EA1EE2"/>
    <w:rsid w:val="10EE19D3"/>
    <w:rsid w:val="10F10820"/>
    <w:rsid w:val="110A60E1"/>
    <w:rsid w:val="110E0E86"/>
    <w:rsid w:val="11185F0A"/>
    <w:rsid w:val="111C2F7A"/>
    <w:rsid w:val="112C6057"/>
    <w:rsid w:val="11301FEB"/>
    <w:rsid w:val="11592BC4"/>
    <w:rsid w:val="115B693C"/>
    <w:rsid w:val="115D4462"/>
    <w:rsid w:val="11630664"/>
    <w:rsid w:val="11665CA1"/>
    <w:rsid w:val="11691059"/>
    <w:rsid w:val="116A6B7F"/>
    <w:rsid w:val="11743805"/>
    <w:rsid w:val="1178761E"/>
    <w:rsid w:val="11875983"/>
    <w:rsid w:val="11A65CC3"/>
    <w:rsid w:val="11B7030E"/>
    <w:rsid w:val="11B837EC"/>
    <w:rsid w:val="11B83D8F"/>
    <w:rsid w:val="11DC1820"/>
    <w:rsid w:val="11F0177A"/>
    <w:rsid w:val="120B26D0"/>
    <w:rsid w:val="12135469"/>
    <w:rsid w:val="121865DB"/>
    <w:rsid w:val="12391361"/>
    <w:rsid w:val="12443874"/>
    <w:rsid w:val="12597320"/>
    <w:rsid w:val="125F420A"/>
    <w:rsid w:val="127001C5"/>
    <w:rsid w:val="1282136C"/>
    <w:rsid w:val="12883907"/>
    <w:rsid w:val="129A491D"/>
    <w:rsid w:val="12BE7183"/>
    <w:rsid w:val="12CC5D44"/>
    <w:rsid w:val="12CD73C6"/>
    <w:rsid w:val="12D15E76"/>
    <w:rsid w:val="12D7063A"/>
    <w:rsid w:val="12DC02A0"/>
    <w:rsid w:val="12E23B24"/>
    <w:rsid w:val="12F53E4B"/>
    <w:rsid w:val="12FC56ED"/>
    <w:rsid w:val="13086650"/>
    <w:rsid w:val="130F5D75"/>
    <w:rsid w:val="13113756"/>
    <w:rsid w:val="131E5E73"/>
    <w:rsid w:val="13250FB0"/>
    <w:rsid w:val="13365B6A"/>
    <w:rsid w:val="1347361C"/>
    <w:rsid w:val="13545D39"/>
    <w:rsid w:val="13575C0F"/>
    <w:rsid w:val="13606D51"/>
    <w:rsid w:val="13675A6C"/>
    <w:rsid w:val="13696EBB"/>
    <w:rsid w:val="13824654"/>
    <w:rsid w:val="1387702A"/>
    <w:rsid w:val="138F6064"/>
    <w:rsid w:val="13927844"/>
    <w:rsid w:val="13951726"/>
    <w:rsid w:val="13A26AA4"/>
    <w:rsid w:val="13AC347F"/>
    <w:rsid w:val="13E470BD"/>
    <w:rsid w:val="13E76BAD"/>
    <w:rsid w:val="13F607A8"/>
    <w:rsid w:val="13FD017F"/>
    <w:rsid w:val="140B289C"/>
    <w:rsid w:val="14223741"/>
    <w:rsid w:val="142E381C"/>
    <w:rsid w:val="142E6621"/>
    <w:rsid w:val="14315A36"/>
    <w:rsid w:val="143771ED"/>
    <w:rsid w:val="14396509"/>
    <w:rsid w:val="143D057B"/>
    <w:rsid w:val="144638D4"/>
    <w:rsid w:val="14467430"/>
    <w:rsid w:val="144B713C"/>
    <w:rsid w:val="14784A9B"/>
    <w:rsid w:val="14805E6D"/>
    <w:rsid w:val="14854DCC"/>
    <w:rsid w:val="148937C0"/>
    <w:rsid w:val="14975769"/>
    <w:rsid w:val="14A34882"/>
    <w:rsid w:val="14CD7B51"/>
    <w:rsid w:val="14D902A4"/>
    <w:rsid w:val="14DD2C3C"/>
    <w:rsid w:val="14E153AA"/>
    <w:rsid w:val="15175270"/>
    <w:rsid w:val="151D1641"/>
    <w:rsid w:val="153E6BC4"/>
    <w:rsid w:val="155041B0"/>
    <w:rsid w:val="15602773"/>
    <w:rsid w:val="1571672E"/>
    <w:rsid w:val="157B135B"/>
    <w:rsid w:val="158346B4"/>
    <w:rsid w:val="15AD17D5"/>
    <w:rsid w:val="15B11221"/>
    <w:rsid w:val="15B50D11"/>
    <w:rsid w:val="15C73125"/>
    <w:rsid w:val="15DB004C"/>
    <w:rsid w:val="15DD5B72"/>
    <w:rsid w:val="15E27154"/>
    <w:rsid w:val="15F555B1"/>
    <w:rsid w:val="15FD6214"/>
    <w:rsid w:val="16087E1D"/>
    <w:rsid w:val="163108B0"/>
    <w:rsid w:val="163360DA"/>
    <w:rsid w:val="163A7C24"/>
    <w:rsid w:val="16573B76"/>
    <w:rsid w:val="165C73DE"/>
    <w:rsid w:val="16677B31"/>
    <w:rsid w:val="167C182F"/>
    <w:rsid w:val="168707D4"/>
    <w:rsid w:val="16996E0D"/>
    <w:rsid w:val="169F1079"/>
    <w:rsid w:val="16A0202C"/>
    <w:rsid w:val="16CA07EC"/>
    <w:rsid w:val="16D863F6"/>
    <w:rsid w:val="16DD7E7C"/>
    <w:rsid w:val="16E96798"/>
    <w:rsid w:val="16F47617"/>
    <w:rsid w:val="16FE2244"/>
    <w:rsid w:val="17076CA9"/>
    <w:rsid w:val="17127177"/>
    <w:rsid w:val="172123D6"/>
    <w:rsid w:val="172A128B"/>
    <w:rsid w:val="17400AAE"/>
    <w:rsid w:val="17435EA8"/>
    <w:rsid w:val="174B2FAF"/>
    <w:rsid w:val="17562080"/>
    <w:rsid w:val="17626C76"/>
    <w:rsid w:val="176F3BD1"/>
    <w:rsid w:val="17701D14"/>
    <w:rsid w:val="17735226"/>
    <w:rsid w:val="177F74FC"/>
    <w:rsid w:val="17942BA8"/>
    <w:rsid w:val="17A50911"/>
    <w:rsid w:val="17AF353E"/>
    <w:rsid w:val="17AF79E2"/>
    <w:rsid w:val="17DA6500"/>
    <w:rsid w:val="17DB2585"/>
    <w:rsid w:val="17DD00AB"/>
    <w:rsid w:val="17E151C6"/>
    <w:rsid w:val="17EC6540"/>
    <w:rsid w:val="182A0E16"/>
    <w:rsid w:val="183A54FD"/>
    <w:rsid w:val="18455C50"/>
    <w:rsid w:val="18502F73"/>
    <w:rsid w:val="18574301"/>
    <w:rsid w:val="18664544"/>
    <w:rsid w:val="18787DD4"/>
    <w:rsid w:val="188E5849"/>
    <w:rsid w:val="18932E60"/>
    <w:rsid w:val="18952734"/>
    <w:rsid w:val="18954E2A"/>
    <w:rsid w:val="189F624C"/>
    <w:rsid w:val="18AE530D"/>
    <w:rsid w:val="18BA4890"/>
    <w:rsid w:val="18BB7226"/>
    <w:rsid w:val="18C43019"/>
    <w:rsid w:val="18CB37DE"/>
    <w:rsid w:val="18F460C2"/>
    <w:rsid w:val="18F558C8"/>
    <w:rsid w:val="190F698A"/>
    <w:rsid w:val="191C10A7"/>
    <w:rsid w:val="19232435"/>
    <w:rsid w:val="192B12EA"/>
    <w:rsid w:val="192B218B"/>
    <w:rsid w:val="192F0DDA"/>
    <w:rsid w:val="194D300E"/>
    <w:rsid w:val="19616ABA"/>
    <w:rsid w:val="196B16E7"/>
    <w:rsid w:val="19940C3D"/>
    <w:rsid w:val="199450E1"/>
    <w:rsid w:val="19AC242B"/>
    <w:rsid w:val="19AC41D9"/>
    <w:rsid w:val="19B65058"/>
    <w:rsid w:val="19C01A32"/>
    <w:rsid w:val="19C37774"/>
    <w:rsid w:val="19C9205F"/>
    <w:rsid w:val="19CF1C75"/>
    <w:rsid w:val="19DB686C"/>
    <w:rsid w:val="19E35721"/>
    <w:rsid w:val="19FE1A69"/>
    <w:rsid w:val="1A0062D3"/>
    <w:rsid w:val="1A156547"/>
    <w:rsid w:val="1A1A3838"/>
    <w:rsid w:val="1A1C66C0"/>
    <w:rsid w:val="1A1E4DB0"/>
    <w:rsid w:val="1A312930"/>
    <w:rsid w:val="1A42393B"/>
    <w:rsid w:val="1A911621"/>
    <w:rsid w:val="1AA05FBC"/>
    <w:rsid w:val="1AAD45DE"/>
    <w:rsid w:val="1AB23A71"/>
    <w:rsid w:val="1AC94917"/>
    <w:rsid w:val="1AE96D67"/>
    <w:rsid w:val="1AF222B4"/>
    <w:rsid w:val="1AF5395E"/>
    <w:rsid w:val="1AF57E02"/>
    <w:rsid w:val="1AF9023A"/>
    <w:rsid w:val="1AF916A0"/>
    <w:rsid w:val="1B027F34"/>
    <w:rsid w:val="1B046F80"/>
    <w:rsid w:val="1B162E37"/>
    <w:rsid w:val="1B1F4E7E"/>
    <w:rsid w:val="1B2453AC"/>
    <w:rsid w:val="1B304996"/>
    <w:rsid w:val="1B3267B5"/>
    <w:rsid w:val="1B3864D2"/>
    <w:rsid w:val="1B40161D"/>
    <w:rsid w:val="1B441859"/>
    <w:rsid w:val="1B6606B1"/>
    <w:rsid w:val="1B876E2F"/>
    <w:rsid w:val="1B8F3DB2"/>
    <w:rsid w:val="1BA23AE5"/>
    <w:rsid w:val="1BAA299A"/>
    <w:rsid w:val="1BAA4748"/>
    <w:rsid w:val="1BAD5FE6"/>
    <w:rsid w:val="1BC17CE4"/>
    <w:rsid w:val="1BC7354C"/>
    <w:rsid w:val="1BCF2401"/>
    <w:rsid w:val="1BD21EF1"/>
    <w:rsid w:val="1BDC457B"/>
    <w:rsid w:val="1BDD4B1E"/>
    <w:rsid w:val="1BF73705"/>
    <w:rsid w:val="1C13053F"/>
    <w:rsid w:val="1C1678EA"/>
    <w:rsid w:val="1C221113"/>
    <w:rsid w:val="1C2E35CB"/>
    <w:rsid w:val="1C3B1844"/>
    <w:rsid w:val="1C534DE0"/>
    <w:rsid w:val="1C5E7925"/>
    <w:rsid w:val="1C662D65"/>
    <w:rsid w:val="1C712DCC"/>
    <w:rsid w:val="1C896A53"/>
    <w:rsid w:val="1C94387A"/>
    <w:rsid w:val="1CA53161"/>
    <w:rsid w:val="1CAF0CCD"/>
    <w:rsid w:val="1CC17F9B"/>
    <w:rsid w:val="1CE1445F"/>
    <w:rsid w:val="1CF57C45"/>
    <w:rsid w:val="1CF814E3"/>
    <w:rsid w:val="1CFD070F"/>
    <w:rsid w:val="1D232A04"/>
    <w:rsid w:val="1D24677C"/>
    <w:rsid w:val="1D2C3700"/>
    <w:rsid w:val="1D2D3883"/>
    <w:rsid w:val="1D4209B0"/>
    <w:rsid w:val="1D491D3F"/>
    <w:rsid w:val="1D5A219E"/>
    <w:rsid w:val="1D5F6196"/>
    <w:rsid w:val="1D6132A5"/>
    <w:rsid w:val="1D6152DA"/>
    <w:rsid w:val="1D74500E"/>
    <w:rsid w:val="1D886769"/>
    <w:rsid w:val="1D8E56D5"/>
    <w:rsid w:val="1D970CFC"/>
    <w:rsid w:val="1DDE692B"/>
    <w:rsid w:val="1DEA52D0"/>
    <w:rsid w:val="1DFE6FCD"/>
    <w:rsid w:val="1E01108C"/>
    <w:rsid w:val="1E19640E"/>
    <w:rsid w:val="1E262080"/>
    <w:rsid w:val="1E326C77"/>
    <w:rsid w:val="1E3866E4"/>
    <w:rsid w:val="1E390005"/>
    <w:rsid w:val="1E3E0941"/>
    <w:rsid w:val="1E4075E6"/>
    <w:rsid w:val="1E426EBA"/>
    <w:rsid w:val="1E4A2212"/>
    <w:rsid w:val="1E5906A7"/>
    <w:rsid w:val="1E694596"/>
    <w:rsid w:val="1E7A43DA"/>
    <w:rsid w:val="1E7D13B3"/>
    <w:rsid w:val="1E8079E2"/>
    <w:rsid w:val="1E854FF8"/>
    <w:rsid w:val="1E937715"/>
    <w:rsid w:val="1EA77665"/>
    <w:rsid w:val="1EAE7E66"/>
    <w:rsid w:val="1EDB74D8"/>
    <w:rsid w:val="1EE12B77"/>
    <w:rsid w:val="1EE91A2B"/>
    <w:rsid w:val="1EEB57A3"/>
    <w:rsid w:val="1EEB7551"/>
    <w:rsid w:val="1EF87EC0"/>
    <w:rsid w:val="1F4E188E"/>
    <w:rsid w:val="1F4E44EE"/>
    <w:rsid w:val="1F5C044F"/>
    <w:rsid w:val="1F680BA2"/>
    <w:rsid w:val="1F705CA9"/>
    <w:rsid w:val="1F8C3B58"/>
    <w:rsid w:val="1F947BE9"/>
    <w:rsid w:val="1F9574BD"/>
    <w:rsid w:val="1FB32514"/>
    <w:rsid w:val="1FB913FE"/>
    <w:rsid w:val="1FC87893"/>
    <w:rsid w:val="1FD3016F"/>
    <w:rsid w:val="1FD9384E"/>
    <w:rsid w:val="1FE7539E"/>
    <w:rsid w:val="1FE76146"/>
    <w:rsid w:val="1FF04F55"/>
    <w:rsid w:val="2020322B"/>
    <w:rsid w:val="20474C5B"/>
    <w:rsid w:val="20566C4C"/>
    <w:rsid w:val="20671BE0"/>
    <w:rsid w:val="206D7E98"/>
    <w:rsid w:val="207D242B"/>
    <w:rsid w:val="20895274"/>
    <w:rsid w:val="208C08C0"/>
    <w:rsid w:val="20963CB8"/>
    <w:rsid w:val="20A7394C"/>
    <w:rsid w:val="20A756FA"/>
    <w:rsid w:val="20A774A8"/>
    <w:rsid w:val="20A81A1B"/>
    <w:rsid w:val="20B07A0F"/>
    <w:rsid w:val="20B07FB6"/>
    <w:rsid w:val="20B646FB"/>
    <w:rsid w:val="20BD316F"/>
    <w:rsid w:val="20DB50F9"/>
    <w:rsid w:val="20EA3839"/>
    <w:rsid w:val="20EE3329"/>
    <w:rsid w:val="21061C42"/>
    <w:rsid w:val="210C7C53"/>
    <w:rsid w:val="213B74B1"/>
    <w:rsid w:val="215A2310"/>
    <w:rsid w:val="21617F9F"/>
    <w:rsid w:val="21630D81"/>
    <w:rsid w:val="216B497A"/>
    <w:rsid w:val="217D46AD"/>
    <w:rsid w:val="2181419D"/>
    <w:rsid w:val="219B7247"/>
    <w:rsid w:val="219F0AC7"/>
    <w:rsid w:val="21A67760"/>
    <w:rsid w:val="21BB2D5A"/>
    <w:rsid w:val="21C347B6"/>
    <w:rsid w:val="21C916A0"/>
    <w:rsid w:val="21DE318A"/>
    <w:rsid w:val="21EF5B80"/>
    <w:rsid w:val="21FA56F9"/>
    <w:rsid w:val="222039B6"/>
    <w:rsid w:val="2239018F"/>
    <w:rsid w:val="22576990"/>
    <w:rsid w:val="22603DB2"/>
    <w:rsid w:val="22790CBE"/>
    <w:rsid w:val="22835CF3"/>
    <w:rsid w:val="229323DA"/>
    <w:rsid w:val="229C0B63"/>
    <w:rsid w:val="22C500B9"/>
    <w:rsid w:val="22E06CA1"/>
    <w:rsid w:val="22F47480"/>
    <w:rsid w:val="23151041"/>
    <w:rsid w:val="23164DB9"/>
    <w:rsid w:val="232272BA"/>
    <w:rsid w:val="232B5A8E"/>
    <w:rsid w:val="232C62C7"/>
    <w:rsid w:val="233E12AF"/>
    <w:rsid w:val="234E6301"/>
    <w:rsid w:val="235558E1"/>
    <w:rsid w:val="23621750"/>
    <w:rsid w:val="2369138D"/>
    <w:rsid w:val="23735D67"/>
    <w:rsid w:val="2378512C"/>
    <w:rsid w:val="237C10C0"/>
    <w:rsid w:val="23871813"/>
    <w:rsid w:val="239C52BE"/>
    <w:rsid w:val="23A3664D"/>
    <w:rsid w:val="23A67EEB"/>
    <w:rsid w:val="23D41EDB"/>
    <w:rsid w:val="23DE1C48"/>
    <w:rsid w:val="23F616AA"/>
    <w:rsid w:val="240210CD"/>
    <w:rsid w:val="240B2444"/>
    <w:rsid w:val="241430A6"/>
    <w:rsid w:val="24151E4A"/>
    <w:rsid w:val="24174945"/>
    <w:rsid w:val="2418246B"/>
    <w:rsid w:val="242157C3"/>
    <w:rsid w:val="24284BB8"/>
    <w:rsid w:val="243A0633"/>
    <w:rsid w:val="243E45C7"/>
    <w:rsid w:val="24433A9F"/>
    <w:rsid w:val="246062EC"/>
    <w:rsid w:val="246A055E"/>
    <w:rsid w:val="246D27B7"/>
    <w:rsid w:val="246D6C5B"/>
    <w:rsid w:val="24724271"/>
    <w:rsid w:val="249B37C8"/>
    <w:rsid w:val="249E0BC2"/>
    <w:rsid w:val="24A65E89"/>
    <w:rsid w:val="24AA3A0B"/>
    <w:rsid w:val="24B16B47"/>
    <w:rsid w:val="24BF09F7"/>
    <w:rsid w:val="24CF6FCD"/>
    <w:rsid w:val="24D82326"/>
    <w:rsid w:val="24E85B0E"/>
    <w:rsid w:val="24F133E8"/>
    <w:rsid w:val="24FA0C9D"/>
    <w:rsid w:val="2503311B"/>
    <w:rsid w:val="25184E18"/>
    <w:rsid w:val="252D53FE"/>
    <w:rsid w:val="252F5CBE"/>
    <w:rsid w:val="253D03DB"/>
    <w:rsid w:val="2540611D"/>
    <w:rsid w:val="25445C0D"/>
    <w:rsid w:val="255A0F8D"/>
    <w:rsid w:val="256555E2"/>
    <w:rsid w:val="256716F0"/>
    <w:rsid w:val="257362C1"/>
    <w:rsid w:val="258204E4"/>
    <w:rsid w:val="25867FD4"/>
    <w:rsid w:val="25873D4C"/>
    <w:rsid w:val="25933310"/>
    <w:rsid w:val="25C271E7"/>
    <w:rsid w:val="25CB1E8B"/>
    <w:rsid w:val="25CB59E7"/>
    <w:rsid w:val="25D97C9E"/>
    <w:rsid w:val="25E44CFA"/>
    <w:rsid w:val="25EC2D81"/>
    <w:rsid w:val="25ED5877"/>
    <w:rsid w:val="25F10188"/>
    <w:rsid w:val="261C6242"/>
    <w:rsid w:val="262F59FD"/>
    <w:rsid w:val="264B6B28"/>
    <w:rsid w:val="26A56238"/>
    <w:rsid w:val="26AB5818"/>
    <w:rsid w:val="26BB3084"/>
    <w:rsid w:val="26C64400"/>
    <w:rsid w:val="26E111BE"/>
    <w:rsid w:val="26E6382E"/>
    <w:rsid w:val="26F31699"/>
    <w:rsid w:val="26F92A28"/>
    <w:rsid w:val="26FD2518"/>
    <w:rsid w:val="26FE5E6C"/>
    <w:rsid w:val="270513CC"/>
    <w:rsid w:val="270C5851"/>
    <w:rsid w:val="27361586"/>
    <w:rsid w:val="273F48DE"/>
    <w:rsid w:val="27516DB9"/>
    <w:rsid w:val="27561C28"/>
    <w:rsid w:val="275B2D9A"/>
    <w:rsid w:val="275B723E"/>
    <w:rsid w:val="277057A2"/>
    <w:rsid w:val="27960276"/>
    <w:rsid w:val="27983FEE"/>
    <w:rsid w:val="27B32BD6"/>
    <w:rsid w:val="27BF7F63"/>
    <w:rsid w:val="27C83FC7"/>
    <w:rsid w:val="27D668C5"/>
    <w:rsid w:val="27E2170E"/>
    <w:rsid w:val="27E234BC"/>
    <w:rsid w:val="27E90A09"/>
    <w:rsid w:val="27ED6783"/>
    <w:rsid w:val="27EE00B2"/>
    <w:rsid w:val="27EF069B"/>
    <w:rsid w:val="27F37477"/>
    <w:rsid w:val="27FD02F5"/>
    <w:rsid w:val="28126240"/>
    <w:rsid w:val="2843570A"/>
    <w:rsid w:val="28621E4D"/>
    <w:rsid w:val="286705CA"/>
    <w:rsid w:val="286B525F"/>
    <w:rsid w:val="287F0D0A"/>
    <w:rsid w:val="28871103"/>
    <w:rsid w:val="28940C5A"/>
    <w:rsid w:val="289724F8"/>
    <w:rsid w:val="289F315B"/>
    <w:rsid w:val="28B07116"/>
    <w:rsid w:val="28C606E7"/>
    <w:rsid w:val="2900009D"/>
    <w:rsid w:val="29080D00"/>
    <w:rsid w:val="292024ED"/>
    <w:rsid w:val="29206EB8"/>
    <w:rsid w:val="2926314A"/>
    <w:rsid w:val="2932011A"/>
    <w:rsid w:val="29437AAE"/>
    <w:rsid w:val="294B77A1"/>
    <w:rsid w:val="29595666"/>
    <w:rsid w:val="29597E46"/>
    <w:rsid w:val="296543A4"/>
    <w:rsid w:val="297D524A"/>
    <w:rsid w:val="29810EE0"/>
    <w:rsid w:val="29874881"/>
    <w:rsid w:val="29946A38"/>
    <w:rsid w:val="299C7B09"/>
    <w:rsid w:val="29A22F02"/>
    <w:rsid w:val="29A70519"/>
    <w:rsid w:val="29AA0009"/>
    <w:rsid w:val="29BB3FC4"/>
    <w:rsid w:val="29C63095"/>
    <w:rsid w:val="29C72969"/>
    <w:rsid w:val="29D07A70"/>
    <w:rsid w:val="29D84B76"/>
    <w:rsid w:val="29DA6B40"/>
    <w:rsid w:val="29E325E0"/>
    <w:rsid w:val="29FB7F12"/>
    <w:rsid w:val="29FD45DD"/>
    <w:rsid w:val="2A17569E"/>
    <w:rsid w:val="2A29143B"/>
    <w:rsid w:val="2A2B283C"/>
    <w:rsid w:val="2A3B7697"/>
    <w:rsid w:val="2A420242"/>
    <w:rsid w:val="2A452503"/>
    <w:rsid w:val="2A455D93"/>
    <w:rsid w:val="2A467D32"/>
    <w:rsid w:val="2A5260BF"/>
    <w:rsid w:val="2A6B7798"/>
    <w:rsid w:val="2A7C3754"/>
    <w:rsid w:val="2A834AE2"/>
    <w:rsid w:val="2A9815A8"/>
    <w:rsid w:val="2AAC2B31"/>
    <w:rsid w:val="2AC60E73"/>
    <w:rsid w:val="2AD96DF8"/>
    <w:rsid w:val="2AE65071"/>
    <w:rsid w:val="2AE82B97"/>
    <w:rsid w:val="2AE9007F"/>
    <w:rsid w:val="2AED28A3"/>
    <w:rsid w:val="2AF71F68"/>
    <w:rsid w:val="2B0A0D5F"/>
    <w:rsid w:val="2B0D0850"/>
    <w:rsid w:val="2B204A27"/>
    <w:rsid w:val="2B28102B"/>
    <w:rsid w:val="2B292786"/>
    <w:rsid w:val="2B3E19B2"/>
    <w:rsid w:val="2B465B0F"/>
    <w:rsid w:val="2B47497C"/>
    <w:rsid w:val="2B5D17D7"/>
    <w:rsid w:val="2B6F5066"/>
    <w:rsid w:val="2B724BA9"/>
    <w:rsid w:val="2B7E5D28"/>
    <w:rsid w:val="2B824D9A"/>
    <w:rsid w:val="2B852ADC"/>
    <w:rsid w:val="2B88437A"/>
    <w:rsid w:val="2B9B22FF"/>
    <w:rsid w:val="2BA936A8"/>
    <w:rsid w:val="2BB1742D"/>
    <w:rsid w:val="2BD5034F"/>
    <w:rsid w:val="2BD575BF"/>
    <w:rsid w:val="2C131E96"/>
    <w:rsid w:val="2C315A5A"/>
    <w:rsid w:val="2C351E0C"/>
    <w:rsid w:val="2C36163A"/>
    <w:rsid w:val="2C4B1C25"/>
    <w:rsid w:val="2C4E1120"/>
    <w:rsid w:val="2C536736"/>
    <w:rsid w:val="2C5C5A2D"/>
    <w:rsid w:val="2C5D1363"/>
    <w:rsid w:val="2C6D3C9C"/>
    <w:rsid w:val="2C6E6CED"/>
    <w:rsid w:val="2C7D1A05"/>
    <w:rsid w:val="2C923702"/>
    <w:rsid w:val="2CAD22EA"/>
    <w:rsid w:val="2CB573F1"/>
    <w:rsid w:val="2CBA5E4F"/>
    <w:rsid w:val="2CBF3DCB"/>
    <w:rsid w:val="2CC713D9"/>
    <w:rsid w:val="2CC82C80"/>
    <w:rsid w:val="2CCB09C2"/>
    <w:rsid w:val="2CCB2770"/>
    <w:rsid w:val="2CD45AC9"/>
    <w:rsid w:val="2CE35D0C"/>
    <w:rsid w:val="2CEE1257"/>
    <w:rsid w:val="2D140C99"/>
    <w:rsid w:val="2D151C3D"/>
    <w:rsid w:val="2D1F486A"/>
    <w:rsid w:val="2D3227EF"/>
    <w:rsid w:val="2D3A16A4"/>
    <w:rsid w:val="2D4542D1"/>
    <w:rsid w:val="2D4D7629"/>
    <w:rsid w:val="2D4E70EE"/>
    <w:rsid w:val="2D574004"/>
    <w:rsid w:val="2D667DEC"/>
    <w:rsid w:val="2D7C1CBC"/>
    <w:rsid w:val="2D8079FF"/>
    <w:rsid w:val="2D83304B"/>
    <w:rsid w:val="2D8E211C"/>
    <w:rsid w:val="2D9E56F5"/>
    <w:rsid w:val="2DA03BFD"/>
    <w:rsid w:val="2DB66F7C"/>
    <w:rsid w:val="2DC94730"/>
    <w:rsid w:val="2DE30850"/>
    <w:rsid w:val="2E0917A2"/>
    <w:rsid w:val="2E114AFB"/>
    <w:rsid w:val="2E293BF2"/>
    <w:rsid w:val="2E3C1B78"/>
    <w:rsid w:val="2E3D769E"/>
    <w:rsid w:val="2E450300"/>
    <w:rsid w:val="2E4647A4"/>
    <w:rsid w:val="2E4E18AB"/>
    <w:rsid w:val="2E50117F"/>
    <w:rsid w:val="2E5B1101"/>
    <w:rsid w:val="2E667F96"/>
    <w:rsid w:val="2E6E74F1"/>
    <w:rsid w:val="2E755089"/>
    <w:rsid w:val="2E8226AB"/>
    <w:rsid w:val="2E8250B1"/>
    <w:rsid w:val="2E894691"/>
    <w:rsid w:val="2E8960E3"/>
    <w:rsid w:val="2E8B77F8"/>
    <w:rsid w:val="2EA414CB"/>
    <w:rsid w:val="2EAA5CA9"/>
    <w:rsid w:val="2EB054B2"/>
    <w:rsid w:val="2EBA484A"/>
    <w:rsid w:val="2EC166BF"/>
    <w:rsid w:val="2EC8340B"/>
    <w:rsid w:val="2ED0482A"/>
    <w:rsid w:val="2EDC6EB7"/>
    <w:rsid w:val="2EEA15D4"/>
    <w:rsid w:val="2F2B1BEC"/>
    <w:rsid w:val="2F3F2FA2"/>
    <w:rsid w:val="2F407775"/>
    <w:rsid w:val="2F416D1A"/>
    <w:rsid w:val="2F4B75B1"/>
    <w:rsid w:val="2F665E23"/>
    <w:rsid w:val="2F750D73"/>
    <w:rsid w:val="2F7610B9"/>
    <w:rsid w:val="2FB120F1"/>
    <w:rsid w:val="2FBB4D1E"/>
    <w:rsid w:val="2FBE65BC"/>
    <w:rsid w:val="2FD065E6"/>
    <w:rsid w:val="2FD96870"/>
    <w:rsid w:val="2FDB378B"/>
    <w:rsid w:val="2FDB3950"/>
    <w:rsid w:val="2FF975F4"/>
    <w:rsid w:val="300761B5"/>
    <w:rsid w:val="3010099C"/>
    <w:rsid w:val="30273D1D"/>
    <w:rsid w:val="302F5BDD"/>
    <w:rsid w:val="30395C43"/>
    <w:rsid w:val="30450A8C"/>
    <w:rsid w:val="30494873"/>
    <w:rsid w:val="304B5DEC"/>
    <w:rsid w:val="304C1E1A"/>
    <w:rsid w:val="30580BC9"/>
    <w:rsid w:val="3069477A"/>
    <w:rsid w:val="306B6744"/>
    <w:rsid w:val="309D2F86"/>
    <w:rsid w:val="30A74AA5"/>
    <w:rsid w:val="30CE282F"/>
    <w:rsid w:val="310F3573"/>
    <w:rsid w:val="311E2ED7"/>
    <w:rsid w:val="312B1A2F"/>
    <w:rsid w:val="313B4368"/>
    <w:rsid w:val="31511503"/>
    <w:rsid w:val="315216B2"/>
    <w:rsid w:val="315619EE"/>
    <w:rsid w:val="315C449C"/>
    <w:rsid w:val="315C7E3B"/>
    <w:rsid w:val="31662A68"/>
    <w:rsid w:val="316B2774"/>
    <w:rsid w:val="31745184"/>
    <w:rsid w:val="31B23EFF"/>
    <w:rsid w:val="31B82709"/>
    <w:rsid w:val="31B859B9"/>
    <w:rsid w:val="31C83722"/>
    <w:rsid w:val="31CD2AE7"/>
    <w:rsid w:val="31D05482"/>
    <w:rsid w:val="31E83DC4"/>
    <w:rsid w:val="31F832E5"/>
    <w:rsid w:val="32042709"/>
    <w:rsid w:val="32144BB9"/>
    <w:rsid w:val="32400B34"/>
    <w:rsid w:val="324648E3"/>
    <w:rsid w:val="32747406"/>
    <w:rsid w:val="32871542"/>
    <w:rsid w:val="32931F82"/>
    <w:rsid w:val="329E6876"/>
    <w:rsid w:val="32A73338"/>
    <w:rsid w:val="32AE46C6"/>
    <w:rsid w:val="32C97752"/>
    <w:rsid w:val="32D00AE0"/>
    <w:rsid w:val="32D700C1"/>
    <w:rsid w:val="32DB5135"/>
    <w:rsid w:val="32E97DF4"/>
    <w:rsid w:val="32F01183"/>
    <w:rsid w:val="32F522F5"/>
    <w:rsid w:val="32FF4F22"/>
    <w:rsid w:val="330F751E"/>
    <w:rsid w:val="331309CD"/>
    <w:rsid w:val="331F55C4"/>
    <w:rsid w:val="332E1CAB"/>
    <w:rsid w:val="333015F2"/>
    <w:rsid w:val="33386B85"/>
    <w:rsid w:val="334B6320"/>
    <w:rsid w:val="33525999"/>
    <w:rsid w:val="335C05C6"/>
    <w:rsid w:val="336D27D3"/>
    <w:rsid w:val="33971CCB"/>
    <w:rsid w:val="33997124"/>
    <w:rsid w:val="33B26438"/>
    <w:rsid w:val="33B51A84"/>
    <w:rsid w:val="33C06DA7"/>
    <w:rsid w:val="33CA7A40"/>
    <w:rsid w:val="33CB74FA"/>
    <w:rsid w:val="33D934D4"/>
    <w:rsid w:val="33DF7227"/>
    <w:rsid w:val="33EC194A"/>
    <w:rsid w:val="33F1163C"/>
    <w:rsid w:val="33F425AD"/>
    <w:rsid w:val="33F7221B"/>
    <w:rsid w:val="33FE2F6A"/>
    <w:rsid w:val="34076784"/>
    <w:rsid w:val="340B5D8A"/>
    <w:rsid w:val="340E07E5"/>
    <w:rsid w:val="34235BF7"/>
    <w:rsid w:val="34327F5F"/>
    <w:rsid w:val="344352E2"/>
    <w:rsid w:val="344A2B14"/>
    <w:rsid w:val="3464195E"/>
    <w:rsid w:val="346E58C7"/>
    <w:rsid w:val="34967B08"/>
    <w:rsid w:val="349A0A2F"/>
    <w:rsid w:val="34A6315A"/>
    <w:rsid w:val="34CA77B1"/>
    <w:rsid w:val="34D66156"/>
    <w:rsid w:val="34F82570"/>
    <w:rsid w:val="350E769E"/>
    <w:rsid w:val="35156C7E"/>
    <w:rsid w:val="351A24E7"/>
    <w:rsid w:val="351F18AB"/>
    <w:rsid w:val="352D1338"/>
    <w:rsid w:val="35305866"/>
    <w:rsid w:val="353A692C"/>
    <w:rsid w:val="353A73E0"/>
    <w:rsid w:val="353C06AF"/>
    <w:rsid w:val="35405CF1"/>
    <w:rsid w:val="35414D4C"/>
    <w:rsid w:val="3546508A"/>
    <w:rsid w:val="35487054"/>
    <w:rsid w:val="354E03E2"/>
    <w:rsid w:val="354E3242"/>
    <w:rsid w:val="354E59B9"/>
    <w:rsid w:val="355A28E3"/>
    <w:rsid w:val="35645468"/>
    <w:rsid w:val="35780FBB"/>
    <w:rsid w:val="358C5FA8"/>
    <w:rsid w:val="359B6112"/>
    <w:rsid w:val="35B244CD"/>
    <w:rsid w:val="35B91D00"/>
    <w:rsid w:val="35C15DF1"/>
    <w:rsid w:val="35C30488"/>
    <w:rsid w:val="35DB7EC8"/>
    <w:rsid w:val="35DF3FE2"/>
    <w:rsid w:val="35ED19A9"/>
    <w:rsid w:val="35FA5E74"/>
    <w:rsid w:val="36054F45"/>
    <w:rsid w:val="36074A7F"/>
    <w:rsid w:val="360A255B"/>
    <w:rsid w:val="36533F02"/>
    <w:rsid w:val="365732C7"/>
    <w:rsid w:val="365B6913"/>
    <w:rsid w:val="365E6403"/>
    <w:rsid w:val="367125DA"/>
    <w:rsid w:val="36853A2D"/>
    <w:rsid w:val="368C6CEE"/>
    <w:rsid w:val="36923549"/>
    <w:rsid w:val="36A54032"/>
    <w:rsid w:val="36AA50EA"/>
    <w:rsid w:val="36AA789A"/>
    <w:rsid w:val="36AE1139"/>
    <w:rsid w:val="36B75FBF"/>
    <w:rsid w:val="36B97ADD"/>
    <w:rsid w:val="36BD0C45"/>
    <w:rsid w:val="36CD05C3"/>
    <w:rsid w:val="36DF7544"/>
    <w:rsid w:val="36ED3D7F"/>
    <w:rsid w:val="36EE3C2B"/>
    <w:rsid w:val="36EF0F55"/>
    <w:rsid w:val="370451FC"/>
    <w:rsid w:val="37070849"/>
    <w:rsid w:val="37133692"/>
    <w:rsid w:val="37160A8C"/>
    <w:rsid w:val="37184804"/>
    <w:rsid w:val="37377380"/>
    <w:rsid w:val="374455F9"/>
    <w:rsid w:val="37596763"/>
    <w:rsid w:val="37607F59"/>
    <w:rsid w:val="37623CD1"/>
    <w:rsid w:val="3774714C"/>
    <w:rsid w:val="37881557"/>
    <w:rsid w:val="378974B0"/>
    <w:rsid w:val="379522F8"/>
    <w:rsid w:val="379A346B"/>
    <w:rsid w:val="37A4253C"/>
    <w:rsid w:val="37B207B5"/>
    <w:rsid w:val="37B26A07"/>
    <w:rsid w:val="37C63D34"/>
    <w:rsid w:val="37D3697D"/>
    <w:rsid w:val="37DB647A"/>
    <w:rsid w:val="37DC7428"/>
    <w:rsid w:val="37E00298"/>
    <w:rsid w:val="37F54B45"/>
    <w:rsid w:val="37F57F2C"/>
    <w:rsid w:val="37FB65FF"/>
    <w:rsid w:val="38082ACA"/>
    <w:rsid w:val="3846585A"/>
    <w:rsid w:val="38482EC7"/>
    <w:rsid w:val="384C064E"/>
    <w:rsid w:val="385E093C"/>
    <w:rsid w:val="386B4E07"/>
    <w:rsid w:val="386D5023"/>
    <w:rsid w:val="386F66A6"/>
    <w:rsid w:val="387918A7"/>
    <w:rsid w:val="387B14EE"/>
    <w:rsid w:val="3885236D"/>
    <w:rsid w:val="38887767"/>
    <w:rsid w:val="389425B0"/>
    <w:rsid w:val="38962237"/>
    <w:rsid w:val="38991974"/>
    <w:rsid w:val="389D655A"/>
    <w:rsid w:val="38A11DF3"/>
    <w:rsid w:val="38AA5930"/>
    <w:rsid w:val="38AD71CE"/>
    <w:rsid w:val="38B302F9"/>
    <w:rsid w:val="38BB5D8F"/>
    <w:rsid w:val="38CC63B4"/>
    <w:rsid w:val="38D62BC9"/>
    <w:rsid w:val="38D66725"/>
    <w:rsid w:val="38F12CD3"/>
    <w:rsid w:val="38F94775"/>
    <w:rsid w:val="38FD0155"/>
    <w:rsid w:val="390E5EBF"/>
    <w:rsid w:val="39184F8F"/>
    <w:rsid w:val="39205653"/>
    <w:rsid w:val="39223876"/>
    <w:rsid w:val="392456E2"/>
    <w:rsid w:val="392971ED"/>
    <w:rsid w:val="39325651"/>
    <w:rsid w:val="39397EF6"/>
    <w:rsid w:val="393B4412"/>
    <w:rsid w:val="394E275F"/>
    <w:rsid w:val="396106E4"/>
    <w:rsid w:val="396B3311"/>
    <w:rsid w:val="397F500E"/>
    <w:rsid w:val="39A131D7"/>
    <w:rsid w:val="39BD78E5"/>
    <w:rsid w:val="39BD7EF2"/>
    <w:rsid w:val="39C12F31"/>
    <w:rsid w:val="39E7008B"/>
    <w:rsid w:val="39E82BB3"/>
    <w:rsid w:val="3A064320"/>
    <w:rsid w:val="3A0B68A2"/>
    <w:rsid w:val="3A2A4F7A"/>
    <w:rsid w:val="3A380137"/>
    <w:rsid w:val="3A3A0F35"/>
    <w:rsid w:val="3A3B7A62"/>
    <w:rsid w:val="3A5C534F"/>
    <w:rsid w:val="3A63048C"/>
    <w:rsid w:val="3A787A81"/>
    <w:rsid w:val="3A79380C"/>
    <w:rsid w:val="3A7F7C86"/>
    <w:rsid w:val="3A850402"/>
    <w:rsid w:val="3A872856"/>
    <w:rsid w:val="3A8D5509"/>
    <w:rsid w:val="3AA30888"/>
    <w:rsid w:val="3AAF1923"/>
    <w:rsid w:val="3ABF73E0"/>
    <w:rsid w:val="3AD626F4"/>
    <w:rsid w:val="3ADD15D4"/>
    <w:rsid w:val="3AE3337B"/>
    <w:rsid w:val="3AF61300"/>
    <w:rsid w:val="3B0F24E1"/>
    <w:rsid w:val="3B2C087E"/>
    <w:rsid w:val="3B367023"/>
    <w:rsid w:val="3B3763D1"/>
    <w:rsid w:val="3B3D2A8B"/>
    <w:rsid w:val="3B3D3DF1"/>
    <w:rsid w:val="3B6054CE"/>
    <w:rsid w:val="3B651FE2"/>
    <w:rsid w:val="3B6A55BB"/>
    <w:rsid w:val="3B9F3746"/>
    <w:rsid w:val="3BA13E5B"/>
    <w:rsid w:val="3BAA7EB3"/>
    <w:rsid w:val="3BEE1FA1"/>
    <w:rsid w:val="3BF910A8"/>
    <w:rsid w:val="3C0637C5"/>
    <w:rsid w:val="3C0D06AF"/>
    <w:rsid w:val="3C1F03E3"/>
    <w:rsid w:val="3C2F6E1E"/>
    <w:rsid w:val="3C355E58"/>
    <w:rsid w:val="3C430575"/>
    <w:rsid w:val="3C4F64BA"/>
    <w:rsid w:val="3C544530"/>
    <w:rsid w:val="3C554F79"/>
    <w:rsid w:val="3C6D413B"/>
    <w:rsid w:val="3C700C3E"/>
    <w:rsid w:val="3C74072E"/>
    <w:rsid w:val="3C830972"/>
    <w:rsid w:val="3C8B3CCA"/>
    <w:rsid w:val="3C990195"/>
    <w:rsid w:val="3CA56B3A"/>
    <w:rsid w:val="3CAD3C40"/>
    <w:rsid w:val="3CB2745A"/>
    <w:rsid w:val="3CB93B47"/>
    <w:rsid w:val="3CC01BC6"/>
    <w:rsid w:val="3CDA245A"/>
    <w:rsid w:val="3CDE6477"/>
    <w:rsid w:val="3CE04016"/>
    <w:rsid w:val="3CFF3139"/>
    <w:rsid w:val="3D157891"/>
    <w:rsid w:val="3D1E06B7"/>
    <w:rsid w:val="3D233F03"/>
    <w:rsid w:val="3D324146"/>
    <w:rsid w:val="3D3E2AEA"/>
    <w:rsid w:val="3D591ABC"/>
    <w:rsid w:val="3D5B369C"/>
    <w:rsid w:val="3D6954E4"/>
    <w:rsid w:val="3D711112"/>
    <w:rsid w:val="3D7309E6"/>
    <w:rsid w:val="3D83546E"/>
    <w:rsid w:val="3D8C3E06"/>
    <w:rsid w:val="3D8F3346"/>
    <w:rsid w:val="3D956BAE"/>
    <w:rsid w:val="3DA7291A"/>
    <w:rsid w:val="3DBF59D9"/>
    <w:rsid w:val="3DDE7CC0"/>
    <w:rsid w:val="3E244C89"/>
    <w:rsid w:val="3E3E690C"/>
    <w:rsid w:val="3E443ED0"/>
    <w:rsid w:val="3E4D1237"/>
    <w:rsid w:val="3E4D7489"/>
    <w:rsid w:val="3E7013C9"/>
    <w:rsid w:val="3E8135D7"/>
    <w:rsid w:val="3E874A5D"/>
    <w:rsid w:val="3E8F04BB"/>
    <w:rsid w:val="3E8F1850"/>
    <w:rsid w:val="3EC51715"/>
    <w:rsid w:val="3EC66817"/>
    <w:rsid w:val="3ED71449"/>
    <w:rsid w:val="3EDA0523"/>
    <w:rsid w:val="3EE43BF5"/>
    <w:rsid w:val="3EED6576"/>
    <w:rsid w:val="3F0044FB"/>
    <w:rsid w:val="3F0A537A"/>
    <w:rsid w:val="3F402B4A"/>
    <w:rsid w:val="3F406FEE"/>
    <w:rsid w:val="3F5B102E"/>
    <w:rsid w:val="3F6A5E19"/>
    <w:rsid w:val="3F854A01"/>
    <w:rsid w:val="3F88629F"/>
    <w:rsid w:val="3FA56E51"/>
    <w:rsid w:val="3FAF7CCF"/>
    <w:rsid w:val="3FB43D78"/>
    <w:rsid w:val="3FCC6E01"/>
    <w:rsid w:val="3FCC7BC3"/>
    <w:rsid w:val="3FCF3ECE"/>
    <w:rsid w:val="3FD15E98"/>
    <w:rsid w:val="3FF35E0E"/>
    <w:rsid w:val="4000052B"/>
    <w:rsid w:val="401F6C03"/>
    <w:rsid w:val="40215A0B"/>
    <w:rsid w:val="402F6A7C"/>
    <w:rsid w:val="40572841"/>
    <w:rsid w:val="407A6407"/>
    <w:rsid w:val="40866C82"/>
    <w:rsid w:val="408A152D"/>
    <w:rsid w:val="409A272E"/>
    <w:rsid w:val="40B27A77"/>
    <w:rsid w:val="40C60F65"/>
    <w:rsid w:val="40C63523"/>
    <w:rsid w:val="40E63BC5"/>
    <w:rsid w:val="40EB4D37"/>
    <w:rsid w:val="41076015"/>
    <w:rsid w:val="410A37E8"/>
    <w:rsid w:val="411B561D"/>
    <w:rsid w:val="41270465"/>
    <w:rsid w:val="412A5860"/>
    <w:rsid w:val="41301ECD"/>
    <w:rsid w:val="41392EB5"/>
    <w:rsid w:val="413B5CBF"/>
    <w:rsid w:val="414B23DE"/>
    <w:rsid w:val="41586871"/>
    <w:rsid w:val="417116E0"/>
    <w:rsid w:val="41841C43"/>
    <w:rsid w:val="41872CB2"/>
    <w:rsid w:val="418F600A"/>
    <w:rsid w:val="41967399"/>
    <w:rsid w:val="41A43864"/>
    <w:rsid w:val="41AA074E"/>
    <w:rsid w:val="41B617E9"/>
    <w:rsid w:val="41B8730F"/>
    <w:rsid w:val="41CA0DF1"/>
    <w:rsid w:val="41CC6917"/>
    <w:rsid w:val="41D57EC1"/>
    <w:rsid w:val="41DE664A"/>
    <w:rsid w:val="41E00614"/>
    <w:rsid w:val="4200449D"/>
    <w:rsid w:val="42031BF1"/>
    <w:rsid w:val="420C765B"/>
    <w:rsid w:val="421A58D4"/>
    <w:rsid w:val="421B33FA"/>
    <w:rsid w:val="42240501"/>
    <w:rsid w:val="423A3BCC"/>
    <w:rsid w:val="424E57D2"/>
    <w:rsid w:val="42576B28"/>
    <w:rsid w:val="42613503"/>
    <w:rsid w:val="4290203A"/>
    <w:rsid w:val="429165B0"/>
    <w:rsid w:val="42A81132"/>
    <w:rsid w:val="42B26C49"/>
    <w:rsid w:val="42DF267A"/>
    <w:rsid w:val="42E44134"/>
    <w:rsid w:val="42E859D2"/>
    <w:rsid w:val="42EF4FB3"/>
    <w:rsid w:val="42F02AD9"/>
    <w:rsid w:val="42F771B0"/>
    <w:rsid w:val="42FF4ACA"/>
    <w:rsid w:val="43077110"/>
    <w:rsid w:val="43106CD7"/>
    <w:rsid w:val="431C1B20"/>
    <w:rsid w:val="431C38CE"/>
    <w:rsid w:val="432F1853"/>
    <w:rsid w:val="433A6FE6"/>
    <w:rsid w:val="43480868"/>
    <w:rsid w:val="4350713C"/>
    <w:rsid w:val="436653E0"/>
    <w:rsid w:val="437903AC"/>
    <w:rsid w:val="438D20D6"/>
    <w:rsid w:val="439416B6"/>
    <w:rsid w:val="43C4431A"/>
    <w:rsid w:val="43EC7BBD"/>
    <w:rsid w:val="43F263DD"/>
    <w:rsid w:val="43F403A7"/>
    <w:rsid w:val="43F44FAD"/>
    <w:rsid w:val="43F6411F"/>
    <w:rsid w:val="43FC3F5B"/>
    <w:rsid w:val="43FF1225"/>
    <w:rsid w:val="4407632C"/>
    <w:rsid w:val="440A3726"/>
    <w:rsid w:val="440F4E3F"/>
    <w:rsid w:val="440F6F8F"/>
    <w:rsid w:val="441B1DD7"/>
    <w:rsid w:val="4427077C"/>
    <w:rsid w:val="445B21D4"/>
    <w:rsid w:val="447438ED"/>
    <w:rsid w:val="449C4CC6"/>
    <w:rsid w:val="44A26055"/>
    <w:rsid w:val="44B951CC"/>
    <w:rsid w:val="44C71617"/>
    <w:rsid w:val="44CD14E0"/>
    <w:rsid w:val="44EE3048"/>
    <w:rsid w:val="44F20B0B"/>
    <w:rsid w:val="450B3BFA"/>
    <w:rsid w:val="451304CA"/>
    <w:rsid w:val="451707F1"/>
    <w:rsid w:val="451A208F"/>
    <w:rsid w:val="45204AAA"/>
    <w:rsid w:val="452151CC"/>
    <w:rsid w:val="452B429C"/>
    <w:rsid w:val="452E5F4C"/>
    <w:rsid w:val="45321187"/>
    <w:rsid w:val="453E2817"/>
    <w:rsid w:val="4540511A"/>
    <w:rsid w:val="45612018"/>
    <w:rsid w:val="456357E4"/>
    <w:rsid w:val="456D21BF"/>
    <w:rsid w:val="45717F01"/>
    <w:rsid w:val="457A48DC"/>
    <w:rsid w:val="458946E9"/>
    <w:rsid w:val="45A47C0E"/>
    <w:rsid w:val="45B47DEE"/>
    <w:rsid w:val="45C0619F"/>
    <w:rsid w:val="45CF2E79"/>
    <w:rsid w:val="45DB181E"/>
    <w:rsid w:val="45E00BE3"/>
    <w:rsid w:val="45E01C48"/>
    <w:rsid w:val="45F4468E"/>
    <w:rsid w:val="45F91CA4"/>
    <w:rsid w:val="4607616F"/>
    <w:rsid w:val="461D5993"/>
    <w:rsid w:val="461F3847"/>
    <w:rsid w:val="46246742"/>
    <w:rsid w:val="46333408"/>
    <w:rsid w:val="46470C62"/>
    <w:rsid w:val="46494BC4"/>
    <w:rsid w:val="464A2500"/>
    <w:rsid w:val="464C6278"/>
    <w:rsid w:val="464E0E77"/>
    <w:rsid w:val="46577FD6"/>
    <w:rsid w:val="465F5FAB"/>
    <w:rsid w:val="467040EC"/>
    <w:rsid w:val="46733CB9"/>
    <w:rsid w:val="46AD6644"/>
    <w:rsid w:val="46AE6F33"/>
    <w:rsid w:val="46B300A5"/>
    <w:rsid w:val="46D955A7"/>
    <w:rsid w:val="46E97F6B"/>
    <w:rsid w:val="46F27D70"/>
    <w:rsid w:val="46FE788D"/>
    <w:rsid w:val="47133957"/>
    <w:rsid w:val="4718493A"/>
    <w:rsid w:val="47186B04"/>
    <w:rsid w:val="471A1ED2"/>
    <w:rsid w:val="471C20EE"/>
    <w:rsid w:val="47237085"/>
    <w:rsid w:val="472471F5"/>
    <w:rsid w:val="472774A3"/>
    <w:rsid w:val="472E3BD0"/>
    <w:rsid w:val="473C009B"/>
    <w:rsid w:val="474156B1"/>
    <w:rsid w:val="47706655"/>
    <w:rsid w:val="477C493B"/>
    <w:rsid w:val="47835CCA"/>
    <w:rsid w:val="478430E4"/>
    <w:rsid w:val="47887784"/>
    <w:rsid w:val="478C7274"/>
    <w:rsid w:val="47A07E0C"/>
    <w:rsid w:val="47A81BD4"/>
    <w:rsid w:val="47B10A89"/>
    <w:rsid w:val="47C01461"/>
    <w:rsid w:val="47CF0F0F"/>
    <w:rsid w:val="47D11CFA"/>
    <w:rsid w:val="47D91D8D"/>
    <w:rsid w:val="47FD3CCE"/>
    <w:rsid w:val="4809107F"/>
    <w:rsid w:val="480C3F11"/>
    <w:rsid w:val="48230308"/>
    <w:rsid w:val="48276F9D"/>
    <w:rsid w:val="48391EED"/>
    <w:rsid w:val="485127AE"/>
    <w:rsid w:val="48517B76"/>
    <w:rsid w:val="48610E04"/>
    <w:rsid w:val="48657AC5"/>
    <w:rsid w:val="486E0728"/>
    <w:rsid w:val="4870272E"/>
    <w:rsid w:val="48942446"/>
    <w:rsid w:val="48B325DE"/>
    <w:rsid w:val="48BD7D78"/>
    <w:rsid w:val="48C4659A"/>
    <w:rsid w:val="48E1714C"/>
    <w:rsid w:val="491F5EC6"/>
    <w:rsid w:val="49282FCC"/>
    <w:rsid w:val="49296D45"/>
    <w:rsid w:val="49311755"/>
    <w:rsid w:val="493279A7"/>
    <w:rsid w:val="49375232"/>
    <w:rsid w:val="495711BC"/>
    <w:rsid w:val="497F0713"/>
    <w:rsid w:val="498227B7"/>
    <w:rsid w:val="49966806"/>
    <w:rsid w:val="49A10689"/>
    <w:rsid w:val="49A5461D"/>
    <w:rsid w:val="49B4660E"/>
    <w:rsid w:val="49BC1967"/>
    <w:rsid w:val="49CD36F0"/>
    <w:rsid w:val="49D0540E"/>
    <w:rsid w:val="49D96075"/>
    <w:rsid w:val="49DC7715"/>
    <w:rsid w:val="4A023139"/>
    <w:rsid w:val="4A123335"/>
    <w:rsid w:val="4A1A21EF"/>
    <w:rsid w:val="4A49144C"/>
    <w:rsid w:val="4A54394D"/>
    <w:rsid w:val="4A657908"/>
    <w:rsid w:val="4A79213A"/>
    <w:rsid w:val="4A7B576F"/>
    <w:rsid w:val="4A800BE6"/>
    <w:rsid w:val="4A804742"/>
    <w:rsid w:val="4A8947FE"/>
    <w:rsid w:val="4A9106FD"/>
    <w:rsid w:val="4A984619"/>
    <w:rsid w:val="4A985F30"/>
    <w:rsid w:val="4AA735D5"/>
    <w:rsid w:val="4AAF1765"/>
    <w:rsid w:val="4AB663B6"/>
    <w:rsid w:val="4AB80380"/>
    <w:rsid w:val="4ABB1C1E"/>
    <w:rsid w:val="4AC05487"/>
    <w:rsid w:val="4AC72AD7"/>
    <w:rsid w:val="4AF561A9"/>
    <w:rsid w:val="4B074E64"/>
    <w:rsid w:val="4B11183E"/>
    <w:rsid w:val="4B1530DD"/>
    <w:rsid w:val="4B1F21AD"/>
    <w:rsid w:val="4B201A81"/>
    <w:rsid w:val="4B412124"/>
    <w:rsid w:val="4B4B6AFE"/>
    <w:rsid w:val="4B5058E3"/>
    <w:rsid w:val="4B553E21"/>
    <w:rsid w:val="4B593ABF"/>
    <w:rsid w:val="4B771FE9"/>
    <w:rsid w:val="4B86222C"/>
    <w:rsid w:val="4BA803F5"/>
    <w:rsid w:val="4BC62629"/>
    <w:rsid w:val="4BC97CEA"/>
    <w:rsid w:val="4BCF175D"/>
    <w:rsid w:val="4BE96317"/>
    <w:rsid w:val="4C0F3FD0"/>
    <w:rsid w:val="4C1930A0"/>
    <w:rsid w:val="4C2A705C"/>
    <w:rsid w:val="4C392DFB"/>
    <w:rsid w:val="4C3954F1"/>
    <w:rsid w:val="4C4A0649"/>
    <w:rsid w:val="4C4A0F83"/>
    <w:rsid w:val="4C6A56AA"/>
    <w:rsid w:val="4C7E5ECA"/>
    <w:rsid w:val="4C836771"/>
    <w:rsid w:val="4C876AA5"/>
    <w:rsid w:val="4C88610C"/>
    <w:rsid w:val="4CA3296A"/>
    <w:rsid w:val="4CA74208"/>
    <w:rsid w:val="4CC633C5"/>
    <w:rsid w:val="4CCF375F"/>
    <w:rsid w:val="4CE0596C"/>
    <w:rsid w:val="4CF00FA3"/>
    <w:rsid w:val="4CF4161F"/>
    <w:rsid w:val="4CF73252"/>
    <w:rsid w:val="4D07114B"/>
    <w:rsid w:val="4D0E00FB"/>
    <w:rsid w:val="4D10183F"/>
    <w:rsid w:val="4D176606"/>
    <w:rsid w:val="4D1A2C2C"/>
    <w:rsid w:val="4D36558C"/>
    <w:rsid w:val="4D381304"/>
    <w:rsid w:val="4D4001B9"/>
    <w:rsid w:val="4D4C443D"/>
    <w:rsid w:val="4D616AAD"/>
    <w:rsid w:val="4D7204C6"/>
    <w:rsid w:val="4D7A7B6F"/>
    <w:rsid w:val="4D812CAB"/>
    <w:rsid w:val="4D90440A"/>
    <w:rsid w:val="4D9C7AE5"/>
    <w:rsid w:val="4D9E1AAF"/>
    <w:rsid w:val="4DA70238"/>
    <w:rsid w:val="4DA92202"/>
    <w:rsid w:val="4DA93FB0"/>
    <w:rsid w:val="4DB97F6C"/>
    <w:rsid w:val="4DBE4168"/>
    <w:rsid w:val="4DC1579E"/>
    <w:rsid w:val="4DE36211"/>
    <w:rsid w:val="4DEC4FB0"/>
    <w:rsid w:val="4DFA1A5F"/>
    <w:rsid w:val="4E026E39"/>
    <w:rsid w:val="4E075D8A"/>
    <w:rsid w:val="4E257ADB"/>
    <w:rsid w:val="4E3221F7"/>
    <w:rsid w:val="4E323FA5"/>
    <w:rsid w:val="4E377361"/>
    <w:rsid w:val="4E3A6D5C"/>
    <w:rsid w:val="4E593A09"/>
    <w:rsid w:val="4E5B34FC"/>
    <w:rsid w:val="4E5C2A1B"/>
    <w:rsid w:val="4E65437B"/>
    <w:rsid w:val="4E6A7BE3"/>
    <w:rsid w:val="4E772300"/>
    <w:rsid w:val="4E791BD4"/>
    <w:rsid w:val="4E9667EE"/>
    <w:rsid w:val="4EB01C0C"/>
    <w:rsid w:val="4EB96475"/>
    <w:rsid w:val="4EC00FAD"/>
    <w:rsid w:val="4EC015B1"/>
    <w:rsid w:val="4EC254B1"/>
    <w:rsid w:val="4EC8490A"/>
    <w:rsid w:val="4ECC264C"/>
    <w:rsid w:val="4ED908C5"/>
    <w:rsid w:val="4F0A0A7E"/>
    <w:rsid w:val="4F135B85"/>
    <w:rsid w:val="4F147B4F"/>
    <w:rsid w:val="4F2A7373"/>
    <w:rsid w:val="4F2C30EB"/>
    <w:rsid w:val="4F304989"/>
    <w:rsid w:val="4F3A5808"/>
    <w:rsid w:val="4F477F24"/>
    <w:rsid w:val="4F711F6A"/>
    <w:rsid w:val="4F714FA1"/>
    <w:rsid w:val="4F74239C"/>
    <w:rsid w:val="4F8847C5"/>
    <w:rsid w:val="4F8E345D"/>
    <w:rsid w:val="4F9843DC"/>
    <w:rsid w:val="4FAB400F"/>
    <w:rsid w:val="4FAF2FEB"/>
    <w:rsid w:val="4FC21359"/>
    <w:rsid w:val="4FC60842"/>
    <w:rsid w:val="4FC62A8C"/>
    <w:rsid w:val="4FDD43E5"/>
    <w:rsid w:val="4FDF6549"/>
    <w:rsid w:val="4FE20F0D"/>
    <w:rsid w:val="4FE51552"/>
    <w:rsid w:val="4FEE65F2"/>
    <w:rsid w:val="50021A39"/>
    <w:rsid w:val="501778F7"/>
    <w:rsid w:val="5023004A"/>
    <w:rsid w:val="50504C4B"/>
    <w:rsid w:val="506A5C79"/>
    <w:rsid w:val="50974594"/>
    <w:rsid w:val="509C6E7C"/>
    <w:rsid w:val="50A00F4B"/>
    <w:rsid w:val="50A56CB1"/>
    <w:rsid w:val="50A70C7B"/>
    <w:rsid w:val="50A867A1"/>
    <w:rsid w:val="50AD025B"/>
    <w:rsid w:val="50AD07EF"/>
    <w:rsid w:val="50B11AF9"/>
    <w:rsid w:val="50BE4216"/>
    <w:rsid w:val="50C555A5"/>
    <w:rsid w:val="50CA6717"/>
    <w:rsid w:val="50D64387"/>
    <w:rsid w:val="51065647"/>
    <w:rsid w:val="511054FB"/>
    <w:rsid w:val="51295BF6"/>
    <w:rsid w:val="512C5624"/>
    <w:rsid w:val="5133250E"/>
    <w:rsid w:val="513D338D"/>
    <w:rsid w:val="513E2C61"/>
    <w:rsid w:val="51433E75"/>
    <w:rsid w:val="515B3813"/>
    <w:rsid w:val="5162104E"/>
    <w:rsid w:val="516E79EA"/>
    <w:rsid w:val="517174DB"/>
    <w:rsid w:val="517D392F"/>
    <w:rsid w:val="517D5E7F"/>
    <w:rsid w:val="51840539"/>
    <w:rsid w:val="51844B18"/>
    <w:rsid w:val="518E1E3B"/>
    <w:rsid w:val="51986815"/>
    <w:rsid w:val="51A8290C"/>
    <w:rsid w:val="51AE6039"/>
    <w:rsid w:val="51BA678C"/>
    <w:rsid w:val="51DD691E"/>
    <w:rsid w:val="51E47CAD"/>
    <w:rsid w:val="51EC090F"/>
    <w:rsid w:val="51F64CB1"/>
    <w:rsid w:val="520D51E4"/>
    <w:rsid w:val="521D0E97"/>
    <w:rsid w:val="521E1E84"/>
    <w:rsid w:val="522B58DB"/>
    <w:rsid w:val="523302EC"/>
    <w:rsid w:val="52462715"/>
    <w:rsid w:val="524A57D1"/>
    <w:rsid w:val="525E35BB"/>
    <w:rsid w:val="526500CE"/>
    <w:rsid w:val="52734B8D"/>
    <w:rsid w:val="52770B21"/>
    <w:rsid w:val="52887ADE"/>
    <w:rsid w:val="52992845"/>
    <w:rsid w:val="52A15B9E"/>
    <w:rsid w:val="52B47EF4"/>
    <w:rsid w:val="52B51631"/>
    <w:rsid w:val="52B61649"/>
    <w:rsid w:val="52CF270B"/>
    <w:rsid w:val="52FA4256"/>
    <w:rsid w:val="53000B16"/>
    <w:rsid w:val="53226CDE"/>
    <w:rsid w:val="53397B84"/>
    <w:rsid w:val="53426A39"/>
    <w:rsid w:val="535D5C39"/>
    <w:rsid w:val="536410A5"/>
    <w:rsid w:val="5371731E"/>
    <w:rsid w:val="537A6478"/>
    <w:rsid w:val="538A6632"/>
    <w:rsid w:val="538B4884"/>
    <w:rsid w:val="53912714"/>
    <w:rsid w:val="53A039CC"/>
    <w:rsid w:val="53A1505A"/>
    <w:rsid w:val="53AE70BB"/>
    <w:rsid w:val="53C441A7"/>
    <w:rsid w:val="53DD0E57"/>
    <w:rsid w:val="53DD2C05"/>
    <w:rsid w:val="53DF697E"/>
    <w:rsid w:val="53E22592"/>
    <w:rsid w:val="53E52038"/>
    <w:rsid w:val="53F046E7"/>
    <w:rsid w:val="53F2789F"/>
    <w:rsid w:val="54063E08"/>
    <w:rsid w:val="540B6696"/>
    <w:rsid w:val="540C5299"/>
    <w:rsid w:val="541049A4"/>
    <w:rsid w:val="54232D0E"/>
    <w:rsid w:val="54271C7C"/>
    <w:rsid w:val="5429409D"/>
    <w:rsid w:val="543437E8"/>
    <w:rsid w:val="544D38E7"/>
    <w:rsid w:val="544E221F"/>
    <w:rsid w:val="544E308E"/>
    <w:rsid w:val="5454111A"/>
    <w:rsid w:val="54624EB9"/>
    <w:rsid w:val="54703A7A"/>
    <w:rsid w:val="547C41CC"/>
    <w:rsid w:val="548C2E67"/>
    <w:rsid w:val="54A43723"/>
    <w:rsid w:val="54A60374"/>
    <w:rsid w:val="54AD082A"/>
    <w:rsid w:val="54B01CF9"/>
    <w:rsid w:val="54C03FAD"/>
    <w:rsid w:val="54D45DB6"/>
    <w:rsid w:val="54F73313"/>
    <w:rsid w:val="54F80955"/>
    <w:rsid w:val="54F9581D"/>
    <w:rsid w:val="55032398"/>
    <w:rsid w:val="55130BD8"/>
    <w:rsid w:val="552A59D6"/>
    <w:rsid w:val="55316457"/>
    <w:rsid w:val="55382BA4"/>
    <w:rsid w:val="553E76D4"/>
    <w:rsid w:val="55410F72"/>
    <w:rsid w:val="555148AC"/>
    <w:rsid w:val="555170A7"/>
    <w:rsid w:val="555D3FFE"/>
    <w:rsid w:val="55690BF5"/>
    <w:rsid w:val="556C4F4D"/>
    <w:rsid w:val="5579070C"/>
    <w:rsid w:val="5587536D"/>
    <w:rsid w:val="558B61BF"/>
    <w:rsid w:val="558E065B"/>
    <w:rsid w:val="559B174B"/>
    <w:rsid w:val="55A37D12"/>
    <w:rsid w:val="55B654BC"/>
    <w:rsid w:val="55C91693"/>
    <w:rsid w:val="55CE0CF4"/>
    <w:rsid w:val="55DA73FC"/>
    <w:rsid w:val="55EB160A"/>
    <w:rsid w:val="55F039F2"/>
    <w:rsid w:val="55F14746"/>
    <w:rsid w:val="55F54236"/>
    <w:rsid w:val="55FC29AD"/>
    <w:rsid w:val="56002BDB"/>
    <w:rsid w:val="561B3E40"/>
    <w:rsid w:val="563C00B7"/>
    <w:rsid w:val="56530F5D"/>
    <w:rsid w:val="56574EF1"/>
    <w:rsid w:val="565D1DDC"/>
    <w:rsid w:val="565D2B52"/>
    <w:rsid w:val="565F66E5"/>
    <w:rsid w:val="56736D7C"/>
    <w:rsid w:val="567A0BDF"/>
    <w:rsid w:val="569577C7"/>
    <w:rsid w:val="56A17F1A"/>
    <w:rsid w:val="56B22A9C"/>
    <w:rsid w:val="56B513DF"/>
    <w:rsid w:val="56C06FDE"/>
    <w:rsid w:val="56CF0F2B"/>
    <w:rsid w:val="56E46059"/>
    <w:rsid w:val="56ED7738"/>
    <w:rsid w:val="56EF6ED8"/>
    <w:rsid w:val="56FC36A7"/>
    <w:rsid w:val="570F757A"/>
    <w:rsid w:val="5737087F"/>
    <w:rsid w:val="5748081E"/>
    <w:rsid w:val="574C257C"/>
    <w:rsid w:val="57593B0B"/>
    <w:rsid w:val="576553EC"/>
    <w:rsid w:val="577218B7"/>
    <w:rsid w:val="57792C45"/>
    <w:rsid w:val="57831D16"/>
    <w:rsid w:val="57931F59"/>
    <w:rsid w:val="579927E1"/>
    <w:rsid w:val="57B72A76"/>
    <w:rsid w:val="57C32112"/>
    <w:rsid w:val="57C3426C"/>
    <w:rsid w:val="57CD0385"/>
    <w:rsid w:val="57CE1F93"/>
    <w:rsid w:val="57CF6D09"/>
    <w:rsid w:val="57D12A81"/>
    <w:rsid w:val="57DB745C"/>
    <w:rsid w:val="57E72E4A"/>
    <w:rsid w:val="57F549C2"/>
    <w:rsid w:val="57F81DBC"/>
    <w:rsid w:val="57FC65CA"/>
    <w:rsid w:val="58135D80"/>
    <w:rsid w:val="582C7CB7"/>
    <w:rsid w:val="58492617"/>
    <w:rsid w:val="584B2834"/>
    <w:rsid w:val="585A65D3"/>
    <w:rsid w:val="585D60C3"/>
    <w:rsid w:val="586C6A45"/>
    <w:rsid w:val="587D49B7"/>
    <w:rsid w:val="587F24DD"/>
    <w:rsid w:val="588743D1"/>
    <w:rsid w:val="5887701A"/>
    <w:rsid w:val="58CB127E"/>
    <w:rsid w:val="58D520FD"/>
    <w:rsid w:val="58D75E75"/>
    <w:rsid w:val="58DC16DE"/>
    <w:rsid w:val="58EE4DF0"/>
    <w:rsid w:val="58F00CE5"/>
    <w:rsid w:val="58F72073"/>
    <w:rsid w:val="58FE12B9"/>
    <w:rsid w:val="59080725"/>
    <w:rsid w:val="590F3861"/>
    <w:rsid w:val="59126EAD"/>
    <w:rsid w:val="591E5852"/>
    <w:rsid w:val="592866D1"/>
    <w:rsid w:val="59352B9C"/>
    <w:rsid w:val="594E69B1"/>
    <w:rsid w:val="596F4300"/>
    <w:rsid w:val="596F471E"/>
    <w:rsid w:val="598A2EE8"/>
    <w:rsid w:val="59945B14"/>
    <w:rsid w:val="59B43494"/>
    <w:rsid w:val="59B60181"/>
    <w:rsid w:val="59C0439F"/>
    <w:rsid w:val="59C3202D"/>
    <w:rsid w:val="59C4289D"/>
    <w:rsid w:val="59CF2FF0"/>
    <w:rsid w:val="59D979CB"/>
    <w:rsid w:val="59F02E1D"/>
    <w:rsid w:val="59F12F67"/>
    <w:rsid w:val="5A032C9A"/>
    <w:rsid w:val="5A1530F9"/>
    <w:rsid w:val="5A2275C4"/>
    <w:rsid w:val="5A315A59"/>
    <w:rsid w:val="5A36306F"/>
    <w:rsid w:val="5A380B96"/>
    <w:rsid w:val="5A3A1C71"/>
    <w:rsid w:val="5A4532B2"/>
    <w:rsid w:val="5A5A6D5E"/>
    <w:rsid w:val="5A6279C1"/>
    <w:rsid w:val="5A7D0C9E"/>
    <w:rsid w:val="5A8127AB"/>
    <w:rsid w:val="5A820063"/>
    <w:rsid w:val="5AAB580B"/>
    <w:rsid w:val="5AB3021C"/>
    <w:rsid w:val="5ABC1339"/>
    <w:rsid w:val="5ABE2233"/>
    <w:rsid w:val="5AC32B55"/>
    <w:rsid w:val="5AC3781F"/>
    <w:rsid w:val="5AE12321"/>
    <w:rsid w:val="5AE34FA5"/>
    <w:rsid w:val="5AF32D0E"/>
    <w:rsid w:val="5AF6393C"/>
    <w:rsid w:val="5AF80325"/>
    <w:rsid w:val="5AFE3765"/>
    <w:rsid w:val="5B1A48AD"/>
    <w:rsid w:val="5B2A2BD4"/>
    <w:rsid w:val="5B417F1E"/>
    <w:rsid w:val="5B5B5B3E"/>
    <w:rsid w:val="5B6B0AF7"/>
    <w:rsid w:val="5B885B4D"/>
    <w:rsid w:val="5B8A0BEC"/>
    <w:rsid w:val="5B9444F1"/>
    <w:rsid w:val="5B9462A0"/>
    <w:rsid w:val="5BA874A5"/>
    <w:rsid w:val="5BAA66D4"/>
    <w:rsid w:val="5BCD03E6"/>
    <w:rsid w:val="5BD112A2"/>
    <w:rsid w:val="5BD42B40"/>
    <w:rsid w:val="5BD743DE"/>
    <w:rsid w:val="5BD90156"/>
    <w:rsid w:val="5BDF5D95"/>
    <w:rsid w:val="5BE30FD5"/>
    <w:rsid w:val="5BE663CF"/>
    <w:rsid w:val="5BF154A0"/>
    <w:rsid w:val="5BFE7528"/>
    <w:rsid w:val="5C0640A2"/>
    <w:rsid w:val="5C0D7E00"/>
    <w:rsid w:val="5C1473E0"/>
    <w:rsid w:val="5C1B4D01"/>
    <w:rsid w:val="5C2018E1"/>
    <w:rsid w:val="5C277114"/>
    <w:rsid w:val="5C337866"/>
    <w:rsid w:val="5C3435DF"/>
    <w:rsid w:val="5C3830CF"/>
    <w:rsid w:val="5C5D0D87"/>
    <w:rsid w:val="5C7A47EB"/>
    <w:rsid w:val="5C7B2FBB"/>
    <w:rsid w:val="5CCD5616"/>
    <w:rsid w:val="5CDA5F34"/>
    <w:rsid w:val="5CEB1EEF"/>
    <w:rsid w:val="5CEE6D21"/>
    <w:rsid w:val="5CFF52E1"/>
    <w:rsid w:val="5D213B63"/>
    <w:rsid w:val="5D312413"/>
    <w:rsid w:val="5D39209A"/>
    <w:rsid w:val="5D3A69D3"/>
    <w:rsid w:val="5D3F048D"/>
    <w:rsid w:val="5D5061F6"/>
    <w:rsid w:val="5D5977A1"/>
    <w:rsid w:val="5D5A7075"/>
    <w:rsid w:val="5D7C2B5D"/>
    <w:rsid w:val="5D916BB6"/>
    <w:rsid w:val="5D9556F6"/>
    <w:rsid w:val="5DA4443C"/>
    <w:rsid w:val="5DB378D1"/>
    <w:rsid w:val="5DBC642D"/>
    <w:rsid w:val="5DE05BAD"/>
    <w:rsid w:val="5DEF1EB3"/>
    <w:rsid w:val="5DF03535"/>
    <w:rsid w:val="5DF04D4E"/>
    <w:rsid w:val="5E0F60B1"/>
    <w:rsid w:val="5E2467F1"/>
    <w:rsid w:val="5E2F22B0"/>
    <w:rsid w:val="5E437B09"/>
    <w:rsid w:val="5E4C10B3"/>
    <w:rsid w:val="5E5E3FE5"/>
    <w:rsid w:val="5E68742F"/>
    <w:rsid w:val="5E7561A4"/>
    <w:rsid w:val="5E783C56"/>
    <w:rsid w:val="5E8C5D74"/>
    <w:rsid w:val="5EAC56AE"/>
    <w:rsid w:val="5EB427B5"/>
    <w:rsid w:val="5EC724E8"/>
    <w:rsid w:val="5ECA1FD8"/>
    <w:rsid w:val="5ECA79DA"/>
    <w:rsid w:val="5ECC7AFE"/>
    <w:rsid w:val="5EFA0B0F"/>
    <w:rsid w:val="5EFD23AE"/>
    <w:rsid w:val="5EFF6126"/>
    <w:rsid w:val="5F0441B1"/>
    <w:rsid w:val="5F103E8F"/>
    <w:rsid w:val="5F1A2B43"/>
    <w:rsid w:val="5F2931A3"/>
    <w:rsid w:val="5F3F29C6"/>
    <w:rsid w:val="5F4E6765"/>
    <w:rsid w:val="5F5A1E13"/>
    <w:rsid w:val="5F7E529D"/>
    <w:rsid w:val="5F887EC9"/>
    <w:rsid w:val="5F9C3975"/>
    <w:rsid w:val="5F9E149B"/>
    <w:rsid w:val="5FA12D39"/>
    <w:rsid w:val="5FA70F46"/>
    <w:rsid w:val="5FAA07F1"/>
    <w:rsid w:val="5FAA6092"/>
    <w:rsid w:val="5FB837BB"/>
    <w:rsid w:val="5FC87C2F"/>
    <w:rsid w:val="5FCC24AC"/>
    <w:rsid w:val="5FCC6587"/>
    <w:rsid w:val="5FCD1D80"/>
    <w:rsid w:val="5FDF0EC5"/>
    <w:rsid w:val="5FF05A6E"/>
    <w:rsid w:val="5FF612D7"/>
    <w:rsid w:val="5FFB68ED"/>
    <w:rsid w:val="6017124D"/>
    <w:rsid w:val="601B0D3D"/>
    <w:rsid w:val="601D6507"/>
    <w:rsid w:val="60213E7A"/>
    <w:rsid w:val="60310561"/>
    <w:rsid w:val="603D5158"/>
    <w:rsid w:val="606F1089"/>
    <w:rsid w:val="60803C14"/>
    <w:rsid w:val="60A919DB"/>
    <w:rsid w:val="60AF592A"/>
    <w:rsid w:val="60B92304"/>
    <w:rsid w:val="60BC14AB"/>
    <w:rsid w:val="60C5514D"/>
    <w:rsid w:val="60CC405A"/>
    <w:rsid w:val="60EE6452"/>
    <w:rsid w:val="60FF240D"/>
    <w:rsid w:val="61021EFD"/>
    <w:rsid w:val="6109328C"/>
    <w:rsid w:val="612105D5"/>
    <w:rsid w:val="612400C6"/>
    <w:rsid w:val="61265BEC"/>
    <w:rsid w:val="61287525"/>
    <w:rsid w:val="61332B14"/>
    <w:rsid w:val="61640A66"/>
    <w:rsid w:val="61695AD8"/>
    <w:rsid w:val="616A2E3C"/>
    <w:rsid w:val="616D08BE"/>
    <w:rsid w:val="61720E31"/>
    <w:rsid w:val="618943CD"/>
    <w:rsid w:val="61923281"/>
    <w:rsid w:val="61B551C2"/>
    <w:rsid w:val="61C13B66"/>
    <w:rsid w:val="61C75A0C"/>
    <w:rsid w:val="61CC3E4D"/>
    <w:rsid w:val="61E11B13"/>
    <w:rsid w:val="61E215D8"/>
    <w:rsid w:val="61F04D38"/>
    <w:rsid w:val="61F23D20"/>
    <w:rsid w:val="62051CA5"/>
    <w:rsid w:val="62092E18"/>
    <w:rsid w:val="621B3775"/>
    <w:rsid w:val="622540F5"/>
    <w:rsid w:val="622A586C"/>
    <w:rsid w:val="622C0C5F"/>
    <w:rsid w:val="62364782"/>
    <w:rsid w:val="6239194F"/>
    <w:rsid w:val="6243457B"/>
    <w:rsid w:val="6247406C"/>
    <w:rsid w:val="625B7CED"/>
    <w:rsid w:val="627774E0"/>
    <w:rsid w:val="62832BCA"/>
    <w:rsid w:val="62A52B40"/>
    <w:rsid w:val="62B47227"/>
    <w:rsid w:val="62C51434"/>
    <w:rsid w:val="62E0626E"/>
    <w:rsid w:val="62E25B42"/>
    <w:rsid w:val="63416D0D"/>
    <w:rsid w:val="634F0E04"/>
    <w:rsid w:val="635F3637"/>
    <w:rsid w:val="637F15E3"/>
    <w:rsid w:val="63846BFA"/>
    <w:rsid w:val="6394356A"/>
    <w:rsid w:val="639D3C37"/>
    <w:rsid w:val="63A82A01"/>
    <w:rsid w:val="63B13F4A"/>
    <w:rsid w:val="63BC45E5"/>
    <w:rsid w:val="63C61B2C"/>
    <w:rsid w:val="63C65464"/>
    <w:rsid w:val="63D336DD"/>
    <w:rsid w:val="63D40BE9"/>
    <w:rsid w:val="63D731CD"/>
    <w:rsid w:val="63E8362C"/>
    <w:rsid w:val="63EB219F"/>
    <w:rsid w:val="64044A65"/>
    <w:rsid w:val="640D3429"/>
    <w:rsid w:val="64102431"/>
    <w:rsid w:val="64124205"/>
    <w:rsid w:val="641F6922"/>
    <w:rsid w:val="642F5116"/>
    <w:rsid w:val="643D4406"/>
    <w:rsid w:val="644263A1"/>
    <w:rsid w:val="6449399F"/>
    <w:rsid w:val="64646D95"/>
    <w:rsid w:val="64852C29"/>
    <w:rsid w:val="648C045C"/>
    <w:rsid w:val="649C61C5"/>
    <w:rsid w:val="64A5243A"/>
    <w:rsid w:val="64B654D9"/>
    <w:rsid w:val="64B92B25"/>
    <w:rsid w:val="64D41552"/>
    <w:rsid w:val="64D911C7"/>
    <w:rsid w:val="64E16979"/>
    <w:rsid w:val="64EA5182"/>
    <w:rsid w:val="64ED07CF"/>
    <w:rsid w:val="64F102BF"/>
    <w:rsid w:val="64F531DE"/>
    <w:rsid w:val="65006754"/>
    <w:rsid w:val="65044496"/>
    <w:rsid w:val="65053D6A"/>
    <w:rsid w:val="650B0F5A"/>
    <w:rsid w:val="65130235"/>
    <w:rsid w:val="6518584B"/>
    <w:rsid w:val="651E4C38"/>
    <w:rsid w:val="651E4E2C"/>
    <w:rsid w:val="6525440C"/>
    <w:rsid w:val="65373578"/>
    <w:rsid w:val="655D3BA6"/>
    <w:rsid w:val="655F347A"/>
    <w:rsid w:val="65640326"/>
    <w:rsid w:val="65674A25"/>
    <w:rsid w:val="65751269"/>
    <w:rsid w:val="6582360D"/>
    <w:rsid w:val="65B37C6A"/>
    <w:rsid w:val="65C854C3"/>
    <w:rsid w:val="65C92FEA"/>
    <w:rsid w:val="65CD5BB9"/>
    <w:rsid w:val="65D11E9E"/>
    <w:rsid w:val="65D50E29"/>
    <w:rsid w:val="65D648DA"/>
    <w:rsid w:val="65E41BD1"/>
    <w:rsid w:val="65F04A1A"/>
    <w:rsid w:val="66012783"/>
    <w:rsid w:val="6609788A"/>
    <w:rsid w:val="660D2ED6"/>
    <w:rsid w:val="66187ACD"/>
    <w:rsid w:val="662D5327"/>
    <w:rsid w:val="663366B5"/>
    <w:rsid w:val="6635242D"/>
    <w:rsid w:val="663761A5"/>
    <w:rsid w:val="66384398"/>
    <w:rsid w:val="663F15CE"/>
    <w:rsid w:val="66485B4C"/>
    <w:rsid w:val="664B1C51"/>
    <w:rsid w:val="66572E08"/>
    <w:rsid w:val="669D1BD8"/>
    <w:rsid w:val="66AE605A"/>
    <w:rsid w:val="66C11F13"/>
    <w:rsid w:val="66E856F1"/>
    <w:rsid w:val="66F129A0"/>
    <w:rsid w:val="67006EDF"/>
    <w:rsid w:val="6711338A"/>
    <w:rsid w:val="671F124A"/>
    <w:rsid w:val="673152EA"/>
    <w:rsid w:val="67397CFB"/>
    <w:rsid w:val="673F539A"/>
    <w:rsid w:val="675B5EC3"/>
    <w:rsid w:val="67627252"/>
    <w:rsid w:val="67694A84"/>
    <w:rsid w:val="676B07FC"/>
    <w:rsid w:val="677A33C6"/>
    <w:rsid w:val="677B0314"/>
    <w:rsid w:val="67B37AAD"/>
    <w:rsid w:val="67B9020D"/>
    <w:rsid w:val="67BA708E"/>
    <w:rsid w:val="67E1461B"/>
    <w:rsid w:val="67FB3202"/>
    <w:rsid w:val="67FF2CF3"/>
    <w:rsid w:val="681F6961"/>
    <w:rsid w:val="68242759"/>
    <w:rsid w:val="684150B9"/>
    <w:rsid w:val="68534DEC"/>
    <w:rsid w:val="685F19E3"/>
    <w:rsid w:val="68610A2F"/>
    <w:rsid w:val="686215E7"/>
    <w:rsid w:val="686A23D2"/>
    <w:rsid w:val="687D4A3B"/>
    <w:rsid w:val="68805514"/>
    <w:rsid w:val="68823B6B"/>
    <w:rsid w:val="68866F70"/>
    <w:rsid w:val="68A613C0"/>
    <w:rsid w:val="68AA0EB0"/>
    <w:rsid w:val="68E23EC8"/>
    <w:rsid w:val="68EB0D11"/>
    <w:rsid w:val="68F465CF"/>
    <w:rsid w:val="68F62348"/>
    <w:rsid w:val="69012A9A"/>
    <w:rsid w:val="69280027"/>
    <w:rsid w:val="692C7B17"/>
    <w:rsid w:val="69316E2F"/>
    <w:rsid w:val="69427A59"/>
    <w:rsid w:val="694A7AF4"/>
    <w:rsid w:val="694C1F68"/>
    <w:rsid w:val="694E2071"/>
    <w:rsid w:val="69561038"/>
    <w:rsid w:val="6958090C"/>
    <w:rsid w:val="696279DD"/>
    <w:rsid w:val="696A4AE4"/>
    <w:rsid w:val="696C6EA1"/>
    <w:rsid w:val="696D0F78"/>
    <w:rsid w:val="69735746"/>
    <w:rsid w:val="69766163"/>
    <w:rsid w:val="697A3B33"/>
    <w:rsid w:val="69907AEC"/>
    <w:rsid w:val="69A81F32"/>
    <w:rsid w:val="69BA15C7"/>
    <w:rsid w:val="69BF6BDD"/>
    <w:rsid w:val="69C441F4"/>
    <w:rsid w:val="69CE5072"/>
    <w:rsid w:val="69D44760"/>
    <w:rsid w:val="69D87C9F"/>
    <w:rsid w:val="69ED23C7"/>
    <w:rsid w:val="69F30635"/>
    <w:rsid w:val="69F543AD"/>
    <w:rsid w:val="6A023192"/>
    <w:rsid w:val="6A070584"/>
    <w:rsid w:val="6A192B64"/>
    <w:rsid w:val="6A1A3E14"/>
    <w:rsid w:val="6A3550F2"/>
    <w:rsid w:val="6A3D3FA6"/>
    <w:rsid w:val="6A3F2944"/>
    <w:rsid w:val="6A464C09"/>
    <w:rsid w:val="6A4B0471"/>
    <w:rsid w:val="6A4E79BF"/>
    <w:rsid w:val="6A520EC7"/>
    <w:rsid w:val="6A65698A"/>
    <w:rsid w:val="6A6B466F"/>
    <w:rsid w:val="6A8B2F63"/>
    <w:rsid w:val="6A9040D6"/>
    <w:rsid w:val="6A955B90"/>
    <w:rsid w:val="6A975464"/>
    <w:rsid w:val="6AAD199E"/>
    <w:rsid w:val="6AF87E20"/>
    <w:rsid w:val="6B0A0A57"/>
    <w:rsid w:val="6B2A57DF"/>
    <w:rsid w:val="6B322639"/>
    <w:rsid w:val="6B397FE0"/>
    <w:rsid w:val="6B4A697B"/>
    <w:rsid w:val="6B637A3C"/>
    <w:rsid w:val="6B655622"/>
    <w:rsid w:val="6B663E10"/>
    <w:rsid w:val="6B713F07"/>
    <w:rsid w:val="6B724DF9"/>
    <w:rsid w:val="6B806ECC"/>
    <w:rsid w:val="6B936419"/>
    <w:rsid w:val="6BBF2EC5"/>
    <w:rsid w:val="6BCB7ABB"/>
    <w:rsid w:val="6BEE2725"/>
    <w:rsid w:val="6BF608B1"/>
    <w:rsid w:val="6C042FCD"/>
    <w:rsid w:val="6C1F1BB5"/>
    <w:rsid w:val="6C225202"/>
    <w:rsid w:val="6C2A4B84"/>
    <w:rsid w:val="6C3F5DB4"/>
    <w:rsid w:val="6C474C68"/>
    <w:rsid w:val="6C4B6506"/>
    <w:rsid w:val="6C4E5FF7"/>
    <w:rsid w:val="6C506213"/>
    <w:rsid w:val="6C613F7C"/>
    <w:rsid w:val="6C615D2A"/>
    <w:rsid w:val="6C636C38"/>
    <w:rsid w:val="6C663340"/>
    <w:rsid w:val="6C7C2B64"/>
    <w:rsid w:val="6C7C7008"/>
    <w:rsid w:val="6C7F08A6"/>
    <w:rsid w:val="6CA4030D"/>
    <w:rsid w:val="6CB653F2"/>
    <w:rsid w:val="6CC12C6C"/>
    <w:rsid w:val="6CCF6157"/>
    <w:rsid w:val="6CE40709"/>
    <w:rsid w:val="6CF31FF0"/>
    <w:rsid w:val="6CFA29FA"/>
    <w:rsid w:val="6CFA7F2C"/>
    <w:rsid w:val="6CFC6F46"/>
    <w:rsid w:val="6D140FEE"/>
    <w:rsid w:val="6D1E00BF"/>
    <w:rsid w:val="6D3E250F"/>
    <w:rsid w:val="6D4D62AE"/>
    <w:rsid w:val="6D5533B5"/>
    <w:rsid w:val="6D5C5AB8"/>
    <w:rsid w:val="6D605C02"/>
    <w:rsid w:val="6D6A3304"/>
    <w:rsid w:val="6D725D15"/>
    <w:rsid w:val="6D9208E0"/>
    <w:rsid w:val="6DAD4F9F"/>
    <w:rsid w:val="6DB34098"/>
    <w:rsid w:val="6DB545B6"/>
    <w:rsid w:val="6DBB76BC"/>
    <w:rsid w:val="6DBC51E2"/>
    <w:rsid w:val="6DD93FE6"/>
    <w:rsid w:val="6DDB1613"/>
    <w:rsid w:val="6DDB7D5E"/>
    <w:rsid w:val="6DE02FB4"/>
    <w:rsid w:val="6DE50BDD"/>
    <w:rsid w:val="6DF618D3"/>
    <w:rsid w:val="6E0C6169"/>
    <w:rsid w:val="6E1F1379"/>
    <w:rsid w:val="6E216668"/>
    <w:rsid w:val="6E281775"/>
    <w:rsid w:val="6E2C2368"/>
    <w:rsid w:val="6E3556C0"/>
    <w:rsid w:val="6E3D27C7"/>
    <w:rsid w:val="6E4606C9"/>
    <w:rsid w:val="6E514CED"/>
    <w:rsid w:val="6E526272"/>
    <w:rsid w:val="6E5A0C83"/>
    <w:rsid w:val="6E5C0E9F"/>
    <w:rsid w:val="6E622E7D"/>
    <w:rsid w:val="6E843F52"/>
    <w:rsid w:val="6E973237"/>
    <w:rsid w:val="6EA75E92"/>
    <w:rsid w:val="6EAC11BC"/>
    <w:rsid w:val="6EB02F99"/>
    <w:rsid w:val="6EB563D5"/>
    <w:rsid w:val="6ED92677"/>
    <w:rsid w:val="6EDC1FE0"/>
    <w:rsid w:val="6EDC3D8E"/>
    <w:rsid w:val="6EE24B7A"/>
    <w:rsid w:val="6EE92007"/>
    <w:rsid w:val="6EEE555E"/>
    <w:rsid w:val="6F06705D"/>
    <w:rsid w:val="6F1654F2"/>
    <w:rsid w:val="6F1A3BE3"/>
    <w:rsid w:val="6F1C418A"/>
    <w:rsid w:val="6F1F65C5"/>
    <w:rsid w:val="6F225983"/>
    <w:rsid w:val="6F285225"/>
    <w:rsid w:val="6F35524C"/>
    <w:rsid w:val="6F3C793D"/>
    <w:rsid w:val="6F3E3732"/>
    <w:rsid w:val="6F6618A9"/>
    <w:rsid w:val="6F83478C"/>
    <w:rsid w:val="6F865AA7"/>
    <w:rsid w:val="6FB95E7D"/>
    <w:rsid w:val="6FC53B50"/>
    <w:rsid w:val="6FDE58E3"/>
    <w:rsid w:val="6FF7562A"/>
    <w:rsid w:val="6FFC5590"/>
    <w:rsid w:val="70161521"/>
    <w:rsid w:val="701E3F32"/>
    <w:rsid w:val="70294DB1"/>
    <w:rsid w:val="705B6F34"/>
    <w:rsid w:val="70690FEF"/>
    <w:rsid w:val="706D1DD0"/>
    <w:rsid w:val="708244C1"/>
    <w:rsid w:val="70853FB1"/>
    <w:rsid w:val="70856B87"/>
    <w:rsid w:val="70A408DB"/>
    <w:rsid w:val="70A66401"/>
    <w:rsid w:val="70AC7B6E"/>
    <w:rsid w:val="70C37D8E"/>
    <w:rsid w:val="70D171F6"/>
    <w:rsid w:val="70D527EE"/>
    <w:rsid w:val="70D87EB6"/>
    <w:rsid w:val="70ED18BA"/>
    <w:rsid w:val="71107D1F"/>
    <w:rsid w:val="7130216F"/>
    <w:rsid w:val="714C00DE"/>
    <w:rsid w:val="715B5300"/>
    <w:rsid w:val="717C1858"/>
    <w:rsid w:val="71887C3A"/>
    <w:rsid w:val="71922E29"/>
    <w:rsid w:val="719F2931"/>
    <w:rsid w:val="71B11502"/>
    <w:rsid w:val="71B82D06"/>
    <w:rsid w:val="71BA7C8A"/>
    <w:rsid w:val="71C34D2A"/>
    <w:rsid w:val="71D27F8A"/>
    <w:rsid w:val="71DB032D"/>
    <w:rsid w:val="71F91964"/>
    <w:rsid w:val="72190E55"/>
    <w:rsid w:val="72262257"/>
    <w:rsid w:val="7238752D"/>
    <w:rsid w:val="72553024"/>
    <w:rsid w:val="72691DDC"/>
    <w:rsid w:val="72873175"/>
    <w:rsid w:val="728C48D0"/>
    <w:rsid w:val="7298621E"/>
    <w:rsid w:val="72A20E4A"/>
    <w:rsid w:val="72A66B8C"/>
    <w:rsid w:val="72C04BFD"/>
    <w:rsid w:val="72C6689B"/>
    <w:rsid w:val="72D54D7C"/>
    <w:rsid w:val="72DF3FAB"/>
    <w:rsid w:val="72E17BC5"/>
    <w:rsid w:val="72E871A5"/>
    <w:rsid w:val="73122968"/>
    <w:rsid w:val="73124222"/>
    <w:rsid w:val="731A6C33"/>
    <w:rsid w:val="731D4975"/>
    <w:rsid w:val="731F5D5E"/>
    <w:rsid w:val="732B0E40"/>
    <w:rsid w:val="73384A80"/>
    <w:rsid w:val="73397787"/>
    <w:rsid w:val="73487C44"/>
    <w:rsid w:val="736E6F7E"/>
    <w:rsid w:val="73724CC1"/>
    <w:rsid w:val="738531BD"/>
    <w:rsid w:val="73A6496A"/>
    <w:rsid w:val="73AE5E19"/>
    <w:rsid w:val="73BF02BD"/>
    <w:rsid w:val="73C51AD5"/>
    <w:rsid w:val="73D0517B"/>
    <w:rsid w:val="73D72D76"/>
    <w:rsid w:val="73E334C8"/>
    <w:rsid w:val="73E65F5C"/>
    <w:rsid w:val="73EF0CEB"/>
    <w:rsid w:val="73FE393A"/>
    <w:rsid w:val="73FE786D"/>
    <w:rsid w:val="740C6EC3"/>
    <w:rsid w:val="74116287"/>
    <w:rsid w:val="741E793C"/>
    <w:rsid w:val="74281823"/>
    <w:rsid w:val="74324450"/>
    <w:rsid w:val="7459618E"/>
    <w:rsid w:val="745E3944"/>
    <w:rsid w:val="746E5488"/>
    <w:rsid w:val="7481774B"/>
    <w:rsid w:val="7496678D"/>
    <w:rsid w:val="7499002B"/>
    <w:rsid w:val="74AA2238"/>
    <w:rsid w:val="74B03CF2"/>
    <w:rsid w:val="74B530B7"/>
    <w:rsid w:val="74B82BA7"/>
    <w:rsid w:val="74C257D4"/>
    <w:rsid w:val="74DF1EE2"/>
    <w:rsid w:val="74E25E76"/>
    <w:rsid w:val="74EE481B"/>
    <w:rsid w:val="75385A96"/>
    <w:rsid w:val="753D12FE"/>
    <w:rsid w:val="75436915"/>
    <w:rsid w:val="757C1E26"/>
    <w:rsid w:val="75930F1E"/>
    <w:rsid w:val="759E1D9D"/>
    <w:rsid w:val="75DF7578"/>
    <w:rsid w:val="75EB2B08"/>
    <w:rsid w:val="761D26FE"/>
    <w:rsid w:val="762A3631"/>
    <w:rsid w:val="7635099D"/>
    <w:rsid w:val="764845D1"/>
    <w:rsid w:val="765406AD"/>
    <w:rsid w:val="765C7562"/>
    <w:rsid w:val="76650B0D"/>
    <w:rsid w:val="767E547A"/>
    <w:rsid w:val="768B2C00"/>
    <w:rsid w:val="76946CFC"/>
    <w:rsid w:val="76B13D52"/>
    <w:rsid w:val="76B949B4"/>
    <w:rsid w:val="76CE0460"/>
    <w:rsid w:val="76D96E05"/>
    <w:rsid w:val="76E57410"/>
    <w:rsid w:val="76EB3EDA"/>
    <w:rsid w:val="76F15830"/>
    <w:rsid w:val="76FD2AF3"/>
    <w:rsid w:val="770A0FA4"/>
    <w:rsid w:val="77130569"/>
    <w:rsid w:val="77253DF8"/>
    <w:rsid w:val="77366005"/>
    <w:rsid w:val="7746449A"/>
    <w:rsid w:val="774C75D7"/>
    <w:rsid w:val="775D3592"/>
    <w:rsid w:val="77651E25"/>
    <w:rsid w:val="777032C5"/>
    <w:rsid w:val="77762421"/>
    <w:rsid w:val="77824E57"/>
    <w:rsid w:val="779D7E32"/>
    <w:rsid w:val="77A213F1"/>
    <w:rsid w:val="77B56B1F"/>
    <w:rsid w:val="77F42148"/>
    <w:rsid w:val="77F62B13"/>
    <w:rsid w:val="77FA5285"/>
    <w:rsid w:val="780F09F4"/>
    <w:rsid w:val="78120820"/>
    <w:rsid w:val="781B522B"/>
    <w:rsid w:val="78236589"/>
    <w:rsid w:val="7826619A"/>
    <w:rsid w:val="78362761"/>
    <w:rsid w:val="785030F6"/>
    <w:rsid w:val="78542BE7"/>
    <w:rsid w:val="7857700D"/>
    <w:rsid w:val="785C57B6"/>
    <w:rsid w:val="786A065C"/>
    <w:rsid w:val="78743289"/>
    <w:rsid w:val="78874D6A"/>
    <w:rsid w:val="788F1E71"/>
    <w:rsid w:val="78970D25"/>
    <w:rsid w:val="789B6A68"/>
    <w:rsid w:val="789F23B2"/>
    <w:rsid w:val="78A90480"/>
    <w:rsid w:val="78AD0549"/>
    <w:rsid w:val="78C7785D"/>
    <w:rsid w:val="78D86CEC"/>
    <w:rsid w:val="78E21FA1"/>
    <w:rsid w:val="78F7538D"/>
    <w:rsid w:val="7904460D"/>
    <w:rsid w:val="791A3E30"/>
    <w:rsid w:val="79240B36"/>
    <w:rsid w:val="796926C2"/>
    <w:rsid w:val="79872B48"/>
    <w:rsid w:val="799314ED"/>
    <w:rsid w:val="79967225"/>
    <w:rsid w:val="79A11135"/>
    <w:rsid w:val="79BD1D5F"/>
    <w:rsid w:val="79C14B25"/>
    <w:rsid w:val="79D16EB7"/>
    <w:rsid w:val="79EB1329"/>
    <w:rsid w:val="7A016D9E"/>
    <w:rsid w:val="7A083C89"/>
    <w:rsid w:val="7A100B88"/>
    <w:rsid w:val="7A2F56B9"/>
    <w:rsid w:val="7A364017"/>
    <w:rsid w:val="7A4F2DB3"/>
    <w:rsid w:val="7A5127F2"/>
    <w:rsid w:val="7A601D17"/>
    <w:rsid w:val="7A603AC5"/>
    <w:rsid w:val="7A731829"/>
    <w:rsid w:val="7A796935"/>
    <w:rsid w:val="7A7E2F2E"/>
    <w:rsid w:val="7A8265E1"/>
    <w:rsid w:val="7A8B3080"/>
    <w:rsid w:val="7A8E7600"/>
    <w:rsid w:val="7A9B2D4F"/>
    <w:rsid w:val="7AAF2356"/>
    <w:rsid w:val="7AB145C7"/>
    <w:rsid w:val="7AD7365B"/>
    <w:rsid w:val="7AD92CB4"/>
    <w:rsid w:val="7AEC5358"/>
    <w:rsid w:val="7B0F0C0A"/>
    <w:rsid w:val="7B1228E5"/>
    <w:rsid w:val="7B4909FD"/>
    <w:rsid w:val="7B4A207F"/>
    <w:rsid w:val="7B5141B8"/>
    <w:rsid w:val="7B5F3D7C"/>
    <w:rsid w:val="7B6273C9"/>
    <w:rsid w:val="7B686D42"/>
    <w:rsid w:val="7B71191C"/>
    <w:rsid w:val="7B762E74"/>
    <w:rsid w:val="7B841746"/>
    <w:rsid w:val="7B9854E0"/>
    <w:rsid w:val="7B98728E"/>
    <w:rsid w:val="7BA07EF1"/>
    <w:rsid w:val="7BA43E85"/>
    <w:rsid w:val="7BB120FE"/>
    <w:rsid w:val="7BBF24CB"/>
    <w:rsid w:val="7BD32074"/>
    <w:rsid w:val="7BD32392"/>
    <w:rsid w:val="7BDA29E9"/>
    <w:rsid w:val="7BDC34AC"/>
    <w:rsid w:val="7BDE0BC1"/>
    <w:rsid w:val="7BE424D4"/>
    <w:rsid w:val="7BE44282"/>
    <w:rsid w:val="7C0067A9"/>
    <w:rsid w:val="7C014E34"/>
    <w:rsid w:val="7C02295A"/>
    <w:rsid w:val="7C091F3A"/>
    <w:rsid w:val="7C142DB9"/>
    <w:rsid w:val="7C1707DD"/>
    <w:rsid w:val="7C525B1E"/>
    <w:rsid w:val="7C605FFE"/>
    <w:rsid w:val="7C6C5AC7"/>
    <w:rsid w:val="7C75312C"/>
    <w:rsid w:val="7C78666F"/>
    <w:rsid w:val="7C887303"/>
    <w:rsid w:val="7C977546"/>
    <w:rsid w:val="7CBC263F"/>
    <w:rsid w:val="7CC6544B"/>
    <w:rsid w:val="7CCF0A8E"/>
    <w:rsid w:val="7CD9190C"/>
    <w:rsid w:val="7CDB3E75"/>
    <w:rsid w:val="7CE02C9B"/>
    <w:rsid w:val="7CE309DD"/>
    <w:rsid w:val="7CE7227B"/>
    <w:rsid w:val="7CEF2EDE"/>
    <w:rsid w:val="7D0239FF"/>
    <w:rsid w:val="7D140B97"/>
    <w:rsid w:val="7D1868D9"/>
    <w:rsid w:val="7D1B0177"/>
    <w:rsid w:val="7D33726F"/>
    <w:rsid w:val="7D376633"/>
    <w:rsid w:val="7D4A468D"/>
    <w:rsid w:val="7D4F42C4"/>
    <w:rsid w:val="7D5E40CD"/>
    <w:rsid w:val="7D6513F2"/>
    <w:rsid w:val="7D72364A"/>
    <w:rsid w:val="7D7F0706"/>
    <w:rsid w:val="7D871F78"/>
    <w:rsid w:val="7D8F021D"/>
    <w:rsid w:val="7DAE28C5"/>
    <w:rsid w:val="7DB008BF"/>
    <w:rsid w:val="7DBA34EC"/>
    <w:rsid w:val="7DC600E3"/>
    <w:rsid w:val="7DC720AD"/>
    <w:rsid w:val="7DCD56F2"/>
    <w:rsid w:val="7DDF73F6"/>
    <w:rsid w:val="7DE83EE6"/>
    <w:rsid w:val="7E01736D"/>
    <w:rsid w:val="7E0871BD"/>
    <w:rsid w:val="7E10135E"/>
    <w:rsid w:val="7E366B3C"/>
    <w:rsid w:val="7E3E0756"/>
    <w:rsid w:val="7E3F60E7"/>
    <w:rsid w:val="7E505BFE"/>
    <w:rsid w:val="7E6B6EDC"/>
    <w:rsid w:val="7E81400A"/>
    <w:rsid w:val="7E864912"/>
    <w:rsid w:val="7E865AC4"/>
    <w:rsid w:val="7E8D29AE"/>
    <w:rsid w:val="7E9E2E0E"/>
    <w:rsid w:val="7EB02421"/>
    <w:rsid w:val="7EB0625E"/>
    <w:rsid w:val="7EBC7738"/>
    <w:rsid w:val="7EC34622"/>
    <w:rsid w:val="7EC860DC"/>
    <w:rsid w:val="7ED311A8"/>
    <w:rsid w:val="7ED56104"/>
    <w:rsid w:val="7EDC56E4"/>
    <w:rsid w:val="7EDF7FA9"/>
    <w:rsid w:val="7EE34CC4"/>
    <w:rsid w:val="7EE4674F"/>
    <w:rsid w:val="7EF40C80"/>
    <w:rsid w:val="7EFE565A"/>
    <w:rsid w:val="7F001CE7"/>
    <w:rsid w:val="7F2D1F8D"/>
    <w:rsid w:val="7F3B065C"/>
    <w:rsid w:val="7F3B240A"/>
    <w:rsid w:val="7F3C39D0"/>
    <w:rsid w:val="7F437511"/>
    <w:rsid w:val="7F7333C7"/>
    <w:rsid w:val="7F916650"/>
    <w:rsid w:val="7FA06711"/>
    <w:rsid w:val="7FAC50B6"/>
    <w:rsid w:val="7FB623D9"/>
    <w:rsid w:val="7FB81CAD"/>
    <w:rsid w:val="7FC26EBF"/>
    <w:rsid w:val="7FCE7723"/>
    <w:rsid w:val="7FE44850"/>
    <w:rsid w:val="7FE47E50"/>
    <w:rsid w:val="7FE51165"/>
    <w:rsid w:val="7FE7429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unhideWhenUsed="0" w:uiPriority="0" w:name="annotation text"/>
    <w:lsdException w:unhideWhenUsed="0" w:uiPriority="0" w:semiHidden="0" w:name="header"/>
    <w:lsdException w:unhideWhenUsed="0" w:uiPriority="99" w:semiHidden="0" w:name="footer"/>
    <w:lsdException w:unhideWhenUsed="0" w:uiPriority="0" w:semiHidden="0" w:name="index heading" w:locked="1"/>
    <w:lsdException w:qFormat="1" w:uiPriority="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name="annotation reference"/>
    <w:lsdException w:unhideWhenUsed="0" w:uiPriority="0" w:semiHidden="0" w:name="line number" w:locked="1"/>
    <w:lsdException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unhideWhenUsed="0" w:uiPriority="0" w:semiHidden="0" w:name="Date"/>
    <w:lsdException w:qFormat="1" w:unhideWhenUsed="0" w:uiPriority="0" w:semiHidden="0" w:name="Body Text First Indent" w:locked="1"/>
    <w:lsdException w:qFormat="1"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unhideWhenUsed="0" w:uiPriority="0" w:name="Normal Table"/>
    <w:lsdException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unhideWhenUsed="0" w:uiPriority="0" w:name="Balloon Text"/>
    <w:lsdException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spacing w:before="193" w:beforeLines="50" w:after="193" w:afterLines="50" w:line="360" w:lineRule="auto"/>
      <w:outlineLvl w:val="1"/>
    </w:pPr>
    <w:rPr>
      <w:sz w:val="28"/>
    </w:rPr>
  </w:style>
  <w:style w:type="paragraph" w:styleId="4">
    <w:name w:val="heading 3"/>
    <w:basedOn w:val="1"/>
    <w:next w:val="1"/>
    <w:qFormat/>
    <w:locked/>
    <w:uiPriority w:val="0"/>
    <w:pPr>
      <w:keepNext/>
      <w:keepLines/>
      <w:spacing w:line="360" w:lineRule="auto"/>
      <w:outlineLvl w:val="2"/>
    </w:pPr>
    <w:rPr>
      <w:b/>
      <w:bCs/>
      <w:sz w:val="24"/>
      <w:szCs w:val="32"/>
    </w:rPr>
  </w:style>
  <w:style w:type="paragraph" w:styleId="5">
    <w:name w:val="heading 4"/>
    <w:basedOn w:val="1"/>
    <w:next w:val="1"/>
    <w:qFormat/>
    <w:locked/>
    <w:uiPriority w:val="0"/>
    <w:pPr>
      <w:keepNext/>
      <w:keepLines/>
      <w:numPr>
        <w:ilvl w:val="3"/>
        <w:numId w:val="1"/>
      </w:numPr>
      <w:spacing w:before="280" w:after="290" w:line="376" w:lineRule="auto"/>
      <w:outlineLvl w:val="3"/>
    </w:pPr>
    <w:rPr>
      <w:rFonts w:ascii="Arial" w:hAnsi="Arial" w:eastAsia="宋体"/>
      <w:b/>
      <w:sz w:val="24"/>
      <w:szCs w:val="20"/>
    </w:rPr>
  </w:style>
  <w:style w:type="character" w:default="1" w:styleId="26">
    <w:name w:val="Default Paragraph Font"/>
    <w:semiHidden/>
    <w:uiPriority w:val="0"/>
  </w:style>
  <w:style w:type="table" w:default="1" w:styleId="24">
    <w:name w:val="Normal Table"/>
    <w:semiHidden/>
    <w:uiPriority w:val="0"/>
    <w:tblPr>
      <w:tblStyle w:val="24"/>
      <w:tblCellMar>
        <w:top w:w="0" w:type="dxa"/>
        <w:left w:w="108" w:type="dxa"/>
        <w:bottom w:w="0" w:type="dxa"/>
        <w:right w:w="108" w:type="dxa"/>
      </w:tblCellMar>
    </w:tblPr>
  </w:style>
  <w:style w:type="paragraph" w:styleId="6">
    <w:name w:val="Normal Indent"/>
    <w:basedOn w:val="1"/>
    <w:next w:val="1"/>
    <w:qFormat/>
    <w:locked/>
    <w:uiPriority w:val="0"/>
    <w:rPr>
      <w:rFonts w:ascii="Times New Roman" w:hAnsi="Times New Roman" w:eastAsia="黑体"/>
      <w:sz w:val="28"/>
    </w:rPr>
  </w:style>
  <w:style w:type="paragraph" w:styleId="7">
    <w:name w:val="annotation text"/>
    <w:basedOn w:val="1"/>
    <w:link w:val="30"/>
    <w:semiHidden/>
    <w:uiPriority w:val="0"/>
    <w:pPr>
      <w:jc w:val="left"/>
    </w:pPr>
    <w:rPr>
      <w:kern w:val="0"/>
      <w:sz w:val="24"/>
      <w:szCs w:val="20"/>
    </w:rPr>
  </w:style>
  <w:style w:type="paragraph" w:styleId="8">
    <w:name w:val="Body Text"/>
    <w:basedOn w:val="1"/>
    <w:next w:val="9"/>
    <w:link w:val="31"/>
    <w:uiPriority w:val="0"/>
    <w:pPr>
      <w:widowControl/>
      <w:snapToGrid w:val="0"/>
      <w:spacing w:before="60" w:after="160" w:line="259" w:lineRule="auto"/>
      <w:ind w:right="113"/>
    </w:pPr>
    <w:rPr>
      <w:kern w:val="0"/>
      <w:sz w:val="18"/>
      <w:szCs w:val="20"/>
    </w:rPr>
  </w:style>
  <w:style w:type="paragraph" w:styleId="9">
    <w:name w:val="List Bullet 5"/>
    <w:basedOn w:val="1"/>
    <w:locked/>
    <w:uiPriority w:val="0"/>
    <w:pPr>
      <w:numPr>
        <w:ilvl w:val="0"/>
        <w:numId w:val="2"/>
      </w:numPr>
    </w:pPr>
  </w:style>
  <w:style w:type="paragraph" w:styleId="10">
    <w:name w:val="Body Text Indent"/>
    <w:basedOn w:val="1"/>
    <w:next w:val="11"/>
    <w:link w:val="32"/>
    <w:uiPriority w:val="0"/>
    <w:pPr>
      <w:spacing w:after="120"/>
      <w:ind w:left="420" w:leftChars="200"/>
    </w:pPr>
    <w:rPr>
      <w:kern w:val="0"/>
      <w:sz w:val="24"/>
      <w:szCs w:val="20"/>
    </w:rPr>
  </w:style>
  <w:style w:type="paragraph" w:styleId="11">
    <w:name w:val="Body Text First Indent"/>
    <w:basedOn w:val="8"/>
    <w:next w:val="12"/>
    <w:qFormat/>
    <w:locked/>
    <w:uiPriority w:val="0"/>
    <w:pPr>
      <w:spacing w:after="120" w:line="240" w:lineRule="auto"/>
      <w:ind w:firstLine="420" w:firstLineChars="100"/>
    </w:pPr>
    <w:rPr>
      <w:rFonts w:hAnsi="金山简宋体"/>
      <w:sz w:val="30"/>
      <w:szCs w:val="24"/>
    </w:rPr>
  </w:style>
  <w:style w:type="paragraph" w:styleId="12">
    <w:name w:val="table of figures"/>
    <w:basedOn w:val="1"/>
    <w:next w:val="1"/>
    <w:qFormat/>
    <w:locked/>
    <w:uiPriority w:val="0"/>
    <w:pPr>
      <w:spacing w:before="50" w:beforeLines="50" w:after="50" w:afterLines="50"/>
      <w:jc w:val="center"/>
    </w:pPr>
    <w:rPr>
      <w:b/>
      <w:sz w:val="28"/>
    </w:rPr>
  </w:style>
  <w:style w:type="paragraph" w:styleId="13">
    <w:name w:val="Plain Text"/>
    <w:basedOn w:val="1"/>
    <w:qFormat/>
    <w:locked/>
    <w:uiPriority w:val="0"/>
    <w:pPr>
      <w:snapToGrid w:val="0"/>
      <w:spacing w:line="520" w:lineRule="atLeast"/>
      <w:ind w:firstLine="420"/>
    </w:pPr>
    <w:rPr>
      <w:rFonts w:ascii="宋体" w:hAnsi="Courier New"/>
      <w:sz w:val="28"/>
    </w:rPr>
  </w:style>
  <w:style w:type="paragraph" w:styleId="14">
    <w:name w:val="Date"/>
    <w:basedOn w:val="1"/>
    <w:next w:val="1"/>
    <w:link w:val="33"/>
    <w:uiPriority w:val="0"/>
    <w:pPr>
      <w:ind w:left="100" w:leftChars="2500"/>
    </w:pPr>
    <w:rPr>
      <w:kern w:val="0"/>
      <w:sz w:val="24"/>
      <w:szCs w:val="20"/>
    </w:rPr>
  </w:style>
  <w:style w:type="paragraph" w:styleId="15">
    <w:name w:val="Body Text Indent 2"/>
    <w:basedOn w:val="1"/>
    <w:qFormat/>
    <w:locked/>
    <w:uiPriority w:val="0"/>
    <w:pPr>
      <w:spacing w:line="420" w:lineRule="exact"/>
      <w:ind w:firstLine="540" w:firstLineChars="225"/>
    </w:pPr>
  </w:style>
  <w:style w:type="paragraph" w:styleId="16">
    <w:name w:val="Balloon Text"/>
    <w:basedOn w:val="1"/>
    <w:link w:val="34"/>
    <w:semiHidden/>
    <w:uiPriority w:val="0"/>
    <w:rPr>
      <w:kern w:val="0"/>
      <w:sz w:val="18"/>
      <w:szCs w:val="20"/>
    </w:rPr>
  </w:style>
  <w:style w:type="paragraph" w:styleId="17">
    <w:name w:val="footer"/>
    <w:basedOn w:val="1"/>
    <w:link w:val="35"/>
    <w:uiPriority w:val="99"/>
    <w:pPr>
      <w:tabs>
        <w:tab w:val="center" w:pos="4153"/>
        <w:tab w:val="right" w:pos="8306"/>
      </w:tabs>
      <w:snapToGrid w:val="0"/>
      <w:jc w:val="left"/>
    </w:pPr>
    <w:rPr>
      <w:kern w:val="0"/>
      <w:sz w:val="18"/>
      <w:szCs w:val="20"/>
    </w:rPr>
  </w:style>
  <w:style w:type="paragraph" w:styleId="18">
    <w:name w:val="header"/>
    <w:basedOn w:val="1"/>
    <w:link w:val="36"/>
    <w:uiPriority w:val="0"/>
    <w:pPr>
      <w:pBdr>
        <w:bottom w:val="single" w:color="auto" w:sz="6" w:space="1"/>
      </w:pBdr>
      <w:tabs>
        <w:tab w:val="center" w:pos="4153"/>
        <w:tab w:val="right" w:pos="8306"/>
      </w:tabs>
      <w:snapToGrid w:val="0"/>
      <w:jc w:val="center"/>
    </w:pPr>
    <w:rPr>
      <w:kern w:val="0"/>
      <w:sz w:val="18"/>
      <w:szCs w:val="20"/>
    </w:rPr>
  </w:style>
  <w:style w:type="paragraph" w:styleId="19">
    <w:name w:val="toc 2"/>
    <w:basedOn w:val="1"/>
    <w:next w:val="1"/>
    <w:qFormat/>
    <w:locked/>
    <w:uiPriority w:val="39"/>
    <w:pPr>
      <w:ind w:left="210"/>
    </w:pPr>
    <w:rPr>
      <w:smallCaps/>
      <w:sz w:val="20"/>
      <w:szCs w:val="20"/>
    </w:rPr>
  </w:style>
  <w:style w:type="paragraph" w:styleId="20">
    <w:name w:val="Normal (Web)"/>
    <w:basedOn w:val="1"/>
    <w:link w:val="37"/>
    <w:uiPriority w:val="0"/>
    <w:pPr>
      <w:widowControl/>
      <w:spacing w:before="100" w:beforeAutospacing="1" w:after="100" w:afterAutospacing="1"/>
      <w:jc w:val="left"/>
    </w:pPr>
    <w:rPr>
      <w:rFonts w:ascii="宋体" w:hAnsi="宋体"/>
      <w:kern w:val="0"/>
      <w:sz w:val="24"/>
      <w:szCs w:val="20"/>
    </w:rPr>
  </w:style>
  <w:style w:type="paragraph" w:styleId="21">
    <w:name w:val="Title"/>
    <w:basedOn w:val="1"/>
    <w:next w:val="1"/>
    <w:qFormat/>
    <w:locked/>
    <w:uiPriority w:val="0"/>
    <w:pPr>
      <w:ind w:firstLine="0" w:firstLineChars="0"/>
      <w:outlineLvl w:val="0"/>
    </w:pPr>
    <w:rPr>
      <w:rFonts w:ascii="Cambria" w:hAnsi="Cambria"/>
      <w:b/>
      <w:bCs/>
      <w:sz w:val="32"/>
      <w:szCs w:val="32"/>
    </w:rPr>
  </w:style>
  <w:style w:type="paragraph" w:styleId="22">
    <w:name w:val="annotation subject"/>
    <w:basedOn w:val="7"/>
    <w:next w:val="7"/>
    <w:link w:val="38"/>
    <w:semiHidden/>
    <w:uiPriority w:val="0"/>
    <w:rPr>
      <w:b/>
      <w:kern w:val="2"/>
    </w:rPr>
  </w:style>
  <w:style w:type="paragraph" w:styleId="23">
    <w:name w:val="Body Text First Indent 2"/>
    <w:basedOn w:val="10"/>
    <w:next w:val="1"/>
    <w:unhideWhenUsed/>
    <w:qFormat/>
    <w:locked/>
    <w:uiPriority w:val="0"/>
    <w:pPr>
      <w:ind w:firstLine="420" w:firstLineChars="200"/>
    </w:pPr>
    <w:rPr>
      <w:kern w:val="2"/>
      <w:sz w:val="21"/>
      <w:szCs w:val="24"/>
    </w:rPr>
  </w:style>
  <w:style w:type="table" w:styleId="25">
    <w:name w:val="Table Grid"/>
    <w:basedOn w:val="24"/>
    <w:uiPriority w:val="0"/>
    <w:rPr>
      <w:lang w:val="en-US" w:eastAsia="zh-CN" w:bidi="ar-SA"/>
    </w:rPr>
    <w:tblPr>
      <w:tblStyle w:val="24"/>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qFormat/>
    <w:locked/>
    <w:uiPriority w:val="0"/>
    <w:rPr>
      <w:b/>
    </w:rPr>
  </w:style>
  <w:style w:type="character" w:styleId="28">
    <w:name w:val="page number"/>
    <w:locked/>
    <w:uiPriority w:val="0"/>
  </w:style>
  <w:style w:type="character" w:styleId="29">
    <w:name w:val="annotation reference"/>
    <w:semiHidden/>
    <w:uiPriority w:val="0"/>
    <w:rPr>
      <w:sz w:val="21"/>
    </w:rPr>
  </w:style>
  <w:style w:type="character" w:customStyle="1" w:styleId="30">
    <w:name w:val="批注文字 字符"/>
    <w:link w:val="7"/>
    <w:locked/>
    <w:uiPriority w:val="0"/>
    <w:rPr>
      <w:rFonts w:ascii="Times New Roman" w:hAnsi="Times New Roman" w:eastAsia="宋体"/>
      <w:sz w:val="24"/>
    </w:rPr>
  </w:style>
  <w:style w:type="character" w:customStyle="1" w:styleId="31">
    <w:name w:val="正文文本 字符"/>
    <w:link w:val="8"/>
    <w:locked/>
    <w:uiPriority w:val="0"/>
    <w:rPr>
      <w:sz w:val="18"/>
    </w:rPr>
  </w:style>
  <w:style w:type="character" w:customStyle="1" w:styleId="32">
    <w:name w:val="正文文本缩进 字符"/>
    <w:link w:val="10"/>
    <w:semiHidden/>
    <w:locked/>
    <w:uiPriority w:val="0"/>
    <w:rPr>
      <w:rFonts w:ascii="Times New Roman" w:hAnsi="Times New Roman" w:eastAsia="宋体"/>
      <w:sz w:val="24"/>
    </w:rPr>
  </w:style>
  <w:style w:type="character" w:customStyle="1" w:styleId="33">
    <w:name w:val="日期 字符1"/>
    <w:link w:val="14"/>
    <w:locked/>
    <w:uiPriority w:val="0"/>
    <w:rPr>
      <w:rFonts w:ascii="Times New Roman" w:hAnsi="Times New Roman" w:eastAsia="宋体"/>
      <w:sz w:val="24"/>
    </w:rPr>
  </w:style>
  <w:style w:type="character" w:customStyle="1" w:styleId="34">
    <w:name w:val="批注框文本 字符"/>
    <w:link w:val="16"/>
    <w:semiHidden/>
    <w:locked/>
    <w:uiPriority w:val="0"/>
    <w:rPr>
      <w:rFonts w:ascii="Times New Roman" w:hAnsi="Times New Roman" w:eastAsia="宋体"/>
      <w:sz w:val="18"/>
    </w:rPr>
  </w:style>
  <w:style w:type="character" w:customStyle="1" w:styleId="35">
    <w:name w:val="页脚 字符1"/>
    <w:link w:val="17"/>
    <w:locked/>
    <w:uiPriority w:val="99"/>
    <w:rPr>
      <w:sz w:val="18"/>
    </w:rPr>
  </w:style>
  <w:style w:type="character" w:customStyle="1" w:styleId="36">
    <w:name w:val="页眉 字符"/>
    <w:link w:val="18"/>
    <w:locked/>
    <w:uiPriority w:val="0"/>
    <w:rPr>
      <w:sz w:val="18"/>
    </w:rPr>
  </w:style>
  <w:style w:type="character" w:customStyle="1" w:styleId="37">
    <w:name w:val="普通(网站) 字符"/>
    <w:link w:val="20"/>
    <w:locked/>
    <w:uiPriority w:val="0"/>
    <w:rPr>
      <w:rFonts w:ascii="宋体" w:hAnsi="宋体" w:eastAsia="宋体"/>
      <w:sz w:val="24"/>
    </w:rPr>
  </w:style>
  <w:style w:type="character" w:customStyle="1" w:styleId="38">
    <w:name w:val="批注主题 字符"/>
    <w:link w:val="22"/>
    <w:semiHidden/>
    <w:locked/>
    <w:uiPriority w:val="0"/>
    <w:rPr>
      <w:rFonts w:ascii="Times New Roman" w:hAnsi="Times New Roman" w:eastAsia="宋体"/>
      <w:b/>
      <w:kern w:val="2"/>
      <w:sz w:val="24"/>
    </w:rPr>
  </w:style>
  <w:style w:type="paragraph" w:customStyle="1" w:styleId="39">
    <w:name w:val="样式1"/>
    <w:basedOn w:val="1"/>
    <w:qFormat/>
    <w:uiPriority w:val="0"/>
    <w:pPr>
      <w:spacing w:line="300" w:lineRule="atLeast"/>
      <w:jc w:val="center"/>
      <w:outlineLvl w:val="2"/>
    </w:pPr>
    <w:rPr>
      <w:rFonts w:eastAsia="楷体_GB2312"/>
      <w:szCs w:val="20"/>
    </w:rPr>
  </w:style>
  <w:style w:type="character" w:customStyle="1" w:styleId="40">
    <w:name w:val="表格 Char"/>
    <w:link w:val="41"/>
    <w:locked/>
    <w:uiPriority w:val="0"/>
    <w:rPr>
      <w:rFonts w:ascii="宋体"/>
      <w:sz w:val="21"/>
    </w:rPr>
  </w:style>
  <w:style w:type="paragraph" w:customStyle="1" w:styleId="41">
    <w:name w:val="表格"/>
    <w:basedOn w:val="1"/>
    <w:next w:val="1"/>
    <w:link w:val="40"/>
    <w:uiPriority w:val="0"/>
    <w:pPr>
      <w:adjustRightInd w:val="0"/>
      <w:snapToGrid w:val="0"/>
      <w:spacing w:beforeLines="10" w:afterLines="10" w:line="259" w:lineRule="auto"/>
      <w:jc w:val="center"/>
    </w:pPr>
    <w:rPr>
      <w:rFonts w:ascii="宋体"/>
      <w:kern w:val="0"/>
      <w:szCs w:val="20"/>
    </w:rPr>
  </w:style>
  <w:style w:type="character" w:customStyle="1" w:styleId="42">
    <w:name w:val="日期 字符"/>
    <w:semiHidden/>
    <w:uiPriority w:val="0"/>
    <w:rPr>
      <w:rFonts w:ascii="Times New Roman" w:hAnsi="Times New Roman" w:eastAsia="宋体"/>
      <w:sz w:val="24"/>
    </w:rPr>
  </w:style>
  <w:style w:type="character" w:customStyle="1" w:styleId="43">
    <w:name w:val="批注文字 字符1"/>
    <w:semiHidden/>
    <w:uiPriority w:val="0"/>
    <w:rPr>
      <w:rFonts w:ascii="Times New Roman" w:hAnsi="Times New Roman" w:eastAsia="宋体"/>
      <w:sz w:val="24"/>
    </w:rPr>
  </w:style>
  <w:style w:type="character" w:customStyle="1" w:styleId="44">
    <w:name w:val="unnamed11"/>
    <w:qFormat/>
    <w:uiPriority w:val="0"/>
    <w:rPr>
      <w:sz w:val="21"/>
    </w:rPr>
  </w:style>
  <w:style w:type="character" w:customStyle="1" w:styleId="45">
    <w:name w:val="页脚 字符"/>
    <w:uiPriority w:val="99"/>
  </w:style>
  <w:style w:type="character" w:customStyle="1" w:styleId="46">
    <w:name w:val="正文文本 字符1"/>
    <w:semiHidden/>
    <w:uiPriority w:val="0"/>
    <w:rPr>
      <w:rFonts w:ascii="Times New Roman" w:hAnsi="Times New Roman" w:eastAsia="宋体"/>
      <w:sz w:val="24"/>
    </w:rPr>
  </w:style>
  <w:style w:type="character" w:customStyle="1" w:styleId="47">
    <w:name w:val="fontstyle11"/>
    <w:qFormat/>
    <w:uiPriority w:val="0"/>
    <w:rPr>
      <w:rFonts w:hint="default" w:ascii="TimesNewRomanPSMT" w:hAnsi="TimesNewRomanPSMT"/>
      <w:color w:val="000000"/>
      <w:sz w:val="24"/>
      <w:szCs w:val="24"/>
    </w:rPr>
  </w:style>
  <w:style w:type="paragraph" w:customStyle="1" w:styleId="48">
    <w:name w:val="填表4小中单倍行距"/>
    <w:basedOn w:val="1"/>
    <w:qFormat/>
    <w:uiPriority w:val="0"/>
    <w:pPr>
      <w:snapToGrid w:val="0"/>
      <w:spacing w:line="240" w:lineRule="auto"/>
      <w:ind w:firstLine="0" w:firstLineChars="0"/>
      <w:jc w:val="center"/>
    </w:pPr>
    <w:rPr>
      <w:rFonts w:ascii="宋体" w:cs="宋体"/>
      <w:szCs w:val="20"/>
    </w:rPr>
  </w:style>
  <w:style w:type="paragraph" w:customStyle="1" w:styleId="49">
    <w:name w:val="cucd-0"/>
    <w:qFormat/>
    <w:uiPriority w:val="0"/>
    <w:pPr>
      <w:spacing w:line="360" w:lineRule="auto"/>
      <w:ind w:firstLine="480" w:firstLineChars="200"/>
    </w:pPr>
    <w:rPr>
      <w:kern w:val="2"/>
      <w:sz w:val="24"/>
      <w:szCs w:val="24"/>
      <w:lang w:val="en-US" w:eastAsia="zh-CN" w:bidi="ar-SA"/>
    </w:rPr>
  </w:style>
  <w:style w:type="paragraph" w:customStyle="1" w:styleId="50">
    <w:name w:val="正文(首行缩进)"/>
    <w:basedOn w:val="1"/>
    <w:semiHidden/>
    <w:qFormat/>
    <w:uiPriority w:val="0"/>
    <w:pPr>
      <w:spacing w:line="360" w:lineRule="auto"/>
      <w:ind w:firstLine="540" w:firstLineChars="225"/>
    </w:pPr>
    <w:rPr>
      <w:snapToGrid w:val="0"/>
      <w:color w:val="000000"/>
      <w:kern w:val="0"/>
      <w:sz w:val="24"/>
      <w:szCs w:val="24"/>
    </w:rPr>
  </w:style>
  <w:style w:type="paragraph" w:customStyle="1" w:styleId="51">
    <w:name w:val="列出段落9"/>
    <w:basedOn w:val="1"/>
    <w:uiPriority w:val="0"/>
    <w:pPr>
      <w:spacing w:line="360" w:lineRule="auto"/>
      <w:ind w:firstLine="420" w:firstLineChars="200"/>
    </w:pPr>
    <w:rPr>
      <w:rFonts w:ascii="Calibri"/>
    </w:rPr>
  </w:style>
  <w:style w:type="paragraph" w:customStyle="1" w:styleId="52">
    <w:name w:val="Char Char1 Char Char Char Char Char Char Char Char Char Char Char Char Char Char Char Char Char Char"/>
    <w:basedOn w:val="1"/>
    <w:qFormat/>
    <w:uiPriority w:val="0"/>
    <w:pPr>
      <w:spacing w:line="360" w:lineRule="auto"/>
      <w:ind w:firstLine="200" w:firstLineChars="200"/>
    </w:pPr>
    <w:rPr>
      <w:rFonts w:hAnsi="宋体" w:cs="宋体"/>
      <w:szCs w:val="21"/>
    </w:rPr>
  </w:style>
  <w:style w:type="paragraph" w:customStyle="1" w:styleId="53">
    <w:name w:val="填表5中"/>
    <w:basedOn w:val="1"/>
    <w:next w:val="1"/>
    <w:qFormat/>
    <w:uiPriority w:val="0"/>
    <w:pPr>
      <w:spacing w:line="240" w:lineRule="auto"/>
      <w:ind w:firstLine="0" w:firstLineChars="0"/>
      <w:jc w:val="center"/>
    </w:pPr>
    <w:rPr>
      <w:rFonts w:ascii="宋体" w:hAnsi="Calibri" w:cs="Times New Roman"/>
      <w:sz w:val="21"/>
      <w:szCs w:val="21"/>
    </w:rPr>
  </w:style>
  <w:style w:type="paragraph" w:customStyle="1" w:styleId="54">
    <w:name w:val="普通(网站)2"/>
    <w:basedOn w:val="1"/>
    <w:uiPriority w:val="0"/>
    <w:pPr>
      <w:widowControl/>
      <w:spacing w:before="100" w:beforeAutospacing="1" w:after="100" w:afterAutospacing="1"/>
      <w:jc w:val="left"/>
    </w:pPr>
    <w:rPr>
      <w:rFonts w:ascii="宋体" w:hAnsi="宋体"/>
      <w:sz w:val="24"/>
      <w:szCs w:val="20"/>
    </w:rPr>
  </w:style>
  <w:style w:type="paragraph" w:customStyle="1" w:styleId="55">
    <w:name w:val="表"/>
    <w:basedOn w:val="21"/>
    <w:qFormat/>
    <w:uiPriority w:val="0"/>
    <w:pPr>
      <w:spacing w:line="300" w:lineRule="exact"/>
    </w:pPr>
    <w:rPr>
      <w:rFonts w:ascii="Times New Roman" w:hAnsi="Times New Roman"/>
      <w:b w:val="0"/>
      <w:sz w:val="21"/>
    </w:rPr>
  </w:style>
  <w:style w:type="paragraph" w:customStyle="1" w:styleId="56">
    <w:name w:val="p0"/>
    <w:basedOn w:val="1"/>
    <w:qFormat/>
    <w:uiPriority w:val="0"/>
    <w:rPr>
      <w:kern w:val="0"/>
      <w:szCs w:val="21"/>
    </w:rPr>
  </w:style>
  <w:style w:type="paragraph" w:customStyle="1" w:styleId="57">
    <w:name w:val="表中文字"/>
    <w:basedOn w:val="1"/>
    <w:qFormat/>
    <w:uiPriority w:val="0"/>
    <w:pPr>
      <w:adjustRightInd w:val="0"/>
      <w:snapToGrid w:val="0"/>
      <w:spacing w:line="360" w:lineRule="exact"/>
      <w:jc w:val="center"/>
    </w:pPr>
    <w:rPr>
      <w:rFonts w:ascii="TimesNewRomanPSMT" w:hAnsi="TimesNewRomanPSMT" w:eastAsia="宋体" w:cs="宋体"/>
      <w:b/>
      <w:bCs/>
      <w:kern w:val="0"/>
      <w:szCs w:val="21"/>
    </w:rPr>
  </w:style>
  <w:style w:type="paragraph" w:customStyle="1" w:styleId="58">
    <w:name w:val="4正文"/>
    <w:basedOn w:val="1"/>
    <w:qFormat/>
    <w:uiPriority w:val="0"/>
    <w:pPr>
      <w:ind w:firstLine="480"/>
    </w:pPr>
  </w:style>
  <w:style w:type="paragraph" w:customStyle="1" w:styleId="59">
    <w:name w:val="表格文字"/>
    <w:basedOn w:val="60"/>
    <w:next w:val="1"/>
    <w:qFormat/>
    <w:uiPriority w:val="0"/>
    <w:pPr>
      <w:jc w:val="center"/>
    </w:pPr>
  </w:style>
  <w:style w:type="paragraph" w:customStyle="1" w:styleId="60">
    <w:name w:val="表格编号"/>
    <w:basedOn w:val="1"/>
    <w:next w:val="59"/>
    <w:qFormat/>
    <w:uiPriority w:val="0"/>
    <w:pPr>
      <w:snapToGrid w:val="0"/>
      <w:spacing w:line="20" w:lineRule="atLeast"/>
    </w:pPr>
    <w:rPr>
      <w:sz w:val="21"/>
    </w:rPr>
  </w:style>
  <w:style w:type="paragraph" w:customStyle="1" w:styleId="61">
    <w:name w:val="纯文本1"/>
    <w:basedOn w:val="1"/>
    <w:qFormat/>
    <w:uiPriority w:val="0"/>
    <w:rPr>
      <w:rFonts w:ascii="宋体" w:hAnsi="Courier New"/>
      <w:kern w:val="0"/>
      <w:sz w:val="20"/>
      <w:szCs w:val="20"/>
    </w:rPr>
  </w:style>
  <w:style w:type="paragraph" w:customStyle="1" w:styleId="62">
    <w:name w:val="正文_10"/>
    <w:uiPriority w:val="0"/>
    <w:pPr>
      <w:widowControl w:val="0"/>
      <w:jc w:val="both"/>
    </w:pPr>
    <w:rPr>
      <w:kern w:val="2"/>
      <w:sz w:val="21"/>
      <w:szCs w:val="22"/>
      <w:lang w:val="en-US" w:eastAsia="zh-CN" w:bidi="ar-SA"/>
    </w:rPr>
  </w:style>
  <w:style w:type="paragraph" w:customStyle="1" w:styleId="63">
    <w:name w:val="Default"/>
    <w:basedOn w:val="61"/>
    <w:qFormat/>
    <w:uiPriority w:val="0"/>
    <w:pPr>
      <w:widowControl w:val="0"/>
      <w:autoSpaceDE w:val="0"/>
      <w:autoSpaceDN w:val="0"/>
    </w:pPr>
    <w:rPr>
      <w:rFonts w:ascii="宋体" w:hAnsi="Times New Roman" w:eastAsia="宋体" w:cs="宋体"/>
      <w:color w:val="000000"/>
      <w:sz w:val="24"/>
      <w:szCs w:val="24"/>
      <w:lang w:val="en-US" w:eastAsia="zh-CN" w:bidi="ar-SA"/>
    </w:rPr>
  </w:style>
  <w:style w:type="paragraph" w:customStyle="1" w:styleId="64">
    <w:name w:val="我的正文 Char"/>
    <w:basedOn w:val="1"/>
    <w:qFormat/>
    <w:uiPriority w:val="99"/>
    <w:pPr>
      <w:ind w:firstLine="560" w:firstLineChars="200"/>
    </w:pPr>
    <w:rPr>
      <w:sz w:val="28"/>
    </w:rPr>
  </w:style>
  <w:style w:type="paragraph" w:customStyle="1" w:styleId="65">
    <w:name w:val="项目正文，无格式"/>
    <w:basedOn w:val="1"/>
    <w:qFormat/>
    <w:uiPriority w:val="0"/>
    <w:pPr>
      <w:spacing w:line="240" w:lineRule="auto"/>
      <w:ind w:firstLine="0" w:firstLineChars="0"/>
      <w:jc w:val="center"/>
    </w:pPr>
    <w:rPr>
      <w:sz w:val="21"/>
      <w:szCs w:val="18"/>
    </w:rPr>
  </w:style>
  <w:style w:type="paragraph" w:customStyle="1" w:styleId="66">
    <w:name w:val="正本文字"/>
    <w:basedOn w:val="1"/>
    <w:qFormat/>
    <w:uiPriority w:val="0"/>
    <w:pPr>
      <w:adjustRightInd w:val="0"/>
      <w:snapToGrid w:val="0"/>
      <w:spacing w:line="360" w:lineRule="auto"/>
      <w:ind w:firstLine="200" w:firstLineChars="200"/>
      <w:jc w:val="left"/>
    </w:pPr>
    <w:rPr>
      <w:rFonts w:cs="宋体"/>
      <w:kern w:val="18"/>
      <w:sz w:val="24"/>
      <w:szCs w:val="20"/>
    </w:rPr>
  </w:style>
  <w:style w:type="paragraph" w:customStyle="1" w:styleId="67">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customStyle="1" w:styleId="68">
    <w:name w:val="Char Char Char Char Char Char Char Char Char Char Char"/>
    <w:qFormat/>
    <w:uiPriority w:val="0"/>
    <w:pPr>
      <w:widowControl w:val="0"/>
      <w:adjustRightInd w:val="0"/>
      <w:snapToGrid w:val="0"/>
      <w:spacing w:beforeLines="50"/>
      <w:jc w:val="center"/>
    </w:pPr>
    <w:rPr>
      <w:rFonts w:ascii="Calibri" w:hAnsi="Calibri" w:eastAsia="黑体"/>
      <w:kern w:val="2"/>
      <w:sz w:val="24"/>
      <w:szCs w:val="24"/>
      <w:lang w:val="en-US" w:eastAsia="zh-CN" w:bidi="ar-SA"/>
    </w:rPr>
  </w:style>
  <w:style w:type="paragraph" w:customStyle="1" w:styleId="69">
    <w:name w:val="样式 正文缩进正文缩进2正文缩进 Char Char正文缩进 Char Char Char Char正文缩进 Char ..."/>
    <w:basedOn w:val="6"/>
    <w:qFormat/>
    <w:uiPriority w:val="0"/>
    <w:pPr>
      <w:spacing w:line="360" w:lineRule="auto"/>
      <w:ind w:firstLine="200"/>
    </w:pPr>
    <w:rPr>
      <w:rFonts w:cs="宋体"/>
    </w:rPr>
  </w:style>
  <w:style w:type="paragraph" w:customStyle="1" w:styleId="70">
    <w:name w:val="Default1"/>
    <w:qFormat/>
    <w:uiPriority w:val="99"/>
    <w:pPr>
      <w:widowControl w:val="0"/>
      <w:autoSpaceDE w:val="0"/>
      <w:autoSpaceDN w:val="0"/>
      <w:adjustRightInd w:val="0"/>
    </w:pPr>
    <w:rPr>
      <w:rFonts w:ascii="宋体" w:hAnsi="Calibri" w:eastAsia="微软雅黑" w:cs="宋体"/>
      <w:color w:val="000000"/>
      <w:sz w:val="24"/>
      <w:szCs w:val="24"/>
      <w:lang w:val="en-US" w:eastAsia="zh-CN" w:bidi="ar-SA"/>
    </w:rPr>
  </w:style>
  <w:style w:type="paragraph" w:customStyle="1" w:styleId="71">
    <w:name w:val="正文-ls"/>
    <w:basedOn w:val="1"/>
    <w:qFormat/>
    <w:uiPriority w:val="99"/>
    <w:pPr>
      <w:spacing w:line="360" w:lineRule="auto"/>
      <w:ind w:firstLine="200" w:firstLineChars="200"/>
    </w:pPr>
    <w:rPr>
      <w:rFonts w:hAnsi="宋体" w:cs="宋体"/>
      <w:sz w:val="24"/>
      <w:szCs w:val="20"/>
    </w:rPr>
  </w:style>
  <w:style w:type="paragraph" w:customStyle="1" w:styleId="72">
    <w:name w:val="表格标题"/>
    <w:basedOn w:val="1"/>
    <w:next w:val="1"/>
    <w:qFormat/>
    <w:uiPriority w:val="0"/>
    <w:pPr>
      <w:adjustRightInd w:val="0"/>
      <w:spacing w:line="360" w:lineRule="auto"/>
      <w:jc w:val="center"/>
    </w:pPr>
    <w:rPr>
      <w:b/>
      <w:kern w:val="0"/>
      <w:szCs w:val="28"/>
    </w:rPr>
  </w:style>
  <w:style w:type="paragraph" w:customStyle="1" w:styleId="73">
    <w:name w:val="表文"/>
    <w:basedOn w:val="1"/>
    <w:qFormat/>
    <w:uiPriority w:val="0"/>
    <w:pPr>
      <w:spacing w:line="360" w:lineRule="auto"/>
      <w:jc w:val="center"/>
    </w:pPr>
  </w:style>
  <w:style w:type="paragraph" w:customStyle="1" w:styleId="74">
    <w:name w:val="Table Paragraph"/>
    <w:basedOn w:val="1"/>
    <w:qFormat/>
    <w:uiPriority w:val="1"/>
    <w:rPr>
      <w:rFonts w:ascii="宋体" w:hAnsi="宋体" w:eastAsia="宋体" w:cs="宋体"/>
      <w:lang w:val="zh-CN" w:eastAsia="zh-CN" w:bidi="zh-CN"/>
    </w:rPr>
  </w:style>
  <w:style w:type="paragraph" w:customStyle="1" w:styleId="75">
    <w:name w:val="Date1"/>
    <w:basedOn w:val="1"/>
    <w:next w:val="1"/>
    <w:qFormat/>
    <w:uiPriority w:val="0"/>
    <w:pPr>
      <w:adjustRightInd w:val="0"/>
      <w:jc w:val="left"/>
      <w:textAlignment w:val="baseline"/>
    </w:pPr>
    <w:rPr>
      <w:rFonts w:ascii="宋体" w:hAnsi="宋体"/>
      <w:sz w:val="28"/>
    </w:rPr>
  </w:style>
  <w:style w:type="table" w:customStyle="1" w:styleId="76">
    <w:name w:val="Table Normal"/>
    <w:unhideWhenUsed/>
    <w:qFormat/>
    <w:uiPriority w:val="0"/>
    <w:rPr>
      <w:lang w:val="en-US" w:eastAsia="zh-CN" w:bidi="ar-SA"/>
    </w:rPr>
    <w:tblPr>
      <w:tblStyle w:val="24"/>
      <w:tblCellMar>
        <w:top w:w="0" w:type="dxa"/>
        <w:left w:w="0" w:type="dxa"/>
        <w:bottom w:w="0" w:type="dxa"/>
        <w:right w:w="0" w:type="dxa"/>
      </w:tblCellMar>
    </w:tblPr>
  </w:style>
  <w:style w:type="paragraph" w:customStyle="1" w:styleId="77">
    <w:name w:val="报告正文"/>
    <w:basedOn w:val="1"/>
    <w:qFormat/>
    <w:uiPriority w:val="0"/>
    <w:pPr>
      <w:adjustRightInd w:val="0"/>
      <w:snapToGrid w:val="0"/>
      <w:spacing w:line="360" w:lineRule="auto"/>
      <w:ind w:firstLine="720" w:firstLineChars="200"/>
    </w:pPr>
    <w:rPr>
      <w:rFonts w:ascii="Times New Roman" w:hAnsi="Times New Roman"/>
      <w:sz w:val="24"/>
    </w:rPr>
  </w:style>
  <w:style w:type="paragraph" w:customStyle="1" w:styleId="78">
    <w:name w:val="No Spacing"/>
    <w:basedOn w:val="1"/>
    <w:qFormat/>
    <w:uiPriority w:val="1"/>
    <w:pPr>
      <w:spacing w:line="240" w:lineRule="auto"/>
      <w:ind w:firstLine="0" w:firstLineChars="0"/>
    </w:pPr>
    <w:rPr>
      <w:rFonts w:ascii="Calibri" w:hAnsi="Calibri"/>
      <w:szCs w:val="32"/>
    </w:rPr>
  </w:style>
  <w:style w:type="paragraph" w:customStyle="1" w:styleId="79">
    <w:name w:val="Table Text"/>
    <w:basedOn w:val="1"/>
    <w:semiHidden/>
    <w:qFormat/>
    <w:uiPriority w:val="0"/>
    <w:rPr>
      <w:rFonts w:ascii="宋体" w:hAnsi="宋体" w:eastAsia="宋体" w:cs="宋体"/>
      <w:sz w:val="24"/>
      <w:szCs w:val="24"/>
      <w:lang w:val="en-US" w:eastAsia="en-US" w:bidi="ar-SA"/>
    </w:rPr>
  </w:style>
  <w:style w:type="paragraph" w:customStyle="1" w:styleId="80">
    <w:name w:val="图表标题"/>
    <w:basedOn w:val="1"/>
    <w:qFormat/>
    <w:uiPriority w:val="0"/>
    <w:pPr>
      <w:spacing w:before="50" w:beforeLines="50" w:line="360" w:lineRule="auto"/>
      <w:jc w:val="center"/>
    </w:pPr>
    <w:rPr>
      <w:rFonts w:eastAsia="黑体"/>
      <w:sz w:val="24"/>
      <w:szCs w:val="22"/>
    </w:rPr>
  </w:style>
  <w:style w:type="character" w:customStyle="1" w:styleId="81">
    <w:name w:val="font21"/>
    <w:basedOn w:val="26"/>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emf"/><Relationship Id="rId13" Type="http://schemas.openxmlformats.org/officeDocument/2006/relationships/oleObject" Target="embeddings/oleObject2.bin"/><Relationship Id="rId12" Type="http://schemas.openxmlformats.org/officeDocument/2006/relationships/image" Target="media/image6.emf"/><Relationship Id="rId11" Type="http://schemas.openxmlformats.org/officeDocument/2006/relationships/oleObject" Target="embeddings/oleObject1.bin"/><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51</Pages>
  <Words>28819</Words>
  <Characters>33206</Characters>
  <Lines>251</Lines>
  <Paragraphs>70</Paragraphs>
  <TotalTime>0</TotalTime>
  <ScaleCrop>false</ScaleCrop>
  <LinksUpToDate>false</LinksUpToDate>
  <CharactersWithSpaces>33251</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❣阳 ❁҉҉҉҉҉҉҉҉</cp:lastModifiedBy>
  <cp:lastPrinted>2021-06-24T10:20:00Z</cp:lastPrinted>
  <dcterms:modified xsi:type="dcterms:W3CDTF">2024-04-03T03:38:11Z</dcterms:modified>
  <dc:title>附件2</dc:title>
  <cp:revision>21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39815FD1A76B48E6B84CF314DF8712C6_13</vt:lpwstr>
  </property>
</Properties>
</file>